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1A70" w:rsidRPr="007B76F0" w:rsidRDefault="00B71A70" w:rsidP="00B71A70">
      <w:pPr>
        <w:rPr>
          <w:rFonts w:ascii="Arial" w:hAnsi="Arial" w:cs="Arial"/>
          <w:b/>
          <w:color w:val="FF0000"/>
          <w:sz w:val="28"/>
          <w:szCs w:val="28"/>
          <w:u w:val="single"/>
        </w:rPr>
      </w:pPr>
      <w:r w:rsidRPr="007B76F0">
        <w:rPr>
          <w:rFonts w:ascii="Arial" w:hAnsi="Arial" w:cs="Arial"/>
          <w:b/>
          <w:color w:val="FF0000"/>
          <w:sz w:val="28"/>
          <w:szCs w:val="28"/>
          <w:u w:val="single"/>
        </w:rPr>
        <w:t xml:space="preserve">Question 3. </w:t>
      </w:r>
    </w:p>
    <w:p w:rsidR="00B71A70" w:rsidRPr="007B76F0" w:rsidRDefault="00B71A70" w:rsidP="00B71A70">
      <w:pPr>
        <w:pStyle w:val="ListParagraph"/>
        <w:numPr>
          <w:ilvl w:val="0"/>
          <w:numId w:val="12"/>
        </w:numPr>
        <w:rPr>
          <w:rFonts w:ascii="Arial" w:hAnsi="Arial" w:cs="Arial"/>
          <w:b/>
          <w:color w:val="FF0000"/>
          <w:sz w:val="24"/>
          <w:szCs w:val="24"/>
        </w:rPr>
      </w:pPr>
      <w:r w:rsidRPr="007B76F0">
        <w:rPr>
          <w:rFonts w:ascii="Arial" w:hAnsi="Arial" w:cs="Arial"/>
          <w:b/>
          <w:color w:val="FF0000"/>
          <w:sz w:val="24"/>
          <w:szCs w:val="24"/>
        </w:rPr>
        <w:t xml:space="preserve">Provide the details of the 5 grounds of fair dismissal from an employee’s place of work. </w:t>
      </w:r>
    </w:p>
    <w:p w:rsidR="00B71A70" w:rsidRPr="007B76F0" w:rsidRDefault="00B71A70" w:rsidP="00B71A70">
      <w:pPr>
        <w:pStyle w:val="ListParagraph"/>
        <w:rPr>
          <w:rFonts w:ascii="Arial" w:hAnsi="Arial" w:cs="Arial"/>
          <w:b/>
          <w:color w:val="FF0000"/>
          <w:sz w:val="24"/>
          <w:szCs w:val="24"/>
        </w:rPr>
      </w:pPr>
    </w:p>
    <w:p w:rsidR="00B71A70" w:rsidRPr="007B76F0" w:rsidRDefault="00B71A70" w:rsidP="00B71A70">
      <w:pPr>
        <w:rPr>
          <w:rFonts w:ascii="Arial" w:hAnsi="Arial" w:cs="Arial"/>
          <w:sz w:val="24"/>
          <w:szCs w:val="24"/>
        </w:rPr>
      </w:pPr>
      <w:r w:rsidRPr="007B76F0">
        <w:rPr>
          <w:rFonts w:ascii="Arial" w:hAnsi="Arial" w:cs="Arial"/>
          <w:sz w:val="24"/>
          <w:szCs w:val="24"/>
        </w:rPr>
        <w:t xml:space="preserve">The Employment Rights Act (1996) states employers have a duty not to unfairly dismiss employees. If an employee is dismissed from their employment unfairly they may be able to bring a claim and seek damages in the Employment Tribunal. However, if an employer can prove that there is a good cause for dismissal and they have acted fairly they may successfully defend the claim against unfair dismissal. </w:t>
      </w:r>
    </w:p>
    <w:p w:rsidR="00B71A70" w:rsidRPr="007B76F0" w:rsidRDefault="00B71A70" w:rsidP="00B71A70">
      <w:pPr>
        <w:rPr>
          <w:rFonts w:ascii="Arial" w:hAnsi="Arial" w:cs="Arial"/>
          <w:sz w:val="24"/>
          <w:szCs w:val="24"/>
        </w:rPr>
      </w:pPr>
      <w:r w:rsidRPr="007B76F0">
        <w:rPr>
          <w:rFonts w:ascii="Arial" w:hAnsi="Arial" w:cs="Arial"/>
          <w:sz w:val="24"/>
          <w:szCs w:val="24"/>
        </w:rPr>
        <w:t>Section 98 of The Employment Rights Act 1996 determines 5 fair reasons for dismissal as outlined below:</w:t>
      </w:r>
    </w:p>
    <w:p w:rsidR="00B71A70" w:rsidRPr="007B76F0" w:rsidRDefault="00B71A70" w:rsidP="00B71A70">
      <w:pPr>
        <w:pStyle w:val="NoSpacing"/>
        <w:rPr>
          <w:rFonts w:ascii="Arial" w:hAnsi="Arial" w:cs="Arial"/>
          <w:sz w:val="24"/>
          <w:szCs w:val="24"/>
        </w:rPr>
      </w:pPr>
    </w:p>
    <w:p w:rsidR="00B71A70" w:rsidRPr="007B76F0" w:rsidRDefault="00B71A70" w:rsidP="00B71A70">
      <w:pPr>
        <w:pStyle w:val="ListParagraph"/>
        <w:numPr>
          <w:ilvl w:val="0"/>
          <w:numId w:val="2"/>
        </w:numPr>
        <w:rPr>
          <w:rFonts w:ascii="Arial" w:hAnsi="Arial" w:cs="Arial"/>
          <w:sz w:val="24"/>
          <w:szCs w:val="24"/>
        </w:rPr>
      </w:pPr>
      <w:r w:rsidRPr="007B76F0">
        <w:rPr>
          <w:rFonts w:ascii="Arial" w:hAnsi="Arial" w:cs="Arial"/>
          <w:b/>
          <w:sz w:val="24"/>
          <w:szCs w:val="24"/>
          <w:u w:val="single"/>
        </w:rPr>
        <w:t>Conduct</w:t>
      </w:r>
      <w:r w:rsidRPr="007B76F0">
        <w:rPr>
          <w:rFonts w:ascii="Arial" w:hAnsi="Arial" w:cs="Arial"/>
          <w:sz w:val="24"/>
          <w:szCs w:val="24"/>
        </w:rPr>
        <w:t xml:space="preserve"> - The behaviour of an employee can be considered in determining fair cause for dismissal. M</w:t>
      </w:r>
      <w:r w:rsidRPr="007B76F0">
        <w:rPr>
          <w:rFonts w:ascii="Arial" w:hAnsi="Arial" w:cs="Arial"/>
          <w:bCs/>
          <w:sz w:val="24"/>
          <w:szCs w:val="24"/>
          <w:shd w:val="clear" w:color="auto" w:fill="FFFFFF"/>
        </w:rPr>
        <w:t>isconduct</w:t>
      </w:r>
      <w:r w:rsidRPr="007B76F0">
        <w:rPr>
          <w:rFonts w:ascii="Arial" w:hAnsi="Arial" w:cs="Arial"/>
          <w:sz w:val="24"/>
          <w:szCs w:val="24"/>
          <w:shd w:val="clear" w:color="auto" w:fill="FFFFFF"/>
        </w:rPr>
        <w:t xml:space="preserve"> is described in case law “as a substantial or intentional disregard of the employer's interests” </w:t>
      </w:r>
      <w:r w:rsidRPr="007B76F0">
        <w:rPr>
          <w:rFonts w:ascii="Arial" w:hAnsi="Arial" w:cs="Arial"/>
          <w:sz w:val="24"/>
          <w:szCs w:val="24"/>
        </w:rPr>
        <w:t>Employers should make it clear what is considered misconduct within their disciplinary rules and procedures.</w:t>
      </w:r>
    </w:p>
    <w:p w:rsidR="00B71A70" w:rsidRPr="007B76F0" w:rsidRDefault="00B71A70" w:rsidP="00B71A70">
      <w:pPr>
        <w:rPr>
          <w:rFonts w:ascii="Arial" w:hAnsi="Arial" w:cs="Arial"/>
          <w:sz w:val="24"/>
          <w:szCs w:val="24"/>
          <w:shd w:val="clear" w:color="auto" w:fill="FFFFFF"/>
        </w:rPr>
      </w:pPr>
      <w:r w:rsidRPr="007B76F0">
        <w:rPr>
          <w:rFonts w:ascii="Arial" w:hAnsi="Arial" w:cs="Arial"/>
          <w:sz w:val="24"/>
          <w:szCs w:val="24"/>
          <w:shd w:val="clear" w:color="auto" w:fill="FFFFFF"/>
        </w:rPr>
        <w:t>Misconduct often falls in to three main categories:</w:t>
      </w:r>
    </w:p>
    <w:p w:rsidR="00B71A70" w:rsidRPr="007B76F0" w:rsidRDefault="00B71A70" w:rsidP="00B71A70">
      <w:pPr>
        <w:rPr>
          <w:rFonts w:ascii="Arial" w:hAnsi="Arial" w:cs="Arial"/>
          <w:sz w:val="24"/>
          <w:szCs w:val="24"/>
        </w:rPr>
      </w:pPr>
      <w:r w:rsidRPr="007B76F0">
        <w:rPr>
          <w:rFonts w:ascii="Arial" w:hAnsi="Arial" w:cs="Arial"/>
          <w:b/>
          <w:sz w:val="24"/>
          <w:szCs w:val="24"/>
          <w:shd w:val="clear" w:color="auto" w:fill="FFFFFF"/>
        </w:rPr>
        <w:t>General misconduct</w:t>
      </w:r>
      <w:r w:rsidRPr="007B76F0">
        <w:rPr>
          <w:rFonts w:ascii="Arial" w:hAnsi="Arial" w:cs="Arial"/>
          <w:sz w:val="24"/>
          <w:szCs w:val="24"/>
          <w:shd w:val="clear" w:color="auto" w:fill="FFFFFF"/>
        </w:rPr>
        <w:t xml:space="preserve"> - </w:t>
      </w:r>
      <w:r w:rsidRPr="007B76F0">
        <w:rPr>
          <w:rFonts w:ascii="Arial" w:hAnsi="Arial" w:cs="Arial"/>
          <w:sz w:val="24"/>
          <w:szCs w:val="24"/>
        </w:rPr>
        <w:t>may be considered as unacceptable or improper behaviour by an employee. It is essentially behaviour that does not meet the fundamental standards expected by an employer. Misconduct is often viewed as a fair reason for dismissal but the employer should follow disciplinary procedure before resorting to dismissal, this should include holding meetings with the employee and issuing the relevant warnings.</w:t>
      </w:r>
    </w:p>
    <w:p w:rsidR="00B71A70" w:rsidRPr="007B76F0" w:rsidRDefault="00B71A70" w:rsidP="00B71A70">
      <w:pPr>
        <w:tabs>
          <w:tab w:val="left" w:pos="2520"/>
        </w:tabs>
        <w:rPr>
          <w:rFonts w:ascii="Arial" w:hAnsi="Arial" w:cs="Arial"/>
          <w:sz w:val="24"/>
          <w:szCs w:val="24"/>
          <w:shd w:val="clear" w:color="auto" w:fill="FFFFFF"/>
        </w:rPr>
      </w:pPr>
      <w:r w:rsidRPr="007B76F0">
        <w:rPr>
          <w:rFonts w:ascii="Arial" w:hAnsi="Arial" w:cs="Arial"/>
          <w:b/>
          <w:sz w:val="24"/>
          <w:szCs w:val="24"/>
        </w:rPr>
        <w:t>Examples</w:t>
      </w:r>
      <w:r w:rsidRPr="007B76F0">
        <w:rPr>
          <w:rFonts w:ascii="Arial" w:hAnsi="Arial" w:cs="Arial"/>
          <w:sz w:val="24"/>
          <w:szCs w:val="24"/>
        </w:rPr>
        <w:t xml:space="preserve"> include: persistent lateness, unauthorised absence and minor breaches of policy or contract</w:t>
      </w:r>
    </w:p>
    <w:p w:rsidR="00B71A70" w:rsidRPr="007B76F0" w:rsidRDefault="00B71A70" w:rsidP="00B71A70">
      <w:pPr>
        <w:tabs>
          <w:tab w:val="left" w:pos="2520"/>
        </w:tabs>
        <w:rPr>
          <w:rFonts w:ascii="Arial" w:hAnsi="Arial" w:cs="Arial"/>
          <w:color w:val="222222"/>
          <w:sz w:val="24"/>
          <w:szCs w:val="24"/>
          <w:shd w:val="clear" w:color="auto" w:fill="FFFFFF"/>
        </w:rPr>
      </w:pPr>
      <w:r w:rsidRPr="007B76F0">
        <w:rPr>
          <w:rFonts w:ascii="Arial" w:hAnsi="Arial" w:cs="Arial"/>
          <w:b/>
          <w:sz w:val="24"/>
          <w:szCs w:val="24"/>
          <w:shd w:val="clear" w:color="auto" w:fill="FFFFFF"/>
        </w:rPr>
        <w:t xml:space="preserve">Serious Misconduct - </w:t>
      </w:r>
      <w:r w:rsidRPr="007B76F0">
        <w:rPr>
          <w:rFonts w:ascii="Arial" w:hAnsi="Arial" w:cs="Arial"/>
          <w:sz w:val="24"/>
          <w:szCs w:val="24"/>
        </w:rPr>
        <w:t xml:space="preserve">Serious underperformance of duties that can cause damage to the organisation itself. It often results in dismissal following a first and final written warning issued to the employee by the employer. </w:t>
      </w:r>
    </w:p>
    <w:p w:rsidR="00B71A70" w:rsidRPr="007B76F0" w:rsidRDefault="00B71A70" w:rsidP="00B71A70">
      <w:pPr>
        <w:rPr>
          <w:rFonts w:ascii="Arial" w:hAnsi="Arial" w:cs="Arial"/>
          <w:color w:val="FF0000"/>
          <w:sz w:val="24"/>
          <w:szCs w:val="24"/>
        </w:rPr>
      </w:pPr>
      <w:r w:rsidRPr="007B76F0">
        <w:rPr>
          <w:rFonts w:ascii="Arial" w:hAnsi="Arial" w:cs="Arial"/>
          <w:b/>
          <w:color w:val="222222"/>
          <w:sz w:val="24"/>
          <w:szCs w:val="24"/>
          <w:shd w:val="clear" w:color="auto" w:fill="FFFFFF"/>
        </w:rPr>
        <w:t xml:space="preserve">Gross misconduct - </w:t>
      </w:r>
      <w:r w:rsidRPr="007B76F0">
        <w:rPr>
          <w:rFonts w:ascii="Arial" w:hAnsi="Arial" w:cs="Arial"/>
          <w:sz w:val="24"/>
          <w:szCs w:val="24"/>
        </w:rPr>
        <w:t>misconduct severe enough to warrant dismissal without notice or pay in lieu of notice. Gross misconduct can weaken or destroy the trust and confidence relationship between employer and employee. Gross misconduct can be considered for one off and first time offences and often results in Summary Dismissal</w:t>
      </w:r>
      <w:r w:rsidRPr="007B76F0">
        <w:rPr>
          <w:rFonts w:ascii="Arial" w:hAnsi="Arial" w:cs="Arial"/>
          <w:b/>
          <w:sz w:val="24"/>
          <w:szCs w:val="24"/>
        </w:rPr>
        <w:t xml:space="preserve">. </w:t>
      </w:r>
    </w:p>
    <w:p w:rsidR="00B71A70" w:rsidRPr="007B76F0" w:rsidRDefault="00B71A70" w:rsidP="00B71A70">
      <w:pPr>
        <w:rPr>
          <w:rFonts w:ascii="Arial" w:hAnsi="Arial" w:cs="Arial"/>
          <w:sz w:val="24"/>
          <w:szCs w:val="24"/>
        </w:rPr>
      </w:pPr>
      <w:r w:rsidRPr="007B76F0">
        <w:rPr>
          <w:rFonts w:ascii="Arial" w:hAnsi="Arial" w:cs="Arial"/>
          <w:b/>
          <w:sz w:val="24"/>
          <w:szCs w:val="24"/>
        </w:rPr>
        <w:t>Examples</w:t>
      </w:r>
      <w:r w:rsidRPr="007B76F0">
        <w:rPr>
          <w:rFonts w:ascii="Arial" w:hAnsi="Arial" w:cs="Arial"/>
          <w:sz w:val="24"/>
          <w:szCs w:val="24"/>
        </w:rPr>
        <w:t xml:space="preserve"> include deliberate wrongdoing, negligence and fraud. As well as criminal activities outside of employment. </w:t>
      </w:r>
    </w:p>
    <w:p w:rsidR="00B71A70" w:rsidRPr="007B76F0" w:rsidRDefault="00B71A70" w:rsidP="00B71A70">
      <w:pPr>
        <w:rPr>
          <w:rFonts w:ascii="Arial" w:hAnsi="Arial" w:cs="Arial"/>
          <w:b/>
          <w:sz w:val="24"/>
          <w:szCs w:val="24"/>
        </w:rPr>
      </w:pPr>
      <w:r w:rsidRPr="007B76F0">
        <w:rPr>
          <w:rFonts w:ascii="Arial" w:hAnsi="Arial" w:cs="Arial"/>
          <w:b/>
          <w:sz w:val="24"/>
          <w:szCs w:val="24"/>
        </w:rPr>
        <w:t xml:space="preserve">The Burchell Test </w:t>
      </w:r>
    </w:p>
    <w:p w:rsidR="00B71A70" w:rsidRPr="007B76F0" w:rsidRDefault="00B71A70" w:rsidP="00B71A70">
      <w:pPr>
        <w:rPr>
          <w:rFonts w:ascii="Arial" w:hAnsi="Arial" w:cs="Arial"/>
          <w:sz w:val="24"/>
          <w:szCs w:val="24"/>
        </w:rPr>
      </w:pPr>
      <w:r w:rsidRPr="007B76F0">
        <w:rPr>
          <w:rFonts w:ascii="Arial" w:hAnsi="Arial" w:cs="Arial"/>
          <w:sz w:val="24"/>
          <w:szCs w:val="24"/>
        </w:rPr>
        <w:t xml:space="preserve">Employers must satisfy The Burchell Test in all alleged Misconduct cases. </w:t>
      </w:r>
    </w:p>
    <w:p w:rsidR="00B71A70" w:rsidRPr="007B76F0" w:rsidRDefault="00B71A70" w:rsidP="00B71A70">
      <w:pPr>
        <w:rPr>
          <w:rFonts w:ascii="Arial" w:hAnsi="Arial" w:cs="Arial"/>
          <w:sz w:val="24"/>
          <w:szCs w:val="24"/>
        </w:rPr>
      </w:pPr>
      <w:r w:rsidRPr="007B76F0">
        <w:rPr>
          <w:rFonts w:ascii="Arial" w:hAnsi="Arial" w:cs="Arial"/>
          <w:sz w:val="24"/>
          <w:szCs w:val="24"/>
        </w:rPr>
        <w:lastRenderedPageBreak/>
        <w:t>British Homes Stores V Burchell (1978) gave rise to the 3-stage test for fairness in dismissal:</w:t>
      </w:r>
    </w:p>
    <w:p w:rsidR="00B71A70" w:rsidRPr="007B76F0" w:rsidRDefault="00B71A70" w:rsidP="00B71A70">
      <w:pPr>
        <w:ind w:firstLine="720"/>
        <w:rPr>
          <w:rFonts w:ascii="Arial" w:hAnsi="Arial" w:cs="Arial"/>
          <w:sz w:val="24"/>
          <w:szCs w:val="24"/>
        </w:rPr>
      </w:pPr>
      <w:r w:rsidRPr="007B76F0">
        <w:rPr>
          <w:rFonts w:ascii="Arial" w:hAnsi="Arial" w:cs="Arial"/>
          <w:sz w:val="24"/>
          <w:szCs w:val="24"/>
        </w:rPr>
        <w:t xml:space="preserve">1. The employer believed that the employee was guilty of the misconduct </w:t>
      </w:r>
    </w:p>
    <w:p w:rsidR="00B71A70" w:rsidRPr="007B76F0" w:rsidRDefault="00B71A70" w:rsidP="00B71A70">
      <w:pPr>
        <w:ind w:firstLine="720"/>
        <w:rPr>
          <w:rFonts w:ascii="Arial" w:hAnsi="Arial" w:cs="Arial"/>
          <w:sz w:val="24"/>
          <w:szCs w:val="24"/>
        </w:rPr>
      </w:pPr>
      <w:r w:rsidRPr="007B76F0">
        <w:rPr>
          <w:rFonts w:ascii="Arial" w:hAnsi="Arial" w:cs="Arial"/>
          <w:sz w:val="24"/>
          <w:szCs w:val="24"/>
        </w:rPr>
        <w:t>2. The employer has reasonable grounds for that belief</w:t>
      </w:r>
    </w:p>
    <w:p w:rsidR="00B71A70" w:rsidRPr="007B76F0" w:rsidRDefault="00B71A70" w:rsidP="00B71A70">
      <w:pPr>
        <w:ind w:firstLine="720"/>
        <w:rPr>
          <w:rFonts w:ascii="Arial" w:hAnsi="Arial" w:cs="Arial"/>
          <w:sz w:val="24"/>
          <w:szCs w:val="24"/>
        </w:rPr>
      </w:pPr>
      <w:r w:rsidRPr="007B76F0">
        <w:rPr>
          <w:rFonts w:ascii="Arial" w:hAnsi="Arial" w:cs="Arial"/>
          <w:sz w:val="24"/>
          <w:szCs w:val="24"/>
        </w:rPr>
        <w:t>3. The employer carried out an investigation into the matter that was reasonable</w:t>
      </w:r>
    </w:p>
    <w:p w:rsidR="00B71A70" w:rsidRPr="007B76F0" w:rsidRDefault="00B71A70" w:rsidP="00B71A70">
      <w:pPr>
        <w:rPr>
          <w:rFonts w:ascii="Arial" w:hAnsi="Arial" w:cs="Arial"/>
          <w:sz w:val="24"/>
          <w:szCs w:val="24"/>
        </w:rPr>
      </w:pPr>
      <w:r w:rsidRPr="007B76F0">
        <w:rPr>
          <w:rFonts w:ascii="Arial" w:hAnsi="Arial" w:cs="Arial"/>
          <w:sz w:val="24"/>
          <w:szCs w:val="24"/>
        </w:rPr>
        <w:t xml:space="preserve">Burchell was dismissed from her employment with British Home stores following an allegation of misconduct for dishonesty and collusion. Following this case the Employment Appeal Tribunal established the above 3 essential criteria to be applied in all misconduct cases. This importance of this case is determining whether the dismissal is fair rather than the proving/examining the evidence of guilt. </w:t>
      </w:r>
    </w:p>
    <w:p w:rsidR="00B71A70" w:rsidRPr="007B76F0" w:rsidRDefault="00B71A70" w:rsidP="00B71A70">
      <w:pPr>
        <w:pStyle w:val="ListParagraph"/>
        <w:numPr>
          <w:ilvl w:val="0"/>
          <w:numId w:val="2"/>
        </w:numPr>
        <w:rPr>
          <w:rFonts w:ascii="Arial" w:hAnsi="Arial" w:cs="Arial"/>
          <w:b/>
          <w:sz w:val="24"/>
          <w:szCs w:val="24"/>
        </w:rPr>
      </w:pPr>
      <w:r w:rsidRPr="007B76F0">
        <w:rPr>
          <w:rFonts w:ascii="Arial" w:hAnsi="Arial" w:cs="Arial"/>
          <w:b/>
          <w:sz w:val="24"/>
          <w:szCs w:val="24"/>
          <w:u w:val="single"/>
        </w:rPr>
        <w:t>Capability</w:t>
      </w:r>
      <w:r w:rsidRPr="007B76F0">
        <w:rPr>
          <w:rFonts w:ascii="Arial" w:hAnsi="Arial" w:cs="Arial"/>
          <w:b/>
          <w:sz w:val="24"/>
          <w:szCs w:val="24"/>
        </w:rPr>
        <w:t xml:space="preserve"> </w:t>
      </w:r>
      <w:r w:rsidRPr="007B76F0">
        <w:rPr>
          <w:rFonts w:ascii="Arial" w:hAnsi="Arial" w:cs="Arial"/>
          <w:sz w:val="24"/>
          <w:szCs w:val="24"/>
        </w:rPr>
        <w:t xml:space="preserve">Lack of capability or qualifications can be a fair reason for dismissal if an employer can show that they have acted reasonably. This can also include medical capabilities, such as long term illnesses. The employer must be able to show that they have taken reasonable steps to ensure the employee can perform the work they were employed to do, for example ensuring relevant qualifications are held before employment commences, as well as addressing training needs throughout employment. </w:t>
      </w:r>
    </w:p>
    <w:p w:rsidR="00B71A70" w:rsidRPr="007B76F0" w:rsidRDefault="00B71A70" w:rsidP="00B71A70">
      <w:pPr>
        <w:rPr>
          <w:rFonts w:ascii="Arial" w:hAnsi="Arial" w:cs="Arial"/>
          <w:b/>
          <w:sz w:val="24"/>
          <w:szCs w:val="24"/>
        </w:rPr>
      </w:pPr>
      <w:r w:rsidRPr="007B76F0">
        <w:rPr>
          <w:rFonts w:ascii="Arial" w:hAnsi="Arial" w:cs="Arial"/>
          <w:sz w:val="24"/>
          <w:szCs w:val="24"/>
        </w:rPr>
        <w:t xml:space="preserve">In the case of </w:t>
      </w:r>
      <w:r w:rsidRPr="007B76F0">
        <w:rPr>
          <w:rStyle w:val="Strong"/>
          <w:rFonts w:ascii="Arial" w:hAnsi="Arial" w:cs="Arial"/>
          <w:b w:val="0"/>
          <w:sz w:val="24"/>
          <w:szCs w:val="24"/>
          <w:shd w:val="clear" w:color="auto" w:fill="FFFFFF"/>
        </w:rPr>
        <w:t xml:space="preserve">Warner v Armfield Retail &amp; Leisure Ltd (2012) </w:t>
      </w:r>
      <w:r w:rsidRPr="007B76F0">
        <w:rPr>
          <w:rFonts w:ascii="Arial" w:hAnsi="Arial" w:cs="Arial"/>
          <w:sz w:val="24"/>
          <w:szCs w:val="24"/>
        </w:rPr>
        <w:t>Warner’s employer terminated his employment citing ‘capability on medical grounds as the reason’ following a stroke. Warner made a claim for unfair dismissal for disability discrimination and breach of contract. T</w:t>
      </w:r>
      <w:r w:rsidRPr="007B76F0">
        <w:rPr>
          <w:rStyle w:val="Strong"/>
          <w:rFonts w:ascii="Arial" w:hAnsi="Arial" w:cs="Arial"/>
          <w:b w:val="0"/>
          <w:sz w:val="24"/>
          <w:szCs w:val="24"/>
          <w:shd w:val="clear" w:color="auto" w:fill="FFFFFF"/>
        </w:rPr>
        <w:t xml:space="preserve">he Employment tribunal </w:t>
      </w:r>
      <w:r w:rsidRPr="007B76F0">
        <w:rPr>
          <w:rFonts w:ascii="Arial" w:hAnsi="Arial" w:cs="Arial"/>
          <w:sz w:val="24"/>
          <w:szCs w:val="24"/>
        </w:rPr>
        <w:t>accepted Warner was not fit to fulfil the role and found that there were no reasonable adjustments that could be made by the employer.</w:t>
      </w:r>
      <w:r w:rsidRPr="007B76F0">
        <w:rPr>
          <w:rFonts w:ascii="Arial" w:hAnsi="Arial" w:cs="Arial"/>
          <w:b/>
          <w:sz w:val="24"/>
          <w:szCs w:val="24"/>
        </w:rPr>
        <w:t xml:space="preserve"> </w:t>
      </w:r>
      <w:r w:rsidRPr="007B76F0">
        <w:rPr>
          <w:rFonts w:ascii="Arial" w:hAnsi="Arial" w:cs="Arial"/>
          <w:sz w:val="24"/>
          <w:szCs w:val="24"/>
        </w:rPr>
        <w:t>Warner’s claims for unfair dismissal and breach of contract were dismissed on the basis that the contact had been frustrated by the time the employer wrote to him and therefore there was no dismissal.</w:t>
      </w:r>
    </w:p>
    <w:p w:rsidR="00B71A70" w:rsidRPr="007B76F0" w:rsidRDefault="00B71A70" w:rsidP="00B71A70">
      <w:pPr>
        <w:rPr>
          <w:rFonts w:ascii="Arial" w:hAnsi="Arial" w:cs="Arial"/>
          <w:sz w:val="24"/>
          <w:szCs w:val="24"/>
        </w:rPr>
      </w:pPr>
      <w:r w:rsidRPr="007B76F0">
        <w:rPr>
          <w:rFonts w:ascii="Arial" w:hAnsi="Arial" w:cs="Arial"/>
          <w:sz w:val="24"/>
          <w:szCs w:val="24"/>
        </w:rPr>
        <w:t xml:space="preserve">The court of appeal considered the nature and expected duration of incapacity, as well as whether the employer was in breach of contract for not making reasonable adjustments. There is no frustration of contract where reasonable adjustments can be made. It was concluded as no reasonable adjustments could be made there was no breach of contract. It should be noted that all employers could claim a contract has been frustrated when dismissing employees on long term sick and a precedent should not be set. </w:t>
      </w:r>
    </w:p>
    <w:p w:rsidR="00B71A70" w:rsidRPr="007B76F0" w:rsidRDefault="00B71A70" w:rsidP="00B71A70">
      <w:pPr>
        <w:pStyle w:val="ListParagraph"/>
        <w:rPr>
          <w:rFonts w:ascii="Arial" w:hAnsi="Arial" w:cs="Arial"/>
          <w:b/>
          <w:sz w:val="24"/>
          <w:szCs w:val="24"/>
        </w:rPr>
      </w:pPr>
    </w:p>
    <w:p w:rsidR="00B71A70" w:rsidRPr="007B76F0" w:rsidRDefault="00B71A70" w:rsidP="00B71A70">
      <w:pPr>
        <w:pStyle w:val="ListParagraph"/>
        <w:numPr>
          <w:ilvl w:val="0"/>
          <w:numId w:val="2"/>
        </w:numPr>
        <w:rPr>
          <w:rFonts w:ascii="Arial" w:hAnsi="Arial" w:cs="Arial"/>
          <w:sz w:val="24"/>
          <w:szCs w:val="24"/>
        </w:rPr>
      </w:pPr>
      <w:r w:rsidRPr="007B76F0">
        <w:rPr>
          <w:rFonts w:ascii="Arial" w:hAnsi="Arial" w:cs="Arial"/>
          <w:b/>
          <w:sz w:val="24"/>
          <w:szCs w:val="24"/>
          <w:u w:val="single"/>
        </w:rPr>
        <w:t>Redundancy</w:t>
      </w:r>
      <w:r w:rsidRPr="007B76F0">
        <w:rPr>
          <w:rFonts w:ascii="Arial" w:hAnsi="Arial" w:cs="Arial"/>
          <w:b/>
          <w:sz w:val="24"/>
          <w:szCs w:val="24"/>
        </w:rPr>
        <w:t xml:space="preserve"> </w:t>
      </w:r>
      <w:r w:rsidRPr="007B76F0">
        <w:rPr>
          <w:rFonts w:ascii="Arial" w:hAnsi="Arial" w:cs="Arial"/>
          <w:sz w:val="24"/>
          <w:szCs w:val="24"/>
        </w:rPr>
        <w:t xml:space="preserve">can occur when an employer is required to reduce its workforce. Employers must follow a fair process when deciding if or which employees should be made redundant, this may include reviewing employee’s capabilities, disciplinary records and standard of work. Employers cannot discriminate against employees on the basis age, gender, race or disability as this may be viewed as unfair reasons for dismissal through redundancy. The employer should also consider further job opportunities for employees at risk </w:t>
      </w:r>
      <w:r w:rsidRPr="007B76F0">
        <w:rPr>
          <w:rFonts w:ascii="Arial" w:hAnsi="Arial" w:cs="Arial"/>
          <w:sz w:val="24"/>
          <w:szCs w:val="24"/>
        </w:rPr>
        <w:lastRenderedPageBreak/>
        <w:t xml:space="preserve">of redundancy. Employers must follow the correct consultation process before making employees redundant. </w:t>
      </w:r>
    </w:p>
    <w:p w:rsidR="00B71A70" w:rsidRPr="007B76F0" w:rsidRDefault="00B71A70" w:rsidP="00B71A70">
      <w:pPr>
        <w:pStyle w:val="ListParagraph"/>
        <w:rPr>
          <w:rFonts w:ascii="Arial" w:hAnsi="Arial" w:cs="Arial"/>
          <w:sz w:val="24"/>
          <w:szCs w:val="24"/>
        </w:rPr>
      </w:pPr>
    </w:p>
    <w:p w:rsidR="00B71A70" w:rsidRPr="007B76F0" w:rsidRDefault="00B71A70" w:rsidP="00B71A70">
      <w:pPr>
        <w:pStyle w:val="ListParagraph"/>
        <w:numPr>
          <w:ilvl w:val="0"/>
          <w:numId w:val="2"/>
        </w:numPr>
        <w:rPr>
          <w:rFonts w:ascii="Arial" w:hAnsi="Arial" w:cs="Arial"/>
          <w:b/>
          <w:sz w:val="24"/>
          <w:szCs w:val="24"/>
        </w:rPr>
      </w:pPr>
      <w:r w:rsidRPr="007B76F0">
        <w:rPr>
          <w:rFonts w:ascii="Arial" w:hAnsi="Arial" w:cs="Arial"/>
          <w:b/>
          <w:sz w:val="24"/>
          <w:szCs w:val="24"/>
          <w:u w:val="single"/>
        </w:rPr>
        <w:t>Statutory Restriction</w:t>
      </w:r>
      <w:r w:rsidRPr="007B76F0">
        <w:rPr>
          <w:rFonts w:ascii="Arial" w:hAnsi="Arial" w:cs="Arial"/>
          <w:b/>
          <w:sz w:val="24"/>
          <w:szCs w:val="24"/>
        </w:rPr>
        <w:t xml:space="preserve"> </w:t>
      </w:r>
      <w:r w:rsidRPr="007B76F0">
        <w:rPr>
          <w:rFonts w:ascii="Arial" w:hAnsi="Arial" w:cs="Arial"/>
          <w:sz w:val="24"/>
          <w:szCs w:val="24"/>
        </w:rPr>
        <w:t>Although a less common reason for fair dismissal, an employer can dismiss an employee if continuing to employ them is breaking the law. The most obvious example of this is if an employee is employed as a drive</w:t>
      </w:r>
      <w:r w:rsidR="00D824A8" w:rsidRPr="007B76F0">
        <w:rPr>
          <w:rFonts w:ascii="Arial" w:hAnsi="Arial" w:cs="Arial"/>
          <w:sz w:val="24"/>
          <w:szCs w:val="24"/>
        </w:rPr>
        <w:t>r</w:t>
      </w:r>
      <w:r w:rsidRPr="007B76F0">
        <w:rPr>
          <w:rFonts w:ascii="Arial" w:hAnsi="Arial" w:cs="Arial"/>
          <w:sz w:val="24"/>
          <w:szCs w:val="24"/>
        </w:rPr>
        <w:t xml:space="preserve"> but loses their driving license. The employer should consider alternative roles for the employee before resorting to dismissal as a course of action. </w:t>
      </w:r>
    </w:p>
    <w:p w:rsidR="00B71A70" w:rsidRPr="007B76F0" w:rsidRDefault="00B71A70" w:rsidP="00B71A70">
      <w:pPr>
        <w:pStyle w:val="ListParagraph"/>
        <w:rPr>
          <w:rFonts w:ascii="Arial" w:hAnsi="Arial" w:cs="Arial"/>
          <w:b/>
          <w:sz w:val="24"/>
          <w:szCs w:val="24"/>
        </w:rPr>
      </w:pPr>
    </w:p>
    <w:p w:rsidR="00B71A70" w:rsidRPr="007B76F0" w:rsidRDefault="00B71A70" w:rsidP="00B71A70">
      <w:pPr>
        <w:pStyle w:val="ListParagraph"/>
        <w:numPr>
          <w:ilvl w:val="0"/>
          <w:numId w:val="2"/>
        </w:numPr>
        <w:rPr>
          <w:rFonts w:ascii="Arial" w:hAnsi="Arial" w:cs="Arial"/>
          <w:b/>
          <w:sz w:val="24"/>
          <w:szCs w:val="24"/>
          <w:u w:val="single"/>
        </w:rPr>
      </w:pPr>
      <w:r w:rsidRPr="007B76F0">
        <w:rPr>
          <w:rFonts w:ascii="Arial" w:hAnsi="Arial" w:cs="Arial"/>
          <w:b/>
          <w:sz w:val="24"/>
          <w:szCs w:val="24"/>
          <w:u w:val="single"/>
        </w:rPr>
        <w:t>‘Some other substantial reason’</w:t>
      </w:r>
      <w:r w:rsidRPr="007B76F0">
        <w:rPr>
          <w:rFonts w:ascii="Arial" w:hAnsi="Arial" w:cs="Arial"/>
          <w:sz w:val="24"/>
          <w:szCs w:val="24"/>
        </w:rPr>
        <w:t xml:space="preserve"> </w:t>
      </w:r>
      <w:proofErr w:type="gramStart"/>
      <w:r w:rsidRPr="007B76F0">
        <w:rPr>
          <w:rFonts w:ascii="Arial" w:hAnsi="Arial" w:cs="Arial"/>
          <w:sz w:val="24"/>
          <w:szCs w:val="24"/>
        </w:rPr>
        <w:t>This</w:t>
      </w:r>
      <w:proofErr w:type="gramEnd"/>
      <w:r w:rsidRPr="007B76F0">
        <w:rPr>
          <w:rFonts w:ascii="Arial" w:hAnsi="Arial" w:cs="Arial"/>
          <w:sz w:val="24"/>
          <w:szCs w:val="24"/>
        </w:rPr>
        <w:t xml:space="preserve"> applies when the employer has justification for the dismissal of an employer for fair reason other than those outlined above. This is often the case with Fixed Term Appointment contracts. Again, the employer should act reasonably and consider other suitable positions for the employee as there is a risk of an employer’s relying on this clause without just cause.</w:t>
      </w:r>
    </w:p>
    <w:p w:rsidR="00B71A70" w:rsidRPr="007B76F0" w:rsidRDefault="00B71A70" w:rsidP="00B71A70">
      <w:pPr>
        <w:pStyle w:val="ListParagraph"/>
        <w:rPr>
          <w:rFonts w:ascii="Arial" w:hAnsi="Arial" w:cs="Arial"/>
          <w:b/>
          <w:sz w:val="24"/>
          <w:szCs w:val="24"/>
          <w:u w:val="single"/>
        </w:rPr>
      </w:pPr>
    </w:p>
    <w:p w:rsidR="00B71A70" w:rsidRPr="007B76F0" w:rsidRDefault="00B71A70" w:rsidP="00B71A70">
      <w:pPr>
        <w:pStyle w:val="ListParagraph"/>
        <w:rPr>
          <w:rFonts w:ascii="Arial" w:hAnsi="Arial" w:cs="Arial"/>
          <w:b/>
          <w:sz w:val="24"/>
          <w:szCs w:val="24"/>
          <w:u w:val="single"/>
        </w:rPr>
      </w:pPr>
    </w:p>
    <w:p w:rsidR="00B71A70" w:rsidRPr="007B76F0" w:rsidRDefault="00B71A70" w:rsidP="00B71A70">
      <w:pPr>
        <w:pStyle w:val="ListParagraph"/>
        <w:numPr>
          <w:ilvl w:val="0"/>
          <w:numId w:val="12"/>
        </w:numPr>
        <w:rPr>
          <w:rFonts w:ascii="Arial" w:hAnsi="Arial" w:cs="Arial"/>
          <w:b/>
          <w:color w:val="FF0000"/>
          <w:sz w:val="24"/>
          <w:szCs w:val="24"/>
        </w:rPr>
      </w:pPr>
      <w:r w:rsidRPr="007B76F0">
        <w:rPr>
          <w:rFonts w:ascii="Arial" w:hAnsi="Arial" w:cs="Arial"/>
          <w:b/>
          <w:color w:val="FF0000"/>
          <w:sz w:val="24"/>
          <w:szCs w:val="24"/>
        </w:rPr>
        <w:t>Explain using examples the meaning of constructive dismissal of an employee</w:t>
      </w:r>
    </w:p>
    <w:p w:rsidR="00B71A70" w:rsidRPr="007B76F0" w:rsidRDefault="00B71A70" w:rsidP="00B71A70">
      <w:pPr>
        <w:pStyle w:val="ListParagraph"/>
        <w:rPr>
          <w:rFonts w:ascii="Arial" w:hAnsi="Arial" w:cs="Arial"/>
          <w:b/>
          <w:color w:val="FF0000"/>
          <w:sz w:val="24"/>
          <w:szCs w:val="24"/>
        </w:rPr>
      </w:pPr>
    </w:p>
    <w:p w:rsidR="00B71A70" w:rsidRPr="007B76F0" w:rsidRDefault="00B71A70" w:rsidP="00B71A70">
      <w:pPr>
        <w:rPr>
          <w:rFonts w:ascii="Arial" w:hAnsi="Arial" w:cs="Arial"/>
          <w:sz w:val="24"/>
          <w:szCs w:val="24"/>
        </w:rPr>
      </w:pPr>
      <w:r w:rsidRPr="007B76F0">
        <w:rPr>
          <w:rFonts w:ascii="Arial" w:hAnsi="Arial" w:cs="Arial"/>
          <w:b/>
          <w:sz w:val="24"/>
          <w:szCs w:val="24"/>
        </w:rPr>
        <w:t xml:space="preserve">Constructive Dismissal </w:t>
      </w:r>
      <w:r w:rsidRPr="007B76F0">
        <w:rPr>
          <w:rFonts w:ascii="Arial" w:hAnsi="Arial" w:cs="Arial"/>
          <w:sz w:val="24"/>
          <w:szCs w:val="24"/>
        </w:rPr>
        <w:t>is where an Employee terminates their own employment due to breech of employment contract by employer. Section 95 of The Employment Rights Act 1996 defines Constructive Dismissal as when “</w:t>
      </w:r>
      <w:r w:rsidRPr="007B76F0">
        <w:rPr>
          <w:rFonts w:ascii="Arial" w:hAnsi="Arial" w:cs="Arial"/>
          <w:sz w:val="24"/>
          <w:szCs w:val="24"/>
          <w:shd w:val="clear" w:color="auto" w:fill="FFFFFF"/>
        </w:rPr>
        <w:t xml:space="preserve">The employee terminates the contract under which they are employed (with or without notice) in circumstances in which they are entitled to terminate it without notice by reason of the employer's conduct”. This is also known as a “repudiatory breach” of contract. Constructive dismissal therefore gives the employee the right to discharge themselves from contractual obligations and make a claim for potential damages as if they had been unfairly dismissed by their employer.  </w:t>
      </w:r>
    </w:p>
    <w:p w:rsidR="00B71A70" w:rsidRPr="007B76F0" w:rsidRDefault="00B71A70" w:rsidP="00B71A70">
      <w:pPr>
        <w:rPr>
          <w:rFonts w:ascii="Arial" w:hAnsi="Arial" w:cs="Arial"/>
          <w:sz w:val="24"/>
          <w:szCs w:val="24"/>
        </w:rPr>
      </w:pPr>
      <w:r w:rsidRPr="007B76F0">
        <w:rPr>
          <w:rFonts w:ascii="Arial" w:hAnsi="Arial" w:cs="Arial"/>
          <w:sz w:val="24"/>
          <w:szCs w:val="24"/>
          <w:shd w:val="clear" w:color="auto" w:fill="FFFFFF"/>
        </w:rPr>
        <w:t xml:space="preserve">Common </w:t>
      </w:r>
      <w:r w:rsidRPr="007B76F0">
        <w:rPr>
          <w:rFonts w:ascii="Arial" w:hAnsi="Arial" w:cs="Arial"/>
          <w:sz w:val="24"/>
          <w:szCs w:val="24"/>
        </w:rPr>
        <w:t xml:space="preserve">examples of constructive dismissal include – reduced or lack of payment, unlawful demotion, discrimination/harassment and unreasonable changes to working conditions. </w:t>
      </w:r>
    </w:p>
    <w:p w:rsidR="00B71A70" w:rsidRPr="007B76F0" w:rsidRDefault="00B71A70" w:rsidP="00B71A70">
      <w:pPr>
        <w:rPr>
          <w:rFonts w:ascii="Arial" w:hAnsi="Arial" w:cs="Arial"/>
          <w:sz w:val="24"/>
          <w:szCs w:val="24"/>
        </w:rPr>
      </w:pPr>
      <w:r w:rsidRPr="007B76F0">
        <w:rPr>
          <w:rFonts w:ascii="Arial" w:hAnsi="Arial" w:cs="Arial"/>
          <w:sz w:val="24"/>
          <w:szCs w:val="24"/>
        </w:rPr>
        <w:t xml:space="preserve">In the case of </w:t>
      </w:r>
      <w:r w:rsidRPr="007B76F0">
        <w:rPr>
          <w:rFonts w:ascii="Arial" w:hAnsi="Arial" w:cs="Arial"/>
          <w:b/>
          <w:sz w:val="24"/>
          <w:szCs w:val="24"/>
        </w:rPr>
        <w:t xml:space="preserve">Mrs A Fletcher v Countrywide Estate </w:t>
      </w:r>
      <w:r w:rsidR="00D824A8" w:rsidRPr="007B76F0">
        <w:rPr>
          <w:rFonts w:ascii="Arial" w:hAnsi="Arial" w:cs="Arial"/>
          <w:b/>
          <w:sz w:val="24"/>
          <w:szCs w:val="24"/>
        </w:rPr>
        <w:t>Agents (</w:t>
      </w:r>
      <w:r w:rsidRPr="007B76F0">
        <w:rPr>
          <w:rFonts w:ascii="Arial" w:hAnsi="Arial" w:cs="Arial"/>
          <w:b/>
          <w:sz w:val="24"/>
          <w:szCs w:val="24"/>
        </w:rPr>
        <w:t>2016)</w:t>
      </w:r>
      <w:r w:rsidRPr="007B76F0">
        <w:rPr>
          <w:rFonts w:ascii="Arial" w:hAnsi="Arial" w:cs="Arial"/>
          <w:sz w:val="24"/>
          <w:szCs w:val="24"/>
        </w:rPr>
        <w:t xml:space="preserve"> it was found that a lack of communication and management support and was a ‘fundamental breach of contract”. The judge ruled in the claimant’s favour affirming the employees right to terminate the employment contract after her complaints had not been addressed accordingly prior to her resignation. The respondent was later ordered to pay damages as compensation for unfair dismissal. </w:t>
      </w:r>
    </w:p>
    <w:p w:rsidR="000F3862" w:rsidRDefault="000F3862" w:rsidP="00B71A70">
      <w:pPr>
        <w:rPr>
          <w:rFonts w:ascii="Arial" w:hAnsi="Arial" w:cs="Arial"/>
          <w:sz w:val="24"/>
          <w:szCs w:val="24"/>
        </w:rPr>
      </w:pPr>
    </w:p>
    <w:p w:rsidR="001656E2" w:rsidRDefault="001656E2" w:rsidP="00B71A70">
      <w:pPr>
        <w:rPr>
          <w:rFonts w:ascii="Arial" w:hAnsi="Arial" w:cs="Arial"/>
          <w:sz w:val="24"/>
          <w:szCs w:val="24"/>
        </w:rPr>
      </w:pPr>
    </w:p>
    <w:p w:rsidR="001656E2" w:rsidRDefault="001656E2" w:rsidP="00B71A70">
      <w:pPr>
        <w:rPr>
          <w:rFonts w:ascii="Arial" w:hAnsi="Arial" w:cs="Arial"/>
          <w:sz w:val="24"/>
          <w:szCs w:val="24"/>
        </w:rPr>
      </w:pPr>
    </w:p>
    <w:p w:rsidR="001656E2" w:rsidRPr="007B76F0" w:rsidRDefault="001656E2" w:rsidP="00B71A70">
      <w:pPr>
        <w:rPr>
          <w:rFonts w:ascii="Arial" w:hAnsi="Arial" w:cs="Arial"/>
          <w:sz w:val="24"/>
          <w:szCs w:val="24"/>
        </w:rPr>
      </w:pPr>
    </w:p>
    <w:p w:rsidR="00B71A70" w:rsidRPr="007B76F0" w:rsidRDefault="00B71A70" w:rsidP="00B71A70">
      <w:pPr>
        <w:pStyle w:val="ListParagraph"/>
        <w:numPr>
          <w:ilvl w:val="0"/>
          <w:numId w:val="12"/>
        </w:numPr>
        <w:rPr>
          <w:rFonts w:ascii="Arial" w:hAnsi="Arial" w:cs="Arial"/>
          <w:b/>
          <w:color w:val="FF0000"/>
          <w:sz w:val="24"/>
          <w:szCs w:val="24"/>
        </w:rPr>
      </w:pPr>
      <w:r w:rsidRPr="007B76F0">
        <w:rPr>
          <w:rFonts w:ascii="Arial" w:hAnsi="Arial" w:cs="Arial"/>
          <w:b/>
          <w:color w:val="FF0000"/>
          <w:sz w:val="24"/>
          <w:szCs w:val="24"/>
        </w:rPr>
        <w:lastRenderedPageBreak/>
        <w:t>Briefly explain using suitable examples the term ‘Summary Dismissal’</w:t>
      </w:r>
    </w:p>
    <w:p w:rsidR="00B71A70" w:rsidRPr="007B76F0" w:rsidRDefault="00B71A70" w:rsidP="00B71A70">
      <w:pPr>
        <w:rPr>
          <w:rFonts w:ascii="Arial" w:hAnsi="Arial" w:cs="Arial"/>
          <w:sz w:val="24"/>
          <w:szCs w:val="24"/>
          <w:shd w:val="clear" w:color="auto" w:fill="FFFFFF"/>
        </w:rPr>
      </w:pPr>
      <w:r w:rsidRPr="007B76F0">
        <w:rPr>
          <w:rFonts w:ascii="Arial" w:hAnsi="Arial" w:cs="Arial"/>
          <w:sz w:val="24"/>
          <w:szCs w:val="24"/>
          <w:shd w:val="clear" w:color="auto" w:fill="FFFFFF"/>
        </w:rPr>
        <w:t xml:space="preserve">Cases of gross misconduct usually result in Summary Dismissal, which occurs when an employee is dismissed instantly without notice or pay in lieu of notice. Gross misconduct refers to severe instances of misconduct including theft, violence and gross negligence or repeated serious misconduct. The employer must still follow relevant dismissal procedures including holding disciplinary meetings and carrying out a full investigation into the facts. Suspension of duties with full pay should also be considered. If an employee believes a summary dismissal is unfair they should bring a claim to the Employment tribunal in the first instance. Tribunals can rule a </w:t>
      </w:r>
      <w:r w:rsidRPr="007B76F0">
        <w:rPr>
          <w:rFonts w:ascii="Arial" w:hAnsi="Arial" w:cs="Arial"/>
          <w:bCs/>
          <w:sz w:val="24"/>
          <w:szCs w:val="24"/>
          <w:shd w:val="clear" w:color="auto" w:fill="FFFFFF"/>
        </w:rPr>
        <w:t>summary dismissal</w:t>
      </w:r>
      <w:r w:rsidRPr="007B76F0">
        <w:rPr>
          <w:rFonts w:ascii="Arial" w:hAnsi="Arial" w:cs="Arial"/>
          <w:sz w:val="24"/>
          <w:szCs w:val="24"/>
          <w:shd w:val="clear" w:color="auto" w:fill="FFFFFF"/>
        </w:rPr>
        <w:t xml:space="preserve"> as 'procedurally unfair' if the contract of employment does not say the employer can do this. </w:t>
      </w:r>
    </w:p>
    <w:p w:rsidR="00B71A70" w:rsidRPr="007B76F0" w:rsidRDefault="00B71A70" w:rsidP="00B71A70">
      <w:pPr>
        <w:rPr>
          <w:rFonts w:ascii="Arial" w:hAnsi="Arial" w:cs="Arial"/>
          <w:sz w:val="24"/>
          <w:szCs w:val="24"/>
        </w:rPr>
      </w:pPr>
      <w:r w:rsidRPr="007B76F0">
        <w:rPr>
          <w:rFonts w:ascii="Arial" w:hAnsi="Arial" w:cs="Arial"/>
          <w:sz w:val="24"/>
          <w:szCs w:val="24"/>
        </w:rPr>
        <w:t xml:space="preserve">In the case of Graham v The Secretary of state for work and pensions (2012) The Court of Appeal upheld the Employment Tribunal’s view that the employer did not have reasonable grounds to believe that gross misconduct had been committed. The court heard that prior to her summary dismissal Graham was moved to a similar role in a different office after accessing the records of an alleged third party ‘acquaintance’. </w:t>
      </w:r>
    </w:p>
    <w:p w:rsidR="00B71A70" w:rsidRPr="007B76F0" w:rsidRDefault="00B71A70" w:rsidP="00B71A70">
      <w:pPr>
        <w:rPr>
          <w:rFonts w:ascii="Arial" w:hAnsi="Arial" w:cs="Arial"/>
          <w:sz w:val="24"/>
          <w:szCs w:val="24"/>
        </w:rPr>
      </w:pPr>
      <w:r w:rsidRPr="007B76F0">
        <w:rPr>
          <w:rFonts w:ascii="Arial" w:hAnsi="Arial" w:cs="Arial"/>
          <w:sz w:val="24"/>
          <w:szCs w:val="24"/>
        </w:rPr>
        <w:t xml:space="preserve">Although the employer claimed Graham had breached the department’s Standards of Behaviour policy, it was not proven that the belief that gross misconduct had been committed was based on reasonable grounds as per The Burchell test. The fact that Graham was not initially suspended during investigation but allowed to continue employment in a similar role contradicts the employer’s claim that trust and confidence in the employee no longer remained. It is more likely that the conduct of the employee should be considered and addressed as an instance of serious misconduct as per the </w:t>
      </w:r>
      <w:r w:rsidR="00D824A8" w:rsidRPr="007B76F0">
        <w:rPr>
          <w:rFonts w:ascii="Arial" w:hAnsi="Arial" w:cs="Arial"/>
          <w:sz w:val="24"/>
          <w:szCs w:val="24"/>
        </w:rPr>
        <w:t>department’s</w:t>
      </w:r>
      <w:r w:rsidRPr="007B76F0">
        <w:rPr>
          <w:rFonts w:ascii="Arial" w:hAnsi="Arial" w:cs="Arial"/>
          <w:sz w:val="24"/>
          <w:szCs w:val="24"/>
        </w:rPr>
        <w:t xml:space="preserve"> standard of behaviour policy, rather than gross misconduct. This case demonstrates the importance of adhering to relevant company disciplinary procedures with careful consideration of acts misconduct, serious misconduct and gross misconduct to avoid potential unfair dismissal claims. </w:t>
      </w:r>
    </w:p>
    <w:p w:rsidR="00B71A70" w:rsidRPr="007B76F0" w:rsidRDefault="00B71A70" w:rsidP="00B71A70">
      <w:pPr>
        <w:rPr>
          <w:rFonts w:ascii="Arial" w:hAnsi="Arial" w:cs="Arial"/>
          <w:b/>
          <w:color w:val="FF0000"/>
          <w:sz w:val="24"/>
          <w:szCs w:val="24"/>
        </w:rPr>
      </w:pPr>
    </w:p>
    <w:p w:rsidR="00886968" w:rsidRPr="00D518E5" w:rsidRDefault="00886968" w:rsidP="00886968">
      <w:pPr>
        <w:rPr>
          <w:rFonts w:ascii="Arial" w:hAnsi="Arial" w:cs="Arial"/>
          <w:b/>
          <w:color w:val="FF0000"/>
          <w:sz w:val="28"/>
          <w:szCs w:val="28"/>
        </w:rPr>
      </w:pPr>
      <w:r w:rsidRPr="00D518E5">
        <w:rPr>
          <w:rFonts w:ascii="Arial" w:hAnsi="Arial" w:cs="Arial"/>
          <w:b/>
          <w:color w:val="FF0000"/>
          <w:sz w:val="28"/>
          <w:szCs w:val="28"/>
          <w:u w:val="single"/>
        </w:rPr>
        <w:t>Question 2</w:t>
      </w:r>
      <w:r w:rsidRPr="00D518E5">
        <w:rPr>
          <w:rFonts w:ascii="Arial" w:hAnsi="Arial" w:cs="Arial"/>
          <w:b/>
          <w:color w:val="FF0000"/>
          <w:sz w:val="28"/>
          <w:szCs w:val="28"/>
        </w:rPr>
        <w:t xml:space="preserve">. </w:t>
      </w:r>
    </w:p>
    <w:p w:rsidR="00886968" w:rsidRPr="007B76F0" w:rsidRDefault="00886968" w:rsidP="00886968">
      <w:pPr>
        <w:pStyle w:val="ListParagraph"/>
        <w:numPr>
          <w:ilvl w:val="0"/>
          <w:numId w:val="3"/>
        </w:numPr>
        <w:rPr>
          <w:rFonts w:ascii="Arial" w:hAnsi="Arial" w:cs="Arial"/>
          <w:b/>
          <w:color w:val="FF0000"/>
          <w:sz w:val="24"/>
          <w:szCs w:val="24"/>
        </w:rPr>
      </w:pPr>
      <w:r w:rsidRPr="007B76F0">
        <w:rPr>
          <w:rFonts w:ascii="Arial" w:hAnsi="Arial" w:cs="Arial"/>
          <w:b/>
          <w:color w:val="FF0000"/>
          <w:sz w:val="24"/>
          <w:szCs w:val="24"/>
        </w:rPr>
        <w:t xml:space="preserve">How does a partnership differ from a sole trader under company law? </w:t>
      </w:r>
    </w:p>
    <w:p w:rsidR="00886968" w:rsidRDefault="00886968" w:rsidP="00886968">
      <w:pPr>
        <w:rPr>
          <w:rFonts w:ascii="Arial" w:hAnsi="Arial" w:cs="Arial"/>
          <w:b/>
          <w:sz w:val="24"/>
          <w:szCs w:val="24"/>
        </w:rPr>
      </w:pPr>
    </w:p>
    <w:p w:rsidR="00886968" w:rsidRPr="007B76F0" w:rsidRDefault="00886968" w:rsidP="00886968">
      <w:pPr>
        <w:rPr>
          <w:rFonts w:ascii="Arial" w:hAnsi="Arial" w:cs="Arial"/>
          <w:sz w:val="24"/>
          <w:szCs w:val="24"/>
        </w:rPr>
      </w:pPr>
      <w:r w:rsidRPr="007B76F0">
        <w:rPr>
          <w:rFonts w:ascii="Arial" w:hAnsi="Arial" w:cs="Arial"/>
          <w:sz w:val="24"/>
          <w:szCs w:val="24"/>
        </w:rPr>
        <w:t xml:space="preserve">A Sole trader tends to be the most common type of business in the UK and refers to an individual who is the sole proprietor of their business. The main benefits of being a sole trader include being easy to set up, responsibility for all decision making but most importantly reaping the benefits of your hard work by retaining all profits. However, the downside of this is that you are also solely responsible for building your business and its reputation. Should your business fail or you become unable to work, for example due to illness, the business will suffer and potentially come to an end. Sole traders are most likely to be construction industry or </w:t>
      </w:r>
      <w:proofErr w:type="spellStart"/>
      <w:r w:rsidRPr="007B76F0">
        <w:rPr>
          <w:rFonts w:ascii="Arial" w:hAnsi="Arial" w:cs="Arial"/>
          <w:sz w:val="24"/>
          <w:szCs w:val="24"/>
        </w:rPr>
        <w:t>self employed</w:t>
      </w:r>
      <w:proofErr w:type="spellEnd"/>
      <w:r w:rsidRPr="007B76F0">
        <w:rPr>
          <w:rFonts w:ascii="Arial" w:hAnsi="Arial" w:cs="Arial"/>
          <w:sz w:val="24"/>
          <w:szCs w:val="24"/>
        </w:rPr>
        <w:t xml:space="preserve"> workers who are obliged to register with HMRC and to file tax returns to personal </w:t>
      </w:r>
      <w:r w:rsidRPr="007B76F0">
        <w:rPr>
          <w:rFonts w:ascii="Arial" w:hAnsi="Arial" w:cs="Arial"/>
          <w:sz w:val="24"/>
          <w:szCs w:val="24"/>
        </w:rPr>
        <w:lastRenderedPageBreak/>
        <w:t>pay any outstanding tax liabilities.  A sole trader may find it difficult to obtain investment if required and will be personally liable for all debts incurred by the business. In Company Law, sole traders are not separate entities from the business and therefore personal assets can be considered in the recovery of debts if enforcement or legal action is taken.</w:t>
      </w:r>
    </w:p>
    <w:p w:rsidR="00886968" w:rsidRPr="007B76F0" w:rsidRDefault="00886968" w:rsidP="00886968">
      <w:pPr>
        <w:rPr>
          <w:rFonts w:ascii="Arial" w:hAnsi="Arial" w:cs="Arial"/>
          <w:sz w:val="24"/>
          <w:szCs w:val="24"/>
        </w:rPr>
      </w:pPr>
    </w:p>
    <w:p w:rsidR="00886968" w:rsidRPr="007B76F0" w:rsidRDefault="00886968" w:rsidP="00886968">
      <w:pPr>
        <w:rPr>
          <w:rFonts w:ascii="Arial" w:hAnsi="Arial" w:cs="Arial"/>
          <w:sz w:val="24"/>
          <w:szCs w:val="24"/>
        </w:rPr>
      </w:pPr>
      <w:r w:rsidRPr="007B76F0">
        <w:rPr>
          <w:rFonts w:ascii="Arial" w:hAnsi="Arial" w:cs="Arial"/>
          <w:sz w:val="24"/>
          <w:szCs w:val="24"/>
        </w:rPr>
        <w:t xml:space="preserve">Partnerships are another common structure for small </w:t>
      </w:r>
      <w:proofErr w:type="gramStart"/>
      <w:r w:rsidRPr="007B76F0">
        <w:rPr>
          <w:rFonts w:ascii="Arial" w:hAnsi="Arial" w:cs="Arial"/>
          <w:sz w:val="24"/>
          <w:szCs w:val="24"/>
        </w:rPr>
        <w:t>businesses  in</w:t>
      </w:r>
      <w:proofErr w:type="gramEnd"/>
      <w:r w:rsidRPr="007B76F0">
        <w:rPr>
          <w:rFonts w:ascii="Arial" w:hAnsi="Arial" w:cs="Arial"/>
          <w:sz w:val="24"/>
          <w:szCs w:val="24"/>
        </w:rPr>
        <w:t xml:space="preserve"> the UK, particularly businesses offering professional service</w:t>
      </w:r>
      <w:r w:rsidR="001215B9">
        <w:rPr>
          <w:rFonts w:ascii="Arial" w:hAnsi="Arial" w:cs="Arial"/>
          <w:sz w:val="24"/>
          <w:szCs w:val="24"/>
        </w:rPr>
        <w:t xml:space="preserve">s </w:t>
      </w:r>
      <w:r w:rsidRPr="007B76F0">
        <w:rPr>
          <w:rFonts w:ascii="Arial" w:hAnsi="Arial" w:cs="Arial"/>
          <w:sz w:val="24"/>
          <w:szCs w:val="24"/>
        </w:rPr>
        <w:t>tend to have between 2 and 20 people jointly running the business. A partnership is defined in The Partnership Act 1890 as “</w:t>
      </w:r>
      <w:r w:rsidRPr="007B76F0">
        <w:rPr>
          <w:rFonts w:ascii="Arial" w:hAnsi="Arial" w:cs="Arial"/>
          <w:sz w:val="24"/>
          <w:szCs w:val="24"/>
          <w:shd w:val="clear" w:color="auto" w:fill="FFFFFF"/>
        </w:rPr>
        <w:t xml:space="preserve">persons carrying on a </w:t>
      </w:r>
      <w:r w:rsidRPr="007B76F0">
        <w:rPr>
          <w:rFonts w:ascii="Arial" w:hAnsi="Arial" w:cs="Arial"/>
          <w:bCs/>
          <w:sz w:val="24"/>
          <w:szCs w:val="24"/>
          <w:shd w:val="clear" w:color="auto" w:fill="FFFFFF"/>
        </w:rPr>
        <w:t>business in common</w:t>
      </w:r>
      <w:r w:rsidRPr="007B76F0">
        <w:rPr>
          <w:rFonts w:ascii="Arial" w:hAnsi="Arial" w:cs="Arial"/>
          <w:sz w:val="24"/>
          <w:szCs w:val="24"/>
          <w:shd w:val="clear" w:color="auto" w:fill="FFFFFF"/>
        </w:rPr>
        <w:t xml:space="preserve"> with a view of profit”. </w:t>
      </w:r>
      <w:r w:rsidRPr="007B76F0">
        <w:rPr>
          <w:rFonts w:ascii="Arial" w:hAnsi="Arial" w:cs="Arial"/>
          <w:sz w:val="24"/>
          <w:szCs w:val="24"/>
        </w:rPr>
        <w:t>In the UK, partnerships are governed by Partnership Law and therefore have more restrictions and obligations placed upon them compared to a sole trader. The operations of the partnership differ from a sole trader in the fact that they are determined by the partnership agreement and as such individual decision making powers are restricted. One advantage of a partnership is that the business benefits from shared workload and the skills and experience of all partners, however business profits will be shared amongst partners as specified in the Deed of partnership. The partnership itself is not subject to taxation on its income instead each partner is taxed on their share of the profit.</w:t>
      </w:r>
    </w:p>
    <w:p w:rsidR="00886968" w:rsidRPr="007B76F0" w:rsidRDefault="00886968" w:rsidP="00886968">
      <w:pPr>
        <w:rPr>
          <w:rFonts w:ascii="Arial" w:hAnsi="Arial" w:cs="Arial"/>
          <w:sz w:val="24"/>
          <w:szCs w:val="24"/>
        </w:rPr>
      </w:pPr>
      <w:r w:rsidRPr="007B76F0">
        <w:rPr>
          <w:rFonts w:ascii="Arial" w:hAnsi="Arial" w:cs="Arial"/>
          <w:sz w:val="24"/>
          <w:szCs w:val="24"/>
        </w:rPr>
        <w:t xml:space="preserve">One of the main differences to a sole trade is that partnerships can continue to operate in the absence of a partner say due to illness but if a partner elects to leave the partnership it will dissolve unless all remaining partners agree to continue. </w:t>
      </w:r>
      <w:bookmarkStart w:id="0" w:name="_GoBack"/>
      <w:bookmarkEnd w:id="0"/>
      <w:r w:rsidRPr="007B76F0">
        <w:rPr>
          <w:rFonts w:ascii="Arial" w:hAnsi="Arial" w:cs="Arial"/>
          <w:sz w:val="24"/>
          <w:szCs w:val="24"/>
        </w:rPr>
        <w:t xml:space="preserve">Partners also have the right to force the sale of assets and dissolve the partnership. </w:t>
      </w:r>
    </w:p>
    <w:p w:rsidR="00886968" w:rsidRDefault="00886968" w:rsidP="00886968">
      <w:pPr>
        <w:rPr>
          <w:rFonts w:ascii="Arial" w:hAnsi="Arial" w:cs="Arial"/>
          <w:sz w:val="24"/>
          <w:szCs w:val="24"/>
        </w:rPr>
      </w:pPr>
      <w:r w:rsidRPr="007B76F0">
        <w:rPr>
          <w:rFonts w:ascii="Arial" w:hAnsi="Arial" w:cs="Arial"/>
          <w:sz w:val="24"/>
          <w:szCs w:val="24"/>
        </w:rPr>
        <w:t xml:space="preserve">Like a sole trader, a partnership is not defined as a separate legal entity from its owners under Company Law and therefore partners are jointly liable to for the debts of the business. That being said, there are different types of partner which can determine </w:t>
      </w:r>
      <w:proofErr w:type="spellStart"/>
      <w:r w:rsidRPr="007B76F0">
        <w:rPr>
          <w:rFonts w:ascii="Arial" w:hAnsi="Arial" w:cs="Arial"/>
          <w:sz w:val="24"/>
          <w:szCs w:val="24"/>
        </w:rPr>
        <w:t>liablty</w:t>
      </w:r>
      <w:proofErr w:type="spellEnd"/>
      <w:r w:rsidRPr="007B76F0">
        <w:rPr>
          <w:rFonts w:ascii="Arial" w:hAnsi="Arial" w:cs="Arial"/>
          <w:sz w:val="24"/>
          <w:szCs w:val="24"/>
        </w:rPr>
        <w:t xml:space="preserve">. General partners are wholly liable for business debts whereas the liability of Limited Partners is restricted to the amount of capital invested. In some partnerships, a partner may be liable for the debt of others if there are insufficient assets to recover. </w:t>
      </w:r>
    </w:p>
    <w:p w:rsidR="001656E2" w:rsidRPr="007B76F0" w:rsidRDefault="001656E2" w:rsidP="00886968">
      <w:pPr>
        <w:rPr>
          <w:rFonts w:ascii="Arial" w:hAnsi="Arial" w:cs="Arial"/>
          <w:sz w:val="24"/>
          <w:szCs w:val="24"/>
        </w:rPr>
      </w:pPr>
    </w:p>
    <w:p w:rsidR="00886968" w:rsidRPr="00D518E5" w:rsidRDefault="00886968" w:rsidP="00886968">
      <w:pPr>
        <w:pStyle w:val="ListParagraph"/>
        <w:numPr>
          <w:ilvl w:val="0"/>
          <w:numId w:val="3"/>
        </w:numPr>
        <w:rPr>
          <w:rFonts w:ascii="Arial" w:hAnsi="Arial" w:cs="Arial"/>
          <w:b/>
          <w:color w:val="FF0000"/>
          <w:sz w:val="24"/>
          <w:szCs w:val="24"/>
        </w:rPr>
      </w:pPr>
      <w:r w:rsidRPr="00D518E5">
        <w:rPr>
          <w:rFonts w:ascii="Arial" w:hAnsi="Arial" w:cs="Arial"/>
          <w:b/>
          <w:color w:val="FF0000"/>
          <w:sz w:val="24"/>
          <w:szCs w:val="24"/>
        </w:rPr>
        <w:t xml:space="preserve">Discuss the method of setting up a company, including what it is called and the documents that must be created for this </w:t>
      </w:r>
    </w:p>
    <w:p w:rsidR="00886968" w:rsidRPr="00D518E5" w:rsidRDefault="00886968" w:rsidP="00886968">
      <w:pPr>
        <w:pStyle w:val="ListParagraph"/>
        <w:rPr>
          <w:rFonts w:ascii="Arial" w:hAnsi="Arial" w:cs="Arial"/>
          <w:b/>
          <w:color w:val="FF0000"/>
          <w:sz w:val="24"/>
          <w:szCs w:val="24"/>
        </w:rPr>
      </w:pPr>
    </w:p>
    <w:p w:rsidR="00886968" w:rsidRPr="007B76F0" w:rsidRDefault="00886968" w:rsidP="00886968">
      <w:pPr>
        <w:rPr>
          <w:rFonts w:ascii="Arial" w:hAnsi="Arial" w:cs="Arial"/>
          <w:sz w:val="24"/>
          <w:szCs w:val="24"/>
        </w:rPr>
      </w:pPr>
      <w:r w:rsidRPr="007B76F0">
        <w:rPr>
          <w:rFonts w:ascii="Arial" w:hAnsi="Arial" w:cs="Arial"/>
          <w:b/>
          <w:sz w:val="24"/>
          <w:szCs w:val="24"/>
        </w:rPr>
        <w:t xml:space="preserve">Incorporation </w:t>
      </w:r>
      <w:r w:rsidRPr="007B76F0">
        <w:rPr>
          <w:rFonts w:ascii="Arial" w:hAnsi="Arial" w:cs="Arial"/>
          <w:sz w:val="24"/>
          <w:szCs w:val="24"/>
        </w:rPr>
        <w:t xml:space="preserve">refers to the legal process by which a business becomes a company or corporate legal entity, separate from its owners. In Company Law there are two types of legal personality; ‘Natural’ persons are the human beings/people who run the company and ‘Artificial’ persons or </w:t>
      </w:r>
      <w:proofErr w:type="spellStart"/>
      <w:r w:rsidRPr="007B76F0">
        <w:rPr>
          <w:rFonts w:ascii="Arial" w:hAnsi="Arial" w:cs="Arial"/>
          <w:sz w:val="24"/>
          <w:szCs w:val="24"/>
        </w:rPr>
        <w:t>Juridicial</w:t>
      </w:r>
      <w:proofErr w:type="spellEnd"/>
      <w:r w:rsidRPr="007B76F0">
        <w:rPr>
          <w:rFonts w:ascii="Arial" w:hAnsi="Arial" w:cs="Arial"/>
          <w:sz w:val="24"/>
          <w:szCs w:val="24"/>
        </w:rPr>
        <w:t xml:space="preserve"> persons which are the corporation / business. </w:t>
      </w:r>
    </w:p>
    <w:p w:rsidR="00886968" w:rsidRPr="007B76F0" w:rsidRDefault="00886968" w:rsidP="00886968">
      <w:pPr>
        <w:rPr>
          <w:rFonts w:ascii="Arial" w:hAnsi="Arial" w:cs="Arial"/>
          <w:sz w:val="24"/>
          <w:szCs w:val="24"/>
        </w:rPr>
      </w:pPr>
      <w:r w:rsidRPr="007B76F0">
        <w:rPr>
          <w:rFonts w:ascii="Arial" w:hAnsi="Arial" w:cs="Arial"/>
          <w:sz w:val="24"/>
          <w:szCs w:val="24"/>
        </w:rPr>
        <w:t>Companies need to be incorporated in accordance with the law and Companies Act 2006 to become a legal entity in its own right.</w:t>
      </w:r>
    </w:p>
    <w:p w:rsidR="00886968" w:rsidRPr="007B76F0" w:rsidRDefault="00886968" w:rsidP="00886968">
      <w:pPr>
        <w:rPr>
          <w:rFonts w:ascii="Arial" w:hAnsi="Arial" w:cs="Arial"/>
          <w:sz w:val="24"/>
          <w:szCs w:val="24"/>
        </w:rPr>
      </w:pPr>
      <w:r w:rsidRPr="007B76F0">
        <w:rPr>
          <w:rFonts w:ascii="Arial" w:hAnsi="Arial" w:cs="Arial"/>
          <w:sz w:val="24"/>
          <w:szCs w:val="24"/>
        </w:rPr>
        <w:t>There are several stages to the incorporation process</w:t>
      </w:r>
      <w:r w:rsidRPr="007B76F0">
        <w:rPr>
          <w:rFonts w:ascii="Arial" w:hAnsi="Arial" w:cs="Arial"/>
          <w:color w:val="FF0000"/>
          <w:sz w:val="24"/>
          <w:szCs w:val="24"/>
        </w:rPr>
        <w:t xml:space="preserve"> </w:t>
      </w:r>
      <w:r w:rsidRPr="007B76F0">
        <w:rPr>
          <w:rFonts w:ascii="Arial" w:hAnsi="Arial" w:cs="Arial"/>
          <w:sz w:val="24"/>
          <w:szCs w:val="24"/>
        </w:rPr>
        <w:t>which are outlined below:</w:t>
      </w:r>
    </w:p>
    <w:p w:rsidR="00886968" w:rsidRPr="007B76F0" w:rsidRDefault="00886968" w:rsidP="00886968">
      <w:pPr>
        <w:pStyle w:val="ListParagraph"/>
        <w:numPr>
          <w:ilvl w:val="0"/>
          <w:numId w:val="15"/>
        </w:numPr>
        <w:rPr>
          <w:rFonts w:ascii="Arial" w:hAnsi="Arial" w:cs="Arial"/>
          <w:b/>
          <w:sz w:val="24"/>
          <w:szCs w:val="24"/>
        </w:rPr>
      </w:pPr>
      <w:r w:rsidRPr="007B76F0">
        <w:rPr>
          <w:rFonts w:ascii="Arial" w:hAnsi="Arial" w:cs="Arial"/>
          <w:b/>
          <w:sz w:val="24"/>
          <w:szCs w:val="24"/>
        </w:rPr>
        <w:lastRenderedPageBreak/>
        <w:t xml:space="preserve">Select a name </w:t>
      </w:r>
      <w:r w:rsidRPr="007B76F0">
        <w:rPr>
          <w:rFonts w:ascii="Arial" w:hAnsi="Arial" w:cs="Arial"/>
          <w:sz w:val="24"/>
          <w:szCs w:val="24"/>
        </w:rPr>
        <w:t xml:space="preserve">– It is important to choose an effective name that highlights the nature of your business and reaches your target audience. There are rules surrounding choice of business name including trademarks, same names and offensive names. </w:t>
      </w:r>
    </w:p>
    <w:p w:rsidR="00886968" w:rsidRPr="007B76F0" w:rsidRDefault="00886968" w:rsidP="00886968">
      <w:pPr>
        <w:pStyle w:val="ListParagraph"/>
        <w:numPr>
          <w:ilvl w:val="0"/>
          <w:numId w:val="15"/>
        </w:numPr>
        <w:rPr>
          <w:rFonts w:ascii="Arial" w:hAnsi="Arial" w:cs="Arial"/>
          <w:b/>
          <w:sz w:val="24"/>
          <w:szCs w:val="24"/>
        </w:rPr>
      </w:pPr>
      <w:r w:rsidRPr="007B76F0">
        <w:rPr>
          <w:rFonts w:ascii="Arial" w:hAnsi="Arial" w:cs="Arial"/>
          <w:b/>
          <w:sz w:val="24"/>
          <w:szCs w:val="24"/>
        </w:rPr>
        <w:t xml:space="preserve">Company Address </w:t>
      </w:r>
      <w:r w:rsidRPr="007B76F0">
        <w:rPr>
          <w:rFonts w:ascii="Arial" w:hAnsi="Arial" w:cs="Arial"/>
          <w:sz w:val="24"/>
          <w:szCs w:val="24"/>
        </w:rPr>
        <w:t>– This is the location of your head office or registered which doesn’t need to be the same as your trading address. Companies may consider factors such as costs, corporate law and taxation when deciding on their business address.</w:t>
      </w:r>
    </w:p>
    <w:p w:rsidR="00886968" w:rsidRPr="007B76F0" w:rsidRDefault="00886968" w:rsidP="00886968">
      <w:pPr>
        <w:pStyle w:val="ListParagraph"/>
        <w:numPr>
          <w:ilvl w:val="0"/>
          <w:numId w:val="15"/>
        </w:numPr>
        <w:rPr>
          <w:rFonts w:ascii="Arial" w:hAnsi="Arial" w:cs="Arial"/>
          <w:b/>
          <w:sz w:val="24"/>
          <w:szCs w:val="24"/>
        </w:rPr>
      </w:pPr>
      <w:r w:rsidRPr="007B76F0">
        <w:rPr>
          <w:rFonts w:ascii="Arial" w:hAnsi="Arial" w:cs="Arial"/>
          <w:b/>
          <w:sz w:val="24"/>
          <w:szCs w:val="24"/>
        </w:rPr>
        <w:t xml:space="preserve">Appointing company directors </w:t>
      </w:r>
      <w:r w:rsidRPr="007B76F0">
        <w:rPr>
          <w:rFonts w:ascii="Arial" w:hAnsi="Arial" w:cs="Arial"/>
          <w:sz w:val="24"/>
          <w:szCs w:val="24"/>
        </w:rPr>
        <w:t>– There must be a minimum of one director who is effectively responsible for the running of the company which includes ensuring the business is operating as per the Articles of Association and adhering to Corporate and Tax laws.</w:t>
      </w:r>
    </w:p>
    <w:p w:rsidR="00886968" w:rsidRPr="007B76F0" w:rsidRDefault="00886968" w:rsidP="00886968">
      <w:pPr>
        <w:pStyle w:val="ListParagraph"/>
        <w:numPr>
          <w:ilvl w:val="0"/>
          <w:numId w:val="15"/>
        </w:numPr>
        <w:rPr>
          <w:rFonts w:ascii="Arial" w:hAnsi="Arial" w:cs="Arial"/>
          <w:b/>
          <w:sz w:val="24"/>
          <w:szCs w:val="24"/>
        </w:rPr>
      </w:pPr>
      <w:r w:rsidRPr="007B76F0">
        <w:rPr>
          <w:rFonts w:ascii="Arial" w:hAnsi="Arial" w:cs="Arial"/>
          <w:b/>
          <w:sz w:val="24"/>
          <w:szCs w:val="24"/>
        </w:rPr>
        <w:t xml:space="preserve">Shareholders Agreement </w:t>
      </w:r>
      <w:r w:rsidRPr="007B76F0">
        <w:rPr>
          <w:rFonts w:ascii="Arial" w:hAnsi="Arial" w:cs="Arial"/>
          <w:sz w:val="24"/>
          <w:szCs w:val="24"/>
        </w:rPr>
        <w:t xml:space="preserve">– Again there must be a minimum of one shareholder which may be a director but there is no limit on the number of shareholders. Shareholders have certain rights and obligations and must agree on how the company operates as per the Shareholders agreement. A company limited by shares restricts liability of its shareholders and this document regulates the sale of any shares. Shares in private companies cannot be sold to the public. </w:t>
      </w:r>
    </w:p>
    <w:p w:rsidR="00886968" w:rsidRPr="007B76F0" w:rsidRDefault="00886968" w:rsidP="00886968">
      <w:pPr>
        <w:pStyle w:val="ListParagraph"/>
        <w:numPr>
          <w:ilvl w:val="0"/>
          <w:numId w:val="15"/>
        </w:numPr>
        <w:rPr>
          <w:rFonts w:ascii="Arial" w:hAnsi="Arial" w:cs="Arial"/>
          <w:b/>
          <w:sz w:val="24"/>
          <w:szCs w:val="24"/>
        </w:rPr>
      </w:pPr>
      <w:r w:rsidRPr="007B76F0">
        <w:rPr>
          <w:rFonts w:ascii="Arial" w:hAnsi="Arial" w:cs="Arial"/>
          <w:b/>
          <w:sz w:val="24"/>
          <w:szCs w:val="24"/>
        </w:rPr>
        <w:t xml:space="preserve">Statement of Capital </w:t>
      </w:r>
      <w:r w:rsidRPr="007B76F0">
        <w:rPr>
          <w:rFonts w:ascii="Arial" w:hAnsi="Arial" w:cs="Arial"/>
          <w:sz w:val="24"/>
          <w:szCs w:val="24"/>
        </w:rPr>
        <w:t>– Is a statement detailing the share capital issued by a private limited company at a given time and include the total number and value of shares as well as the rights attached to the shares.</w:t>
      </w:r>
    </w:p>
    <w:p w:rsidR="00886968" w:rsidRPr="007B76F0" w:rsidRDefault="00886968" w:rsidP="00886968">
      <w:pPr>
        <w:pStyle w:val="ListParagraph"/>
        <w:numPr>
          <w:ilvl w:val="0"/>
          <w:numId w:val="15"/>
        </w:numPr>
        <w:rPr>
          <w:rFonts w:ascii="Arial" w:hAnsi="Arial" w:cs="Arial"/>
          <w:b/>
          <w:sz w:val="24"/>
          <w:szCs w:val="24"/>
        </w:rPr>
      </w:pPr>
      <w:r w:rsidRPr="007B76F0">
        <w:rPr>
          <w:rFonts w:ascii="Arial" w:hAnsi="Arial" w:cs="Arial"/>
          <w:b/>
          <w:sz w:val="24"/>
          <w:szCs w:val="24"/>
        </w:rPr>
        <w:t xml:space="preserve">Register company </w:t>
      </w:r>
      <w:r w:rsidRPr="007B76F0">
        <w:rPr>
          <w:rFonts w:ascii="Arial" w:hAnsi="Arial" w:cs="Arial"/>
          <w:sz w:val="24"/>
          <w:szCs w:val="24"/>
        </w:rPr>
        <w:t>– As well as registering your company with Companies House you will also need to register for relevant taxes and duties including Corporation tax.</w:t>
      </w:r>
    </w:p>
    <w:p w:rsidR="00886968" w:rsidRPr="007B76F0" w:rsidRDefault="00886968" w:rsidP="00886968">
      <w:pPr>
        <w:rPr>
          <w:rFonts w:ascii="Arial" w:hAnsi="Arial" w:cs="Arial"/>
          <w:sz w:val="24"/>
          <w:szCs w:val="24"/>
        </w:rPr>
      </w:pPr>
      <w:r w:rsidRPr="007B76F0">
        <w:rPr>
          <w:rFonts w:ascii="Arial" w:hAnsi="Arial" w:cs="Arial"/>
          <w:sz w:val="24"/>
          <w:szCs w:val="24"/>
        </w:rPr>
        <w:t>There are also two essential documents that must be prepared when incorporating your business:</w:t>
      </w:r>
    </w:p>
    <w:p w:rsidR="00886968" w:rsidRPr="007B76F0" w:rsidRDefault="00886968" w:rsidP="00886968">
      <w:pPr>
        <w:rPr>
          <w:rFonts w:ascii="Arial" w:hAnsi="Arial" w:cs="Arial"/>
          <w:sz w:val="24"/>
          <w:szCs w:val="24"/>
        </w:rPr>
      </w:pPr>
      <w:r w:rsidRPr="007B76F0">
        <w:rPr>
          <w:rFonts w:ascii="Arial" w:hAnsi="Arial" w:cs="Arial"/>
          <w:b/>
          <w:sz w:val="24"/>
          <w:szCs w:val="24"/>
        </w:rPr>
        <w:t xml:space="preserve">Memorandum of Association (MOA) </w:t>
      </w:r>
      <w:r w:rsidRPr="007B76F0">
        <w:rPr>
          <w:rFonts w:ascii="Arial" w:hAnsi="Arial" w:cs="Arial"/>
          <w:sz w:val="24"/>
          <w:szCs w:val="24"/>
        </w:rPr>
        <w:t>is a legal statement</w:t>
      </w:r>
      <w:r w:rsidRPr="007B76F0">
        <w:rPr>
          <w:rFonts w:ascii="Arial" w:hAnsi="Arial" w:cs="Arial"/>
          <w:b/>
          <w:sz w:val="24"/>
          <w:szCs w:val="24"/>
        </w:rPr>
        <w:t xml:space="preserve"> </w:t>
      </w:r>
      <w:r w:rsidRPr="007B76F0">
        <w:rPr>
          <w:rFonts w:ascii="Arial" w:hAnsi="Arial" w:cs="Arial"/>
          <w:sz w:val="24"/>
          <w:szCs w:val="24"/>
        </w:rPr>
        <w:t xml:space="preserve">prepared during the incorporation process which outlines the wish to set up a company, along with details regarding the formation and structure with agreement from all those involved. The Memorandum must be presented in a set format authenticated by each subscriber and cannot be amended as your application to Companies House will be rejected. </w:t>
      </w:r>
      <w:r w:rsidRPr="007B76F0">
        <w:rPr>
          <w:rFonts w:ascii="Arial" w:hAnsi="Arial" w:cs="Arial"/>
          <w:b/>
          <w:sz w:val="24"/>
          <w:szCs w:val="24"/>
        </w:rPr>
        <w:t xml:space="preserve"> </w:t>
      </w:r>
    </w:p>
    <w:p w:rsidR="00886968" w:rsidRPr="007B76F0" w:rsidRDefault="00886968" w:rsidP="00886968">
      <w:pPr>
        <w:rPr>
          <w:rFonts w:ascii="Arial" w:hAnsi="Arial" w:cs="Arial"/>
          <w:color w:val="222222"/>
          <w:sz w:val="24"/>
          <w:szCs w:val="24"/>
          <w:shd w:val="clear" w:color="auto" w:fill="FFFFFF"/>
        </w:rPr>
      </w:pPr>
      <w:r w:rsidRPr="007B76F0">
        <w:rPr>
          <w:rFonts w:ascii="Arial" w:hAnsi="Arial" w:cs="Arial"/>
          <w:b/>
          <w:color w:val="222222"/>
          <w:sz w:val="24"/>
          <w:szCs w:val="24"/>
          <w:shd w:val="clear" w:color="auto" w:fill="FFFFFF"/>
        </w:rPr>
        <w:t>Articles of A</w:t>
      </w:r>
      <w:r w:rsidRPr="007B76F0">
        <w:rPr>
          <w:rFonts w:ascii="Arial" w:hAnsi="Arial" w:cs="Arial"/>
          <w:b/>
          <w:bCs/>
          <w:color w:val="222222"/>
          <w:sz w:val="24"/>
          <w:szCs w:val="24"/>
          <w:shd w:val="clear" w:color="auto" w:fill="FFFFFF"/>
        </w:rPr>
        <w:t>ssociation</w:t>
      </w:r>
      <w:r w:rsidRPr="007B76F0">
        <w:rPr>
          <w:rFonts w:ascii="Arial" w:hAnsi="Arial" w:cs="Arial"/>
          <w:b/>
          <w:color w:val="222222"/>
          <w:sz w:val="24"/>
          <w:szCs w:val="24"/>
          <w:shd w:val="clear" w:color="auto" w:fill="FFFFFF"/>
        </w:rPr>
        <w:t xml:space="preserve"> </w:t>
      </w:r>
      <w:r w:rsidRPr="007B76F0">
        <w:rPr>
          <w:rFonts w:ascii="Arial" w:hAnsi="Arial" w:cs="Arial"/>
          <w:color w:val="222222"/>
          <w:sz w:val="24"/>
          <w:szCs w:val="24"/>
          <w:shd w:val="clear" w:color="auto" w:fill="FFFFFF"/>
        </w:rPr>
        <w:t xml:space="preserve">is a document stipulating the operational procedures and ownership of a company. As well as outlining the purpose of the company, articles of association also include details regarding share capital, member’s liability and decision making, shareholder’s agreements and company powers. The Articles essentially act as an internal manual governing the rules by which the company will operate, on condition that the rules do not break the law. Unless restrictions are included within the Articles, a company is given unlimited power by default under the Companies Act 2006. There is no set format and model articles are available for the company to use. Amendments to model articles must be sent to Companies House for approval before the incorporation process can be completed as well as any changes made following incorporation. </w:t>
      </w:r>
    </w:p>
    <w:p w:rsidR="00886968" w:rsidRPr="007B76F0" w:rsidRDefault="00886968" w:rsidP="00886968">
      <w:pPr>
        <w:rPr>
          <w:rFonts w:ascii="Arial" w:hAnsi="Arial" w:cs="Arial"/>
          <w:b/>
          <w:bCs/>
          <w:color w:val="222222"/>
          <w:sz w:val="24"/>
          <w:szCs w:val="24"/>
          <w:shd w:val="clear" w:color="auto" w:fill="FFFFFF"/>
        </w:rPr>
      </w:pPr>
      <w:r w:rsidRPr="007B76F0">
        <w:rPr>
          <w:rFonts w:ascii="Arial" w:hAnsi="Arial" w:cs="Arial"/>
          <w:color w:val="222222"/>
          <w:sz w:val="24"/>
          <w:szCs w:val="24"/>
          <w:shd w:val="clear" w:color="auto" w:fill="FFFFFF"/>
        </w:rPr>
        <w:lastRenderedPageBreak/>
        <w:t xml:space="preserve">Memorandum and Articles of Association are required by all UK companies registered with Companies House and governed by The </w:t>
      </w:r>
      <w:r w:rsidRPr="007B76F0">
        <w:rPr>
          <w:rFonts w:ascii="Arial" w:hAnsi="Arial" w:cs="Arial"/>
          <w:bCs/>
          <w:color w:val="222222"/>
          <w:sz w:val="24"/>
          <w:szCs w:val="24"/>
          <w:shd w:val="clear" w:color="auto" w:fill="FFFFFF"/>
        </w:rPr>
        <w:t>Companies Act 2006. This Act</w:t>
      </w:r>
      <w:r w:rsidRPr="007B76F0">
        <w:rPr>
          <w:rFonts w:ascii="Arial" w:hAnsi="Arial" w:cs="Arial"/>
          <w:b/>
          <w:bCs/>
          <w:color w:val="222222"/>
          <w:sz w:val="24"/>
          <w:szCs w:val="24"/>
          <w:shd w:val="clear" w:color="auto" w:fill="FFFFFF"/>
        </w:rPr>
        <w:t xml:space="preserve"> </w:t>
      </w:r>
      <w:r w:rsidRPr="007B76F0">
        <w:rPr>
          <w:rFonts w:ascii="Arial" w:hAnsi="Arial" w:cs="Arial"/>
          <w:bCs/>
          <w:color w:val="222222"/>
          <w:sz w:val="24"/>
          <w:szCs w:val="24"/>
          <w:shd w:val="clear" w:color="auto" w:fill="FFFFFF"/>
        </w:rPr>
        <w:t>provides the</w:t>
      </w:r>
      <w:r w:rsidRPr="007B76F0">
        <w:rPr>
          <w:rFonts w:ascii="Arial" w:hAnsi="Arial" w:cs="Arial"/>
          <w:b/>
          <w:bCs/>
          <w:color w:val="222222"/>
          <w:sz w:val="24"/>
          <w:szCs w:val="24"/>
          <w:shd w:val="clear" w:color="auto" w:fill="FFFFFF"/>
        </w:rPr>
        <w:t xml:space="preserve"> </w:t>
      </w:r>
      <w:r w:rsidRPr="007B76F0">
        <w:rPr>
          <w:rFonts w:ascii="Arial" w:hAnsi="Arial" w:cs="Arial"/>
          <w:bCs/>
          <w:color w:val="222222"/>
          <w:sz w:val="24"/>
          <w:szCs w:val="24"/>
          <w:shd w:val="clear" w:color="auto" w:fill="FFFFFF"/>
        </w:rPr>
        <w:t xml:space="preserve">foundation for UK Company Law, providing legal code regarding director’s duties and obligations. A certificate of incorporation is issued to confirm a company is properly registered in accordance with The Companies Act 2006. </w:t>
      </w:r>
    </w:p>
    <w:p w:rsidR="00886968" w:rsidRDefault="00886968">
      <w:pPr>
        <w:rPr>
          <w:rFonts w:ascii="Arial" w:hAnsi="Arial" w:cs="Arial"/>
          <w:b/>
          <w:color w:val="FF0000"/>
          <w:sz w:val="28"/>
          <w:szCs w:val="28"/>
          <w:u w:val="single"/>
        </w:rPr>
      </w:pPr>
    </w:p>
    <w:p w:rsidR="0045684D" w:rsidRPr="00D518E5" w:rsidRDefault="00B33933">
      <w:pPr>
        <w:rPr>
          <w:rFonts w:ascii="Arial" w:hAnsi="Arial" w:cs="Arial"/>
          <w:b/>
          <w:color w:val="FF0000"/>
          <w:sz w:val="28"/>
          <w:szCs w:val="28"/>
          <w:u w:val="single"/>
        </w:rPr>
      </w:pPr>
      <w:r w:rsidRPr="00D518E5">
        <w:rPr>
          <w:rFonts w:ascii="Arial" w:hAnsi="Arial" w:cs="Arial"/>
          <w:b/>
          <w:color w:val="FF0000"/>
          <w:sz w:val="28"/>
          <w:szCs w:val="28"/>
          <w:u w:val="single"/>
        </w:rPr>
        <w:t>Question 6</w:t>
      </w:r>
      <w:r w:rsidR="00D92904" w:rsidRPr="00D518E5">
        <w:rPr>
          <w:rFonts w:ascii="Arial" w:hAnsi="Arial" w:cs="Arial"/>
          <w:b/>
          <w:color w:val="FF0000"/>
          <w:sz w:val="28"/>
          <w:szCs w:val="28"/>
          <w:u w:val="single"/>
        </w:rPr>
        <w:t>.</w:t>
      </w:r>
      <w:r w:rsidRPr="00D518E5">
        <w:rPr>
          <w:rFonts w:ascii="Arial" w:hAnsi="Arial" w:cs="Arial"/>
          <w:b/>
          <w:color w:val="FF0000"/>
          <w:sz w:val="28"/>
          <w:szCs w:val="28"/>
          <w:u w:val="single"/>
        </w:rPr>
        <w:t xml:space="preserve"> </w:t>
      </w:r>
    </w:p>
    <w:p w:rsidR="0045684D" w:rsidRPr="007B76F0" w:rsidRDefault="0045684D" w:rsidP="0045684D">
      <w:pPr>
        <w:pStyle w:val="ListParagraph"/>
        <w:numPr>
          <w:ilvl w:val="0"/>
          <w:numId w:val="1"/>
        </w:numPr>
        <w:rPr>
          <w:rFonts w:ascii="Arial" w:hAnsi="Arial" w:cs="Arial"/>
          <w:b/>
          <w:color w:val="FF0000"/>
          <w:sz w:val="24"/>
          <w:szCs w:val="24"/>
        </w:rPr>
      </w:pPr>
      <w:r w:rsidRPr="007B76F0">
        <w:rPr>
          <w:rFonts w:ascii="Arial" w:hAnsi="Arial" w:cs="Arial"/>
          <w:b/>
          <w:color w:val="FF0000"/>
          <w:sz w:val="24"/>
          <w:szCs w:val="24"/>
        </w:rPr>
        <w:t xml:space="preserve">State the difference between a fixture and chattel in property law. </w:t>
      </w:r>
    </w:p>
    <w:p w:rsidR="0045684D" w:rsidRPr="007B76F0" w:rsidRDefault="0045684D" w:rsidP="0045684D">
      <w:pPr>
        <w:rPr>
          <w:rFonts w:ascii="Arial" w:hAnsi="Arial" w:cs="Arial"/>
          <w:sz w:val="24"/>
          <w:szCs w:val="24"/>
        </w:rPr>
      </w:pPr>
    </w:p>
    <w:p w:rsidR="00BD1FAB" w:rsidRPr="007B76F0" w:rsidRDefault="0045684D" w:rsidP="0045684D">
      <w:pPr>
        <w:rPr>
          <w:rFonts w:ascii="Arial" w:hAnsi="Arial" w:cs="Arial"/>
          <w:sz w:val="24"/>
          <w:szCs w:val="24"/>
        </w:rPr>
      </w:pPr>
      <w:r w:rsidRPr="007B76F0">
        <w:rPr>
          <w:rFonts w:ascii="Arial" w:hAnsi="Arial" w:cs="Arial"/>
          <w:sz w:val="24"/>
          <w:szCs w:val="24"/>
        </w:rPr>
        <w:t xml:space="preserve">Chattels are items of personal </w:t>
      </w:r>
      <w:r w:rsidR="00BD1FAB" w:rsidRPr="007B76F0">
        <w:rPr>
          <w:rFonts w:ascii="Arial" w:hAnsi="Arial" w:cs="Arial"/>
          <w:sz w:val="24"/>
          <w:szCs w:val="24"/>
        </w:rPr>
        <w:t xml:space="preserve">property, when chattels become fixed to land they become fixtures. Fixtures will always belong to the property or land, whereas chattels can belong to others and be removed. The sale of a property or land will include all fixtures. These cannot be removed. Chattels can be removed and will remain with the original owner. </w:t>
      </w:r>
    </w:p>
    <w:p w:rsidR="00CA4454" w:rsidRPr="007B76F0" w:rsidRDefault="00BD1FAB" w:rsidP="0045684D">
      <w:pPr>
        <w:rPr>
          <w:rFonts w:ascii="Arial" w:hAnsi="Arial" w:cs="Arial"/>
          <w:sz w:val="24"/>
          <w:szCs w:val="24"/>
        </w:rPr>
      </w:pPr>
      <w:r w:rsidRPr="007B76F0">
        <w:rPr>
          <w:rFonts w:ascii="Arial" w:hAnsi="Arial" w:cs="Arial"/>
          <w:sz w:val="24"/>
          <w:szCs w:val="24"/>
        </w:rPr>
        <w:t xml:space="preserve">To determine </w:t>
      </w:r>
      <w:r w:rsidR="00B33933" w:rsidRPr="007B76F0">
        <w:rPr>
          <w:rFonts w:ascii="Arial" w:hAnsi="Arial" w:cs="Arial"/>
          <w:sz w:val="24"/>
          <w:szCs w:val="24"/>
        </w:rPr>
        <w:t>whether</w:t>
      </w:r>
      <w:r w:rsidRPr="007B76F0">
        <w:rPr>
          <w:rFonts w:ascii="Arial" w:hAnsi="Arial" w:cs="Arial"/>
          <w:sz w:val="24"/>
          <w:szCs w:val="24"/>
        </w:rPr>
        <w:t xml:space="preserve"> items are a fixture or chattels will be decided </w:t>
      </w:r>
      <w:r w:rsidR="00B33933" w:rsidRPr="007B76F0">
        <w:rPr>
          <w:rFonts w:ascii="Arial" w:hAnsi="Arial" w:cs="Arial"/>
          <w:sz w:val="24"/>
          <w:szCs w:val="24"/>
        </w:rPr>
        <w:t>though t</w:t>
      </w:r>
      <w:r w:rsidRPr="007B76F0">
        <w:rPr>
          <w:rFonts w:ascii="Arial" w:hAnsi="Arial" w:cs="Arial"/>
          <w:sz w:val="24"/>
          <w:szCs w:val="24"/>
        </w:rPr>
        <w:t>he 2 stage test. The degree of annexat</w:t>
      </w:r>
      <w:r w:rsidR="00CA4454" w:rsidRPr="007B76F0">
        <w:rPr>
          <w:rFonts w:ascii="Arial" w:hAnsi="Arial" w:cs="Arial"/>
          <w:sz w:val="24"/>
          <w:szCs w:val="24"/>
        </w:rPr>
        <w:t xml:space="preserve">ion and purpose of annexation. This can be shown in Leigh v Taylor (1902) </w:t>
      </w:r>
    </w:p>
    <w:p w:rsidR="00CA4454" w:rsidRPr="007B76F0" w:rsidRDefault="00CA4454" w:rsidP="0045684D">
      <w:pPr>
        <w:rPr>
          <w:rFonts w:ascii="Arial" w:hAnsi="Arial" w:cs="Arial"/>
          <w:sz w:val="24"/>
          <w:szCs w:val="24"/>
        </w:rPr>
      </w:pPr>
      <w:r w:rsidRPr="007B76F0">
        <w:rPr>
          <w:rFonts w:ascii="Arial" w:hAnsi="Arial" w:cs="Arial"/>
          <w:sz w:val="24"/>
          <w:szCs w:val="24"/>
        </w:rPr>
        <w:t xml:space="preserve">It is also important to know if items are fixtures or chattels is when a tenant attaches his own items to the property as per Hobson v Gorringe (1897) the items would now transfer to the landlord and the tenant will not be entitled to remove the items.  </w:t>
      </w:r>
    </w:p>
    <w:p w:rsidR="0045684D" w:rsidRPr="007B76F0" w:rsidRDefault="0045684D" w:rsidP="0045684D">
      <w:pPr>
        <w:rPr>
          <w:rFonts w:ascii="Arial" w:hAnsi="Arial" w:cs="Arial"/>
          <w:sz w:val="24"/>
          <w:szCs w:val="24"/>
        </w:rPr>
      </w:pPr>
    </w:p>
    <w:p w:rsidR="0045684D" w:rsidRPr="007B76F0" w:rsidRDefault="0045684D" w:rsidP="0045684D">
      <w:pPr>
        <w:pStyle w:val="ListParagraph"/>
        <w:numPr>
          <w:ilvl w:val="0"/>
          <w:numId w:val="1"/>
        </w:numPr>
        <w:rPr>
          <w:rFonts w:ascii="Arial" w:hAnsi="Arial" w:cs="Arial"/>
          <w:b/>
          <w:color w:val="FF0000"/>
          <w:sz w:val="24"/>
          <w:szCs w:val="24"/>
        </w:rPr>
      </w:pPr>
      <w:r w:rsidRPr="007B76F0">
        <w:rPr>
          <w:rFonts w:ascii="Arial" w:hAnsi="Arial" w:cs="Arial"/>
          <w:b/>
          <w:color w:val="FF0000"/>
          <w:sz w:val="24"/>
          <w:szCs w:val="24"/>
        </w:rPr>
        <w:t>Describe the 5 recognised inte</w:t>
      </w:r>
      <w:r w:rsidR="00CA4454" w:rsidRPr="007B76F0">
        <w:rPr>
          <w:rFonts w:ascii="Arial" w:hAnsi="Arial" w:cs="Arial"/>
          <w:b/>
          <w:color w:val="FF0000"/>
          <w:sz w:val="24"/>
          <w:szCs w:val="24"/>
        </w:rPr>
        <w:t>r</w:t>
      </w:r>
      <w:r w:rsidRPr="007B76F0">
        <w:rPr>
          <w:rFonts w:ascii="Arial" w:hAnsi="Arial" w:cs="Arial"/>
          <w:b/>
          <w:color w:val="FF0000"/>
          <w:sz w:val="24"/>
          <w:szCs w:val="24"/>
        </w:rPr>
        <w:t xml:space="preserve">ests in land, according to the Law of Property Act 1925. </w:t>
      </w:r>
    </w:p>
    <w:p w:rsidR="00CA4454" w:rsidRPr="007B76F0" w:rsidRDefault="00CA4454" w:rsidP="00CA4454">
      <w:pPr>
        <w:rPr>
          <w:rFonts w:ascii="Arial" w:hAnsi="Arial" w:cs="Arial"/>
          <w:sz w:val="24"/>
          <w:szCs w:val="24"/>
        </w:rPr>
      </w:pPr>
    </w:p>
    <w:p w:rsidR="00CA4454" w:rsidRPr="007B76F0" w:rsidRDefault="00CA4454" w:rsidP="00A8552F">
      <w:pPr>
        <w:rPr>
          <w:rFonts w:ascii="Arial" w:hAnsi="Arial" w:cs="Arial"/>
          <w:sz w:val="24"/>
          <w:szCs w:val="24"/>
        </w:rPr>
      </w:pPr>
      <w:r w:rsidRPr="007B76F0">
        <w:rPr>
          <w:rFonts w:ascii="Arial" w:hAnsi="Arial" w:cs="Arial"/>
          <w:sz w:val="24"/>
          <w:szCs w:val="24"/>
        </w:rPr>
        <w:t>The 5 interest in land are:</w:t>
      </w:r>
    </w:p>
    <w:p w:rsidR="00034410" w:rsidRPr="007B76F0" w:rsidRDefault="00CA4454" w:rsidP="00034410">
      <w:pPr>
        <w:rPr>
          <w:rFonts w:ascii="Arial" w:hAnsi="Arial" w:cs="Arial"/>
          <w:sz w:val="24"/>
          <w:szCs w:val="24"/>
        </w:rPr>
      </w:pPr>
      <w:r w:rsidRPr="007B76F0">
        <w:rPr>
          <w:rFonts w:ascii="Arial" w:hAnsi="Arial" w:cs="Arial"/>
          <w:sz w:val="24"/>
          <w:szCs w:val="24"/>
        </w:rPr>
        <w:t xml:space="preserve">Easements </w:t>
      </w:r>
      <w:r w:rsidR="00823551" w:rsidRPr="007B76F0">
        <w:rPr>
          <w:rFonts w:ascii="Arial" w:hAnsi="Arial" w:cs="Arial"/>
          <w:sz w:val="24"/>
          <w:szCs w:val="24"/>
        </w:rPr>
        <w:t xml:space="preserve">– Are legal rights to give authority to do something over </w:t>
      </w:r>
      <w:r w:rsidR="00B33933" w:rsidRPr="007B76F0">
        <w:rPr>
          <w:rFonts w:ascii="Arial" w:hAnsi="Arial" w:cs="Arial"/>
          <w:sz w:val="24"/>
          <w:szCs w:val="24"/>
        </w:rPr>
        <w:t>another person’s</w:t>
      </w:r>
      <w:r w:rsidR="00823551" w:rsidRPr="007B76F0">
        <w:rPr>
          <w:rFonts w:ascii="Arial" w:hAnsi="Arial" w:cs="Arial"/>
          <w:sz w:val="24"/>
          <w:szCs w:val="24"/>
        </w:rPr>
        <w:t xml:space="preserve"> land. For example an owner of a property may have the right to walk over his/hers </w:t>
      </w:r>
      <w:r w:rsidR="00B33933" w:rsidRPr="007B76F0">
        <w:rPr>
          <w:rFonts w:ascii="Arial" w:hAnsi="Arial" w:cs="Arial"/>
          <w:sz w:val="24"/>
          <w:szCs w:val="24"/>
        </w:rPr>
        <w:t>neighbouring</w:t>
      </w:r>
      <w:r w:rsidR="00823551" w:rsidRPr="007B76F0">
        <w:rPr>
          <w:rFonts w:ascii="Arial" w:hAnsi="Arial" w:cs="Arial"/>
          <w:sz w:val="24"/>
          <w:szCs w:val="24"/>
        </w:rPr>
        <w:t xml:space="preserve"> land, or drive or a private road to </w:t>
      </w:r>
      <w:r w:rsidR="00B33933" w:rsidRPr="007B76F0">
        <w:rPr>
          <w:rFonts w:ascii="Arial" w:hAnsi="Arial" w:cs="Arial"/>
          <w:sz w:val="24"/>
          <w:szCs w:val="24"/>
        </w:rPr>
        <w:t>access</w:t>
      </w:r>
      <w:r w:rsidR="00823551" w:rsidRPr="007B76F0">
        <w:rPr>
          <w:rFonts w:ascii="Arial" w:hAnsi="Arial" w:cs="Arial"/>
          <w:sz w:val="24"/>
          <w:szCs w:val="24"/>
        </w:rPr>
        <w:t xml:space="preserve"> </w:t>
      </w:r>
      <w:r w:rsidR="00B33933" w:rsidRPr="007B76F0">
        <w:rPr>
          <w:rFonts w:ascii="Arial" w:hAnsi="Arial" w:cs="Arial"/>
          <w:sz w:val="24"/>
          <w:szCs w:val="24"/>
        </w:rPr>
        <w:t>their</w:t>
      </w:r>
      <w:r w:rsidR="00823551" w:rsidRPr="007B76F0">
        <w:rPr>
          <w:rFonts w:ascii="Arial" w:hAnsi="Arial" w:cs="Arial"/>
          <w:sz w:val="24"/>
          <w:szCs w:val="24"/>
        </w:rPr>
        <w:t xml:space="preserve"> property. </w:t>
      </w:r>
      <w:r w:rsidR="00B33933" w:rsidRPr="007B76F0">
        <w:rPr>
          <w:rFonts w:ascii="Arial" w:hAnsi="Arial" w:cs="Arial"/>
          <w:sz w:val="24"/>
          <w:szCs w:val="24"/>
        </w:rPr>
        <w:t>Further</w:t>
      </w:r>
      <w:r w:rsidR="00823551" w:rsidRPr="007B76F0">
        <w:rPr>
          <w:rFonts w:ascii="Arial" w:hAnsi="Arial" w:cs="Arial"/>
          <w:sz w:val="24"/>
          <w:szCs w:val="24"/>
        </w:rPr>
        <w:t xml:space="preserve"> easements may also </w:t>
      </w:r>
      <w:r w:rsidR="00B33933" w:rsidRPr="007B76F0">
        <w:rPr>
          <w:rFonts w:ascii="Arial" w:hAnsi="Arial" w:cs="Arial"/>
          <w:sz w:val="24"/>
          <w:szCs w:val="24"/>
        </w:rPr>
        <w:t>include</w:t>
      </w:r>
      <w:r w:rsidR="00823551" w:rsidRPr="007B76F0">
        <w:rPr>
          <w:rFonts w:ascii="Arial" w:hAnsi="Arial" w:cs="Arial"/>
          <w:sz w:val="24"/>
          <w:szCs w:val="24"/>
        </w:rPr>
        <w:t xml:space="preserve"> a right for storage, the right of water or drainage. </w:t>
      </w:r>
      <w:r w:rsidR="00034410" w:rsidRPr="007B76F0">
        <w:rPr>
          <w:rFonts w:ascii="Arial" w:hAnsi="Arial" w:cs="Arial"/>
          <w:sz w:val="24"/>
          <w:szCs w:val="24"/>
        </w:rPr>
        <w:t>Easements are said to “run with the land”, this me</w:t>
      </w:r>
      <w:r w:rsidR="00B33933" w:rsidRPr="007B76F0">
        <w:rPr>
          <w:rFonts w:ascii="Arial" w:hAnsi="Arial" w:cs="Arial"/>
          <w:sz w:val="24"/>
          <w:szCs w:val="24"/>
        </w:rPr>
        <w:t>ans that it cannot be sold separately</w:t>
      </w:r>
      <w:r w:rsidR="00034410" w:rsidRPr="007B76F0">
        <w:rPr>
          <w:rFonts w:ascii="Arial" w:hAnsi="Arial" w:cs="Arial"/>
          <w:sz w:val="24"/>
          <w:szCs w:val="24"/>
        </w:rPr>
        <w:t xml:space="preserve"> and must be passed on with the sale of the property or land combined. </w:t>
      </w:r>
    </w:p>
    <w:p w:rsidR="00CA4454" w:rsidRPr="007B76F0" w:rsidRDefault="00034410" w:rsidP="000B611C">
      <w:pPr>
        <w:pStyle w:val="ListParagraph"/>
        <w:numPr>
          <w:ilvl w:val="0"/>
          <w:numId w:val="4"/>
        </w:numPr>
        <w:rPr>
          <w:rFonts w:ascii="Arial" w:hAnsi="Arial" w:cs="Arial"/>
          <w:sz w:val="24"/>
          <w:szCs w:val="24"/>
        </w:rPr>
      </w:pPr>
      <w:r w:rsidRPr="007B76F0">
        <w:rPr>
          <w:rFonts w:ascii="Arial" w:hAnsi="Arial" w:cs="Arial"/>
          <w:sz w:val="24"/>
          <w:szCs w:val="24"/>
        </w:rPr>
        <w:t xml:space="preserve">There are four </w:t>
      </w:r>
      <w:r w:rsidR="00B33933" w:rsidRPr="007B76F0">
        <w:rPr>
          <w:rFonts w:ascii="Arial" w:hAnsi="Arial" w:cs="Arial"/>
          <w:sz w:val="24"/>
          <w:szCs w:val="24"/>
        </w:rPr>
        <w:t>requirements</w:t>
      </w:r>
      <w:r w:rsidRPr="007B76F0">
        <w:rPr>
          <w:rFonts w:ascii="Arial" w:hAnsi="Arial" w:cs="Arial"/>
          <w:sz w:val="24"/>
          <w:szCs w:val="24"/>
        </w:rPr>
        <w:t xml:space="preserve"> for that relate to easements:</w:t>
      </w:r>
    </w:p>
    <w:p w:rsidR="00034410" w:rsidRPr="007B76F0" w:rsidRDefault="00034410" w:rsidP="000B611C">
      <w:pPr>
        <w:pStyle w:val="ListParagraph"/>
        <w:numPr>
          <w:ilvl w:val="0"/>
          <w:numId w:val="4"/>
        </w:numPr>
        <w:rPr>
          <w:rFonts w:ascii="Arial" w:hAnsi="Arial" w:cs="Arial"/>
          <w:sz w:val="24"/>
          <w:szCs w:val="24"/>
        </w:rPr>
      </w:pPr>
      <w:r w:rsidRPr="007B76F0">
        <w:rPr>
          <w:rFonts w:ascii="Arial" w:hAnsi="Arial" w:cs="Arial"/>
          <w:sz w:val="24"/>
          <w:szCs w:val="24"/>
        </w:rPr>
        <w:t xml:space="preserve">There must be a dominant and a </w:t>
      </w:r>
      <w:r w:rsidR="00B33933" w:rsidRPr="007B76F0">
        <w:rPr>
          <w:rFonts w:ascii="Arial" w:hAnsi="Arial" w:cs="Arial"/>
          <w:sz w:val="24"/>
          <w:szCs w:val="24"/>
        </w:rPr>
        <w:t>servant</w:t>
      </w:r>
      <w:r w:rsidRPr="007B76F0">
        <w:rPr>
          <w:rFonts w:ascii="Arial" w:hAnsi="Arial" w:cs="Arial"/>
          <w:sz w:val="24"/>
          <w:szCs w:val="24"/>
        </w:rPr>
        <w:t xml:space="preserve"> tenement</w:t>
      </w:r>
    </w:p>
    <w:p w:rsidR="00034410" w:rsidRPr="007B76F0" w:rsidRDefault="00034410" w:rsidP="000B611C">
      <w:pPr>
        <w:pStyle w:val="ListParagraph"/>
        <w:numPr>
          <w:ilvl w:val="0"/>
          <w:numId w:val="4"/>
        </w:numPr>
        <w:rPr>
          <w:rFonts w:ascii="Arial" w:hAnsi="Arial" w:cs="Arial"/>
          <w:sz w:val="24"/>
          <w:szCs w:val="24"/>
        </w:rPr>
      </w:pPr>
      <w:r w:rsidRPr="007B76F0">
        <w:rPr>
          <w:rFonts w:ascii="Arial" w:hAnsi="Arial" w:cs="Arial"/>
          <w:sz w:val="24"/>
          <w:szCs w:val="24"/>
        </w:rPr>
        <w:t xml:space="preserve">The easement must accommodate the dominant tenement </w:t>
      </w:r>
    </w:p>
    <w:p w:rsidR="00034410" w:rsidRPr="007B76F0" w:rsidRDefault="00034410" w:rsidP="000B611C">
      <w:pPr>
        <w:pStyle w:val="ListParagraph"/>
        <w:numPr>
          <w:ilvl w:val="0"/>
          <w:numId w:val="4"/>
        </w:numPr>
        <w:rPr>
          <w:rFonts w:ascii="Arial" w:hAnsi="Arial" w:cs="Arial"/>
          <w:sz w:val="24"/>
          <w:szCs w:val="24"/>
        </w:rPr>
      </w:pPr>
      <w:r w:rsidRPr="007B76F0">
        <w:rPr>
          <w:rFonts w:ascii="Arial" w:hAnsi="Arial" w:cs="Arial"/>
          <w:sz w:val="24"/>
          <w:szCs w:val="24"/>
        </w:rPr>
        <w:t xml:space="preserve">The dominant and servient tenement must be </w:t>
      </w:r>
      <w:r w:rsidR="00B33933" w:rsidRPr="007B76F0">
        <w:rPr>
          <w:rFonts w:ascii="Arial" w:hAnsi="Arial" w:cs="Arial"/>
          <w:sz w:val="24"/>
          <w:szCs w:val="24"/>
        </w:rPr>
        <w:t>owned? Occupied</w:t>
      </w:r>
      <w:r w:rsidRPr="007B76F0">
        <w:rPr>
          <w:rFonts w:ascii="Arial" w:hAnsi="Arial" w:cs="Arial"/>
          <w:sz w:val="24"/>
          <w:szCs w:val="24"/>
        </w:rPr>
        <w:t xml:space="preserve"> by separate persons</w:t>
      </w:r>
    </w:p>
    <w:p w:rsidR="00034410" w:rsidRPr="007B76F0" w:rsidRDefault="00034410" w:rsidP="000B611C">
      <w:pPr>
        <w:pStyle w:val="ListParagraph"/>
        <w:numPr>
          <w:ilvl w:val="0"/>
          <w:numId w:val="4"/>
        </w:numPr>
        <w:rPr>
          <w:rFonts w:ascii="Arial" w:hAnsi="Arial" w:cs="Arial"/>
          <w:sz w:val="24"/>
          <w:szCs w:val="24"/>
        </w:rPr>
      </w:pPr>
      <w:r w:rsidRPr="007B76F0">
        <w:rPr>
          <w:rFonts w:ascii="Arial" w:hAnsi="Arial" w:cs="Arial"/>
          <w:sz w:val="24"/>
          <w:szCs w:val="24"/>
        </w:rPr>
        <w:t xml:space="preserve">The right must be capable of being granted by deed </w:t>
      </w:r>
    </w:p>
    <w:p w:rsidR="00823551" w:rsidRPr="007B76F0" w:rsidRDefault="00B33933" w:rsidP="00CA4454">
      <w:pPr>
        <w:rPr>
          <w:rFonts w:ascii="Arial" w:hAnsi="Arial" w:cs="Arial"/>
          <w:sz w:val="24"/>
          <w:szCs w:val="24"/>
        </w:rPr>
      </w:pPr>
      <w:r w:rsidRPr="007B76F0">
        <w:rPr>
          <w:rFonts w:ascii="Arial" w:hAnsi="Arial" w:cs="Arial"/>
          <w:sz w:val="24"/>
          <w:szCs w:val="24"/>
        </w:rPr>
        <w:lastRenderedPageBreak/>
        <w:t>Similar</w:t>
      </w:r>
      <w:r w:rsidR="00823551" w:rsidRPr="007B76F0">
        <w:rPr>
          <w:rFonts w:ascii="Arial" w:hAnsi="Arial" w:cs="Arial"/>
          <w:sz w:val="24"/>
          <w:szCs w:val="24"/>
        </w:rPr>
        <w:t xml:space="preserve"> to easements are </w:t>
      </w:r>
      <w:r w:rsidR="00823551" w:rsidRPr="007B76F0">
        <w:rPr>
          <w:rFonts w:ascii="Arial" w:hAnsi="Arial" w:cs="Arial"/>
          <w:i/>
          <w:sz w:val="24"/>
          <w:szCs w:val="24"/>
        </w:rPr>
        <w:t>Profits a Prendre</w:t>
      </w:r>
      <w:r w:rsidR="00823551" w:rsidRPr="007B76F0">
        <w:rPr>
          <w:rFonts w:ascii="Arial" w:hAnsi="Arial" w:cs="Arial"/>
          <w:sz w:val="24"/>
          <w:szCs w:val="24"/>
        </w:rPr>
        <w:t xml:space="preserve">. This will allow the rights to take something from the land that belongs to another owner. For example the right to chop wood on another property or the right to minerals. </w:t>
      </w:r>
    </w:p>
    <w:p w:rsidR="00034410" w:rsidRPr="007B76F0" w:rsidRDefault="00034410" w:rsidP="00CA4454">
      <w:pPr>
        <w:rPr>
          <w:rFonts w:ascii="Arial" w:hAnsi="Arial" w:cs="Arial"/>
          <w:sz w:val="24"/>
          <w:szCs w:val="24"/>
        </w:rPr>
      </w:pPr>
    </w:p>
    <w:p w:rsidR="00CA4454" w:rsidRPr="007B76F0" w:rsidRDefault="00CA4454" w:rsidP="00CA4454">
      <w:pPr>
        <w:rPr>
          <w:rFonts w:ascii="Arial" w:hAnsi="Arial" w:cs="Arial"/>
          <w:sz w:val="24"/>
          <w:szCs w:val="24"/>
        </w:rPr>
      </w:pPr>
      <w:r w:rsidRPr="007B76F0">
        <w:rPr>
          <w:rFonts w:ascii="Arial" w:hAnsi="Arial" w:cs="Arial"/>
          <w:sz w:val="24"/>
          <w:szCs w:val="24"/>
        </w:rPr>
        <w:t>Rent</w:t>
      </w:r>
      <w:r w:rsidR="00034410" w:rsidRPr="007B76F0">
        <w:rPr>
          <w:rFonts w:ascii="Arial" w:hAnsi="Arial" w:cs="Arial"/>
          <w:sz w:val="24"/>
          <w:szCs w:val="24"/>
        </w:rPr>
        <w:t xml:space="preserve">charges - A rent charge is an arrangement where a property or land is charged with the payment to someone. Payments can be arranged monthly, annually or as a periodic sum, this will depend on the agreements. </w:t>
      </w:r>
      <w:r w:rsidR="00111038" w:rsidRPr="007B76F0">
        <w:rPr>
          <w:rFonts w:ascii="Arial" w:hAnsi="Arial" w:cs="Arial"/>
          <w:sz w:val="24"/>
          <w:szCs w:val="24"/>
        </w:rPr>
        <w:t>I</w:t>
      </w:r>
      <w:r w:rsidR="005E3635" w:rsidRPr="007B76F0">
        <w:rPr>
          <w:rFonts w:ascii="Arial" w:hAnsi="Arial" w:cs="Arial"/>
          <w:sz w:val="24"/>
          <w:szCs w:val="24"/>
        </w:rPr>
        <w:t>f</w:t>
      </w:r>
      <w:r w:rsidR="00111038" w:rsidRPr="007B76F0">
        <w:rPr>
          <w:rFonts w:ascii="Arial" w:hAnsi="Arial" w:cs="Arial"/>
          <w:sz w:val="24"/>
          <w:szCs w:val="24"/>
        </w:rPr>
        <w:t xml:space="preserve"> </w:t>
      </w:r>
      <w:r w:rsidR="005E3635" w:rsidRPr="007B76F0">
        <w:rPr>
          <w:rFonts w:ascii="Arial" w:hAnsi="Arial" w:cs="Arial"/>
          <w:sz w:val="24"/>
          <w:szCs w:val="24"/>
        </w:rPr>
        <w:t xml:space="preserve">outstanding debts are not paid the person with the benefit of the rent will have the authority to enter the land and enforce payment. Rentcharge is not the same as a tenancy agreement or rent paid. Rent charges act 1977 came into place to prevent creation of any new rent charges and if any </w:t>
      </w:r>
      <w:r w:rsidR="00B33933" w:rsidRPr="007B76F0">
        <w:rPr>
          <w:rFonts w:ascii="Arial" w:hAnsi="Arial" w:cs="Arial"/>
          <w:sz w:val="24"/>
          <w:szCs w:val="24"/>
        </w:rPr>
        <w:t>existing</w:t>
      </w:r>
      <w:r w:rsidR="005E3635" w:rsidRPr="007B76F0">
        <w:rPr>
          <w:rFonts w:ascii="Arial" w:hAnsi="Arial" w:cs="Arial"/>
          <w:sz w:val="24"/>
          <w:szCs w:val="24"/>
        </w:rPr>
        <w:t xml:space="preserve"> rent charges are to end 60 years after the act came into force. This also gave the owner of the charged land the right to redeem rent charges.</w:t>
      </w:r>
    </w:p>
    <w:p w:rsidR="005E3635" w:rsidRPr="007B76F0" w:rsidRDefault="005E3635" w:rsidP="00CA4454">
      <w:pPr>
        <w:rPr>
          <w:rFonts w:ascii="Arial" w:hAnsi="Arial" w:cs="Arial"/>
          <w:sz w:val="24"/>
          <w:szCs w:val="24"/>
        </w:rPr>
      </w:pPr>
    </w:p>
    <w:p w:rsidR="005E3635" w:rsidRPr="007B76F0" w:rsidRDefault="00B33933" w:rsidP="00CA4454">
      <w:pPr>
        <w:rPr>
          <w:rFonts w:ascii="Arial" w:hAnsi="Arial" w:cs="Arial"/>
          <w:sz w:val="24"/>
          <w:szCs w:val="24"/>
        </w:rPr>
      </w:pPr>
      <w:r w:rsidRPr="007B76F0">
        <w:rPr>
          <w:rFonts w:ascii="Arial" w:hAnsi="Arial" w:cs="Arial"/>
          <w:sz w:val="24"/>
          <w:szCs w:val="24"/>
        </w:rPr>
        <w:t>Mortgage</w:t>
      </w:r>
      <w:r w:rsidR="005E3635" w:rsidRPr="007B76F0">
        <w:rPr>
          <w:rFonts w:ascii="Arial" w:hAnsi="Arial" w:cs="Arial"/>
          <w:sz w:val="24"/>
          <w:szCs w:val="24"/>
        </w:rPr>
        <w:t xml:space="preserve"> </w:t>
      </w:r>
      <w:r w:rsidR="00D824A8" w:rsidRPr="007B76F0">
        <w:rPr>
          <w:rFonts w:ascii="Arial" w:hAnsi="Arial" w:cs="Arial"/>
          <w:sz w:val="24"/>
          <w:szCs w:val="24"/>
        </w:rPr>
        <w:t>– A</w:t>
      </w:r>
      <w:r w:rsidR="005E3635" w:rsidRPr="007B76F0">
        <w:rPr>
          <w:rFonts w:ascii="Arial" w:hAnsi="Arial" w:cs="Arial"/>
          <w:sz w:val="24"/>
          <w:szCs w:val="24"/>
        </w:rPr>
        <w:t xml:space="preserve"> </w:t>
      </w:r>
      <w:r w:rsidRPr="007B76F0">
        <w:rPr>
          <w:rFonts w:ascii="Arial" w:hAnsi="Arial" w:cs="Arial"/>
          <w:sz w:val="24"/>
          <w:szCs w:val="24"/>
        </w:rPr>
        <w:t>mortgage</w:t>
      </w:r>
      <w:r w:rsidR="005E3635" w:rsidRPr="007B76F0">
        <w:rPr>
          <w:rFonts w:ascii="Arial" w:hAnsi="Arial" w:cs="Arial"/>
          <w:sz w:val="24"/>
          <w:szCs w:val="24"/>
        </w:rPr>
        <w:t xml:space="preserve"> is a legal agreement where a person or persons will have an </w:t>
      </w:r>
      <w:r w:rsidRPr="007B76F0">
        <w:rPr>
          <w:rFonts w:ascii="Arial" w:hAnsi="Arial" w:cs="Arial"/>
          <w:sz w:val="24"/>
          <w:szCs w:val="24"/>
        </w:rPr>
        <w:t>agreement</w:t>
      </w:r>
      <w:r w:rsidR="005E3635" w:rsidRPr="007B76F0">
        <w:rPr>
          <w:rFonts w:ascii="Arial" w:hAnsi="Arial" w:cs="Arial"/>
          <w:sz w:val="24"/>
          <w:szCs w:val="24"/>
        </w:rPr>
        <w:t xml:space="preserve"> with a bank or building society to lend mon</w:t>
      </w:r>
      <w:r w:rsidR="00B55B11" w:rsidRPr="007B76F0">
        <w:rPr>
          <w:rFonts w:ascii="Arial" w:hAnsi="Arial" w:cs="Arial"/>
          <w:sz w:val="24"/>
          <w:szCs w:val="24"/>
        </w:rPr>
        <w:t xml:space="preserve">ey. The money lent will include interest in exchange for taking title of a property.  </w:t>
      </w:r>
    </w:p>
    <w:p w:rsidR="005E3635" w:rsidRPr="007B76F0" w:rsidRDefault="005E3635" w:rsidP="00CA4454">
      <w:pPr>
        <w:rPr>
          <w:rFonts w:ascii="Arial" w:hAnsi="Arial" w:cs="Arial"/>
          <w:sz w:val="24"/>
          <w:szCs w:val="24"/>
        </w:rPr>
      </w:pPr>
    </w:p>
    <w:p w:rsidR="00CA4454" w:rsidRPr="007B76F0" w:rsidRDefault="00CA4454" w:rsidP="00CA4454">
      <w:pPr>
        <w:rPr>
          <w:rFonts w:ascii="Arial" w:hAnsi="Arial" w:cs="Arial"/>
          <w:sz w:val="24"/>
          <w:szCs w:val="24"/>
        </w:rPr>
      </w:pPr>
      <w:r w:rsidRPr="007B76F0">
        <w:rPr>
          <w:rFonts w:ascii="Arial" w:hAnsi="Arial" w:cs="Arial"/>
          <w:sz w:val="24"/>
          <w:szCs w:val="24"/>
        </w:rPr>
        <w:t xml:space="preserve">Rights of entry </w:t>
      </w:r>
      <w:r w:rsidR="00B55B11" w:rsidRPr="007B76F0">
        <w:rPr>
          <w:rFonts w:ascii="Arial" w:hAnsi="Arial" w:cs="Arial"/>
          <w:sz w:val="24"/>
          <w:szCs w:val="24"/>
        </w:rPr>
        <w:t xml:space="preserve">– </w:t>
      </w:r>
      <w:r w:rsidR="00B33933" w:rsidRPr="007B76F0">
        <w:rPr>
          <w:rFonts w:ascii="Arial" w:hAnsi="Arial" w:cs="Arial"/>
          <w:sz w:val="24"/>
          <w:szCs w:val="24"/>
        </w:rPr>
        <w:t>Refers</w:t>
      </w:r>
      <w:r w:rsidR="00B55B11" w:rsidRPr="007B76F0">
        <w:rPr>
          <w:rFonts w:ascii="Arial" w:hAnsi="Arial" w:cs="Arial"/>
          <w:sz w:val="24"/>
          <w:szCs w:val="24"/>
        </w:rPr>
        <w:t xml:space="preserve"> the rights for landlords to enter the property or land in which they own. Rights of entry include entry within leases or annexed to rent charges. This will normally be included in a lease or clause which will allow the landlord to recover, or enter the property should the tenant be in breach of any of his obligations. </w:t>
      </w:r>
      <w:r w:rsidR="00B33933" w:rsidRPr="007B76F0">
        <w:rPr>
          <w:rFonts w:ascii="Arial" w:hAnsi="Arial" w:cs="Arial"/>
          <w:sz w:val="24"/>
          <w:szCs w:val="24"/>
        </w:rPr>
        <w:t>This</w:t>
      </w:r>
      <w:r w:rsidR="00B55B11" w:rsidRPr="007B76F0">
        <w:rPr>
          <w:rFonts w:ascii="Arial" w:hAnsi="Arial" w:cs="Arial"/>
          <w:sz w:val="24"/>
          <w:szCs w:val="24"/>
        </w:rPr>
        <w:t xml:space="preserve"> is a legal right and forms part of a legal interest in land.</w:t>
      </w:r>
    </w:p>
    <w:p w:rsidR="0045684D" w:rsidRPr="007B76F0" w:rsidRDefault="0045684D" w:rsidP="00A42994">
      <w:pPr>
        <w:rPr>
          <w:rFonts w:ascii="Arial" w:hAnsi="Arial" w:cs="Arial"/>
          <w:sz w:val="24"/>
          <w:szCs w:val="24"/>
        </w:rPr>
      </w:pPr>
    </w:p>
    <w:p w:rsidR="0045684D" w:rsidRPr="007B76F0" w:rsidRDefault="0045684D" w:rsidP="0045684D">
      <w:pPr>
        <w:pStyle w:val="ListParagraph"/>
        <w:numPr>
          <w:ilvl w:val="0"/>
          <w:numId w:val="1"/>
        </w:numPr>
        <w:rPr>
          <w:rFonts w:ascii="Arial" w:hAnsi="Arial" w:cs="Arial"/>
          <w:b/>
          <w:color w:val="FF0000"/>
          <w:sz w:val="24"/>
          <w:szCs w:val="24"/>
        </w:rPr>
      </w:pPr>
      <w:r w:rsidRPr="007B76F0">
        <w:rPr>
          <w:rFonts w:ascii="Arial" w:hAnsi="Arial" w:cs="Arial"/>
          <w:b/>
          <w:color w:val="FF0000"/>
          <w:sz w:val="24"/>
          <w:szCs w:val="24"/>
        </w:rPr>
        <w:t xml:space="preserve">Explain, with examples, the concept of the Right of Light. </w:t>
      </w:r>
    </w:p>
    <w:p w:rsidR="00FF1416" w:rsidRPr="007B76F0" w:rsidRDefault="00FF1416" w:rsidP="00FF1416">
      <w:pPr>
        <w:ind w:left="360"/>
        <w:rPr>
          <w:rFonts w:ascii="Arial" w:hAnsi="Arial" w:cs="Arial"/>
          <w:b/>
          <w:color w:val="FF0000"/>
          <w:sz w:val="24"/>
          <w:szCs w:val="24"/>
        </w:rPr>
      </w:pPr>
    </w:p>
    <w:p w:rsidR="005C69F5" w:rsidRPr="007B76F0" w:rsidRDefault="00A42994" w:rsidP="00A42994">
      <w:pPr>
        <w:rPr>
          <w:rFonts w:ascii="Arial" w:hAnsi="Arial" w:cs="Arial"/>
          <w:i/>
          <w:sz w:val="24"/>
          <w:szCs w:val="24"/>
        </w:rPr>
      </w:pPr>
      <w:r w:rsidRPr="007B76F0">
        <w:rPr>
          <w:rFonts w:ascii="Arial" w:hAnsi="Arial" w:cs="Arial"/>
          <w:sz w:val="24"/>
          <w:szCs w:val="24"/>
        </w:rPr>
        <w:t>The right of light</w:t>
      </w:r>
      <w:r w:rsidR="00D33F53" w:rsidRPr="007B76F0">
        <w:rPr>
          <w:rFonts w:ascii="Arial" w:hAnsi="Arial" w:cs="Arial"/>
          <w:sz w:val="24"/>
          <w:szCs w:val="24"/>
        </w:rPr>
        <w:t xml:space="preserve"> act 1959</w:t>
      </w:r>
      <w:r w:rsidRPr="007B76F0">
        <w:rPr>
          <w:rFonts w:ascii="Arial" w:hAnsi="Arial" w:cs="Arial"/>
          <w:sz w:val="24"/>
          <w:szCs w:val="24"/>
        </w:rPr>
        <w:t xml:space="preserve"> is a form of easement. Based on the ancient lights law, the right of lights act are acquired under the </w:t>
      </w:r>
      <w:r w:rsidRPr="007B76F0">
        <w:rPr>
          <w:rFonts w:ascii="Arial" w:hAnsi="Arial" w:cs="Arial"/>
          <w:i/>
          <w:sz w:val="24"/>
          <w:szCs w:val="24"/>
        </w:rPr>
        <w:t>Prescription Act 1832.</w:t>
      </w:r>
      <w:r w:rsidR="005C69F5" w:rsidRPr="007B76F0">
        <w:rPr>
          <w:rFonts w:ascii="Arial" w:hAnsi="Arial" w:cs="Arial"/>
          <w:i/>
          <w:sz w:val="24"/>
          <w:szCs w:val="24"/>
        </w:rPr>
        <w:t xml:space="preserve"> </w:t>
      </w:r>
    </w:p>
    <w:p w:rsidR="005C69F5" w:rsidRPr="007B76F0" w:rsidRDefault="005C69F5" w:rsidP="00A42994">
      <w:pPr>
        <w:rPr>
          <w:rFonts w:ascii="Arial" w:hAnsi="Arial" w:cs="Arial"/>
          <w:sz w:val="24"/>
          <w:szCs w:val="24"/>
        </w:rPr>
      </w:pPr>
      <w:r w:rsidRPr="007B76F0">
        <w:rPr>
          <w:rFonts w:ascii="Arial" w:hAnsi="Arial" w:cs="Arial"/>
          <w:sz w:val="24"/>
          <w:szCs w:val="24"/>
        </w:rPr>
        <w:t xml:space="preserve">The rights of light can be a complexed area, which can generate </w:t>
      </w:r>
      <w:r w:rsidR="00B33933" w:rsidRPr="007B76F0">
        <w:rPr>
          <w:rFonts w:ascii="Arial" w:hAnsi="Arial" w:cs="Arial"/>
          <w:sz w:val="24"/>
          <w:szCs w:val="24"/>
        </w:rPr>
        <w:t>friction</w:t>
      </w:r>
      <w:r w:rsidRPr="007B76F0">
        <w:rPr>
          <w:rFonts w:ascii="Arial" w:hAnsi="Arial" w:cs="Arial"/>
          <w:sz w:val="24"/>
          <w:szCs w:val="24"/>
        </w:rPr>
        <w:t xml:space="preserve"> between owners and occupiers. The rights can be granted by deed or prescription</w:t>
      </w:r>
      <w:r w:rsidR="00D33F53" w:rsidRPr="007B76F0">
        <w:rPr>
          <w:rFonts w:ascii="Arial" w:hAnsi="Arial" w:cs="Arial"/>
          <w:sz w:val="24"/>
          <w:szCs w:val="24"/>
        </w:rPr>
        <w:t xml:space="preserve">. </w:t>
      </w:r>
    </w:p>
    <w:p w:rsidR="00450719" w:rsidRPr="007B76F0" w:rsidRDefault="00D33F53" w:rsidP="00A42994">
      <w:pPr>
        <w:rPr>
          <w:rFonts w:ascii="Arial" w:hAnsi="Arial" w:cs="Arial"/>
          <w:sz w:val="24"/>
          <w:szCs w:val="24"/>
        </w:rPr>
      </w:pPr>
      <w:r w:rsidRPr="007B76F0">
        <w:rPr>
          <w:rFonts w:ascii="Arial" w:hAnsi="Arial" w:cs="Arial"/>
          <w:sz w:val="24"/>
          <w:szCs w:val="24"/>
        </w:rPr>
        <w:t xml:space="preserve">There can be a lot of intrusion with regards to the right of light and can lead to litigation, with remedies or damages to follow. For example high edges have a huge impact and cause a lot of issues in relation to right of light for neighbours. </w:t>
      </w:r>
      <w:r w:rsidR="00B71A70" w:rsidRPr="007B76F0">
        <w:rPr>
          <w:rFonts w:ascii="Arial" w:hAnsi="Arial" w:cs="Arial"/>
          <w:sz w:val="24"/>
          <w:szCs w:val="24"/>
        </w:rPr>
        <w:t xml:space="preserve">In the case of </w:t>
      </w:r>
      <w:r w:rsidR="00450719" w:rsidRPr="007B76F0">
        <w:rPr>
          <w:rFonts w:ascii="Arial" w:hAnsi="Arial" w:cs="Arial"/>
          <w:sz w:val="24"/>
          <w:szCs w:val="24"/>
        </w:rPr>
        <w:t xml:space="preserve">Tamares (Vincent Square) Ltd vs Fairpoint Properties </w:t>
      </w:r>
      <w:r w:rsidR="00D824A8" w:rsidRPr="007B76F0">
        <w:rPr>
          <w:rFonts w:ascii="Arial" w:hAnsi="Arial" w:cs="Arial"/>
          <w:sz w:val="24"/>
          <w:szCs w:val="24"/>
        </w:rPr>
        <w:t>2006,</w:t>
      </w:r>
      <w:r w:rsidR="00450719" w:rsidRPr="007B76F0">
        <w:rPr>
          <w:rFonts w:ascii="Arial" w:hAnsi="Arial" w:cs="Arial"/>
          <w:sz w:val="24"/>
          <w:szCs w:val="24"/>
        </w:rPr>
        <w:t xml:space="preserve"> the defendant had been found liable for invading the </w:t>
      </w:r>
      <w:r w:rsidR="00B33933" w:rsidRPr="007B76F0">
        <w:rPr>
          <w:rFonts w:ascii="Arial" w:hAnsi="Arial" w:cs="Arial"/>
          <w:sz w:val="24"/>
          <w:szCs w:val="24"/>
        </w:rPr>
        <w:t>claimant’s</w:t>
      </w:r>
      <w:r w:rsidR="00450719" w:rsidRPr="007B76F0">
        <w:rPr>
          <w:rFonts w:ascii="Arial" w:hAnsi="Arial" w:cs="Arial"/>
          <w:sz w:val="24"/>
          <w:szCs w:val="24"/>
        </w:rPr>
        <w:t xml:space="preserve"> right of light. The court considered the proper measure of damages. </w:t>
      </w:r>
    </w:p>
    <w:p w:rsidR="00450719" w:rsidRPr="007B76F0" w:rsidRDefault="00450719" w:rsidP="00A42994">
      <w:pPr>
        <w:rPr>
          <w:rFonts w:ascii="Arial" w:hAnsi="Arial" w:cs="Arial"/>
          <w:sz w:val="24"/>
          <w:szCs w:val="24"/>
        </w:rPr>
      </w:pPr>
    </w:p>
    <w:p w:rsidR="00450719" w:rsidRPr="007B76F0" w:rsidRDefault="00450719" w:rsidP="00A42994">
      <w:pPr>
        <w:rPr>
          <w:rFonts w:ascii="Arial" w:hAnsi="Arial" w:cs="Arial"/>
          <w:i/>
          <w:sz w:val="24"/>
          <w:szCs w:val="24"/>
        </w:rPr>
      </w:pPr>
      <w:r w:rsidRPr="007B76F0">
        <w:rPr>
          <w:rFonts w:ascii="Arial" w:hAnsi="Arial" w:cs="Arial"/>
          <w:sz w:val="24"/>
          <w:szCs w:val="24"/>
        </w:rPr>
        <w:t xml:space="preserve">Further to right of light, obstruction notices can be served. </w:t>
      </w:r>
      <w:r w:rsidR="00B33933" w:rsidRPr="007B76F0">
        <w:rPr>
          <w:rFonts w:ascii="Arial" w:hAnsi="Arial" w:cs="Arial"/>
          <w:sz w:val="24"/>
          <w:szCs w:val="24"/>
        </w:rPr>
        <w:t>Usually</w:t>
      </w:r>
      <w:r w:rsidR="000B1FC5" w:rsidRPr="007B76F0">
        <w:rPr>
          <w:rFonts w:ascii="Arial" w:hAnsi="Arial" w:cs="Arial"/>
          <w:sz w:val="24"/>
          <w:szCs w:val="24"/>
        </w:rPr>
        <w:t xml:space="preserve"> the </w:t>
      </w:r>
      <w:r w:rsidR="00B33933" w:rsidRPr="007B76F0">
        <w:rPr>
          <w:rFonts w:ascii="Arial" w:hAnsi="Arial" w:cs="Arial"/>
          <w:sz w:val="24"/>
          <w:szCs w:val="24"/>
        </w:rPr>
        <w:t>right</w:t>
      </w:r>
      <w:r w:rsidR="000B1FC5" w:rsidRPr="007B76F0">
        <w:rPr>
          <w:rFonts w:ascii="Arial" w:hAnsi="Arial" w:cs="Arial"/>
          <w:sz w:val="24"/>
          <w:szCs w:val="24"/>
        </w:rPr>
        <w:t xml:space="preserve"> of light are acquired by prescription and the light have been appreciated for 20 years. Right of lights can become a huge issue when new </w:t>
      </w:r>
      <w:r w:rsidR="00B33933" w:rsidRPr="007B76F0">
        <w:rPr>
          <w:rFonts w:ascii="Arial" w:hAnsi="Arial" w:cs="Arial"/>
          <w:sz w:val="24"/>
          <w:szCs w:val="24"/>
        </w:rPr>
        <w:t>developments</w:t>
      </w:r>
      <w:r w:rsidR="000B1FC5" w:rsidRPr="007B76F0">
        <w:rPr>
          <w:rFonts w:ascii="Arial" w:hAnsi="Arial" w:cs="Arial"/>
          <w:sz w:val="24"/>
          <w:szCs w:val="24"/>
        </w:rPr>
        <w:t xml:space="preserve"> arise, or proposed </w:t>
      </w:r>
      <w:r w:rsidR="00B33933" w:rsidRPr="007B76F0">
        <w:rPr>
          <w:rFonts w:ascii="Arial" w:hAnsi="Arial" w:cs="Arial"/>
          <w:sz w:val="24"/>
          <w:szCs w:val="24"/>
        </w:rPr>
        <w:lastRenderedPageBreak/>
        <w:t>developments</w:t>
      </w:r>
      <w:r w:rsidR="000B1FC5" w:rsidRPr="007B76F0">
        <w:rPr>
          <w:rFonts w:ascii="Arial" w:hAnsi="Arial" w:cs="Arial"/>
          <w:sz w:val="24"/>
          <w:szCs w:val="24"/>
        </w:rPr>
        <w:t xml:space="preserve"> affect the access to light of an adjoining property.</w:t>
      </w:r>
      <w:r w:rsidR="00B71A70" w:rsidRPr="007B76F0">
        <w:rPr>
          <w:rFonts w:ascii="Arial" w:hAnsi="Arial" w:cs="Arial"/>
          <w:sz w:val="24"/>
          <w:szCs w:val="24"/>
        </w:rPr>
        <w:t xml:space="preserve"> In the case of </w:t>
      </w:r>
      <w:r w:rsidR="000B1FC5" w:rsidRPr="007B76F0">
        <w:rPr>
          <w:rFonts w:ascii="Arial" w:hAnsi="Arial" w:cs="Arial"/>
          <w:sz w:val="24"/>
          <w:szCs w:val="24"/>
        </w:rPr>
        <w:t xml:space="preserve">Ray v Hazeldine (1904) </w:t>
      </w:r>
      <w:r w:rsidR="00B33933" w:rsidRPr="007B76F0">
        <w:rPr>
          <w:rFonts w:ascii="Arial" w:hAnsi="Arial" w:cs="Arial"/>
          <w:sz w:val="24"/>
          <w:szCs w:val="24"/>
        </w:rPr>
        <w:t>defendant</w:t>
      </w:r>
      <w:r w:rsidR="000B1FC5" w:rsidRPr="007B76F0">
        <w:rPr>
          <w:rFonts w:ascii="Arial" w:hAnsi="Arial" w:cs="Arial"/>
          <w:sz w:val="24"/>
          <w:szCs w:val="24"/>
        </w:rPr>
        <w:t xml:space="preserve"> </w:t>
      </w:r>
      <w:r w:rsidR="00E64CE7" w:rsidRPr="007B76F0">
        <w:rPr>
          <w:rFonts w:ascii="Arial" w:hAnsi="Arial" w:cs="Arial"/>
          <w:sz w:val="24"/>
          <w:szCs w:val="24"/>
        </w:rPr>
        <w:t xml:space="preserve">had </w:t>
      </w:r>
      <w:r w:rsidR="00B33933" w:rsidRPr="007B76F0">
        <w:rPr>
          <w:rFonts w:ascii="Arial" w:hAnsi="Arial" w:cs="Arial"/>
          <w:sz w:val="24"/>
          <w:szCs w:val="24"/>
        </w:rPr>
        <w:t>previously</w:t>
      </w:r>
      <w:r w:rsidR="00E64CE7" w:rsidRPr="007B76F0">
        <w:rPr>
          <w:rFonts w:ascii="Arial" w:hAnsi="Arial" w:cs="Arial"/>
          <w:sz w:val="24"/>
          <w:szCs w:val="24"/>
        </w:rPr>
        <w:t xml:space="preserve"> sold a property to the </w:t>
      </w:r>
      <w:r w:rsidR="00B33933" w:rsidRPr="007B76F0">
        <w:rPr>
          <w:rFonts w:ascii="Arial" w:hAnsi="Arial" w:cs="Arial"/>
          <w:sz w:val="24"/>
          <w:szCs w:val="24"/>
        </w:rPr>
        <w:t>plaintiff</w:t>
      </w:r>
      <w:r w:rsidR="00E64CE7" w:rsidRPr="007B76F0">
        <w:rPr>
          <w:rFonts w:ascii="Arial" w:hAnsi="Arial" w:cs="Arial"/>
          <w:sz w:val="24"/>
          <w:szCs w:val="24"/>
        </w:rPr>
        <w:t xml:space="preserve">. The issue was an implied reservation to the defendant (Hazeldine) of the right to access the light to the pantry window. The decision went in favour of the </w:t>
      </w:r>
      <w:r w:rsidR="00B33933" w:rsidRPr="007B76F0">
        <w:rPr>
          <w:rFonts w:ascii="Arial" w:hAnsi="Arial" w:cs="Arial"/>
          <w:sz w:val="24"/>
          <w:szCs w:val="24"/>
        </w:rPr>
        <w:t>plaintiff</w:t>
      </w:r>
      <w:r w:rsidR="00E64CE7" w:rsidRPr="007B76F0">
        <w:rPr>
          <w:rFonts w:ascii="Arial" w:hAnsi="Arial" w:cs="Arial"/>
          <w:sz w:val="24"/>
          <w:szCs w:val="24"/>
        </w:rPr>
        <w:t xml:space="preserve"> (Ray) as </w:t>
      </w:r>
      <w:r w:rsidR="00B33933" w:rsidRPr="007B76F0">
        <w:rPr>
          <w:rFonts w:ascii="Arial" w:hAnsi="Arial" w:cs="Arial"/>
          <w:sz w:val="24"/>
          <w:szCs w:val="24"/>
        </w:rPr>
        <w:t>knocking</w:t>
      </w:r>
      <w:r w:rsidR="00E64CE7" w:rsidRPr="007B76F0">
        <w:rPr>
          <w:rFonts w:ascii="Arial" w:hAnsi="Arial" w:cs="Arial"/>
          <w:sz w:val="24"/>
          <w:szCs w:val="24"/>
        </w:rPr>
        <w:t xml:space="preserve"> down the wall to gain light wasn’t the correct procedure. </w:t>
      </w:r>
      <w:r w:rsidR="00E64CE7" w:rsidRPr="007B76F0">
        <w:rPr>
          <w:rFonts w:ascii="Arial" w:hAnsi="Arial" w:cs="Arial"/>
          <w:i/>
          <w:sz w:val="24"/>
          <w:szCs w:val="24"/>
        </w:rPr>
        <w:t xml:space="preserve">If a vendor wishes to </w:t>
      </w:r>
      <w:r w:rsidR="00B33933" w:rsidRPr="007B76F0">
        <w:rPr>
          <w:rFonts w:ascii="Arial" w:hAnsi="Arial" w:cs="Arial"/>
          <w:i/>
          <w:sz w:val="24"/>
          <w:szCs w:val="24"/>
        </w:rPr>
        <w:t>reserve</w:t>
      </w:r>
      <w:r w:rsidR="00E64CE7" w:rsidRPr="007B76F0">
        <w:rPr>
          <w:rFonts w:ascii="Arial" w:hAnsi="Arial" w:cs="Arial"/>
          <w:i/>
          <w:sz w:val="24"/>
          <w:szCs w:val="24"/>
        </w:rPr>
        <w:t xml:space="preserve"> any light in a nature of an easement for the benefit of his property, he must do this by express words in the deed of conveyance. </w:t>
      </w:r>
    </w:p>
    <w:p w:rsidR="00B71A70" w:rsidRPr="007B76F0" w:rsidRDefault="00E64CE7" w:rsidP="00A42994">
      <w:pPr>
        <w:rPr>
          <w:rFonts w:ascii="Arial" w:hAnsi="Arial" w:cs="Arial"/>
          <w:sz w:val="24"/>
          <w:szCs w:val="24"/>
        </w:rPr>
      </w:pPr>
      <w:r w:rsidRPr="007B76F0">
        <w:rPr>
          <w:rFonts w:ascii="Arial" w:hAnsi="Arial" w:cs="Arial"/>
          <w:sz w:val="24"/>
          <w:szCs w:val="24"/>
        </w:rPr>
        <w:t xml:space="preserve">The </w:t>
      </w:r>
      <w:r w:rsidR="00B33933" w:rsidRPr="007B76F0">
        <w:rPr>
          <w:rFonts w:ascii="Arial" w:hAnsi="Arial" w:cs="Arial"/>
          <w:sz w:val="24"/>
          <w:szCs w:val="24"/>
        </w:rPr>
        <w:t>plaintiff</w:t>
      </w:r>
      <w:r w:rsidRPr="007B76F0">
        <w:rPr>
          <w:rFonts w:ascii="Arial" w:hAnsi="Arial" w:cs="Arial"/>
          <w:sz w:val="24"/>
          <w:szCs w:val="24"/>
        </w:rPr>
        <w:t xml:space="preserve"> made a </w:t>
      </w:r>
      <w:r w:rsidR="00B33933" w:rsidRPr="007B76F0">
        <w:rPr>
          <w:rFonts w:ascii="Arial" w:hAnsi="Arial" w:cs="Arial"/>
          <w:sz w:val="24"/>
          <w:szCs w:val="24"/>
        </w:rPr>
        <w:t>decision</w:t>
      </w:r>
      <w:r w:rsidRPr="007B76F0">
        <w:rPr>
          <w:rFonts w:ascii="Arial" w:hAnsi="Arial" w:cs="Arial"/>
          <w:sz w:val="24"/>
          <w:szCs w:val="24"/>
        </w:rPr>
        <w:t xml:space="preserve"> and will now </w:t>
      </w:r>
      <w:r w:rsidR="00B33933" w:rsidRPr="007B76F0">
        <w:rPr>
          <w:rFonts w:ascii="Arial" w:hAnsi="Arial" w:cs="Arial"/>
          <w:sz w:val="24"/>
          <w:szCs w:val="24"/>
        </w:rPr>
        <w:t>occur</w:t>
      </w:r>
      <w:r w:rsidRPr="007B76F0">
        <w:rPr>
          <w:rFonts w:ascii="Arial" w:hAnsi="Arial" w:cs="Arial"/>
          <w:sz w:val="24"/>
          <w:szCs w:val="24"/>
        </w:rPr>
        <w:t xml:space="preserve"> damages. </w:t>
      </w:r>
    </w:p>
    <w:p w:rsidR="00095FD1" w:rsidRPr="007B76F0" w:rsidRDefault="00095FD1" w:rsidP="00A42994">
      <w:pPr>
        <w:rPr>
          <w:rFonts w:ascii="Arial" w:hAnsi="Arial" w:cs="Arial"/>
          <w:sz w:val="24"/>
          <w:szCs w:val="24"/>
        </w:rPr>
      </w:pPr>
    </w:p>
    <w:p w:rsidR="00CB04EB" w:rsidRPr="00D518E5" w:rsidRDefault="00CC26D9" w:rsidP="00A42994">
      <w:pPr>
        <w:rPr>
          <w:rFonts w:ascii="Arial" w:hAnsi="Arial" w:cs="Arial"/>
          <w:b/>
          <w:color w:val="FF0000"/>
          <w:sz w:val="28"/>
          <w:szCs w:val="28"/>
          <w:u w:val="single"/>
        </w:rPr>
      </w:pPr>
      <w:r w:rsidRPr="00D518E5">
        <w:rPr>
          <w:rFonts w:ascii="Arial" w:hAnsi="Arial" w:cs="Arial"/>
          <w:b/>
          <w:color w:val="FF0000"/>
          <w:sz w:val="28"/>
          <w:szCs w:val="28"/>
          <w:u w:val="single"/>
        </w:rPr>
        <w:t>Question 5</w:t>
      </w:r>
      <w:r w:rsidR="00D92904" w:rsidRPr="00D518E5">
        <w:rPr>
          <w:rFonts w:ascii="Arial" w:hAnsi="Arial" w:cs="Arial"/>
          <w:b/>
          <w:color w:val="FF0000"/>
          <w:sz w:val="28"/>
          <w:szCs w:val="28"/>
          <w:u w:val="single"/>
        </w:rPr>
        <w:t>.</w:t>
      </w:r>
      <w:r w:rsidRPr="00D518E5">
        <w:rPr>
          <w:rFonts w:ascii="Arial" w:hAnsi="Arial" w:cs="Arial"/>
          <w:b/>
          <w:color w:val="FF0000"/>
          <w:sz w:val="28"/>
          <w:szCs w:val="28"/>
          <w:u w:val="single"/>
        </w:rPr>
        <w:t xml:space="preserve"> </w:t>
      </w:r>
    </w:p>
    <w:p w:rsidR="00CC26D9" w:rsidRPr="007B76F0" w:rsidRDefault="00CC26D9" w:rsidP="00A42994">
      <w:pPr>
        <w:rPr>
          <w:rFonts w:ascii="Arial" w:hAnsi="Arial" w:cs="Arial"/>
          <w:b/>
          <w:color w:val="FF0000"/>
          <w:sz w:val="24"/>
          <w:szCs w:val="24"/>
        </w:rPr>
      </w:pPr>
      <w:r w:rsidRPr="007B76F0">
        <w:rPr>
          <w:rFonts w:ascii="Arial" w:hAnsi="Arial" w:cs="Arial"/>
          <w:b/>
          <w:color w:val="FF0000"/>
          <w:sz w:val="24"/>
          <w:szCs w:val="24"/>
        </w:rPr>
        <w:t xml:space="preserve">The case of </w:t>
      </w:r>
      <w:r w:rsidR="00B33933" w:rsidRPr="007B76F0">
        <w:rPr>
          <w:rFonts w:ascii="Arial" w:hAnsi="Arial" w:cs="Arial"/>
          <w:b/>
          <w:color w:val="FF0000"/>
          <w:sz w:val="24"/>
          <w:szCs w:val="24"/>
        </w:rPr>
        <w:t>Ryland’s</w:t>
      </w:r>
      <w:r w:rsidRPr="007B76F0">
        <w:rPr>
          <w:rFonts w:ascii="Arial" w:hAnsi="Arial" w:cs="Arial"/>
          <w:b/>
          <w:color w:val="FF0000"/>
          <w:sz w:val="24"/>
          <w:szCs w:val="24"/>
        </w:rPr>
        <w:t xml:space="preserve"> v Fletcher (1868) set the judicial precedent for strict liability. Using modern day case examples, detail what key requirements must be observed for strict liability to apply. </w:t>
      </w:r>
    </w:p>
    <w:p w:rsidR="002001E2" w:rsidRPr="007B76F0" w:rsidRDefault="002001E2" w:rsidP="00A42994">
      <w:pPr>
        <w:rPr>
          <w:rFonts w:ascii="Arial" w:hAnsi="Arial" w:cs="Arial"/>
          <w:sz w:val="24"/>
          <w:szCs w:val="24"/>
        </w:rPr>
      </w:pPr>
    </w:p>
    <w:p w:rsidR="00CB37AF" w:rsidRPr="007B76F0" w:rsidRDefault="00CB37AF" w:rsidP="00A42994">
      <w:pPr>
        <w:rPr>
          <w:rFonts w:ascii="Arial" w:hAnsi="Arial" w:cs="Arial"/>
          <w:sz w:val="24"/>
          <w:szCs w:val="24"/>
        </w:rPr>
      </w:pPr>
      <w:r w:rsidRPr="007B76F0">
        <w:rPr>
          <w:rFonts w:ascii="Arial" w:hAnsi="Arial" w:cs="Arial"/>
          <w:sz w:val="24"/>
          <w:szCs w:val="24"/>
        </w:rPr>
        <w:t xml:space="preserve">Ryland </w:t>
      </w:r>
      <w:r w:rsidR="00FF1416" w:rsidRPr="007B76F0">
        <w:rPr>
          <w:rFonts w:ascii="Arial" w:hAnsi="Arial" w:cs="Arial"/>
          <w:sz w:val="24"/>
          <w:szCs w:val="24"/>
        </w:rPr>
        <w:t xml:space="preserve">v Fletcher (1868) - </w:t>
      </w:r>
      <w:r w:rsidRPr="007B76F0">
        <w:rPr>
          <w:rFonts w:ascii="Arial" w:hAnsi="Arial" w:cs="Arial"/>
          <w:sz w:val="24"/>
          <w:szCs w:val="24"/>
        </w:rPr>
        <w:t>This case</w:t>
      </w:r>
      <w:r w:rsidR="00B33933" w:rsidRPr="007B76F0">
        <w:rPr>
          <w:rFonts w:ascii="Arial" w:hAnsi="Arial" w:cs="Arial"/>
          <w:sz w:val="24"/>
          <w:szCs w:val="24"/>
        </w:rPr>
        <w:t xml:space="preserve"> established a new area of English tort law and made an immediate impact. Prior to Ryland v Fletcher – Trespass was considered remedy for all tortuous wrongs. This later lead to the development of negligence and nuisance where decisions are based on the intention behind actions. Following the ruling of Ryland v Fletcher the law was developed to impose “Strict Liability” – Person i.e. (Ryland’s) is legally responsible for the consequences of an activity even in the absence of fault or crime intent on the part of the defendant. </w:t>
      </w:r>
    </w:p>
    <w:p w:rsidR="002001E2" w:rsidRPr="007B76F0" w:rsidRDefault="002001E2" w:rsidP="00A42994">
      <w:pPr>
        <w:rPr>
          <w:rFonts w:ascii="Arial" w:hAnsi="Arial" w:cs="Arial"/>
          <w:sz w:val="24"/>
          <w:szCs w:val="24"/>
        </w:rPr>
      </w:pPr>
    </w:p>
    <w:p w:rsidR="00CC26D9" w:rsidRPr="007B76F0" w:rsidRDefault="00CC26D9" w:rsidP="00A42994">
      <w:pPr>
        <w:rPr>
          <w:rFonts w:ascii="Arial" w:hAnsi="Arial" w:cs="Arial"/>
          <w:sz w:val="24"/>
          <w:szCs w:val="24"/>
        </w:rPr>
      </w:pPr>
      <w:r w:rsidRPr="007B76F0">
        <w:rPr>
          <w:rFonts w:ascii="Arial" w:hAnsi="Arial" w:cs="Arial"/>
          <w:sz w:val="24"/>
          <w:szCs w:val="24"/>
        </w:rPr>
        <w:t xml:space="preserve">Firstly the key </w:t>
      </w:r>
      <w:r w:rsidR="00B33933" w:rsidRPr="007B76F0">
        <w:rPr>
          <w:rFonts w:ascii="Arial" w:hAnsi="Arial" w:cs="Arial"/>
          <w:sz w:val="24"/>
          <w:szCs w:val="24"/>
        </w:rPr>
        <w:t>requirements</w:t>
      </w:r>
      <w:r w:rsidRPr="007B76F0">
        <w:rPr>
          <w:rFonts w:ascii="Arial" w:hAnsi="Arial" w:cs="Arial"/>
          <w:sz w:val="24"/>
          <w:szCs w:val="24"/>
        </w:rPr>
        <w:t xml:space="preserve"> are as below: </w:t>
      </w:r>
    </w:p>
    <w:p w:rsidR="00CC26D9" w:rsidRPr="007B76F0" w:rsidRDefault="00CC26D9" w:rsidP="002001E2">
      <w:pPr>
        <w:pStyle w:val="ListParagraph"/>
        <w:numPr>
          <w:ilvl w:val="0"/>
          <w:numId w:val="10"/>
        </w:numPr>
        <w:rPr>
          <w:rFonts w:ascii="Arial" w:hAnsi="Arial" w:cs="Arial"/>
          <w:sz w:val="24"/>
          <w:szCs w:val="24"/>
        </w:rPr>
      </w:pPr>
      <w:r w:rsidRPr="007B76F0">
        <w:rPr>
          <w:rFonts w:ascii="Arial" w:hAnsi="Arial" w:cs="Arial"/>
          <w:sz w:val="24"/>
          <w:szCs w:val="24"/>
        </w:rPr>
        <w:t xml:space="preserve">The </w:t>
      </w:r>
      <w:r w:rsidR="00B33933" w:rsidRPr="007B76F0">
        <w:rPr>
          <w:rFonts w:ascii="Arial" w:hAnsi="Arial" w:cs="Arial"/>
          <w:sz w:val="24"/>
          <w:szCs w:val="24"/>
        </w:rPr>
        <w:t>defendant</w:t>
      </w:r>
      <w:r w:rsidRPr="007B76F0">
        <w:rPr>
          <w:rFonts w:ascii="Arial" w:hAnsi="Arial" w:cs="Arial"/>
          <w:sz w:val="24"/>
          <w:szCs w:val="24"/>
        </w:rPr>
        <w:t xml:space="preserve"> must bring something onto his land and keep it there. In this case that “something” is the water that flooded the land of Thomas Fletcher. </w:t>
      </w:r>
    </w:p>
    <w:p w:rsidR="00CC26D9" w:rsidRPr="007B76F0" w:rsidRDefault="00CC26D9" w:rsidP="002001E2">
      <w:pPr>
        <w:pStyle w:val="ListParagraph"/>
        <w:numPr>
          <w:ilvl w:val="0"/>
          <w:numId w:val="10"/>
        </w:numPr>
        <w:rPr>
          <w:rFonts w:ascii="Arial" w:hAnsi="Arial" w:cs="Arial"/>
          <w:sz w:val="24"/>
          <w:szCs w:val="24"/>
        </w:rPr>
      </w:pPr>
      <w:r w:rsidRPr="007B76F0">
        <w:rPr>
          <w:rFonts w:ascii="Arial" w:hAnsi="Arial" w:cs="Arial"/>
          <w:sz w:val="24"/>
          <w:szCs w:val="24"/>
        </w:rPr>
        <w:t xml:space="preserve">There must be a non-natural use of the land </w:t>
      </w:r>
    </w:p>
    <w:p w:rsidR="001C7278" w:rsidRPr="007B76F0" w:rsidRDefault="001C7278" w:rsidP="002001E2">
      <w:pPr>
        <w:pStyle w:val="ListParagraph"/>
        <w:numPr>
          <w:ilvl w:val="0"/>
          <w:numId w:val="10"/>
        </w:numPr>
        <w:rPr>
          <w:rFonts w:ascii="Arial" w:hAnsi="Arial" w:cs="Arial"/>
          <w:sz w:val="24"/>
          <w:szCs w:val="24"/>
        </w:rPr>
      </w:pPr>
      <w:r w:rsidRPr="007B76F0">
        <w:rPr>
          <w:rFonts w:ascii="Arial" w:hAnsi="Arial" w:cs="Arial"/>
          <w:sz w:val="24"/>
          <w:szCs w:val="24"/>
        </w:rPr>
        <w:t xml:space="preserve">The “thing” being the water, is something likely to do mischief if it escapes. Flooding the land of Thomas Fletcher would have inflicted damages. </w:t>
      </w:r>
    </w:p>
    <w:p w:rsidR="001C7278" w:rsidRPr="007B76F0" w:rsidRDefault="001C7278" w:rsidP="002001E2">
      <w:pPr>
        <w:pStyle w:val="ListParagraph"/>
        <w:numPr>
          <w:ilvl w:val="0"/>
          <w:numId w:val="10"/>
        </w:numPr>
        <w:rPr>
          <w:rFonts w:ascii="Arial" w:hAnsi="Arial" w:cs="Arial"/>
          <w:sz w:val="24"/>
          <w:szCs w:val="24"/>
        </w:rPr>
      </w:pPr>
      <w:r w:rsidRPr="007B76F0">
        <w:rPr>
          <w:rFonts w:ascii="Arial" w:hAnsi="Arial" w:cs="Arial"/>
          <w:sz w:val="24"/>
          <w:szCs w:val="24"/>
        </w:rPr>
        <w:t xml:space="preserve">There must be an escape from the defendants land. The coal shafts burst which lead to the escape of water onto </w:t>
      </w:r>
      <w:r w:rsidR="00B33933" w:rsidRPr="007B76F0">
        <w:rPr>
          <w:rFonts w:ascii="Arial" w:hAnsi="Arial" w:cs="Arial"/>
          <w:sz w:val="24"/>
          <w:szCs w:val="24"/>
        </w:rPr>
        <w:t>Fletcher’s</w:t>
      </w:r>
      <w:r w:rsidRPr="007B76F0">
        <w:rPr>
          <w:rFonts w:ascii="Arial" w:hAnsi="Arial" w:cs="Arial"/>
          <w:sz w:val="24"/>
          <w:szCs w:val="24"/>
        </w:rPr>
        <w:t xml:space="preserve"> property. </w:t>
      </w:r>
    </w:p>
    <w:p w:rsidR="00CC26D9" w:rsidRPr="007B76F0" w:rsidRDefault="001C7278" w:rsidP="002001E2">
      <w:pPr>
        <w:pStyle w:val="ListParagraph"/>
        <w:numPr>
          <w:ilvl w:val="0"/>
          <w:numId w:val="10"/>
        </w:numPr>
        <w:rPr>
          <w:rFonts w:ascii="Arial" w:hAnsi="Arial" w:cs="Arial"/>
          <w:sz w:val="24"/>
          <w:szCs w:val="24"/>
        </w:rPr>
      </w:pPr>
      <w:r w:rsidRPr="007B76F0">
        <w:rPr>
          <w:rFonts w:ascii="Arial" w:hAnsi="Arial" w:cs="Arial"/>
          <w:sz w:val="24"/>
          <w:szCs w:val="24"/>
        </w:rPr>
        <w:t xml:space="preserve">Cause damage (foreseeable) </w:t>
      </w:r>
    </w:p>
    <w:p w:rsidR="00FF1416" w:rsidRPr="007B76F0" w:rsidRDefault="00FF1416" w:rsidP="00A42994">
      <w:pPr>
        <w:rPr>
          <w:rFonts w:ascii="Arial" w:hAnsi="Arial" w:cs="Arial"/>
          <w:sz w:val="24"/>
          <w:szCs w:val="24"/>
        </w:rPr>
      </w:pPr>
    </w:p>
    <w:p w:rsidR="001C7278" w:rsidRPr="007B76F0" w:rsidRDefault="001C7278" w:rsidP="00A42994">
      <w:pPr>
        <w:rPr>
          <w:rFonts w:ascii="Arial" w:hAnsi="Arial" w:cs="Arial"/>
          <w:sz w:val="24"/>
          <w:szCs w:val="24"/>
        </w:rPr>
      </w:pPr>
      <w:r w:rsidRPr="007B76F0">
        <w:rPr>
          <w:rFonts w:ascii="Arial" w:hAnsi="Arial" w:cs="Arial"/>
          <w:sz w:val="24"/>
          <w:szCs w:val="24"/>
        </w:rPr>
        <w:t xml:space="preserve">Case examples that relate to Ryland v </w:t>
      </w:r>
      <w:r w:rsidR="00B33933" w:rsidRPr="007B76F0">
        <w:rPr>
          <w:rFonts w:ascii="Arial" w:hAnsi="Arial" w:cs="Arial"/>
          <w:sz w:val="24"/>
          <w:szCs w:val="24"/>
        </w:rPr>
        <w:t>Fletcher</w:t>
      </w:r>
      <w:r w:rsidRPr="007B76F0">
        <w:rPr>
          <w:rFonts w:ascii="Arial" w:hAnsi="Arial" w:cs="Arial"/>
          <w:sz w:val="24"/>
          <w:szCs w:val="24"/>
        </w:rPr>
        <w:t xml:space="preserve">. </w:t>
      </w:r>
    </w:p>
    <w:p w:rsidR="00FF1416" w:rsidRPr="007B76F0" w:rsidRDefault="001C7278" w:rsidP="002001E2">
      <w:pPr>
        <w:pStyle w:val="ListParagraph"/>
        <w:numPr>
          <w:ilvl w:val="0"/>
          <w:numId w:val="9"/>
        </w:numPr>
        <w:shd w:val="clear" w:color="auto" w:fill="FFFFFF"/>
        <w:spacing w:after="100" w:afterAutospacing="1" w:line="240" w:lineRule="auto"/>
        <w:outlineLvl w:val="0"/>
        <w:rPr>
          <w:rFonts w:ascii="Arial" w:eastAsia="Times New Roman" w:hAnsi="Arial" w:cs="Arial"/>
          <w:color w:val="212529"/>
          <w:kern w:val="36"/>
          <w:sz w:val="24"/>
          <w:szCs w:val="24"/>
          <w:lang w:eastAsia="en-GB"/>
        </w:rPr>
      </w:pPr>
      <w:r w:rsidRPr="007B76F0">
        <w:rPr>
          <w:rFonts w:ascii="Arial" w:eastAsia="Times New Roman" w:hAnsi="Arial" w:cs="Arial"/>
          <w:b/>
          <w:color w:val="212529"/>
          <w:kern w:val="36"/>
          <w:sz w:val="24"/>
          <w:szCs w:val="24"/>
          <w:lang w:eastAsia="en-GB"/>
        </w:rPr>
        <w:t>Miles v Forest Rock Granite Co (Leicestershire) Ltd (1918) 34 TLD 500</w:t>
      </w:r>
      <w:r w:rsidR="002001E2" w:rsidRPr="007B76F0">
        <w:rPr>
          <w:rFonts w:ascii="Arial" w:eastAsia="Times New Roman" w:hAnsi="Arial" w:cs="Arial"/>
          <w:color w:val="212529"/>
          <w:kern w:val="36"/>
          <w:sz w:val="24"/>
          <w:szCs w:val="24"/>
          <w:lang w:eastAsia="en-GB"/>
        </w:rPr>
        <w:t xml:space="preserve"> - </w:t>
      </w:r>
      <w:r w:rsidR="00F60169" w:rsidRPr="007B76F0">
        <w:rPr>
          <w:rFonts w:ascii="Arial" w:eastAsia="Times New Roman" w:hAnsi="Arial" w:cs="Arial"/>
          <w:color w:val="212529"/>
          <w:kern w:val="36"/>
          <w:sz w:val="24"/>
          <w:szCs w:val="24"/>
          <w:lang w:eastAsia="en-GB"/>
        </w:rPr>
        <w:t xml:space="preserve">In this case the defendant (Forest Rock) brought explosives onto his land and used them to blast rocks which were already present on his land. As a result of the blast rock fragments flew into other land and onto a highway. This is where they hit and injured the claimant (Miles). The claimant brought an action under the Ryland v </w:t>
      </w:r>
      <w:r w:rsidR="00B33933" w:rsidRPr="007B76F0">
        <w:rPr>
          <w:rFonts w:ascii="Arial" w:eastAsia="Times New Roman" w:hAnsi="Arial" w:cs="Arial"/>
          <w:color w:val="212529"/>
          <w:kern w:val="36"/>
          <w:sz w:val="24"/>
          <w:szCs w:val="24"/>
          <w:lang w:eastAsia="en-GB"/>
        </w:rPr>
        <w:t>Fletcher</w:t>
      </w:r>
      <w:r w:rsidR="00F60169" w:rsidRPr="007B76F0">
        <w:rPr>
          <w:rFonts w:ascii="Arial" w:eastAsia="Times New Roman" w:hAnsi="Arial" w:cs="Arial"/>
          <w:color w:val="212529"/>
          <w:kern w:val="36"/>
          <w:sz w:val="24"/>
          <w:szCs w:val="24"/>
          <w:lang w:eastAsia="en-GB"/>
        </w:rPr>
        <w:t xml:space="preserve"> rule which establishes strict liability for </w:t>
      </w:r>
      <w:r w:rsidR="00F60169" w:rsidRPr="007B76F0">
        <w:rPr>
          <w:rFonts w:ascii="Arial" w:eastAsia="Times New Roman" w:hAnsi="Arial" w:cs="Arial"/>
          <w:color w:val="212529"/>
          <w:kern w:val="36"/>
          <w:sz w:val="24"/>
          <w:szCs w:val="24"/>
          <w:lang w:eastAsia="en-GB"/>
        </w:rPr>
        <w:lastRenderedPageBreak/>
        <w:t xml:space="preserve">damage done as a result of an escape of a “thing” , this being the rocks that caused the damage. </w:t>
      </w:r>
    </w:p>
    <w:p w:rsidR="00FB2112" w:rsidRPr="007B76F0" w:rsidRDefault="00F60169" w:rsidP="001C7278">
      <w:pPr>
        <w:shd w:val="clear" w:color="auto" w:fill="FFFFFF"/>
        <w:spacing w:after="100" w:afterAutospacing="1" w:line="240" w:lineRule="auto"/>
        <w:outlineLvl w:val="0"/>
        <w:rPr>
          <w:rFonts w:ascii="Arial" w:eastAsia="Times New Roman" w:hAnsi="Arial" w:cs="Arial"/>
          <w:color w:val="212529"/>
          <w:kern w:val="36"/>
          <w:sz w:val="24"/>
          <w:szCs w:val="24"/>
          <w:lang w:eastAsia="en-GB"/>
        </w:rPr>
      </w:pPr>
      <w:r w:rsidRPr="007B76F0">
        <w:rPr>
          <w:rFonts w:ascii="Arial" w:eastAsia="Times New Roman" w:hAnsi="Arial" w:cs="Arial"/>
          <w:color w:val="212529"/>
          <w:kern w:val="36"/>
          <w:sz w:val="24"/>
          <w:szCs w:val="24"/>
          <w:lang w:eastAsia="en-GB"/>
        </w:rPr>
        <w:t xml:space="preserve">The court went in favour of the </w:t>
      </w:r>
      <w:r w:rsidR="007322A0" w:rsidRPr="007B76F0">
        <w:rPr>
          <w:rFonts w:ascii="Arial" w:eastAsia="Times New Roman" w:hAnsi="Arial" w:cs="Arial"/>
          <w:color w:val="212529"/>
          <w:kern w:val="36"/>
          <w:sz w:val="24"/>
          <w:szCs w:val="24"/>
          <w:lang w:eastAsia="en-GB"/>
        </w:rPr>
        <w:t xml:space="preserve">claimant (Miles) and stated there was strict liability, even </w:t>
      </w:r>
      <w:r w:rsidR="00B33933" w:rsidRPr="007B76F0">
        <w:rPr>
          <w:rFonts w:ascii="Arial" w:eastAsia="Times New Roman" w:hAnsi="Arial" w:cs="Arial"/>
          <w:color w:val="212529"/>
          <w:kern w:val="36"/>
          <w:sz w:val="24"/>
          <w:szCs w:val="24"/>
          <w:lang w:eastAsia="en-GB"/>
        </w:rPr>
        <w:t>though</w:t>
      </w:r>
      <w:r w:rsidR="007322A0" w:rsidRPr="007B76F0">
        <w:rPr>
          <w:rFonts w:ascii="Arial" w:eastAsia="Times New Roman" w:hAnsi="Arial" w:cs="Arial"/>
          <w:color w:val="212529"/>
          <w:kern w:val="36"/>
          <w:sz w:val="24"/>
          <w:szCs w:val="24"/>
          <w:lang w:eastAsia="en-GB"/>
        </w:rPr>
        <w:t xml:space="preserve"> Ryland v Fletcher the case related to escape of water which lead to damage by things not naturally occurring. Where as in this case the damage was done by the flying rocks which had been naturally occurring, the </w:t>
      </w:r>
      <w:r w:rsidR="00B33933" w:rsidRPr="007B76F0">
        <w:rPr>
          <w:rFonts w:ascii="Arial" w:eastAsia="Times New Roman" w:hAnsi="Arial" w:cs="Arial"/>
          <w:color w:val="212529"/>
          <w:kern w:val="36"/>
          <w:sz w:val="24"/>
          <w:szCs w:val="24"/>
          <w:lang w:eastAsia="en-GB"/>
        </w:rPr>
        <w:t>rocks</w:t>
      </w:r>
      <w:r w:rsidR="007322A0" w:rsidRPr="007B76F0">
        <w:rPr>
          <w:rFonts w:ascii="Arial" w:eastAsia="Times New Roman" w:hAnsi="Arial" w:cs="Arial"/>
          <w:color w:val="212529"/>
          <w:kern w:val="36"/>
          <w:sz w:val="24"/>
          <w:szCs w:val="24"/>
          <w:lang w:eastAsia="en-GB"/>
        </w:rPr>
        <w:t xml:space="preserve"> were already there which the defiant had not brought onto his premises. But the </w:t>
      </w:r>
      <w:r w:rsidR="00B33933" w:rsidRPr="007B76F0">
        <w:rPr>
          <w:rFonts w:ascii="Arial" w:eastAsia="Times New Roman" w:hAnsi="Arial" w:cs="Arial"/>
          <w:color w:val="212529"/>
          <w:kern w:val="36"/>
          <w:sz w:val="24"/>
          <w:szCs w:val="24"/>
          <w:lang w:eastAsia="en-GB"/>
        </w:rPr>
        <w:t>explosives</w:t>
      </w:r>
      <w:r w:rsidR="007322A0" w:rsidRPr="007B76F0">
        <w:rPr>
          <w:rFonts w:ascii="Arial" w:eastAsia="Times New Roman" w:hAnsi="Arial" w:cs="Arial"/>
          <w:color w:val="212529"/>
          <w:kern w:val="36"/>
          <w:sz w:val="24"/>
          <w:szCs w:val="24"/>
          <w:lang w:eastAsia="en-GB"/>
        </w:rPr>
        <w:t xml:space="preserve"> were brought onto the premises which had inflicted the damage. </w:t>
      </w:r>
    </w:p>
    <w:p w:rsidR="00FB2112" w:rsidRPr="007B76F0" w:rsidRDefault="00FB2112" w:rsidP="002001E2">
      <w:pPr>
        <w:pStyle w:val="ListParagraph"/>
        <w:numPr>
          <w:ilvl w:val="0"/>
          <w:numId w:val="8"/>
        </w:numPr>
        <w:shd w:val="clear" w:color="auto" w:fill="FFFFFF"/>
        <w:spacing w:after="100" w:afterAutospacing="1" w:line="240" w:lineRule="auto"/>
        <w:outlineLvl w:val="0"/>
        <w:rPr>
          <w:rFonts w:ascii="Arial" w:eastAsia="Times New Roman" w:hAnsi="Arial" w:cs="Arial"/>
          <w:color w:val="212529"/>
          <w:kern w:val="36"/>
          <w:sz w:val="24"/>
          <w:szCs w:val="24"/>
          <w:lang w:eastAsia="en-GB"/>
        </w:rPr>
      </w:pPr>
      <w:r w:rsidRPr="007B76F0">
        <w:rPr>
          <w:rFonts w:ascii="Arial" w:eastAsia="Times New Roman" w:hAnsi="Arial" w:cs="Arial"/>
          <w:b/>
          <w:color w:val="212529"/>
          <w:kern w:val="36"/>
          <w:sz w:val="24"/>
          <w:szCs w:val="24"/>
          <w:lang w:eastAsia="en-GB"/>
        </w:rPr>
        <w:t xml:space="preserve">Ellison v </w:t>
      </w:r>
      <w:r w:rsidR="00B33933" w:rsidRPr="007B76F0">
        <w:rPr>
          <w:rFonts w:ascii="Arial" w:eastAsia="Times New Roman" w:hAnsi="Arial" w:cs="Arial"/>
          <w:b/>
          <w:color w:val="212529"/>
          <w:kern w:val="36"/>
          <w:sz w:val="24"/>
          <w:szCs w:val="24"/>
          <w:lang w:eastAsia="en-GB"/>
        </w:rPr>
        <w:t>Ministry</w:t>
      </w:r>
      <w:r w:rsidRPr="007B76F0">
        <w:rPr>
          <w:rFonts w:ascii="Arial" w:eastAsia="Times New Roman" w:hAnsi="Arial" w:cs="Arial"/>
          <w:b/>
          <w:color w:val="212529"/>
          <w:kern w:val="36"/>
          <w:sz w:val="24"/>
          <w:szCs w:val="24"/>
          <w:lang w:eastAsia="en-GB"/>
        </w:rPr>
        <w:t xml:space="preserve"> of defence (1997)</w:t>
      </w:r>
      <w:r w:rsidRPr="007B76F0">
        <w:rPr>
          <w:rFonts w:ascii="Arial" w:eastAsia="Times New Roman" w:hAnsi="Arial" w:cs="Arial"/>
          <w:color w:val="212529"/>
          <w:kern w:val="36"/>
          <w:sz w:val="24"/>
          <w:szCs w:val="24"/>
          <w:lang w:eastAsia="en-GB"/>
        </w:rPr>
        <w:t xml:space="preserve"> </w:t>
      </w:r>
      <w:r w:rsidR="00CB37AF" w:rsidRPr="007B76F0">
        <w:rPr>
          <w:rFonts w:ascii="Arial" w:eastAsia="Times New Roman" w:hAnsi="Arial" w:cs="Arial"/>
          <w:color w:val="212529"/>
          <w:kern w:val="36"/>
          <w:sz w:val="24"/>
          <w:szCs w:val="24"/>
          <w:lang w:eastAsia="en-GB"/>
        </w:rPr>
        <w:t>–</w:t>
      </w:r>
      <w:r w:rsidRPr="007B76F0">
        <w:rPr>
          <w:rFonts w:ascii="Arial" w:eastAsia="Times New Roman" w:hAnsi="Arial" w:cs="Arial"/>
          <w:color w:val="212529"/>
          <w:kern w:val="36"/>
          <w:sz w:val="24"/>
          <w:szCs w:val="24"/>
          <w:lang w:eastAsia="en-GB"/>
        </w:rPr>
        <w:t xml:space="preserve"> </w:t>
      </w:r>
      <w:r w:rsidR="00CB37AF" w:rsidRPr="007B76F0">
        <w:rPr>
          <w:rFonts w:ascii="Arial" w:eastAsia="Times New Roman" w:hAnsi="Arial" w:cs="Arial"/>
          <w:color w:val="212529"/>
          <w:kern w:val="36"/>
          <w:sz w:val="24"/>
          <w:szCs w:val="24"/>
          <w:lang w:eastAsia="en-GB"/>
        </w:rPr>
        <w:t xml:space="preserve">In this case the defendant was not liable under the Ryland v Fletcher case. Works carried out constructing bulk fuel installations caused rain to run of the airfield and flood the neighbouring land. The rain water had accumulated naturally and was not artificially kept there. With this the court held that the </w:t>
      </w:r>
      <w:r w:rsidR="00B33933" w:rsidRPr="007B76F0">
        <w:rPr>
          <w:rFonts w:ascii="Arial" w:eastAsia="Times New Roman" w:hAnsi="Arial" w:cs="Arial"/>
          <w:color w:val="212529"/>
          <w:kern w:val="36"/>
          <w:sz w:val="24"/>
          <w:szCs w:val="24"/>
          <w:lang w:eastAsia="en-GB"/>
        </w:rPr>
        <w:t>construction</w:t>
      </w:r>
      <w:r w:rsidR="00CB37AF" w:rsidRPr="007B76F0">
        <w:rPr>
          <w:rFonts w:ascii="Arial" w:eastAsia="Times New Roman" w:hAnsi="Arial" w:cs="Arial"/>
          <w:color w:val="212529"/>
          <w:kern w:val="36"/>
          <w:sz w:val="24"/>
          <w:szCs w:val="24"/>
          <w:lang w:eastAsia="en-GB"/>
        </w:rPr>
        <w:t xml:space="preserve"> work was normal for this use of the land and the defendant was not liable under Ryland v Fletcher. </w:t>
      </w:r>
    </w:p>
    <w:p w:rsidR="005528C2" w:rsidRPr="007B76F0" w:rsidRDefault="005528C2" w:rsidP="001C7278">
      <w:pPr>
        <w:shd w:val="clear" w:color="auto" w:fill="FFFFFF"/>
        <w:spacing w:after="100" w:afterAutospacing="1" w:line="240" w:lineRule="auto"/>
        <w:outlineLvl w:val="0"/>
        <w:rPr>
          <w:rFonts w:ascii="Arial" w:eastAsia="Times New Roman" w:hAnsi="Arial" w:cs="Arial"/>
          <w:color w:val="212529"/>
          <w:kern w:val="36"/>
          <w:sz w:val="24"/>
          <w:szCs w:val="24"/>
          <w:lang w:eastAsia="en-GB"/>
        </w:rPr>
      </w:pPr>
    </w:p>
    <w:p w:rsidR="005528C2" w:rsidRPr="007B76F0" w:rsidRDefault="005528C2" w:rsidP="002001E2">
      <w:pPr>
        <w:pStyle w:val="ListParagraph"/>
        <w:numPr>
          <w:ilvl w:val="0"/>
          <w:numId w:val="7"/>
        </w:numPr>
        <w:shd w:val="clear" w:color="auto" w:fill="FFFFFF"/>
        <w:spacing w:after="100" w:afterAutospacing="1" w:line="240" w:lineRule="auto"/>
        <w:outlineLvl w:val="0"/>
        <w:rPr>
          <w:rFonts w:ascii="Arial" w:eastAsia="Times New Roman" w:hAnsi="Arial" w:cs="Arial"/>
          <w:color w:val="212529"/>
          <w:kern w:val="36"/>
          <w:sz w:val="24"/>
          <w:szCs w:val="24"/>
          <w:lang w:eastAsia="en-GB"/>
        </w:rPr>
      </w:pPr>
      <w:r w:rsidRPr="007B76F0">
        <w:rPr>
          <w:rFonts w:ascii="Arial" w:eastAsia="Times New Roman" w:hAnsi="Arial" w:cs="Arial"/>
          <w:b/>
          <w:color w:val="212529"/>
          <w:kern w:val="36"/>
          <w:sz w:val="24"/>
          <w:szCs w:val="24"/>
          <w:lang w:eastAsia="en-GB"/>
        </w:rPr>
        <w:t>An act of God</w:t>
      </w:r>
      <w:r w:rsidRPr="007B76F0">
        <w:rPr>
          <w:rFonts w:ascii="Arial" w:eastAsia="Times New Roman" w:hAnsi="Arial" w:cs="Arial"/>
          <w:color w:val="212529"/>
          <w:kern w:val="36"/>
          <w:sz w:val="24"/>
          <w:szCs w:val="24"/>
          <w:lang w:eastAsia="en-GB"/>
        </w:rPr>
        <w:t xml:space="preserve"> –</w:t>
      </w:r>
      <w:r w:rsidR="003361A0" w:rsidRPr="007B76F0">
        <w:rPr>
          <w:rFonts w:ascii="Arial" w:eastAsia="Times New Roman" w:hAnsi="Arial" w:cs="Arial"/>
          <w:color w:val="212529"/>
          <w:kern w:val="36"/>
          <w:sz w:val="24"/>
          <w:szCs w:val="24"/>
          <w:lang w:eastAsia="en-GB"/>
        </w:rPr>
        <w:t xml:space="preserve"> I</w:t>
      </w:r>
      <w:r w:rsidRPr="007B76F0">
        <w:rPr>
          <w:rFonts w:ascii="Arial" w:eastAsia="Times New Roman" w:hAnsi="Arial" w:cs="Arial"/>
          <w:color w:val="212529"/>
          <w:kern w:val="36"/>
          <w:sz w:val="24"/>
          <w:szCs w:val="24"/>
          <w:lang w:eastAsia="en-GB"/>
        </w:rPr>
        <w:t>n this case or event no human being can anticipate</w:t>
      </w:r>
      <w:r w:rsidR="003361A0" w:rsidRPr="007B76F0">
        <w:rPr>
          <w:rFonts w:ascii="Arial" w:eastAsia="Times New Roman" w:hAnsi="Arial" w:cs="Arial"/>
          <w:color w:val="212529"/>
          <w:kern w:val="36"/>
          <w:sz w:val="24"/>
          <w:szCs w:val="24"/>
          <w:lang w:eastAsia="en-GB"/>
        </w:rPr>
        <w:t xml:space="preserve">. No human foresight can provide against. This basically means that a human would not be bound to recognise the possibility. </w:t>
      </w:r>
      <w:r w:rsidR="00D360BA" w:rsidRPr="007B76F0">
        <w:rPr>
          <w:rFonts w:ascii="Arial" w:eastAsia="Times New Roman" w:hAnsi="Arial" w:cs="Arial"/>
          <w:color w:val="212529"/>
          <w:kern w:val="36"/>
          <w:sz w:val="24"/>
          <w:szCs w:val="24"/>
          <w:lang w:eastAsia="en-GB"/>
        </w:rPr>
        <w:t xml:space="preserve">In the case of </w:t>
      </w:r>
      <w:r w:rsidR="003361A0" w:rsidRPr="007B76F0">
        <w:rPr>
          <w:rFonts w:ascii="Arial" w:eastAsia="Times New Roman" w:hAnsi="Arial" w:cs="Arial"/>
          <w:color w:val="212529"/>
          <w:kern w:val="36"/>
          <w:sz w:val="24"/>
          <w:szCs w:val="24"/>
          <w:lang w:eastAsia="en-GB"/>
        </w:rPr>
        <w:t xml:space="preserve">Nichols v </w:t>
      </w:r>
      <w:proofErr w:type="spellStart"/>
      <w:r w:rsidR="003361A0" w:rsidRPr="007B76F0">
        <w:rPr>
          <w:rFonts w:ascii="Arial" w:eastAsia="Times New Roman" w:hAnsi="Arial" w:cs="Arial"/>
          <w:color w:val="212529"/>
          <w:kern w:val="36"/>
          <w:sz w:val="24"/>
          <w:szCs w:val="24"/>
          <w:lang w:eastAsia="en-GB"/>
        </w:rPr>
        <w:t>Marsland</w:t>
      </w:r>
      <w:proofErr w:type="spellEnd"/>
      <w:r w:rsidR="003361A0" w:rsidRPr="007B76F0">
        <w:rPr>
          <w:rFonts w:ascii="Arial" w:eastAsia="Times New Roman" w:hAnsi="Arial" w:cs="Arial"/>
          <w:color w:val="212529"/>
          <w:kern w:val="36"/>
          <w:sz w:val="24"/>
          <w:szCs w:val="24"/>
          <w:lang w:eastAsia="en-GB"/>
        </w:rPr>
        <w:t xml:space="preserve"> (1876) extreme heavy rain caused artificial lakes, bridges and waterways to flood and damage </w:t>
      </w:r>
      <w:r w:rsidR="00D824A8" w:rsidRPr="007B76F0">
        <w:rPr>
          <w:rFonts w:ascii="Arial" w:eastAsia="Times New Roman" w:hAnsi="Arial" w:cs="Arial"/>
          <w:color w:val="212529"/>
          <w:kern w:val="36"/>
          <w:sz w:val="24"/>
          <w:szCs w:val="24"/>
          <w:lang w:eastAsia="en-GB"/>
        </w:rPr>
        <w:t>adjoining</w:t>
      </w:r>
      <w:r w:rsidR="003361A0" w:rsidRPr="007B76F0">
        <w:rPr>
          <w:rFonts w:ascii="Arial" w:eastAsia="Times New Roman" w:hAnsi="Arial" w:cs="Arial"/>
          <w:color w:val="212529"/>
          <w:kern w:val="36"/>
          <w:sz w:val="24"/>
          <w:szCs w:val="24"/>
          <w:lang w:eastAsia="en-GB"/>
        </w:rPr>
        <w:t xml:space="preserve"> land. The defendant would not be liable and would class </w:t>
      </w:r>
      <w:r w:rsidR="00D824A8" w:rsidRPr="007B76F0">
        <w:rPr>
          <w:rFonts w:ascii="Arial" w:eastAsia="Times New Roman" w:hAnsi="Arial" w:cs="Arial"/>
          <w:color w:val="212529"/>
          <w:kern w:val="36"/>
          <w:sz w:val="24"/>
          <w:szCs w:val="24"/>
          <w:lang w:eastAsia="en-GB"/>
        </w:rPr>
        <w:t>this</w:t>
      </w:r>
      <w:r w:rsidR="003361A0" w:rsidRPr="007B76F0">
        <w:rPr>
          <w:rFonts w:ascii="Arial" w:eastAsia="Times New Roman" w:hAnsi="Arial" w:cs="Arial"/>
          <w:color w:val="212529"/>
          <w:kern w:val="36"/>
          <w:sz w:val="24"/>
          <w:szCs w:val="24"/>
          <w:lang w:eastAsia="en-GB"/>
        </w:rPr>
        <w:t xml:space="preserve"> case as an act of god.  </w:t>
      </w:r>
    </w:p>
    <w:p w:rsidR="003361A0" w:rsidRPr="007B76F0" w:rsidRDefault="003361A0" w:rsidP="001C7278">
      <w:pPr>
        <w:shd w:val="clear" w:color="auto" w:fill="FFFFFF"/>
        <w:spacing w:after="100" w:afterAutospacing="1" w:line="240" w:lineRule="auto"/>
        <w:outlineLvl w:val="0"/>
        <w:rPr>
          <w:rFonts w:ascii="Arial" w:eastAsia="Times New Roman" w:hAnsi="Arial" w:cs="Arial"/>
          <w:b/>
          <w:color w:val="212529"/>
          <w:kern w:val="36"/>
          <w:sz w:val="24"/>
          <w:szCs w:val="24"/>
          <w:lang w:eastAsia="en-GB"/>
        </w:rPr>
      </w:pPr>
    </w:p>
    <w:p w:rsidR="003361A0" w:rsidRPr="007B76F0" w:rsidRDefault="003361A0" w:rsidP="003361A0">
      <w:pPr>
        <w:pStyle w:val="ListParagraph"/>
        <w:numPr>
          <w:ilvl w:val="0"/>
          <w:numId w:val="6"/>
        </w:numPr>
        <w:shd w:val="clear" w:color="auto" w:fill="FFFFFF"/>
        <w:spacing w:after="100" w:afterAutospacing="1" w:line="240" w:lineRule="auto"/>
        <w:outlineLvl w:val="0"/>
        <w:rPr>
          <w:rFonts w:ascii="Arial" w:eastAsia="Times New Roman" w:hAnsi="Arial" w:cs="Arial"/>
          <w:color w:val="212529"/>
          <w:kern w:val="36"/>
          <w:sz w:val="24"/>
          <w:szCs w:val="24"/>
          <w:lang w:eastAsia="en-GB"/>
        </w:rPr>
      </w:pPr>
      <w:r w:rsidRPr="007B76F0">
        <w:rPr>
          <w:rFonts w:ascii="Arial" w:eastAsia="Times New Roman" w:hAnsi="Arial" w:cs="Arial"/>
          <w:b/>
          <w:color w:val="212529"/>
          <w:kern w:val="36"/>
          <w:sz w:val="24"/>
          <w:szCs w:val="24"/>
          <w:lang w:eastAsia="en-GB"/>
        </w:rPr>
        <w:t>Cambridge Water v Eastern Counties Leather plc (1994)</w:t>
      </w:r>
      <w:r w:rsidR="002001E2" w:rsidRPr="007B76F0">
        <w:rPr>
          <w:rFonts w:ascii="Arial" w:eastAsia="Times New Roman" w:hAnsi="Arial" w:cs="Arial"/>
          <w:color w:val="212529"/>
          <w:kern w:val="36"/>
          <w:sz w:val="24"/>
          <w:szCs w:val="24"/>
          <w:lang w:eastAsia="en-GB"/>
        </w:rPr>
        <w:t xml:space="preserve"> - </w:t>
      </w:r>
      <w:r w:rsidRPr="007B76F0">
        <w:rPr>
          <w:rFonts w:ascii="Arial" w:eastAsia="Times New Roman" w:hAnsi="Arial" w:cs="Arial"/>
          <w:color w:val="212529"/>
          <w:kern w:val="36"/>
          <w:sz w:val="24"/>
          <w:szCs w:val="24"/>
          <w:lang w:eastAsia="en-GB"/>
        </w:rPr>
        <w:t xml:space="preserve">In this case the defendant </w:t>
      </w:r>
      <w:r w:rsidR="00DC1A45" w:rsidRPr="007B76F0">
        <w:rPr>
          <w:rFonts w:ascii="Arial" w:eastAsia="Times New Roman" w:hAnsi="Arial" w:cs="Arial"/>
          <w:color w:val="212529"/>
          <w:kern w:val="36"/>
          <w:sz w:val="24"/>
          <w:szCs w:val="24"/>
          <w:lang w:eastAsia="en-GB"/>
        </w:rPr>
        <w:t xml:space="preserve">Eastern Counties Leather owned a leather tanning business. After a long period of time solvents managed to seep through the floor of the building and penetrate the soil below which eventually made </w:t>
      </w:r>
      <w:r w:rsidR="00D824A8" w:rsidRPr="007B76F0">
        <w:rPr>
          <w:rFonts w:ascii="Arial" w:eastAsia="Times New Roman" w:hAnsi="Arial" w:cs="Arial"/>
          <w:color w:val="212529"/>
          <w:kern w:val="36"/>
          <w:sz w:val="24"/>
          <w:szCs w:val="24"/>
          <w:lang w:eastAsia="en-GB"/>
        </w:rPr>
        <w:t>their</w:t>
      </w:r>
      <w:r w:rsidR="00DC1A45" w:rsidRPr="007B76F0">
        <w:rPr>
          <w:rFonts w:ascii="Arial" w:eastAsia="Times New Roman" w:hAnsi="Arial" w:cs="Arial"/>
          <w:color w:val="212529"/>
          <w:kern w:val="36"/>
          <w:sz w:val="24"/>
          <w:szCs w:val="24"/>
          <w:lang w:eastAsia="en-GB"/>
        </w:rPr>
        <w:t xml:space="preserve"> way to the boreholes owned by the claimant water company (Cambridge Water) and contaminate the water. Cambridge Water had no option but to cease using the borehole. The court held </w:t>
      </w:r>
      <w:r w:rsidR="00D824A8" w:rsidRPr="007B76F0">
        <w:rPr>
          <w:rFonts w:ascii="Arial" w:eastAsia="Times New Roman" w:hAnsi="Arial" w:cs="Arial"/>
          <w:color w:val="212529"/>
          <w:kern w:val="36"/>
          <w:sz w:val="24"/>
          <w:szCs w:val="24"/>
          <w:lang w:eastAsia="en-GB"/>
        </w:rPr>
        <w:t>that Eastern</w:t>
      </w:r>
      <w:r w:rsidR="00DC1A45" w:rsidRPr="007B76F0">
        <w:rPr>
          <w:rFonts w:ascii="Arial" w:eastAsia="Times New Roman" w:hAnsi="Arial" w:cs="Arial"/>
          <w:color w:val="212529"/>
          <w:kern w:val="36"/>
          <w:sz w:val="24"/>
          <w:szCs w:val="24"/>
          <w:lang w:eastAsia="en-GB"/>
        </w:rPr>
        <w:t xml:space="preserve"> Counties </w:t>
      </w:r>
      <w:r w:rsidR="00D824A8" w:rsidRPr="007B76F0">
        <w:rPr>
          <w:rFonts w:ascii="Arial" w:eastAsia="Times New Roman" w:hAnsi="Arial" w:cs="Arial"/>
          <w:color w:val="212529"/>
          <w:kern w:val="36"/>
          <w:sz w:val="24"/>
          <w:szCs w:val="24"/>
          <w:lang w:eastAsia="en-GB"/>
        </w:rPr>
        <w:t>Leather</w:t>
      </w:r>
      <w:r w:rsidR="00DC1A45" w:rsidRPr="007B76F0">
        <w:rPr>
          <w:rFonts w:ascii="Arial" w:eastAsia="Times New Roman" w:hAnsi="Arial" w:cs="Arial"/>
          <w:color w:val="212529"/>
          <w:kern w:val="36"/>
          <w:sz w:val="24"/>
          <w:szCs w:val="24"/>
          <w:lang w:eastAsia="en-GB"/>
        </w:rPr>
        <w:t xml:space="preserve"> were not liable as the damage was too remote. It was not reasonably foreseeable that the solvents would result in closing the borehole down.  </w:t>
      </w:r>
    </w:p>
    <w:p w:rsidR="001C7278" w:rsidRPr="007B76F0" w:rsidRDefault="001C7278" w:rsidP="001C7278">
      <w:pPr>
        <w:rPr>
          <w:rFonts w:ascii="Arial" w:hAnsi="Arial" w:cs="Arial"/>
          <w:sz w:val="24"/>
          <w:szCs w:val="24"/>
        </w:rPr>
      </w:pPr>
    </w:p>
    <w:p w:rsidR="001C7278" w:rsidRPr="007B76F0" w:rsidRDefault="001C7278" w:rsidP="001C7278">
      <w:pPr>
        <w:rPr>
          <w:rFonts w:ascii="Arial" w:hAnsi="Arial" w:cs="Arial"/>
          <w:sz w:val="24"/>
          <w:szCs w:val="24"/>
        </w:rPr>
      </w:pPr>
    </w:p>
    <w:p w:rsidR="001C7278" w:rsidRPr="007B76F0" w:rsidRDefault="001C7278" w:rsidP="001C7278">
      <w:pPr>
        <w:rPr>
          <w:rFonts w:ascii="Arial" w:hAnsi="Arial" w:cs="Arial"/>
          <w:sz w:val="24"/>
          <w:szCs w:val="24"/>
        </w:rPr>
      </w:pPr>
    </w:p>
    <w:p w:rsidR="001C7278" w:rsidRPr="007B76F0" w:rsidRDefault="001C7278" w:rsidP="001C7278">
      <w:pPr>
        <w:rPr>
          <w:rFonts w:ascii="Arial" w:hAnsi="Arial" w:cs="Arial"/>
          <w:b/>
          <w:sz w:val="24"/>
          <w:szCs w:val="24"/>
        </w:rPr>
      </w:pPr>
    </w:p>
    <w:p w:rsidR="001C7278" w:rsidRPr="007B76F0" w:rsidRDefault="001C7278" w:rsidP="001C7278">
      <w:pPr>
        <w:rPr>
          <w:rFonts w:ascii="Arial" w:hAnsi="Arial" w:cs="Arial"/>
          <w:b/>
          <w:sz w:val="24"/>
          <w:szCs w:val="24"/>
        </w:rPr>
      </w:pPr>
    </w:p>
    <w:p w:rsidR="001C7278" w:rsidRPr="007B76F0" w:rsidRDefault="001C7278" w:rsidP="001C7278">
      <w:pPr>
        <w:rPr>
          <w:rFonts w:ascii="Arial" w:hAnsi="Arial" w:cs="Arial"/>
          <w:b/>
          <w:sz w:val="24"/>
          <w:szCs w:val="24"/>
        </w:rPr>
      </w:pPr>
    </w:p>
    <w:p w:rsidR="001C7278" w:rsidRPr="007B76F0" w:rsidRDefault="001C7278" w:rsidP="001C7278">
      <w:pPr>
        <w:rPr>
          <w:rFonts w:ascii="Arial" w:hAnsi="Arial" w:cs="Arial"/>
          <w:b/>
          <w:sz w:val="24"/>
          <w:szCs w:val="24"/>
        </w:rPr>
      </w:pPr>
    </w:p>
    <w:p w:rsidR="001C7278" w:rsidRPr="007B76F0" w:rsidRDefault="001C7278" w:rsidP="001C7278">
      <w:pPr>
        <w:rPr>
          <w:rFonts w:ascii="Arial" w:hAnsi="Arial" w:cs="Arial"/>
          <w:b/>
          <w:sz w:val="24"/>
          <w:szCs w:val="24"/>
        </w:rPr>
      </w:pPr>
    </w:p>
    <w:p w:rsidR="001C7278" w:rsidRPr="007B76F0" w:rsidRDefault="001C7278" w:rsidP="001C7278">
      <w:pPr>
        <w:rPr>
          <w:rFonts w:ascii="Arial" w:hAnsi="Arial" w:cs="Arial"/>
          <w:b/>
          <w:sz w:val="24"/>
          <w:szCs w:val="24"/>
        </w:rPr>
      </w:pPr>
    </w:p>
    <w:p w:rsidR="001C7278" w:rsidRPr="007B76F0" w:rsidRDefault="001C7278" w:rsidP="001C7278">
      <w:pPr>
        <w:rPr>
          <w:rFonts w:ascii="Arial" w:hAnsi="Arial" w:cs="Arial"/>
          <w:b/>
          <w:sz w:val="24"/>
          <w:szCs w:val="24"/>
        </w:rPr>
      </w:pPr>
    </w:p>
    <w:p w:rsidR="001C7278" w:rsidRPr="007B76F0" w:rsidRDefault="001C7278" w:rsidP="001C7278">
      <w:pPr>
        <w:rPr>
          <w:rFonts w:ascii="Arial" w:hAnsi="Arial" w:cs="Arial"/>
          <w:b/>
          <w:sz w:val="24"/>
          <w:szCs w:val="24"/>
        </w:rPr>
      </w:pPr>
    </w:p>
    <w:p w:rsidR="00FF1416" w:rsidRPr="007B76F0" w:rsidRDefault="00FF1416" w:rsidP="001C7278">
      <w:pPr>
        <w:rPr>
          <w:rFonts w:ascii="Arial" w:hAnsi="Arial" w:cs="Arial"/>
          <w:b/>
          <w:color w:val="FF0000"/>
          <w:sz w:val="24"/>
          <w:szCs w:val="24"/>
        </w:rPr>
      </w:pPr>
    </w:p>
    <w:p w:rsidR="00931EB6" w:rsidRPr="007B76F0" w:rsidRDefault="00931EB6" w:rsidP="001C7278">
      <w:pPr>
        <w:rPr>
          <w:rFonts w:ascii="Arial" w:hAnsi="Arial" w:cs="Arial"/>
          <w:b/>
          <w:color w:val="FF0000"/>
          <w:sz w:val="24"/>
          <w:szCs w:val="24"/>
        </w:rPr>
      </w:pPr>
    </w:p>
    <w:p w:rsidR="007B76F0" w:rsidRPr="007B76F0" w:rsidRDefault="007B76F0" w:rsidP="007B76F0">
      <w:pPr>
        <w:rPr>
          <w:rFonts w:ascii="Arial" w:hAnsi="Arial" w:cs="Arial"/>
          <w:b/>
          <w:color w:val="FF0000"/>
          <w:sz w:val="24"/>
          <w:szCs w:val="24"/>
        </w:rPr>
      </w:pPr>
    </w:p>
    <w:p w:rsidR="008A261A" w:rsidRPr="00C5246D" w:rsidRDefault="008A261A" w:rsidP="008A261A">
      <w:pPr>
        <w:ind w:left="360"/>
        <w:rPr>
          <w:rFonts w:ascii="Arial" w:hAnsi="Arial" w:cs="Arial"/>
          <w:b/>
          <w:color w:val="FF0000"/>
          <w:sz w:val="24"/>
          <w:szCs w:val="24"/>
        </w:rPr>
      </w:pPr>
    </w:p>
    <w:p w:rsidR="008A261A" w:rsidRPr="009611AA" w:rsidRDefault="008A261A" w:rsidP="008A261A">
      <w:pPr>
        <w:rPr>
          <w:b/>
        </w:rPr>
      </w:pPr>
    </w:p>
    <w:p w:rsidR="008A261A" w:rsidRPr="008A261A" w:rsidRDefault="008A261A" w:rsidP="008A261A">
      <w:pPr>
        <w:rPr>
          <w:rFonts w:ascii="Arial" w:hAnsi="Arial" w:cs="Arial"/>
          <w:b/>
          <w:color w:val="FF0000"/>
          <w:sz w:val="24"/>
          <w:szCs w:val="24"/>
        </w:rPr>
      </w:pPr>
    </w:p>
    <w:p w:rsidR="00E64D9B" w:rsidRPr="00D22F6B" w:rsidRDefault="00E64D9B" w:rsidP="00E64D9B">
      <w:pPr>
        <w:rPr>
          <w:rFonts w:ascii="Arial" w:hAnsi="Arial" w:cs="Arial"/>
          <w:sz w:val="24"/>
          <w:szCs w:val="24"/>
        </w:rPr>
      </w:pPr>
    </w:p>
    <w:sectPr w:rsidR="00E64D9B" w:rsidRPr="00D22F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D289A"/>
    <w:multiLevelType w:val="hybridMultilevel"/>
    <w:tmpl w:val="261C4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E674B"/>
    <w:multiLevelType w:val="hybridMultilevel"/>
    <w:tmpl w:val="A7DC37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C916CB"/>
    <w:multiLevelType w:val="hybridMultilevel"/>
    <w:tmpl w:val="5EC07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94221"/>
    <w:multiLevelType w:val="hybridMultilevel"/>
    <w:tmpl w:val="7D606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592604"/>
    <w:multiLevelType w:val="hybridMultilevel"/>
    <w:tmpl w:val="2B54A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1E2FCD"/>
    <w:multiLevelType w:val="hybridMultilevel"/>
    <w:tmpl w:val="4B72C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E23297"/>
    <w:multiLevelType w:val="hybridMultilevel"/>
    <w:tmpl w:val="15EA36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1A5F8B"/>
    <w:multiLevelType w:val="hybridMultilevel"/>
    <w:tmpl w:val="20CA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D2166D"/>
    <w:multiLevelType w:val="hybridMultilevel"/>
    <w:tmpl w:val="74E8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9C760F"/>
    <w:multiLevelType w:val="hybridMultilevel"/>
    <w:tmpl w:val="7D8A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48419D"/>
    <w:multiLevelType w:val="hybridMultilevel"/>
    <w:tmpl w:val="5852948E"/>
    <w:lvl w:ilvl="0" w:tplc="27648B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2373575"/>
    <w:multiLevelType w:val="hybridMultilevel"/>
    <w:tmpl w:val="EF22B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9F52ED"/>
    <w:multiLevelType w:val="hybridMultilevel"/>
    <w:tmpl w:val="3AF65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8D54FD"/>
    <w:multiLevelType w:val="hybridMultilevel"/>
    <w:tmpl w:val="2B7C7A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1B4156"/>
    <w:multiLevelType w:val="hybridMultilevel"/>
    <w:tmpl w:val="5A92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1"/>
  </w:num>
  <w:num w:numId="4">
    <w:abstractNumId w:val="5"/>
  </w:num>
  <w:num w:numId="5">
    <w:abstractNumId w:val="6"/>
  </w:num>
  <w:num w:numId="6">
    <w:abstractNumId w:val="14"/>
  </w:num>
  <w:num w:numId="7">
    <w:abstractNumId w:val="7"/>
  </w:num>
  <w:num w:numId="8">
    <w:abstractNumId w:val="4"/>
  </w:num>
  <w:num w:numId="9">
    <w:abstractNumId w:val="12"/>
  </w:num>
  <w:num w:numId="10">
    <w:abstractNumId w:val="8"/>
  </w:num>
  <w:num w:numId="11">
    <w:abstractNumId w:val="3"/>
  </w:num>
  <w:num w:numId="12">
    <w:abstractNumId w:val="10"/>
  </w:num>
  <w:num w:numId="13">
    <w:abstractNumId w:val="9"/>
  </w:num>
  <w:num w:numId="14">
    <w:abstractNumId w:val="11"/>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84D"/>
    <w:rsid w:val="00034410"/>
    <w:rsid w:val="00095FD1"/>
    <w:rsid w:val="000B1FC5"/>
    <w:rsid w:val="000B611C"/>
    <w:rsid w:val="000F3862"/>
    <w:rsid w:val="00111038"/>
    <w:rsid w:val="001215B9"/>
    <w:rsid w:val="001656E2"/>
    <w:rsid w:val="001C40C8"/>
    <w:rsid w:val="001C7278"/>
    <w:rsid w:val="002001E2"/>
    <w:rsid w:val="002A54EF"/>
    <w:rsid w:val="00323D32"/>
    <w:rsid w:val="003361A0"/>
    <w:rsid w:val="00414EC0"/>
    <w:rsid w:val="00450719"/>
    <w:rsid w:val="0045684D"/>
    <w:rsid w:val="005528C2"/>
    <w:rsid w:val="005C69F5"/>
    <w:rsid w:val="005E3635"/>
    <w:rsid w:val="007322A0"/>
    <w:rsid w:val="00753233"/>
    <w:rsid w:val="0078498F"/>
    <w:rsid w:val="00787FB5"/>
    <w:rsid w:val="007B76F0"/>
    <w:rsid w:val="0081413D"/>
    <w:rsid w:val="00823551"/>
    <w:rsid w:val="00886968"/>
    <w:rsid w:val="008A261A"/>
    <w:rsid w:val="00931EB6"/>
    <w:rsid w:val="00A42994"/>
    <w:rsid w:val="00A8552F"/>
    <w:rsid w:val="00B33933"/>
    <w:rsid w:val="00B55B11"/>
    <w:rsid w:val="00B702FF"/>
    <w:rsid w:val="00B71A70"/>
    <w:rsid w:val="00BD1FAB"/>
    <w:rsid w:val="00BF033B"/>
    <w:rsid w:val="00C5246D"/>
    <w:rsid w:val="00CA4454"/>
    <w:rsid w:val="00CB04EB"/>
    <w:rsid w:val="00CB37AF"/>
    <w:rsid w:val="00CC26D9"/>
    <w:rsid w:val="00D22F6B"/>
    <w:rsid w:val="00D33F53"/>
    <w:rsid w:val="00D360BA"/>
    <w:rsid w:val="00D518E5"/>
    <w:rsid w:val="00D824A8"/>
    <w:rsid w:val="00D92904"/>
    <w:rsid w:val="00DC1A45"/>
    <w:rsid w:val="00E64CE7"/>
    <w:rsid w:val="00E64D9B"/>
    <w:rsid w:val="00F50101"/>
    <w:rsid w:val="00F60169"/>
    <w:rsid w:val="00F94DEA"/>
    <w:rsid w:val="00FB2112"/>
    <w:rsid w:val="00FF1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3625F"/>
  <w15:chartTrackingRefBased/>
  <w15:docId w15:val="{D3BAF44A-2CAA-461D-A7BB-89A54E80B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684D"/>
    <w:pPr>
      <w:ind w:left="720"/>
      <w:contextualSpacing/>
    </w:pPr>
  </w:style>
  <w:style w:type="paragraph" w:styleId="NormalWeb">
    <w:name w:val="Normal (Web)"/>
    <w:basedOn w:val="Normal"/>
    <w:uiPriority w:val="99"/>
    <w:semiHidden/>
    <w:unhideWhenUsed/>
    <w:rsid w:val="005C69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C69F5"/>
    <w:rPr>
      <w:color w:val="0000FF"/>
      <w:u w:val="single"/>
    </w:rPr>
  </w:style>
  <w:style w:type="character" w:styleId="Strong">
    <w:name w:val="Strong"/>
    <w:basedOn w:val="DefaultParagraphFont"/>
    <w:uiPriority w:val="22"/>
    <w:qFormat/>
    <w:rsid w:val="00E64CE7"/>
    <w:rPr>
      <w:b/>
      <w:bCs/>
    </w:rPr>
  </w:style>
  <w:style w:type="paragraph" w:styleId="NoSpacing">
    <w:name w:val="No Spacing"/>
    <w:uiPriority w:val="1"/>
    <w:qFormat/>
    <w:rsid w:val="001C7278"/>
    <w:pPr>
      <w:spacing w:after="0" w:line="240" w:lineRule="auto"/>
    </w:pPr>
  </w:style>
  <w:style w:type="character" w:styleId="Emphasis">
    <w:name w:val="Emphasis"/>
    <w:basedOn w:val="DefaultParagraphFont"/>
    <w:uiPriority w:val="20"/>
    <w:qFormat/>
    <w:rsid w:val="001C7278"/>
    <w:rPr>
      <w:i/>
      <w:iCs/>
    </w:rPr>
  </w:style>
  <w:style w:type="paragraph" w:styleId="BalloonText">
    <w:name w:val="Balloon Text"/>
    <w:basedOn w:val="Normal"/>
    <w:link w:val="BalloonTextChar"/>
    <w:uiPriority w:val="99"/>
    <w:semiHidden/>
    <w:unhideWhenUsed/>
    <w:rsid w:val="001215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15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730016">
      <w:bodyDiv w:val="1"/>
      <w:marLeft w:val="0"/>
      <w:marRight w:val="0"/>
      <w:marTop w:val="0"/>
      <w:marBottom w:val="0"/>
      <w:divBdr>
        <w:top w:val="none" w:sz="0" w:space="0" w:color="auto"/>
        <w:left w:val="none" w:sz="0" w:space="0" w:color="auto"/>
        <w:bottom w:val="none" w:sz="0" w:space="0" w:color="auto"/>
        <w:right w:val="none" w:sz="0" w:space="0" w:color="auto"/>
      </w:divBdr>
    </w:div>
    <w:div w:id="316616761">
      <w:bodyDiv w:val="1"/>
      <w:marLeft w:val="0"/>
      <w:marRight w:val="0"/>
      <w:marTop w:val="0"/>
      <w:marBottom w:val="0"/>
      <w:divBdr>
        <w:top w:val="none" w:sz="0" w:space="0" w:color="auto"/>
        <w:left w:val="none" w:sz="0" w:space="0" w:color="auto"/>
        <w:bottom w:val="none" w:sz="0" w:space="0" w:color="auto"/>
        <w:right w:val="none" w:sz="0" w:space="0" w:color="auto"/>
      </w:divBdr>
      <w:divsChild>
        <w:div w:id="1861819741">
          <w:marLeft w:val="0"/>
          <w:marRight w:val="0"/>
          <w:marTop w:val="0"/>
          <w:marBottom w:val="200"/>
          <w:divBdr>
            <w:top w:val="none" w:sz="0" w:space="0" w:color="auto"/>
            <w:left w:val="none" w:sz="0" w:space="0" w:color="auto"/>
            <w:bottom w:val="none" w:sz="0" w:space="0" w:color="auto"/>
            <w:right w:val="none" w:sz="0" w:space="0" w:color="auto"/>
          </w:divBdr>
        </w:div>
      </w:divsChild>
    </w:div>
    <w:div w:id="412553340">
      <w:bodyDiv w:val="1"/>
      <w:marLeft w:val="0"/>
      <w:marRight w:val="0"/>
      <w:marTop w:val="0"/>
      <w:marBottom w:val="0"/>
      <w:divBdr>
        <w:top w:val="none" w:sz="0" w:space="0" w:color="auto"/>
        <w:left w:val="none" w:sz="0" w:space="0" w:color="auto"/>
        <w:bottom w:val="none" w:sz="0" w:space="0" w:color="auto"/>
        <w:right w:val="none" w:sz="0" w:space="0" w:color="auto"/>
      </w:divBdr>
    </w:div>
    <w:div w:id="999036759">
      <w:bodyDiv w:val="1"/>
      <w:marLeft w:val="0"/>
      <w:marRight w:val="0"/>
      <w:marTop w:val="0"/>
      <w:marBottom w:val="0"/>
      <w:divBdr>
        <w:top w:val="none" w:sz="0" w:space="0" w:color="auto"/>
        <w:left w:val="none" w:sz="0" w:space="0" w:color="auto"/>
        <w:bottom w:val="none" w:sz="0" w:space="0" w:color="auto"/>
        <w:right w:val="none" w:sz="0" w:space="0" w:color="auto"/>
      </w:divBdr>
    </w:div>
    <w:div w:id="1104181637">
      <w:bodyDiv w:val="1"/>
      <w:marLeft w:val="0"/>
      <w:marRight w:val="0"/>
      <w:marTop w:val="0"/>
      <w:marBottom w:val="0"/>
      <w:divBdr>
        <w:top w:val="none" w:sz="0" w:space="0" w:color="auto"/>
        <w:left w:val="none" w:sz="0" w:space="0" w:color="auto"/>
        <w:bottom w:val="none" w:sz="0" w:space="0" w:color="auto"/>
        <w:right w:val="none" w:sz="0" w:space="0" w:color="auto"/>
      </w:divBdr>
    </w:div>
    <w:div w:id="1648170376">
      <w:bodyDiv w:val="1"/>
      <w:marLeft w:val="0"/>
      <w:marRight w:val="0"/>
      <w:marTop w:val="0"/>
      <w:marBottom w:val="0"/>
      <w:divBdr>
        <w:top w:val="none" w:sz="0" w:space="0" w:color="auto"/>
        <w:left w:val="none" w:sz="0" w:space="0" w:color="auto"/>
        <w:bottom w:val="none" w:sz="0" w:space="0" w:color="auto"/>
        <w:right w:val="none" w:sz="0" w:space="0" w:color="auto"/>
      </w:divBdr>
      <w:divsChild>
        <w:div w:id="1301349255">
          <w:blockQuote w:val="1"/>
          <w:marLeft w:val="0"/>
          <w:marRight w:val="0"/>
          <w:marTop w:val="600"/>
          <w:marBottom w:val="600"/>
          <w:divBdr>
            <w:top w:val="none" w:sz="0" w:space="0" w:color="auto"/>
            <w:left w:val="single" w:sz="36" w:space="31" w:color="DEE2E6"/>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01B7E-82CC-4073-82B6-711303D75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3816</Words>
  <Characters>21754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Abdullah (1708489)</dc:creator>
  <cp:keywords/>
  <dc:description/>
  <cp:lastModifiedBy>Phillip Abdullah (1708489)</cp:lastModifiedBy>
  <cp:revision>2</cp:revision>
  <cp:lastPrinted>2019-05-20T14:23:00Z</cp:lastPrinted>
  <dcterms:created xsi:type="dcterms:W3CDTF">2019-05-20T14:30:00Z</dcterms:created>
  <dcterms:modified xsi:type="dcterms:W3CDTF">2019-05-20T14:30:00Z</dcterms:modified>
</cp:coreProperties>
</file>