
<file path=[Content_Types].xml><?xml version="1.0" encoding="utf-8"?>
<Types xmlns="http://schemas.openxmlformats.org/package/2006/content-types">
  <Override PartName="/word/footnotes.xml" ContentType="application/vnd.openxmlformats-officedocument.wordprocessingml.footnot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250C" w:rsidRPr="000B7683" w:rsidRDefault="005A250C" w:rsidP="006E04A6">
      <w:pPr>
        <w:autoSpaceDE w:val="0"/>
        <w:autoSpaceDN w:val="0"/>
        <w:adjustRightInd w:val="0"/>
        <w:spacing w:after="0" w:line="240" w:lineRule="auto"/>
        <w:rPr>
          <w:rFonts w:ascii="Times New Roman" w:hAnsi="Times New Roman" w:cs="Times New Roman"/>
          <w:bCs/>
          <w:sz w:val="24"/>
          <w:szCs w:val="24"/>
        </w:rPr>
      </w:pPr>
      <w:r w:rsidRPr="000B7683">
        <w:rPr>
          <w:rFonts w:ascii="Times New Roman" w:hAnsi="Times New Roman" w:cs="Times New Roman"/>
          <w:bCs/>
          <w:sz w:val="24"/>
          <w:szCs w:val="24"/>
        </w:rPr>
        <w:t>Date: 09 January 2017</w:t>
      </w:r>
    </w:p>
    <w:p w:rsidR="005A250C" w:rsidRPr="000B7683" w:rsidRDefault="005A250C" w:rsidP="006E04A6">
      <w:pPr>
        <w:autoSpaceDE w:val="0"/>
        <w:autoSpaceDN w:val="0"/>
        <w:adjustRightInd w:val="0"/>
        <w:spacing w:after="0" w:line="240" w:lineRule="auto"/>
        <w:rPr>
          <w:rFonts w:ascii="Times New Roman" w:hAnsi="Times New Roman" w:cs="Times New Roman"/>
          <w:bCs/>
          <w:sz w:val="24"/>
          <w:szCs w:val="24"/>
        </w:rPr>
      </w:pPr>
      <w:r w:rsidRPr="000B7683">
        <w:rPr>
          <w:rFonts w:ascii="Times New Roman" w:hAnsi="Times New Roman" w:cs="Times New Roman"/>
          <w:bCs/>
          <w:sz w:val="24"/>
          <w:szCs w:val="24"/>
        </w:rPr>
        <w:t>Student Name: Celine Dahihon Okou</w:t>
      </w:r>
    </w:p>
    <w:p w:rsidR="005A250C" w:rsidRPr="000B7683" w:rsidRDefault="005A250C" w:rsidP="006E04A6">
      <w:pPr>
        <w:autoSpaceDE w:val="0"/>
        <w:autoSpaceDN w:val="0"/>
        <w:adjustRightInd w:val="0"/>
        <w:spacing w:after="0" w:line="240" w:lineRule="auto"/>
        <w:rPr>
          <w:rFonts w:ascii="Times New Roman" w:hAnsi="Times New Roman" w:cs="Times New Roman"/>
          <w:bCs/>
          <w:sz w:val="24"/>
          <w:szCs w:val="24"/>
        </w:rPr>
      </w:pPr>
      <w:r w:rsidRPr="000B7683">
        <w:rPr>
          <w:rFonts w:ascii="Times New Roman" w:hAnsi="Times New Roman" w:cs="Times New Roman"/>
          <w:bCs/>
          <w:sz w:val="24"/>
          <w:szCs w:val="24"/>
        </w:rPr>
        <w:t>Student Number: 1708335</w:t>
      </w:r>
    </w:p>
    <w:p w:rsidR="005A250C" w:rsidRPr="000B7683" w:rsidRDefault="005A250C" w:rsidP="006E04A6">
      <w:pPr>
        <w:autoSpaceDE w:val="0"/>
        <w:autoSpaceDN w:val="0"/>
        <w:adjustRightInd w:val="0"/>
        <w:spacing w:after="0" w:line="240" w:lineRule="auto"/>
        <w:rPr>
          <w:rFonts w:ascii="Times New Roman" w:hAnsi="Times New Roman" w:cs="Times New Roman"/>
          <w:bCs/>
          <w:sz w:val="24"/>
          <w:szCs w:val="24"/>
        </w:rPr>
      </w:pPr>
      <w:r w:rsidRPr="000B7683">
        <w:rPr>
          <w:rFonts w:ascii="Times New Roman" w:hAnsi="Times New Roman" w:cs="Times New Roman"/>
          <w:bCs/>
          <w:sz w:val="24"/>
          <w:szCs w:val="24"/>
        </w:rPr>
        <w:t>Tutor Name: Jia Miao</w:t>
      </w:r>
    </w:p>
    <w:p w:rsidR="005A250C" w:rsidRPr="000B7683" w:rsidRDefault="00415C9D" w:rsidP="006E04A6">
      <w:pPr>
        <w:autoSpaceDE w:val="0"/>
        <w:autoSpaceDN w:val="0"/>
        <w:adjustRightInd w:val="0"/>
        <w:spacing w:after="0" w:line="240" w:lineRule="auto"/>
        <w:rPr>
          <w:rFonts w:ascii="Times New Roman" w:hAnsi="Times New Roman" w:cs="Times New Roman"/>
          <w:bCs/>
          <w:sz w:val="24"/>
          <w:szCs w:val="24"/>
        </w:rPr>
      </w:pPr>
      <w:r w:rsidRPr="000B7683">
        <w:rPr>
          <w:rFonts w:ascii="Times New Roman" w:hAnsi="Times New Roman" w:cs="Times New Roman"/>
          <w:bCs/>
          <w:sz w:val="24"/>
          <w:szCs w:val="24"/>
        </w:rPr>
        <w:t xml:space="preserve">Tutorial </w:t>
      </w:r>
      <w:r w:rsidR="005A250C" w:rsidRPr="000B7683">
        <w:rPr>
          <w:rFonts w:ascii="Times New Roman" w:hAnsi="Times New Roman" w:cs="Times New Roman"/>
          <w:bCs/>
          <w:sz w:val="24"/>
          <w:szCs w:val="24"/>
        </w:rPr>
        <w:t>Time: Thursday 13:45 pm to 18:15 Pm</w:t>
      </w:r>
    </w:p>
    <w:p w:rsidR="00CE74F6" w:rsidRPr="000B7683" w:rsidRDefault="00CE74F6" w:rsidP="006E04A6">
      <w:pPr>
        <w:autoSpaceDE w:val="0"/>
        <w:autoSpaceDN w:val="0"/>
        <w:adjustRightInd w:val="0"/>
        <w:spacing w:after="0" w:line="240" w:lineRule="auto"/>
        <w:rPr>
          <w:rFonts w:ascii="Times New Roman" w:hAnsi="Times New Roman" w:cs="Times New Roman"/>
          <w:bCs/>
          <w:sz w:val="24"/>
          <w:szCs w:val="24"/>
        </w:rPr>
      </w:pPr>
    </w:p>
    <w:p w:rsidR="00E2683B" w:rsidRDefault="00E2683B" w:rsidP="006E04A6">
      <w:pPr>
        <w:autoSpaceDE w:val="0"/>
        <w:autoSpaceDN w:val="0"/>
        <w:adjustRightInd w:val="0"/>
        <w:spacing w:after="0" w:line="240" w:lineRule="auto"/>
        <w:rPr>
          <w:rFonts w:ascii="Times New Roman" w:hAnsi="Times New Roman" w:cs="Times New Roman"/>
          <w:bCs/>
          <w:sz w:val="24"/>
          <w:szCs w:val="24"/>
        </w:rPr>
      </w:pPr>
    </w:p>
    <w:p w:rsidR="00CE74F6" w:rsidRPr="00E2683B" w:rsidRDefault="00CE74F6" w:rsidP="006E04A6">
      <w:pPr>
        <w:autoSpaceDE w:val="0"/>
        <w:autoSpaceDN w:val="0"/>
        <w:adjustRightInd w:val="0"/>
        <w:spacing w:after="0" w:line="240" w:lineRule="auto"/>
        <w:rPr>
          <w:rFonts w:ascii="Times New Roman" w:hAnsi="Times New Roman" w:cs="Times New Roman"/>
          <w:bCs/>
          <w:sz w:val="28"/>
          <w:szCs w:val="28"/>
        </w:rPr>
      </w:pPr>
      <w:r w:rsidRPr="00E2683B">
        <w:rPr>
          <w:rFonts w:ascii="Times New Roman" w:hAnsi="Times New Roman" w:cs="Times New Roman"/>
          <w:bCs/>
          <w:sz w:val="28"/>
          <w:szCs w:val="28"/>
        </w:rPr>
        <w:t>Table of Contents</w:t>
      </w:r>
    </w:p>
    <w:p w:rsidR="00CE74F6" w:rsidRPr="000B7683" w:rsidRDefault="00CE74F6" w:rsidP="006E04A6">
      <w:pPr>
        <w:autoSpaceDE w:val="0"/>
        <w:autoSpaceDN w:val="0"/>
        <w:adjustRightInd w:val="0"/>
        <w:spacing w:after="0" w:line="240" w:lineRule="auto"/>
        <w:rPr>
          <w:rFonts w:ascii="Times New Roman" w:hAnsi="Times New Roman" w:cs="Times New Roman"/>
          <w:bCs/>
          <w:sz w:val="24"/>
          <w:szCs w:val="24"/>
        </w:rPr>
      </w:pPr>
    </w:p>
    <w:p w:rsidR="00CE74F6" w:rsidRPr="000B7683" w:rsidRDefault="00CE74F6" w:rsidP="006E04A6">
      <w:pPr>
        <w:autoSpaceDE w:val="0"/>
        <w:autoSpaceDN w:val="0"/>
        <w:adjustRightInd w:val="0"/>
        <w:spacing w:after="0" w:line="240" w:lineRule="auto"/>
        <w:rPr>
          <w:rFonts w:ascii="Times New Roman" w:hAnsi="Times New Roman" w:cs="Times New Roman"/>
          <w:bCs/>
          <w:sz w:val="24"/>
          <w:szCs w:val="24"/>
        </w:rPr>
      </w:pPr>
      <w:r w:rsidRPr="000B7683">
        <w:rPr>
          <w:rFonts w:ascii="Times New Roman" w:hAnsi="Times New Roman" w:cs="Times New Roman"/>
          <w:bCs/>
          <w:sz w:val="24"/>
          <w:szCs w:val="24"/>
        </w:rPr>
        <w:t>1.0 Introduction</w:t>
      </w:r>
    </w:p>
    <w:p w:rsidR="00CE74F6" w:rsidRPr="000B7683" w:rsidRDefault="00CE74F6" w:rsidP="006E04A6">
      <w:pPr>
        <w:autoSpaceDE w:val="0"/>
        <w:autoSpaceDN w:val="0"/>
        <w:adjustRightInd w:val="0"/>
        <w:spacing w:after="0" w:line="240" w:lineRule="auto"/>
        <w:rPr>
          <w:rFonts w:ascii="Times New Roman" w:hAnsi="Times New Roman" w:cs="Times New Roman"/>
          <w:bCs/>
          <w:sz w:val="24"/>
          <w:szCs w:val="24"/>
        </w:rPr>
      </w:pPr>
      <w:r w:rsidRPr="000B7683">
        <w:rPr>
          <w:rFonts w:ascii="Times New Roman" w:hAnsi="Times New Roman" w:cs="Times New Roman"/>
          <w:bCs/>
          <w:sz w:val="24"/>
          <w:szCs w:val="24"/>
        </w:rPr>
        <w:t xml:space="preserve">2.0 </w:t>
      </w:r>
      <w:r w:rsidR="004914C2" w:rsidRPr="000B7683">
        <w:rPr>
          <w:rFonts w:ascii="Times New Roman" w:hAnsi="Times New Roman" w:cs="Times New Roman"/>
          <w:bCs/>
          <w:sz w:val="24"/>
          <w:szCs w:val="24"/>
        </w:rPr>
        <w:t>Calculation of DFS PLC</w:t>
      </w:r>
      <w:r w:rsidRPr="000B7683">
        <w:rPr>
          <w:rFonts w:ascii="Times New Roman" w:hAnsi="Times New Roman" w:cs="Times New Roman"/>
          <w:bCs/>
          <w:sz w:val="24"/>
          <w:szCs w:val="24"/>
        </w:rPr>
        <w:t xml:space="preserve"> </w:t>
      </w:r>
      <w:r w:rsidR="00456C9D" w:rsidRPr="000B7683">
        <w:rPr>
          <w:rFonts w:ascii="Times New Roman" w:hAnsi="Times New Roman" w:cs="Times New Roman"/>
          <w:bCs/>
          <w:sz w:val="24"/>
          <w:szCs w:val="24"/>
        </w:rPr>
        <w:t xml:space="preserve">and SCS PLC </w:t>
      </w:r>
      <w:r w:rsidRPr="000B7683">
        <w:rPr>
          <w:rFonts w:ascii="Times New Roman" w:hAnsi="Times New Roman" w:cs="Times New Roman"/>
          <w:bCs/>
          <w:sz w:val="24"/>
          <w:szCs w:val="24"/>
        </w:rPr>
        <w:t xml:space="preserve">Key Financial Performances for the past 5 Years. </w:t>
      </w:r>
    </w:p>
    <w:p w:rsidR="00CE74F6" w:rsidRPr="000B7683" w:rsidRDefault="00CE74F6" w:rsidP="006E04A6">
      <w:pPr>
        <w:autoSpaceDE w:val="0"/>
        <w:autoSpaceDN w:val="0"/>
        <w:adjustRightInd w:val="0"/>
        <w:spacing w:after="0" w:line="240" w:lineRule="auto"/>
        <w:rPr>
          <w:rFonts w:ascii="Times New Roman" w:hAnsi="Times New Roman" w:cs="Times New Roman"/>
          <w:bCs/>
          <w:sz w:val="24"/>
          <w:szCs w:val="24"/>
        </w:rPr>
      </w:pPr>
      <w:r w:rsidRPr="000B7683">
        <w:rPr>
          <w:rFonts w:ascii="Times New Roman" w:hAnsi="Times New Roman" w:cs="Times New Roman"/>
          <w:bCs/>
          <w:sz w:val="24"/>
          <w:szCs w:val="24"/>
        </w:rPr>
        <w:t>2.1</w:t>
      </w:r>
      <w:r w:rsidR="004914C2" w:rsidRPr="000B7683">
        <w:rPr>
          <w:rFonts w:ascii="Times New Roman" w:hAnsi="Times New Roman" w:cs="Times New Roman"/>
          <w:bCs/>
          <w:sz w:val="24"/>
          <w:szCs w:val="24"/>
        </w:rPr>
        <w:t xml:space="preserve"> Calculation of Profitability Ratios</w:t>
      </w:r>
    </w:p>
    <w:p w:rsidR="004914C2" w:rsidRPr="000B7683" w:rsidRDefault="004914C2" w:rsidP="006E04A6">
      <w:pPr>
        <w:autoSpaceDE w:val="0"/>
        <w:autoSpaceDN w:val="0"/>
        <w:adjustRightInd w:val="0"/>
        <w:spacing w:after="0" w:line="240" w:lineRule="auto"/>
        <w:rPr>
          <w:rFonts w:ascii="Times New Roman" w:hAnsi="Times New Roman" w:cs="Times New Roman"/>
          <w:bCs/>
          <w:sz w:val="24"/>
          <w:szCs w:val="24"/>
        </w:rPr>
      </w:pPr>
      <w:r w:rsidRPr="000B7683">
        <w:rPr>
          <w:rFonts w:ascii="Times New Roman" w:hAnsi="Times New Roman" w:cs="Times New Roman"/>
          <w:bCs/>
          <w:sz w:val="24"/>
          <w:szCs w:val="24"/>
        </w:rPr>
        <w:t>2.2 Calculation of Liquidity Ratios</w:t>
      </w:r>
    </w:p>
    <w:p w:rsidR="004914C2" w:rsidRPr="000B7683" w:rsidRDefault="004914C2" w:rsidP="006E04A6">
      <w:pPr>
        <w:autoSpaceDE w:val="0"/>
        <w:autoSpaceDN w:val="0"/>
        <w:adjustRightInd w:val="0"/>
        <w:spacing w:after="0" w:line="240" w:lineRule="auto"/>
        <w:rPr>
          <w:rFonts w:ascii="Times New Roman" w:hAnsi="Times New Roman" w:cs="Times New Roman"/>
          <w:bCs/>
          <w:sz w:val="24"/>
          <w:szCs w:val="24"/>
        </w:rPr>
      </w:pPr>
      <w:r w:rsidRPr="000B7683">
        <w:rPr>
          <w:rFonts w:ascii="Times New Roman" w:hAnsi="Times New Roman" w:cs="Times New Roman"/>
          <w:bCs/>
          <w:sz w:val="24"/>
          <w:szCs w:val="24"/>
        </w:rPr>
        <w:t>2.3 Calculation of Gearing Ratios</w:t>
      </w:r>
    </w:p>
    <w:p w:rsidR="004914C2" w:rsidRPr="000B7683" w:rsidRDefault="004914C2" w:rsidP="006E04A6">
      <w:pPr>
        <w:autoSpaceDE w:val="0"/>
        <w:autoSpaceDN w:val="0"/>
        <w:adjustRightInd w:val="0"/>
        <w:spacing w:after="0" w:line="240" w:lineRule="auto"/>
        <w:rPr>
          <w:rFonts w:ascii="Times New Roman" w:hAnsi="Times New Roman" w:cs="Times New Roman"/>
          <w:bCs/>
          <w:sz w:val="24"/>
          <w:szCs w:val="24"/>
        </w:rPr>
      </w:pPr>
      <w:r w:rsidRPr="000B7683">
        <w:rPr>
          <w:rFonts w:ascii="Times New Roman" w:hAnsi="Times New Roman" w:cs="Times New Roman"/>
          <w:bCs/>
          <w:sz w:val="24"/>
          <w:szCs w:val="24"/>
        </w:rPr>
        <w:t>2.4 Calculation of Efficiency Ratios</w:t>
      </w:r>
    </w:p>
    <w:p w:rsidR="004914C2" w:rsidRPr="000B7683" w:rsidRDefault="004914C2" w:rsidP="006E04A6">
      <w:pPr>
        <w:autoSpaceDE w:val="0"/>
        <w:autoSpaceDN w:val="0"/>
        <w:adjustRightInd w:val="0"/>
        <w:spacing w:after="0" w:line="240" w:lineRule="auto"/>
        <w:rPr>
          <w:rFonts w:ascii="Times New Roman" w:hAnsi="Times New Roman" w:cs="Times New Roman"/>
          <w:bCs/>
          <w:sz w:val="24"/>
          <w:szCs w:val="24"/>
        </w:rPr>
      </w:pPr>
      <w:r w:rsidRPr="000B7683">
        <w:rPr>
          <w:rFonts w:ascii="Times New Roman" w:hAnsi="Times New Roman" w:cs="Times New Roman"/>
          <w:bCs/>
          <w:sz w:val="24"/>
          <w:szCs w:val="24"/>
        </w:rPr>
        <w:t>3.0 Critical analysis of the DFS PLC Calculated</w:t>
      </w:r>
    </w:p>
    <w:p w:rsidR="004914C2" w:rsidRPr="000B7683" w:rsidRDefault="004914C2" w:rsidP="006E04A6">
      <w:pPr>
        <w:autoSpaceDE w:val="0"/>
        <w:autoSpaceDN w:val="0"/>
        <w:adjustRightInd w:val="0"/>
        <w:spacing w:after="0" w:line="240" w:lineRule="auto"/>
        <w:rPr>
          <w:rFonts w:ascii="Times New Roman" w:hAnsi="Times New Roman" w:cs="Times New Roman"/>
          <w:bCs/>
          <w:sz w:val="24"/>
          <w:szCs w:val="24"/>
        </w:rPr>
      </w:pPr>
      <w:r w:rsidRPr="000B7683">
        <w:rPr>
          <w:rFonts w:ascii="Times New Roman" w:hAnsi="Times New Roman" w:cs="Times New Roman"/>
          <w:bCs/>
          <w:sz w:val="24"/>
          <w:szCs w:val="24"/>
        </w:rPr>
        <w:t>4.0 Explanation of the changes of the ratios over the years</w:t>
      </w:r>
    </w:p>
    <w:p w:rsidR="004914C2" w:rsidRPr="000B7683" w:rsidRDefault="004914C2" w:rsidP="006E04A6">
      <w:pPr>
        <w:autoSpaceDE w:val="0"/>
        <w:autoSpaceDN w:val="0"/>
        <w:adjustRightInd w:val="0"/>
        <w:spacing w:after="0" w:line="240" w:lineRule="auto"/>
        <w:rPr>
          <w:rFonts w:ascii="Times New Roman" w:hAnsi="Times New Roman" w:cs="Times New Roman"/>
          <w:bCs/>
          <w:sz w:val="24"/>
          <w:szCs w:val="24"/>
        </w:rPr>
      </w:pPr>
      <w:r w:rsidRPr="000B7683">
        <w:rPr>
          <w:rFonts w:ascii="Times New Roman" w:hAnsi="Times New Roman" w:cs="Times New Roman"/>
          <w:bCs/>
          <w:sz w:val="24"/>
          <w:szCs w:val="24"/>
        </w:rPr>
        <w:t xml:space="preserve">5.0 Comparison analysis against </w:t>
      </w:r>
      <w:r w:rsidR="006836AE" w:rsidRPr="000B7683">
        <w:rPr>
          <w:rFonts w:ascii="Times New Roman" w:hAnsi="Times New Roman" w:cs="Times New Roman"/>
          <w:bCs/>
          <w:sz w:val="24"/>
          <w:szCs w:val="24"/>
        </w:rPr>
        <w:t>SCS PLC, DFS PLC major competitor and sector average</w:t>
      </w:r>
    </w:p>
    <w:p w:rsidR="006836AE" w:rsidRPr="000B7683" w:rsidRDefault="006836AE" w:rsidP="006E04A6">
      <w:pPr>
        <w:autoSpaceDE w:val="0"/>
        <w:autoSpaceDN w:val="0"/>
        <w:adjustRightInd w:val="0"/>
        <w:spacing w:after="0" w:line="240" w:lineRule="auto"/>
        <w:rPr>
          <w:rFonts w:ascii="Times New Roman" w:hAnsi="Times New Roman" w:cs="Times New Roman"/>
          <w:bCs/>
          <w:sz w:val="24"/>
          <w:szCs w:val="24"/>
        </w:rPr>
      </w:pPr>
      <w:r w:rsidRPr="000B7683">
        <w:rPr>
          <w:rFonts w:ascii="Times New Roman" w:hAnsi="Times New Roman" w:cs="Times New Roman"/>
          <w:bCs/>
          <w:sz w:val="24"/>
          <w:szCs w:val="24"/>
        </w:rPr>
        <w:t>6.0 Projections of the DFS PLC future performances against SCS Plc and sector average</w:t>
      </w:r>
    </w:p>
    <w:p w:rsidR="006836AE" w:rsidRPr="000B7683" w:rsidRDefault="006836AE" w:rsidP="006E04A6">
      <w:pPr>
        <w:autoSpaceDE w:val="0"/>
        <w:autoSpaceDN w:val="0"/>
        <w:adjustRightInd w:val="0"/>
        <w:spacing w:after="0" w:line="240" w:lineRule="auto"/>
        <w:rPr>
          <w:rFonts w:ascii="Times New Roman" w:hAnsi="Times New Roman" w:cs="Times New Roman"/>
          <w:bCs/>
          <w:sz w:val="24"/>
          <w:szCs w:val="24"/>
        </w:rPr>
      </w:pPr>
      <w:r w:rsidRPr="000B7683">
        <w:rPr>
          <w:rFonts w:ascii="Times New Roman" w:hAnsi="Times New Roman" w:cs="Times New Roman"/>
          <w:bCs/>
          <w:sz w:val="24"/>
          <w:szCs w:val="24"/>
        </w:rPr>
        <w:t>7.0 Discussion of the pros and cons of the DFC PLC ratios analysis</w:t>
      </w:r>
    </w:p>
    <w:p w:rsidR="006836AE" w:rsidRPr="000B7683" w:rsidRDefault="006836AE" w:rsidP="006E04A6">
      <w:pPr>
        <w:autoSpaceDE w:val="0"/>
        <w:autoSpaceDN w:val="0"/>
        <w:adjustRightInd w:val="0"/>
        <w:spacing w:after="0" w:line="240" w:lineRule="auto"/>
        <w:rPr>
          <w:rFonts w:ascii="Times New Roman" w:hAnsi="Times New Roman" w:cs="Times New Roman"/>
          <w:bCs/>
          <w:sz w:val="24"/>
          <w:szCs w:val="24"/>
        </w:rPr>
      </w:pPr>
      <w:r w:rsidRPr="000B7683">
        <w:rPr>
          <w:rFonts w:ascii="Times New Roman" w:hAnsi="Times New Roman" w:cs="Times New Roman"/>
          <w:bCs/>
          <w:sz w:val="24"/>
          <w:szCs w:val="24"/>
        </w:rPr>
        <w:t>8.0 Conclusion</w:t>
      </w:r>
    </w:p>
    <w:p w:rsidR="006836AE" w:rsidRPr="000B7683" w:rsidRDefault="006836AE" w:rsidP="006E04A6">
      <w:pPr>
        <w:autoSpaceDE w:val="0"/>
        <w:autoSpaceDN w:val="0"/>
        <w:adjustRightInd w:val="0"/>
        <w:spacing w:after="0" w:line="240" w:lineRule="auto"/>
        <w:rPr>
          <w:rFonts w:ascii="Times New Roman" w:hAnsi="Times New Roman" w:cs="Times New Roman"/>
          <w:bCs/>
          <w:sz w:val="24"/>
          <w:szCs w:val="24"/>
        </w:rPr>
      </w:pPr>
      <w:r w:rsidRPr="000B7683">
        <w:rPr>
          <w:rFonts w:ascii="Times New Roman" w:hAnsi="Times New Roman" w:cs="Times New Roman"/>
          <w:bCs/>
          <w:sz w:val="24"/>
          <w:szCs w:val="24"/>
        </w:rPr>
        <w:t>9.0 Reference</w:t>
      </w:r>
    </w:p>
    <w:p w:rsidR="004914C2" w:rsidRPr="000B7683" w:rsidRDefault="004914C2" w:rsidP="006E04A6">
      <w:pPr>
        <w:autoSpaceDE w:val="0"/>
        <w:autoSpaceDN w:val="0"/>
        <w:adjustRightInd w:val="0"/>
        <w:spacing w:after="0" w:line="240" w:lineRule="auto"/>
        <w:rPr>
          <w:rFonts w:ascii="Times New Roman" w:hAnsi="Times New Roman" w:cs="Times New Roman"/>
          <w:bCs/>
          <w:sz w:val="24"/>
          <w:szCs w:val="24"/>
        </w:rPr>
      </w:pPr>
    </w:p>
    <w:p w:rsidR="004914C2" w:rsidRPr="000B7683" w:rsidRDefault="004914C2" w:rsidP="006E04A6">
      <w:pPr>
        <w:autoSpaceDE w:val="0"/>
        <w:autoSpaceDN w:val="0"/>
        <w:adjustRightInd w:val="0"/>
        <w:spacing w:after="0" w:line="240" w:lineRule="auto"/>
        <w:rPr>
          <w:rFonts w:ascii="Times New Roman" w:hAnsi="Times New Roman" w:cs="Times New Roman"/>
          <w:bCs/>
          <w:sz w:val="24"/>
          <w:szCs w:val="24"/>
        </w:rPr>
      </w:pPr>
    </w:p>
    <w:p w:rsidR="004914C2" w:rsidRPr="000B7683" w:rsidRDefault="004914C2" w:rsidP="006E04A6">
      <w:pPr>
        <w:autoSpaceDE w:val="0"/>
        <w:autoSpaceDN w:val="0"/>
        <w:adjustRightInd w:val="0"/>
        <w:spacing w:after="0" w:line="240" w:lineRule="auto"/>
        <w:rPr>
          <w:rFonts w:ascii="Times New Roman" w:hAnsi="Times New Roman" w:cs="Times New Roman"/>
          <w:bCs/>
          <w:sz w:val="24"/>
          <w:szCs w:val="24"/>
        </w:rPr>
      </w:pPr>
    </w:p>
    <w:p w:rsidR="00CE74F6" w:rsidRPr="000B7683" w:rsidRDefault="00CE74F6" w:rsidP="006E04A6">
      <w:pPr>
        <w:autoSpaceDE w:val="0"/>
        <w:autoSpaceDN w:val="0"/>
        <w:adjustRightInd w:val="0"/>
        <w:spacing w:after="0" w:line="240" w:lineRule="auto"/>
        <w:rPr>
          <w:rFonts w:ascii="Times New Roman" w:hAnsi="Times New Roman" w:cs="Times New Roman"/>
          <w:bCs/>
          <w:sz w:val="24"/>
          <w:szCs w:val="24"/>
        </w:rPr>
      </w:pPr>
    </w:p>
    <w:p w:rsidR="00CE74F6" w:rsidRPr="000B7683" w:rsidRDefault="00CE74F6" w:rsidP="006E04A6">
      <w:pPr>
        <w:autoSpaceDE w:val="0"/>
        <w:autoSpaceDN w:val="0"/>
        <w:adjustRightInd w:val="0"/>
        <w:spacing w:after="0" w:line="240" w:lineRule="auto"/>
        <w:rPr>
          <w:rFonts w:ascii="Times New Roman" w:hAnsi="Times New Roman" w:cs="Times New Roman"/>
          <w:bCs/>
          <w:sz w:val="24"/>
          <w:szCs w:val="24"/>
        </w:rPr>
      </w:pPr>
    </w:p>
    <w:p w:rsidR="00CE74F6" w:rsidRPr="000B7683" w:rsidRDefault="00CE74F6" w:rsidP="006E04A6">
      <w:pPr>
        <w:autoSpaceDE w:val="0"/>
        <w:autoSpaceDN w:val="0"/>
        <w:adjustRightInd w:val="0"/>
        <w:spacing w:after="0" w:line="240" w:lineRule="auto"/>
        <w:rPr>
          <w:rFonts w:ascii="Times New Roman" w:hAnsi="Times New Roman" w:cs="Times New Roman"/>
          <w:bCs/>
          <w:sz w:val="28"/>
          <w:szCs w:val="28"/>
        </w:rPr>
      </w:pPr>
    </w:p>
    <w:p w:rsidR="005A250C" w:rsidRPr="000B7683" w:rsidRDefault="005A250C" w:rsidP="006E04A6">
      <w:pPr>
        <w:autoSpaceDE w:val="0"/>
        <w:autoSpaceDN w:val="0"/>
        <w:adjustRightInd w:val="0"/>
        <w:spacing w:after="0" w:line="240" w:lineRule="auto"/>
        <w:rPr>
          <w:rFonts w:ascii="Times New Roman" w:hAnsi="Times New Roman" w:cs="Times New Roman"/>
          <w:bCs/>
          <w:sz w:val="36"/>
          <w:szCs w:val="36"/>
          <w:u w:val="single"/>
        </w:rPr>
      </w:pPr>
    </w:p>
    <w:p w:rsidR="00CC058E" w:rsidRPr="000B7683" w:rsidRDefault="00CC058E" w:rsidP="006E04A6">
      <w:pPr>
        <w:autoSpaceDE w:val="0"/>
        <w:autoSpaceDN w:val="0"/>
        <w:adjustRightInd w:val="0"/>
        <w:spacing w:after="0" w:line="240" w:lineRule="auto"/>
        <w:rPr>
          <w:rFonts w:ascii="Times New Roman" w:hAnsi="Times New Roman" w:cs="Times New Roman"/>
          <w:bCs/>
          <w:sz w:val="36"/>
          <w:szCs w:val="36"/>
          <w:u w:val="single"/>
        </w:rPr>
      </w:pPr>
    </w:p>
    <w:p w:rsidR="00CC058E" w:rsidRPr="000B7683" w:rsidRDefault="00CC058E" w:rsidP="006E04A6">
      <w:pPr>
        <w:autoSpaceDE w:val="0"/>
        <w:autoSpaceDN w:val="0"/>
        <w:adjustRightInd w:val="0"/>
        <w:spacing w:after="0" w:line="240" w:lineRule="auto"/>
        <w:rPr>
          <w:rFonts w:ascii="Times New Roman" w:hAnsi="Times New Roman" w:cs="Times New Roman"/>
          <w:bCs/>
          <w:sz w:val="36"/>
          <w:szCs w:val="36"/>
          <w:u w:val="single"/>
        </w:rPr>
      </w:pPr>
    </w:p>
    <w:p w:rsidR="006E04A6" w:rsidRPr="000B7683" w:rsidRDefault="006E04A6" w:rsidP="006E04A6">
      <w:pPr>
        <w:autoSpaceDE w:val="0"/>
        <w:autoSpaceDN w:val="0"/>
        <w:adjustRightInd w:val="0"/>
        <w:spacing w:after="0" w:line="240" w:lineRule="auto"/>
        <w:rPr>
          <w:rFonts w:ascii="Times New Roman" w:hAnsi="Times New Roman" w:cs="Times New Roman"/>
          <w:bCs/>
          <w:sz w:val="32"/>
          <w:szCs w:val="32"/>
          <w:u w:val="single"/>
        </w:rPr>
      </w:pPr>
    </w:p>
    <w:p w:rsidR="006E04A6" w:rsidRDefault="006E04A6" w:rsidP="006E04A6">
      <w:pPr>
        <w:autoSpaceDE w:val="0"/>
        <w:autoSpaceDN w:val="0"/>
        <w:adjustRightInd w:val="0"/>
        <w:spacing w:after="0" w:line="240" w:lineRule="auto"/>
        <w:rPr>
          <w:rFonts w:ascii="Times New Roman" w:hAnsi="Times New Roman" w:cs="Times New Roman"/>
          <w:bCs/>
          <w:sz w:val="24"/>
          <w:szCs w:val="24"/>
        </w:rPr>
      </w:pPr>
      <w:r w:rsidRPr="000B7683">
        <w:rPr>
          <w:rFonts w:ascii="Times New Roman" w:hAnsi="Times New Roman" w:cs="Times New Roman"/>
          <w:bCs/>
          <w:sz w:val="24"/>
          <w:szCs w:val="24"/>
        </w:rPr>
        <w:t xml:space="preserve"> </w:t>
      </w:r>
    </w:p>
    <w:p w:rsidR="000B7683" w:rsidRDefault="000B7683" w:rsidP="006E04A6">
      <w:pPr>
        <w:autoSpaceDE w:val="0"/>
        <w:autoSpaceDN w:val="0"/>
        <w:adjustRightInd w:val="0"/>
        <w:spacing w:after="0" w:line="240" w:lineRule="auto"/>
        <w:rPr>
          <w:rFonts w:ascii="Times New Roman" w:hAnsi="Times New Roman" w:cs="Times New Roman"/>
          <w:bCs/>
          <w:sz w:val="24"/>
          <w:szCs w:val="24"/>
        </w:rPr>
      </w:pPr>
    </w:p>
    <w:p w:rsidR="000B7683" w:rsidRDefault="000B7683" w:rsidP="006E04A6">
      <w:pPr>
        <w:autoSpaceDE w:val="0"/>
        <w:autoSpaceDN w:val="0"/>
        <w:adjustRightInd w:val="0"/>
        <w:spacing w:after="0" w:line="240" w:lineRule="auto"/>
        <w:rPr>
          <w:rFonts w:ascii="Times New Roman" w:hAnsi="Times New Roman" w:cs="Times New Roman"/>
          <w:bCs/>
          <w:sz w:val="24"/>
          <w:szCs w:val="24"/>
        </w:rPr>
      </w:pPr>
    </w:p>
    <w:p w:rsidR="000B7683" w:rsidRDefault="000B7683" w:rsidP="006E04A6">
      <w:pPr>
        <w:autoSpaceDE w:val="0"/>
        <w:autoSpaceDN w:val="0"/>
        <w:adjustRightInd w:val="0"/>
        <w:spacing w:after="0" w:line="240" w:lineRule="auto"/>
        <w:rPr>
          <w:rFonts w:ascii="Times New Roman" w:hAnsi="Times New Roman" w:cs="Times New Roman"/>
          <w:bCs/>
          <w:sz w:val="24"/>
          <w:szCs w:val="24"/>
        </w:rPr>
      </w:pPr>
    </w:p>
    <w:p w:rsidR="000B7683" w:rsidRDefault="000B7683" w:rsidP="006E04A6">
      <w:pPr>
        <w:autoSpaceDE w:val="0"/>
        <w:autoSpaceDN w:val="0"/>
        <w:adjustRightInd w:val="0"/>
        <w:spacing w:after="0" w:line="240" w:lineRule="auto"/>
        <w:rPr>
          <w:rFonts w:ascii="Times New Roman" w:hAnsi="Times New Roman" w:cs="Times New Roman"/>
          <w:bCs/>
          <w:sz w:val="24"/>
          <w:szCs w:val="24"/>
        </w:rPr>
      </w:pPr>
    </w:p>
    <w:p w:rsidR="000B7683" w:rsidRDefault="000B7683" w:rsidP="006E04A6">
      <w:pPr>
        <w:autoSpaceDE w:val="0"/>
        <w:autoSpaceDN w:val="0"/>
        <w:adjustRightInd w:val="0"/>
        <w:spacing w:after="0" w:line="240" w:lineRule="auto"/>
        <w:rPr>
          <w:rFonts w:ascii="Times New Roman" w:hAnsi="Times New Roman" w:cs="Times New Roman"/>
          <w:bCs/>
          <w:sz w:val="24"/>
          <w:szCs w:val="24"/>
        </w:rPr>
      </w:pPr>
    </w:p>
    <w:p w:rsidR="000B7683" w:rsidRDefault="000B7683" w:rsidP="006E04A6">
      <w:pPr>
        <w:autoSpaceDE w:val="0"/>
        <w:autoSpaceDN w:val="0"/>
        <w:adjustRightInd w:val="0"/>
        <w:spacing w:after="0" w:line="240" w:lineRule="auto"/>
        <w:rPr>
          <w:rFonts w:ascii="Times New Roman" w:hAnsi="Times New Roman" w:cs="Times New Roman"/>
          <w:bCs/>
          <w:sz w:val="24"/>
          <w:szCs w:val="24"/>
        </w:rPr>
      </w:pPr>
    </w:p>
    <w:p w:rsidR="000B7683" w:rsidRDefault="000B7683" w:rsidP="006E04A6">
      <w:pPr>
        <w:autoSpaceDE w:val="0"/>
        <w:autoSpaceDN w:val="0"/>
        <w:adjustRightInd w:val="0"/>
        <w:spacing w:after="0" w:line="240" w:lineRule="auto"/>
        <w:rPr>
          <w:rFonts w:ascii="Times New Roman" w:hAnsi="Times New Roman" w:cs="Times New Roman"/>
          <w:bCs/>
          <w:sz w:val="24"/>
          <w:szCs w:val="24"/>
        </w:rPr>
      </w:pPr>
    </w:p>
    <w:p w:rsidR="000B7683" w:rsidRDefault="000B7683" w:rsidP="006E04A6">
      <w:pPr>
        <w:autoSpaceDE w:val="0"/>
        <w:autoSpaceDN w:val="0"/>
        <w:adjustRightInd w:val="0"/>
        <w:spacing w:after="0" w:line="240" w:lineRule="auto"/>
        <w:rPr>
          <w:rFonts w:ascii="Times New Roman" w:hAnsi="Times New Roman" w:cs="Times New Roman"/>
          <w:bCs/>
          <w:sz w:val="24"/>
          <w:szCs w:val="24"/>
        </w:rPr>
      </w:pPr>
    </w:p>
    <w:p w:rsidR="001946A2" w:rsidRDefault="001946A2" w:rsidP="006E04A6">
      <w:pPr>
        <w:autoSpaceDE w:val="0"/>
        <w:autoSpaceDN w:val="0"/>
        <w:adjustRightInd w:val="0"/>
        <w:spacing w:after="0" w:line="240" w:lineRule="auto"/>
        <w:rPr>
          <w:rFonts w:ascii="Times New Roman" w:hAnsi="Times New Roman" w:cs="Times New Roman"/>
          <w:bCs/>
          <w:sz w:val="24"/>
          <w:szCs w:val="24"/>
        </w:rPr>
      </w:pPr>
    </w:p>
    <w:p w:rsidR="001946A2" w:rsidRDefault="001946A2" w:rsidP="006E04A6">
      <w:pPr>
        <w:autoSpaceDE w:val="0"/>
        <w:autoSpaceDN w:val="0"/>
        <w:adjustRightInd w:val="0"/>
        <w:spacing w:after="0" w:line="240" w:lineRule="auto"/>
        <w:rPr>
          <w:rFonts w:ascii="Times New Roman" w:hAnsi="Times New Roman" w:cs="Times New Roman"/>
          <w:bCs/>
          <w:sz w:val="24"/>
          <w:szCs w:val="24"/>
        </w:rPr>
      </w:pPr>
    </w:p>
    <w:p w:rsidR="001946A2" w:rsidRDefault="001946A2" w:rsidP="006E04A6">
      <w:pPr>
        <w:autoSpaceDE w:val="0"/>
        <w:autoSpaceDN w:val="0"/>
        <w:adjustRightInd w:val="0"/>
        <w:spacing w:after="0" w:line="240" w:lineRule="auto"/>
        <w:rPr>
          <w:rFonts w:ascii="Times New Roman" w:hAnsi="Times New Roman" w:cs="Times New Roman"/>
          <w:bCs/>
          <w:sz w:val="24"/>
          <w:szCs w:val="24"/>
        </w:rPr>
      </w:pPr>
    </w:p>
    <w:p w:rsidR="001946A2" w:rsidRDefault="001946A2" w:rsidP="006E04A6">
      <w:pPr>
        <w:autoSpaceDE w:val="0"/>
        <w:autoSpaceDN w:val="0"/>
        <w:adjustRightInd w:val="0"/>
        <w:spacing w:after="0" w:line="240" w:lineRule="auto"/>
        <w:rPr>
          <w:rFonts w:ascii="Times New Roman" w:hAnsi="Times New Roman" w:cs="Times New Roman"/>
          <w:bCs/>
          <w:sz w:val="24"/>
          <w:szCs w:val="24"/>
        </w:rPr>
      </w:pPr>
    </w:p>
    <w:p w:rsidR="001946A2" w:rsidRDefault="001946A2" w:rsidP="006E04A6">
      <w:pPr>
        <w:autoSpaceDE w:val="0"/>
        <w:autoSpaceDN w:val="0"/>
        <w:adjustRightInd w:val="0"/>
        <w:spacing w:after="0" w:line="240" w:lineRule="auto"/>
        <w:rPr>
          <w:rFonts w:ascii="Times New Roman" w:hAnsi="Times New Roman" w:cs="Times New Roman"/>
          <w:bCs/>
          <w:sz w:val="24"/>
          <w:szCs w:val="24"/>
        </w:rPr>
      </w:pPr>
    </w:p>
    <w:p w:rsidR="000B7683" w:rsidRDefault="000B7683" w:rsidP="006E04A6">
      <w:pPr>
        <w:autoSpaceDE w:val="0"/>
        <w:autoSpaceDN w:val="0"/>
        <w:adjustRightInd w:val="0"/>
        <w:spacing w:after="0" w:line="240" w:lineRule="auto"/>
        <w:rPr>
          <w:rFonts w:ascii="Times New Roman" w:hAnsi="Times New Roman" w:cs="Times New Roman"/>
          <w:bCs/>
          <w:sz w:val="24"/>
          <w:szCs w:val="24"/>
        </w:rPr>
      </w:pPr>
    </w:p>
    <w:p w:rsidR="000B7683" w:rsidRPr="000B7683" w:rsidRDefault="000B7683" w:rsidP="00F36526">
      <w:pPr>
        <w:autoSpaceDE w:val="0"/>
        <w:autoSpaceDN w:val="0"/>
        <w:adjustRightInd w:val="0"/>
        <w:spacing w:after="0" w:line="240" w:lineRule="auto"/>
        <w:jc w:val="both"/>
        <w:rPr>
          <w:rFonts w:ascii="Times New Roman" w:hAnsi="Times New Roman" w:cs="Times New Roman"/>
          <w:bCs/>
          <w:sz w:val="24"/>
          <w:szCs w:val="24"/>
        </w:rPr>
      </w:pPr>
    </w:p>
    <w:p w:rsidR="0099569C" w:rsidRPr="005D3992" w:rsidRDefault="00F81180" w:rsidP="00F36526">
      <w:pPr>
        <w:pStyle w:val="ListParagraph"/>
        <w:numPr>
          <w:ilvl w:val="0"/>
          <w:numId w:val="5"/>
        </w:numPr>
        <w:jc w:val="both"/>
        <w:rPr>
          <w:rFonts w:ascii="Times New Roman" w:hAnsi="Times New Roman" w:cs="Times New Roman"/>
          <w:b/>
          <w:sz w:val="28"/>
          <w:szCs w:val="28"/>
        </w:rPr>
      </w:pPr>
      <w:r w:rsidRPr="005D3992">
        <w:rPr>
          <w:rFonts w:ascii="Times New Roman" w:hAnsi="Times New Roman" w:cs="Times New Roman"/>
          <w:b/>
          <w:sz w:val="28"/>
          <w:szCs w:val="28"/>
        </w:rPr>
        <w:t>Introduction</w:t>
      </w:r>
    </w:p>
    <w:p w:rsidR="00CF36B7" w:rsidRDefault="001946A2" w:rsidP="00F36526">
      <w:pPr>
        <w:jc w:val="both"/>
        <w:rPr>
          <w:rFonts w:ascii="Times New Roman" w:hAnsi="Times New Roman" w:cs="Times New Roman"/>
          <w:sz w:val="28"/>
          <w:szCs w:val="28"/>
        </w:rPr>
      </w:pPr>
      <w:r>
        <w:rPr>
          <w:rFonts w:ascii="Times New Roman" w:hAnsi="Times New Roman" w:cs="Times New Roman"/>
          <w:sz w:val="24"/>
          <w:szCs w:val="24"/>
        </w:rPr>
        <w:t>“</w:t>
      </w:r>
      <w:r w:rsidR="005D3992" w:rsidRPr="005D3992">
        <w:rPr>
          <w:rFonts w:ascii="Times New Roman" w:hAnsi="Times New Roman" w:cs="Times New Roman"/>
          <w:sz w:val="24"/>
          <w:szCs w:val="24"/>
        </w:rPr>
        <w:t xml:space="preserve">According </w:t>
      </w:r>
      <w:r w:rsidR="005D3992">
        <w:rPr>
          <w:rFonts w:ascii="Times New Roman" w:hAnsi="Times New Roman" w:cs="Times New Roman"/>
          <w:sz w:val="24"/>
          <w:szCs w:val="24"/>
        </w:rPr>
        <w:t>to the DFS annual reports and their website, they are the market leading retailer of living room furniture in the UK. The company was established in 1969 and manufactures, sells and delivers to their customers an extensive range of furniture products. The business operates a retail network of living room furnit</w:t>
      </w:r>
      <w:r w:rsidR="00DC13AD">
        <w:rPr>
          <w:rFonts w:ascii="Times New Roman" w:hAnsi="Times New Roman" w:cs="Times New Roman"/>
          <w:sz w:val="24"/>
          <w:szCs w:val="24"/>
        </w:rPr>
        <w:t>ure stores in the UK and Europe</w:t>
      </w:r>
      <w:r w:rsidR="00FE2D90">
        <w:rPr>
          <w:rFonts w:ascii="Times New Roman" w:hAnsi="Times New Roman" w:cs="Times New Roman"/>
          <w:sz w:val="24"/>
          <w:szCs w:val="24"/>
        </w:rPr>
        <w:t xml:space="preserve"> and</w:t>
      </w:r>
      <w:r w:rsidR="00DC13AD">
        <w:rPr>
          <w:rFonts w:ascii="Times New Roman" w:hAnsi="Times New Roman" w:cs="Times New Roman"/>
          <w:sz w:val="24"/>
          <w:szCs w:val="24"/>
        </w:rPr>
        <w:t xml:space="preserve"> has over 48 years of operating history. </w:t>
      </w:r>
      <w:r w:rsidR="00FE2D90">
        <w:rPr>
          <w:rFonts w:ascii="Times New Roman" w:hAnsi="Times New Roman" w:cs="Times New Roman"/>
          <w:sz w:val="24"/>
          <w:szCs w:val="24"/>
        </w:rPr>
        <w:t>The DFS PLC</w:t>
      </w:r>
      <w:r w:rsidR="00DC13AD">
        <w:rPr>
          <w:rFonts w:ascii="Times New Roman" w:hAnsi="Times New Roman" w:cs="Times New Roman"/>
          <w:sz w:val="24"/>
          <w:szCs w:val="24"/>
        </w:rPr>
        <w:t xml:space="preserve"> attract</w:t>
      </w:r>
      <w:r w:rsidR="00F33E0E">
        <w:rPr>
          <w:rFonts w:ascii="Times New Roman" w:hAnsi="Times New Roman" w:cs="Times New Roman"/>
          <w:sz w:val="24"/>
          <w:szCs w:val="24"/>
        </w:rPr>
        <w:t xml:space="preserve"> customers to their</w:t>
      </w:r>
      <w:r w:rsidR="00DC13AD">
        <w:rPr>
          <w:rFonts w:ascii="Times New Roman" w:hAnsi="Times New Roman" w:cs="Times New Roman"/>
          <w:sz w:val="24"/>
          <w:szCs w:val="24"/>
        </w:rPr>
        <w:t xml:space="preserve"> stores and website through their substantial and continued investment in nationwide marketing activities as well as their reputation for high quality products, service, breadth of products ranges, price points and favourable consumer financing options</w:t>
      </w:r>
      <w:r>
        <w:rPr>
          <w:rFonts w:ascii="Times New Roman" w:hAnsi="Times New Roman" w:cs="Times New Roman"/>
          <w:sz w:val="24"/>
          <w:szCs w:val="24"/>
        </w:rPr>
        <w:t>”</w:t>
      </w:r>
      <w:r w:rsidR="00DC13AD">
        <w:rPr>
          <w:rFonts w:ascii="Times New Roman" w:hAnsi="Times New Roman" w:cs="Times New Roman"/>
          <w:sz w:val="24"/>
          <w:szCs w:val="24"/>
        </w:rPr>
        <w:t>.</w:t>
      </w:r>
      <w:r w:rsidR="00333B04" w:rsidRPr="00F81180">
        <w:rPr>
          <w:rFonts w:ascii="Times New Roman" w:hAnsi="Times New Roman" w:cs="Times New Roman"/>
          <w:sz w:val="28"/>
          <w:szCs w:val="28"/>
        </w:rPr>
        <w:t xml:space="preserve"> </w:t>
      </w:r>
    </w:p>
    <w:p w:rsidR="00194ED2" w:rsidRDefault="00C102FF" w:rsidP="00F36526">
      <w:pPr>
        <w:jc w:val="both"/>
        <w:rPr>
          <w:rFonts w:ascii="Times New Roman" w:hAnsi="Times New Roman" w:cs="Times New Roman"/>
          <w:sz w:val="24"/>
          <w:szCs w:val="24"/>
        </w:rPr>
      </w:pPr>
      <w:r>
        <w:rPr>
          <w:rFonts w:ascii="Times New Roman" w:hAnsi="Times New Roman" w:cs="Times New Roman"/>
          <w:sz w:val="24"/>
          <w:szCs w:val="24"/>
        </w:rPr>
        <w:t>“</w:t>
      </w:r>
      <w:r w:rsidR="00CF36B7" w:rsidRPr="00F81180">
        <w:rPr>
          <w:rFonts w:ascii="Times New Roman" w:hAnsi="Times New Roman" w:cs="Times New Roman"/>
          <w:sz w:val="24"/>
          <w:szCs w:val="24"/>
        </w:rPr>
        <w:t>The Financial analysis in this report deals with two large retailers of living room furniture whose shares are traded on the London Stock Exchange, namely DFS PLC against SCS PLC. The purpose of the report is to make a critical review of the retailer’s financial performances such as Profitability, Liquidity, Gearing and Efficiency Ratios for the past five years.</w:t>
      </w:r>
      <w:r w:rsidR="00CF36B7">
        <w:rPr>
          <w:rFonts w:ascii="Times New Roman" w:hAnsi="Times New Roman" w:cs="Times New Roman"/>
          <w:sz w:val="24"/>
          <w:szCs w:val="24"/>
        </w:rPr>
        <w:t xml:space="preserve"> The company’s financial state and activity is made for the period from 27 July 2013 to 29 July 2017 based on the</w:t>
      </w:r>
      <w:r w:rsidR="00920498">
        <w:rPr>
          <w:rFonts w:ascii="Times New Roman" w:hAnsi="Times New Roman" w:cs="Times New Roman"/>
          <w:sz w:val="24"/>
          <w:szCs w:val="24"/>
        </w:rPr>
        <w:t>ir</w:t>
      </w:r>
      <w:r w:rsidR="00CF36B7">
        <w:rPr>
          <w:rFonts w:ascii="Times New Roman" w:hAnsi="Times New Roman" w:cs="Times New Roman"/>
          <w:sz w:val="24"/>
          <w:szCs w:val="24"/>
        </w:rPr>
        <w:t xml:space="preserve"> financial statements data prepared according to the International Financial Reporting Standards (IFRS)</w:t>
      </w:r>
      <w:r>
        <w:rPr>
          <w:rFonts w:ascii="Times New Roman" w:hAnsi="Times New Roman" w:cs="Times New Roman"/>
          <w:sz w:val="24"/>
          <w:szCs w:val="24"/>
        </w:rPr>
        <w:t>”</w:t>
      </w:r>
      <w:r w:rsidR="00CF36B7">
        <w:rPr>
          <w:rFonts w:ascii="Times New Roman" w:hAnsi="Times New Roman" w:cs="Times New Roman"/>
          <w:sz w:val="24"/>
          <w:szCs w:val="24"/>
        </w:rPr>
        <w:t>.</w:t>
      </w:r>
      <w:r w:rsidR="00194ED2">
        <w:rPr>
          <w:rFonts w:ascii="Times New Roman" w:hAnsi="Times New Roman" w:cs="Times New Roman"/>
          <w:sz w:val="24"/>
          <w:szCs w:val="24"/>
        </w:rPr>
        <w:t xml:space="preserve"> </w:t>
      </w:r>
    </w:p>
    <w:p w:rsidR="00AE7940" w:rsidRDefault="00C102FF" w:rsidP="00F36526">
      <w:pPr>
        <w:jc w:val="both"/>
        <w:rPr>
          <w:rFonts w:ascii="Times New Roman" w:hAnsi="Times New Roman" w:cs="Times New Roman"/>
          <w:sz w:val="24"/>
          <w:szCs w:val="24"/>
        </w:rPr>
      </w:pPr>
      <w:r>
        <w:rPr>
          <w:rFonts w:ascii="Times New Roman" w:hAnsi="Times New Roman" w:cs="Times New Roman"/>
          <w:sz w:val="24"/>
          <w:szCs w:val="24"/>
        </w:rPr>
        <w:t>“</w:t>
      </w:r>
      <w:r w:rsidR="00194ED2">
        <w:rPr>
          <w:rFonts w:ascii="Times New Roman" w:hAnsi="Times New Roman" w:cs="Times New Roman"/>
          <w:sz w:val="24"/>
          <w:szCs w:val="24"/>
        </w:rPr>
        <w:t xml:space="preserve">According to their annual report, SCS PLC is one of the UK’s largest retailers of upholstered furniture and flooring operating from 100 stores. The company has over 100 years of furniture retailing experience. </w:t>
      </w:r>
    </w:p>
    <w:p w:rsidR="00333B04" w:rsidRDefault="00AE7940" w:rsidP="00F36526">
      <w:pPr>
        <w:jc w:val="both"/>
        <w:rPr>
          <w:rFonts w:ascii="Times New Roman" w:hAnsi="Times New Roman" w:cs="Times New Roman"/>
          <w:sz w:val="24"/>
          <w:szCs w:val="24"/>
        </w:rPr>
      </w:pPr>
      <w:r>
        <w:rPr>
          <w:rFonts w:ascii="Times New Roman" w:hAnsi="Times New Roman" w:cs="Times New Roman"/>
          <w:sz w:val="24"/>
          <w:szCs w:val="24"/>
        </w:rPr>
        <w:t>The findings on both businesses will be used as a study in order to investigate the trends and futures prospects for DFS PLC and SCS PLC</w:t>
      </w:r>
      <w:r w:rsidR="00C102FF">
        <w:rPr>
          <w:rFonts w:ascii="Times New Roman" w:hAnsi="Times New Roman" w:cs="Times New Roman"/>
          <w:sz w:val="24"/>
          <w:szCs w:val="24"/>
        </w:rPr>
        <w:t>”</w:t>
      </w:r>
      <w:r>
        <w:rPr>
          <w:rFonts w:ascii="Times New Roman" w:hAnsi="Times New Roman" w:cs="Times New Roman"/>
          <w:sz w:val="24"/>
          <w:szCs w:val="24"/>
        </w:rPr>
        <w:t xml:space="preserve">. </w:t>
      </w:r>
      <w:r w:rsidR="00CF36B7">
        <w:rPr>
          <w:rFonts w:ascii="Times New Roman" w:hAnsi="Times New Roman" w:cs="Times New Roman"/>
          <w:sz w:val="24"/>
          <w:szCs w:val="24"/>
        </w:rPr>
        <w:t xml:space="preserve"> </w:t>
      </w:r>
      <w:r w:rsidR="00CF36B7" w:rsidRPr="00F81180">
        <w:rPr>
          <w:rFonts w:ascii="Times New Roman" w:hAnsi="Times New Roman" w:cs="Times New Roman"/>
          <w:sz w:val="24"/>
          <w:szCs w:val="24"/>
        </w:rPr>
        <w:t xml:space="preserve"> </w:t>
      </w:r>
    </w:p>
    <w:p w:rsidR="005E2636" w:rsidRDefault="00B02A14" w:rsidP="00F36526">
      <w:pPr>
        <w:jc w:val="both"/>
        <w:rPr>
          <w:rFonts w:ascii="Times New Roman" w:hAnsi="Times New Roman" w:cs="Times New Roman"/>
          <w:b/>
          <w:sz w:val="24"/>
          <w:szCs w:val="24"/>
        </w:rPr>
      </w:pPr>
      <w:r w:rsidRPr="00B02A14">
        <w:rPr>
          <w:rFonts w:ascii="Times New Roman" w:hAnsi="Times New Roman" w:cs="Times New Roman"/>
          <w:b/>
          <w:sz w:val="24"/>
          <w:szCs w:val="24"/>
        </w:rPr>
        <w:t>DFS PLC’</w:t>
      </w:r>
      <w:r w:rsidR="007B2752">
        <w:rPr>
          <w:rFonts w:ascii="Times New Roman" w:hAnsi="Times New Roman" w:cs="Times New Roman"/>
          <w:b/>
          <w:sz w:val="24"/>
          <w:szCs w:val="24"/>
        </w:rPr>
        <w:t>s Financial Highlights</w:t>
      </w:r>
      <w:r w:rsidR="00894AF3">
        <w:rPr>
          <w:rFonts w:ascii="Times New Roman" w:hAnsi="Times New Roman" w:cs="Times New Roman"/>
          <w:b/>
          <w:sz w:val="24"/>
          <w:szCs w:val="24"/>
        </w:rPr>
        <w:t>:</w:t>
      </w:r>
    </w:p>
    <w:p w:rsidR="00600408" w:rsidRPr="005E2636" w:rsidRDefault="00C102FF" w:rsidP="00F36526">
      <w:pPr>
        <w:jc w:val="both"/>
        <w:rPr>
          <w:rFonts w:ascii="Times New Roman" w:hAnsi="Times New Roman" w:cs="Times New Roman"/>
          <w:b/>
          <w:sz w:val="24"/>
          <w:szCs w:val="24"/>
        </w:rPr>
      </w:pPr>
      <w:r>
        <w:rPr>
          <w:rFonts w:ascii="Times New Roman" w:hAnsi="Times New Roman" w:cs="Times New Roman"/>
          <w:bCs/>
          <w:sz w:val="24"/>
          <w:szCs w:val="24"/>
        </w:rPr>
        <w:t>“</w:t>
      </w:r>
      <w:r w:rsidR="00B02A14">
        <w:rPr>
          <w:rFonts w:ascii="Times New Roman" w:hAnsi="Times New Roman" w:cs="Times New Roman"/>
          <w:bCs/>
          <w:sz w:val="24"/>
          <w:szCs w:val="24"/>
        </w:rPr>
        <w:t xml:space="preserve">According to the annual financial statements, </w:t>
      </w:r>
    </w:p>
    <w:p w:rsidR="00C216F8" w:rsidRDefault="00600408" w:rsidP="00F36526">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T</w:t>
      </w:r>
      <w:r w:rsidR="00B02A14">
        <w:rPr>
          <w:rFonts w:ascii="Times New Roman" w:hAnsi="Times New Roman" w:cs="Times New Roman"/>
          <w:bCs/>
          <w:sz w:val="24"/>
          <w:szCs w:val="24"/>
        </w:rPr>
        <w:t>he Gross Sales was up to 1.1% to £990.8 million in 2017 (</w:t>
      </w:r>
      <w:r>
        <w:rPr>
          <w:rFonts w:ascii="Times New Roman" w:hAnsi="Times New Roman" w:cs="Times New Roman"/>
          <w:bCs/>
          <w:sz w:val="24"/>
          <w:szCs w:val="24"/>
        </w:rPr>
        <w:t>FY16: £980.4 million), though the gross sales was higher.</w:t>
      </w:r>
    </w:p>
    <w:p w:rsidR="00C216F8" w:rsidRDefault="00B02A14" w:rsidP="00F36526">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 xml:space="preserve">The revenue was up 0.9% </w:t>
      </w:r>
      <w:r w:rsidR="00600408">
        <w:rPr>
          <w:rFonts w:ascii="Times New Roman" w:hAnsi="Times New Roman" w:cs="Times New Roman"/>
          <w:bCs/>
          <w:sz w:val="24"/>
          <w:szCs w:val="24"/>
        </w:rPr>
        <w:t xml:space="preserve">to £762.7 million (FY 16: £980.4 million), though the revenue was lower. </w:t>
      </w:r>
    </w:p>
    <w:p w:rsidR="00600408" w:rsidRDefault="00600408" w:rsidP="00F36526">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EBITDA was down 12.7% to £82.4 million in 2017 (FY16: £94.4 million), though the EBITDA was lower.</w:t>
      </w:r>
    </w:p>
    <w:p w:rsidR="00600408" w:rsidRPr="00600408" w:rsidRDefault="00600408" w:rsidP="00F36526">
      <w:pPr>
        <w:autoSpaceDE w:val="0"/>
        <w:autoSpaceDN w:val="0"/>
        <w:adjustRightInd w:val="0"/>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The Profit before tax dropped 22.3% to £50.1 million</w:t>
      </w:r>
      <w:r w:rsidR="0088100C">
        <w:rPr>
          <w:rFonts w:ascii="Times New Roman" w:hAnsi="Times New Roman" w:cs="Times New Roman"/>
          <w:bCs/>
          <w:sz w:val="24"/>
          <w:szCs w:val="24"/>
        </w:rPr>
        <w:t xml:space="preserve"> in 2017</w:t>
      </w:r>
      <w:r>
        <w:rPr>
          <w:rFonts w:ascii="Times New Roman" w:hAnsi="Times New Roman" w:cs="Times New Roman"/>
          <w:bCs/>
          <w:sz w:val="24"/>
          <w:szCs w:val="24"/>
        </w:rPr>
        <w:t xml:space="preserve"> (FY16:</w:t>
      </w:r>
      <w:r w:rsidR="0088100C">
        <w:rPr>
          <w:rFonts w:ascii="Times New Roman" w:hAnsi="Times New Roman" w:cs="Times New Roman"/>
          <w:bCs/>
          <w:sz w:val="24"/>
          <w:szCs w:val="24"/>
        </w:rPr>
        <w:t xml:space="preserve"> £64.5 million), though the profit before tax was lower. </w:t>
      </w:r>
    </w:p>
    <w:p w:rsidR="00C216F8" w:rsidRPr="0088100C" w:rsidRDefault="0088100C" w:rsidP="00F36526">
      <w:pPr>
        <w:autoSpaceDE w:val="0"/>
        <w:autoSpaceDN w:val="0"/>
        <w:adjustRightInd w:val="0"/>
        <w:spacing w:after="0" w:line="240" w:lineRule="auto"/>
        <w:jc w:val="both"/>
        <w:rPr>
          <w:rFonts w:ascii="Times New Roman" w:hAnsi="Times New Roman" w:cs="Times New Roman"/>
          <w:sz w:val="24"/>
          <w:szCs w:val="24"/>
        </w:rPr>
      </w:pPr>
      <w:r w:rsidRPr="0088100C">
        <w:rPr>
          <w:rFonts w:ascii="Times New Roman" w:hAnsi="Times New Roman" w:cs="Times New Roman"/>
          <w:sz w:val="24"/>
          <w:szCs w:val="24"/>
        </w:rPr>
        <w:t>The underlying EPS dropped 21.1% to 18.7P in 2017 (FY 16: 23.7P)</w:t>
      </w:r>
      <w:r>
        <w:rPr>
          <w:rFonts w:ascii="Times New Roman" w:hAnsi="Times New Roman" w:cs="Times New Roman"/>
          <w:sz w:val="24"/>
          <w:szCs w:val="24"/>
        </w:rPr>
        <w:t>.</w:t>
      </w:r>
    </w:p>
    <w:p w:rsidR="00C216F8" w:rsidRPr="0088100C" w:rsidRDefault="0088100C" w:rsidP="00F36526">
      <w:pPr>
        <w:autoSpaceDE w:val="0"/>
        <w:autoSpaceDN w:val="0"/>
        <w:adjustRightInd w:val="0"/>
        <w:spacing w:after="0" w:line="240" w:lineRule="auto"/>
        <w:jc w:val="both"/>
        <w:rPr>
          <w:rFonts w:ascii="Times New Roman" w:hAnsi="Times New Roman" w:cs="Times New Roman"/>
          <w:sz w:val="24"/>
          <w:szCs w:val="24"/>
        </w:rPr>
      </w:pPr>
      <w:r>
        <w:rPr>
          <w:rFonts w:ascii="Times New Roman" w:hAnsi="Times New Roman" w:cs="Times New Roman"/>
          <w:sz w:val="24"/>
          <w:szCs w:val="24"/>
        </w:rPr>
        <w:t>For the last year, the company had the higher leverage primarily due to lower profitability: 1.75 X Net Debt/ EBITDA (FY16:1.45X).</w:t>
      </w:r>
    </w:p>
    <w:p w:rsidR="00C216F8" w:rsidRPr="0088100C" w:rsidRDefault="0088100C" w:rsidP="00F36526">
      <w:pPr>
        <w:autoSpaceDE w:val="0"/>
        <w:autoSpaceDN w:val="0"/>
        <w:adjustRightInd w:val="0"/>
        <w:spacing w:after="0" w:line="240" w:lineRule="auto"/>
        <w:jc w:val="both"/>
        <w:rPr>
          <w:rFonts w:ascii="Times New Roman" w:hAnsi="Times New Roman" w:cs="Times New Roman"/>
          <w:sz w:val="24"/>
          <w:szCs w:val="24"/>
        </w:rPr>
      </w:pPr>
      <w:r w:rsidRPr="0088100C">
        <w:rPr>
          <w:rFonts w:ascii="Times New Roman" w:hAnsi="Times New Roman" w:cs="Times New Roman"/>
          <w:sz w:val="24"/>
          <w:szCs w:val="24"/>
        </w:rPr>
        <w:t>The</w:t>
      </w:r>
      <w:r>
        <w:rPr>
          <w:rFonts w:ascii="Times New Roman" w:hAnsi="Times New Roman" w:cs="Times New Roman"/>
          <w:sz w:val="24"/>
          <w:szCs w:val="24"/>
        </w:rPr>
        <w:t xml:space="preserve"> Dividend of </w:t>
      </w:r>
      <w:r w:rsidR="005E2636">
        <w:rPr>
          <w:rFonts w:ascii="Times New Roman" w:hAnsi="Times New Roman" w:cs="Times New Roman"/>
          <w:sz w:val="24"/>
          <w:szCs w:val="24"/>
        </w:rPr>
        <w:t>7.5P per share proposed to the shareholders, giving a total ordinary dividend of 11.2P for the year (+1.8%, FY16: 11.0p).</w:t>
      </w:r>
    </w:p>
    <w:p w:rsidR="00C216F8" w:rsidRDefault="005E2636" w:rsidP="00F36526">
      <w:pPr>
        <w:autoSpaceDE w:val="0"/>
        <w:autoSpaceDN w:val="0"/>
        <w:adjustRightInd w:val="0"/>
        <w:spacing w:after="0" w:line="240" w:lineRule="auto"/>
        <w:jc w:val="both"/>
        <w:rPr>
          <w:rFonts w:ascii="Times New Roman" w:hAnsi="Times New Roman" w:cs="Times New Roman"/>
          <w:sz w:val="24"/>
          <w:szCs w:val="24"/>
        </w:rPr>
      </w:pPr>
      <w:r w:rsidRPr="005E2636">
        <w:rPr>
          <w:rFonts w:ascii="Times New Roman" w:hAnsi="Times New Roman" w:cs="Times New Roman"/>
          <w:sz w:val="24"/>
          <w:szCs w:val="24"/>
        </w:rPr>
        <w:t>The special dividend of 9.5p per share paid in the last year, total dividends in year of 20.7p</w:t>
      </w:r>
      <w:r w:rsidR="00C102FF">
        <w:rPr>
          <w:rFonts w:ascii="Times New Roman" w:hAnsi="Times New Roman" w:cs="Times New Roman"/>
          <w:sz w:val="24"/>
          <w:szCs w:val="24"/>
        </w:rPr>
        <w:t>”</w:t>
      </w:r>
      <w:r w:rsidRPr="005E2636">
        <w:rPr>
          <w:rFonts w:ascii="Times New Roman" w:hAnsi="Times New Roman" w:cs="Times New Roman"/>
          <w:sz w:val="24"/>
          <w:szCs w:val="24"/>
        </w:rPr>
        <w:t>.</w:t>
      </w:r>
    </w:p>
    <w:p w:rsidR="00DC3361" w:rsidRDefault="00DC3361" w:rsidP="00F36526">
      <w:pPr>
        <w:autoSpaceDE w:val="0"/>
        <w:autoSpaceDN w:val="0"/>
        <w:adjustRightInd w:val="0"/>
        <w:spacing w:after="0" w:line="240" w:lineRule="auto"/>
        <w:jc w:val="both"/>
        <w:rPr>
          <w:rFonts w:ascii="Times New Roman" w:hAnsi="Times New Roman" w:cs="Times New Roman"/>
          <w:sz w:val="24"/>
          <w:szCs w:val="24"/>
        </w:rPr>
      </w:pPr>
    </w:p>
    <w:p w:rsidR="0051480F" w:rsidRDefault="00DC3361" w:rsidP="00F36526">
      <w:pPr>
        <w:autoSpaceDE w:val="0"/>
        <w:autoSpaceDN w:val="0"/>
        <w:adjustRightInd w:val="0"/>
        <w:spacing w:after="0" w:line="240" w:lineRule="auto"/>
        <w:jc w:val="both"/>
        <w:rPr>
          <w:rFonts w:ascii="Times New Roman" w:hAnsi="Times New Roman" w:cs="Times New Roman"/>
          <w:b/>
          <w:sz w:val="24"/>
          <w:szCs w:val="24"/>
        </w:rPr>
      </w:pPr>
      <w:r w:rsidRPr="00DC3361">
        <w:rPr>
          <w:rFonts w:ascii="Times New Roman" w:hAnsi="Times New Roman" w:cs="Times New Roman"/>
          <w:b/>
          <w:sz w:val="24"/>
          <w:szCs w:val="24"/>
        </w:rPr>
        <w:t>DFS PLC’s KEY Performance indicators</w:t>
      </w:r>
    </w:p>
    <w:p w:rsidR="00DC3361" w:rsidRPr="00F45167" w:rsidRDefault="00DC3361" w:rsidP="00F36526">
      <w:pPr>
        <w:autoSpaceDE w:val="0"/>
        <w:autoSpaceDN w:val="0"/>
        <w:adjustRightInd w:val="0"/>
        <w:spacing w:after="0" w:line="240" w:lineRule="auto"/>
        <w:jc w:val="both"/>
        <w:rPr>
          <w:rFonts w:ascii="Times New Roman" w:hAnsi="Times New Roman" w:cs="Times New Roman"/>
          <w:sz w:val="24"/>
          <w:szCs w:val="24"/>
        </w:rPr>
      </w:pPr>
      <w:r w:rsidRPr="00F45167">
        <w:rPr>
          <w:rFonts w:ascii="Times New Roman" w:hAnsi="Times New Roman" w:cs="Times New Roman"/>
          <w:sz w:val="24"/>
          <w:szCs w:val="24"/>
        </w:rPr>
        <w:t>The key performance indicators are as follow:</w:t>
      </w:r>
    </w:p>
    <w:p w:rsidR="00DC3361" w:rsidRPr="00F45167" w:rsidRDefault="00DC3361" w:rsidP="00F36526">
      <w:pPr>
        <w:pStyle w:val="ListParagraph"/>
        <w:numPr>
          <w:ilvl w:val="0"/>
          <w:numId w:val="6"/>
        </w:numPr>
        <w:autoSpaceDE w:val="0"/>
        <w:autoSpaceDN w:val="0"/>
        <w:adjustRightInd w:val="0"/>
        <w:spacing w:after="0" w:line="240" w:lineRule="auto"/>
        <w:jc w:val="both"/>
        <w:rPr>
          <w:rFonts w:ascii="Times New Roman" w:hAnsi="Times New Roman" w:cs="Times New Roman"/>
          <w:sz w:val="24"/>
          <w:szCs w:val="24"/>
        </w:rPr>
      </w:pPr>
      <w:r w:rsidRPr="00F45167">
        <w:rPr>
          <w:rFonts w:ascii="Times New Roman" w:hAnsi="Times New Roman" w:cs="Times New Roman"/>
          <w:sz w:val="24"/>
          <w:szCs w:val="24"/>
        </w:rPr>
        <w:lastRenderedPageBreak/>
        <w:t>Financial Year 16 YOY change</w:t>
      </w:r>
    </w:p>
    <w:p w:rsidR="00DC3361" w:rsidRPr="00F45167" w:rsidRDefault="00DC3361" w:rsidP="00F36526">
      <w:pPr>
        <w:pStyle w:val="ListParagraph"/>
        <w:numPr>
          <w:ilvl w:val="0"/>
          <w:numId w:val="6"/>
        </w:numPr>
        <w:autoSpaceDE w:val="0"/>
        <w:autoSpaceDN w:val="0"/>
        <w:adjustRightInd w:val="0"/>
        <w:spacing w:after="0" w:line="240" w:lineRule="auto"/>
        <w:jc w:val="both"/>
        <w:rPr>
          <w:rFonts w:ascii="Times New Roman" w:hAnsi="Times New Roman" w:cs="Times New Roman"/>
          <w:sz w:val="24"/>
          <w:szCs w:val="24"/>
        </w:rPr>
      </w:pPr>
      <w:r w:rsidRPr="00F45167">
        <w:rPr>
          <w:rFonts w:ascii="Times New Roman" w:hAnsi="Times New Roman" w:cs="Times New Roman"/>
          <w:sz w:val="24"/>
          <w:szCs w:val="24"/>
        </w:rPr>
        <w:t>Financial KPIs</w:t>
      </w:r>
    </w:p>
    <w:p w:rsidR="00DC3361" w:rsidRPr="00F45167" w:rsidRDefault="00DC3361" w:rsidP="00F36526">
      <w:pPr>
        <w:pStyle w:val="ListParagraph"/>
        <w:numPr>
          <w:ilvl w:val="0"/>
          <w:numId w:val="6"/>
        </w:numPr>
        <w:autoSpaceDE w:val="0"/>
        <w:autoSpaceDN w:val="0"/>
        <w:adjustRightInd w:val="0"/>
        <w:spacing w:after="0" w:line="240" w:lineRule="auto"/>
        <w:jc w:val="both"/>
        <w:rPr>
          <w:rFonts w:ascii="Times New Roman" w:hAnsi="Times New Roman" w:cs="Times New Roman"/>
          <w:sz w:val="24"/>
          <w:szCs w:val="24"/>
        </w:rPr>
      </w:pPr>
      <w:r w:rsidRPr="00F45167">
        <w:rPr>
          <w:rFonts w:ascii="Times New Roman" w:hAnsi="Times New Roman" w:cs="Times New Roman"/>
          <w:sz w:val="24"/>
          <w:szCs w:val="24"/>
        </w:rPr>
        <w:t xml:space="preserve">Gross Sales 1 £990.8 million </w:t>
      </w:r>
      <w:r w:rsidR="00F45167" w:rsidRPr="00F45167">
        <w:rPr>
          <w:rFonts w:ascii="Times New Roman" w:hAnsi="Times New Roman" w:cs="Times New Roman"/>
          <w:sz w:val="24"/>
          <w:szCs w:val="24"/>
        </w:rPr>
        <w:t>£980.4 million + 1.1%</w:t>
      </w:r>
    </w:p>
    <w:p w:rsidR="00F45167" w:rsidRPr="00F45167" w:rsidRDefault="00F45167" w:rsidP="00F36526">
      <w:pPr>
        <w:pStyle w:val="ListParagraph"/>
        <w:numPr>
          <w:ilvl w:val="0"/>
          <w:numId w:val="6"/>
        </w:numPr>
        <w:autoSpaceDE w:val="0"/>
        <w:autoSpaceDN w:val="0"/>
        <w:adjustRightInd w:val="0"/>
        <w:spacing w:after="0" w:line="240" w:lineRule="auto"/>
        <w:jc w:val="both"/>
        <w:rPr>
          <w:rFonts w:ascii="Times New Roman" w:hAnsi="Times New Roman" w:cs="Times New Roman"/>
          <w:sz w:val="24"/>
          <w:szCs w:val="24"/>
        </w:rPr>
      </w:pPr>
      <w:r w:rsidRPr="00F45167">
        <w:rPr>
          <w:rFonts w:ascii="Times New Roman" w:hAnsi="Times New Roman" w:cs="Times New Roman"/>
          <w:sz w:val="24"/>
          <w:szCs w:val="24"/>
        </w:rPr>
        <w:t>Revenue £762.7 million £756.0 million + 0.9%</w:t>
      </w:r>
    </w:p>
    <w:p w:rsidR="0051480F" w:rsidRPr="00F45167" w:rsidRDefault="00F45167" w:rsidP="00F36526">
      <w:pPr>
        <w:pStyle w:val="ListParagraph"/>
        <w:numPr>
          <w:ilvl w:val="0"/>
          <w:numId w:val="6"/>
        </w:numPr>
        <w:autoSpaceDE w:val="0"/>
        <w:autoSpaceDN w:val="0"/>
        <w:adjustRightInd w:val="0"/>
        <w:spacing w:after="0" w:line="240" w:lineRule="auto"/>
        <w:jc w:val="both"/>
        <w:rPr>
          <w:rFonts w:ascii="Times New Roman" w:hAnsi="Times New Roman" w:cs="Times New Roman"/>
          <w:sz w:val="24"/>
          <w:szCs w:val="24"/>
        </w:rPr>
      </w:pPr>
      <w:r w:rsidRPr="00F45167">
        <w:rPr>
          <w:rFonts w:ascii="Times New Roman" w:hAnsi="Times New Roman" w:cs="Times New Roman"/>
          <w:sz w:val="24"/>
          <w:szCs w:val="24"/>
        </w:rPr>
        <w:t>EBITDA 2 £82.4 million, £94.4 million – 12.7%</w:t>
      </w:r>
    </w:p>
    <w:p w:rsidR="00F45167" w:rsidRPr="00F45167" w:rsidRDefault="00F45167" w:rsidP="00F36526">
      <w:pPr>
        <w:pStyle w:val="ListParagraph"/>
        <w:numPr>
          <w:ilvl w:val="0"/>
          <w:numId w:val="6"/>
        </w:numPr>
        <w:autoSpaceDE w:val="0"/>
        <w:autoSpaceDN w:val="0"/>
        <w:adjustRightInd w:val="0"/>
        <w:spacing w:after="0" w:line="240" w:lineRule="auto"/>
        <w:jc w:val="both"/>
        <w:rPr>
          <w:rFonts w:ascii="Times New Roman" w:hAnsi="Times New Roman" w:cs="Times New Roman"/>
          <w:sz w:val="24"/>
          <w:szCs w:val="24"/>
        </w:rPr>
      </w:pPr>
      <w:r w:rsidRPr="00F45167">
        <w:rPr>
          <w:rFonts w:ascii="Times New Roman" w:hAnsi="Times New Roman" w:cs="Times New Roman"/>
          <w:sz w:val="24"/>
          <w:szCs w:val="24"/>
        </w:rPr>
        <w:t>Profit before tax, £50.1 million £64.5 million -22.3%</w:t>
      </w:r>
    </w:p>
    <w:p w:rsidR="0051480F" w:rsidRPr="00F45167" w:rsidRDefault="00F45167" w:rsidP="00F36526">
      <w:pPr>
        <w:pStyle w:val="ListParagraph"/>
        <w:numPr>
          <w:ilvl w:val="0"/>
          <w:numId w:val="6"/>
        </w:numPr>
        <w:autoSpaceDE w:val="0"/>
        <w:autoSpaceDN w:val="0"/>
        <w:adjustRightInd w:val="0"/>
        <w:spacing w:after="0" w:line="240" w:lineRule="auto"/>
        <w:jc w:val="both"/>
        <w:rPr>
          <w:rFonts w:ascii="Times New Roman" w:hAnsi="Times New Roman" w:cs="Times New Roman"/>
          <w:sz w:val="24"/>
          <w:szCs w:val="24"/>
        </w:rPr>
      </w:pPr>
      <w:r w:rsidRPr="00F45167">
        <w:rPr>
          <w:rFonts w:ascii="Times New Roman" w:hAnsi="Times New Roman" w:cs="Times New Roman"/>
          <w:sz w:val="24"/>
          <w:szCs w:val="24"/>
        </w:rPr>
        <w:t>Underlying earnings per shares 3, 18.7p, 23.7p -21.1%</w:t>
      </w:r>
    </w:p>
    <w:p w:rsidR="007C2D21" w:rsidRPr="007B2752" w:rsidRDefault="00F45167" w:rsidP="00F36526">
      <w:pPr>
        <w:pStyle w:val="ListParagraph"/>
        <w:numPr>
          <w:ilvl w:val="0"/>
          <w:numId w:val="6"/>
        </w:numPr>
        <w:autoSpaceDE w:val="0"/>
        <w:autoSpaceDN w:val="0"/>
        <w:adjustRightInd w:val="0"/>
        <w:spacing w:after="0" w:line="240" w:lineRule="auto"/>
        <w:jc w:val="both"/>
        <w:rPr>
          <w:rFonts w:ascii="Times New Roman" w:hAnsi="Times New Roman" w:cs="Times New Roman"/>
          <w:sz w:val="24"/>
          <w:szCs w:val="24"/>
        </w:rPr>
      </w:pPr>
      <w:r w:rsidRPr="00F45167">
        <w:rPr>
          <w:rFonts w:ascii="Times New Roman" w:hAnsi="Times New Roman" w:cs="Times New Roman"/>
          <w:sz w:val="24"/>
          <w:szCs w:val="24"/>
        </w:rPr>
        <w:t>Free Cash Flow4, £57.0 million, £75.6 million – 24.6%.</w:t>
      </w:r>
    </w:p>
    <w:p w:rsidR="00CC0A0D" w:rsidRDefault="00CC0A0D" w:rsidP="00F36526">
      <w:pPr>
        <w:autoSpaceDE w:val="0"/>
        <w:autoSpaceDN w:val="0"/>
        <w:adjustRightInd w:val="0"/>
        <w:spacing w:after="0" w:line="240" w:lineRule="auto"/>
        <w:jc w:val="both"/>
        <w:rPr>
          <w:rFonts w:ascii="Times New Roman" w:hAnsi="Times New Roman" w:cs="Times New Roman"/>
          <w:b/>
          <w:sz w:val="28"/>
          <w:szCs w:val="28"/>
        </w:rPr>
      </w:pPr>
    </w:p>
    <w:p w:rsidR="00F922A3" w:rsidRPr="00601A3D" w:rsidRDefault="00601A3D" w:rsidP="00F36526">
      <w:pPr>
        <w:jc w:val="both"/>
        <w:rPr>
          <w:rFonts w:ascii="Times New Roman" w:hAnsi="Times New Roman" w:cs="Times New Roman"/>
          <w:b/>
          <w:sz w:val="24"/>
          <w:szCs w:val="24"/>
        </w:rPr>
      </w:pPr>
      <w:r w:rsidRPr="00601A3D">
        <w:rPr>
          <w:rFonts w:ascii="Times New Roman" w:hAnsi="Times New Roman" w:cs="Times New Roman"/>
          <w:b/>
          <w:sz w:val="24"/>
          <w:szCs w:val="24"/>
        </w:rPr>
        <w:t>DFS PLC</w:t>
      </w:r>
      <w:r>
        <w:rPr>
          <w:rFonts w:ascii="Times New Roman" w:hAnsi="Times New Roman" w:cs="Times New Roman"/>
          <w:b/>
          <w:sz w:val="24"/>
          <w:szCs w:val="24"/>
        </w:rPr>
        <w:t>’s</w:t>
      </w:r>
      <w:r w:rsidRPr="00601A3D">
        <w:rPr>
          <w:rFonts w:ascii="Times New Roman" w:hAnsi="Times New Roman" w:cs="Times New Roman"/>
          <w:b/>
          <w:sz w:val="24"/>
          <w:szCs w:val="24"/>
        </w:rPr>
        <w:t xml:space="preserve"> FINANCIAL RESULTS FORTHE LAST 5 YEARS</w:t>
      </w:r>
    </w:p>
    <w:p w:rsidR="00CC0A0D" w:rsidRPr="00CC0A0D" w:rsidRDefault="00CC0A0D" w:rsidP="00F36526">
      <w:pPr>
        <w:autoSpaceDE w:val="0"/>
        <w:autoSpaceDN w:val="0"/>
        <w:adjustRightInd w:val="0"/>
        <w:spacing w:after="0" w:line="240" w:lineRule="auto"/>
        <w:jc w:val="both"/>
        <w:rPr>
          <w:rFonts w:ascii="Times New Roman" w:hAnsi="Times New Roman" w:cs="Times New Roman"/>
          <w:b/>
          <w:sz w:val="28"/>
          <w:szCs w:val="28"/>
        </w:rPr>
      </w:pPr>
      <w:r w:rsidRPr="00CC0A0D">
        <w:rPr>
          <w:rFonts w:ascii="Times New Roman" w:hAnsi="Times New Roman" w:cs="Times New Roman"/>
          <w:b/>
          <w:noProof/>
          <w:sz w:val="28"/>
          <w:szCs w:val="28"/>
          <w:lang w:eastAsia="en-GB"/>
        </w:rPr>
        <w:lastRenderedPageBreak/>
        <w:drawing>
          <wp:inline distT="0" distB="0" distL="0" distR="0">
            <wp:extent cx="5267325" cy="14678025"/>
            <wp:effectExtent l="19050" t="0" r="9525" b="0"/>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srcRect/>
                    <a:stretch>
                      <a:fillRect/>
                    </a:stretch>
                  </pic:blipFill>
                  <pic:spPr bwMode="auto">
                    <a:xfrm>
                      <a:off x="0" y="0"/>
                      <a:ext cx="5267325" cy="14678025"/>
                    </a:xfrm>
                    <a:prstGeom prst="rect">
                      <a:avLst/>
                    </a:prstGeom>
                    <a:noFill/>
                    <a:ln w="9525">
                      <a:noFill/>
                      <a:miter lim="800000"/>
                      <a:headEnd/>
                      <a:tailEnd/>
                    </a:ln>
                  </pic:spPr>
                </pic:pic>
              </a:graphicData>
            </a:graphic>
          </wp:inline>
        </w:drawing>
      </w:r>
    </w:p>
    <w:p w:rsidR="00EA4C20" w:rsidRDefault="00EA4C20" w:rsidP="00F36526">
      <w:pPr>
        <w:pStyle w:val="Default"/>
        <w:jc w:val="both"/>
        <w:rPr>
          <w:rFonts w:ascii="Times New Roman" w:hAnsi="Times New Roman" w:cs="Times New Roman"/>
          <w:b/>
        </w:rPr>
      </w:pPr>
    </w:p>
    <w:p w:rsidR="00EA4C20" w:rsidRDefault="00EA4C20" w:rsidP="00F36526">
      <w:pPr>
        <w:pStyle w:val="Default"/>
        <w:jc w:val="both"/>
        <w:rPr>
          <w:rFonts w:ascii="Times New Roman" w:hAnsi="Times New Roman" w:cs="Times New Roman"/>
          <w:b/>
        </w:rPr>
      </w:pPr>
    </w:p>
    <w:p w:rsidR="00EA4C20" w:rsidRDefault="005D6592" w:rsidP="00F36526">
      <w:pPr>
        <w:pStyle w:val="Default"/>
        <w:jc w:val="both"/>
        <w:rPr>
          <w:rFonts w:ascii="Times New Roman" w:hAnsi="Times New Roman" w:cs="Times New Roman"/>
          <w:b/>
        </w:rPr>
      </w:pPr>
      <w:r>
        <w:rPr>
          <w:rFonts w:ascii="Times New Roman" w:hAnsi="Times New Roman" w:cs="Times New Roman"/>
          <w:b/>
          <w:noProof/>
          <w:lang w:eastAsia="en-GB"/>
        </w:rPr>
        <w:drawing>
          <wp:inline distT="0" distB="0" distL="0" distR="0">
            <wp:extent cx="5731510" cy="6828685"/>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731510" cy="6828685"/>
                    </a:xfrm>
                    <a:prstGeom prst="rect">
                      <a:avLst/>
                    </a:prstGeom>
                    <a:noFill/>
                    <a:ln w="9525">
                      <a:noFill/>
                      <a:miter lim="800000"/>
                      <a:headEnd/>
                      <a:tailEnd/>
                    </a:ln>
                  </pic:spPr>
                </pic:pic>
              </a:graphicData>
            </a:graphic>
          </wp:inline>
        </w:drawing>
      </w:r>
    </w:p>
    <w:p w:rsidR="00EA4C20" w:rsidRDefault="00EA4C20" w:rsidP="00F36526">
      <w:pPr>
        <w:pStyle w:val="Default"/>
        <w:jc w:val="both"/>
        <w:rPr>
          <w:rFonts w:ascii="Times New Roman" w:hAnsi="Times New Roman" w:cs="Times New Roman"/>
          <w:b/>
        </w:rPr>
      </w:pPr>
    </w:p>
    <w:p w:rsidR="00EA4C20" w:rsidRDefault="005D6592" w:rsidP="00F36526">
      <w:pPr>
        <w:pStyle w:val="Default"/>
        <w:jc w:val="both"/>
        <w:rPr>
          <w:rFonts w:ascii="Times New Roman" w:hAnsi="Times New Roman" w:cs="Times New Roman"/>
          <w:b/>
        </w:rPr>
      </w:pPr>
      <w:r>
        <w:rPr>
          <w:rFonts w:ascii="Times New Roman" w:hAnsi="Times New Roman" w:cs="Times New Roman"/>
          <w:b/>
          <w:noProof/>
          <w:lang w:eastAsia="en-GB"/>
        </w:rPr>
        <w:lastRenderedPageBreak/>
        <w:drawing>
          <wp:inline distT="0" distB="0" distL="0" distR="0">
            <wp:extent cx="5731510" cy="5443710"/>
            <wp:effectExtent l="1905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srcRect/>
                    <a:stretch>
                      <a:fillRect/>
                    </a:stretch>
                  </pic:blipFill>
                  <pic:spPr bwMode="auto">
                    <a:xfrm>
                      <a:off x="0" y="0"/>
                      <a:ext cx="5731510" cy="5443710"/>
                    </a:xfrm>
                    <a:prstGeom prst="rect">
                      <a:avLst/>
                    </a:prstGeom>
                    <a:noFill/>
                    <a:ln w="9525">
                      <a:noFill/>
                      <a:miter lim="800000"/>
                      <a:headEnd/>
                      <a:tailEnd/>
                    </a:ln>
                  </pic:spPr>
                </pic:pic>
              </a:graphicData>
            </a:graphic>
          </wp:inline>
        </w:drawing>
      </w:r>
    </w:p>
    <w:p w:rsidR="00EA4C20" w:rsidRDefault="00EA4C20" w:rsidP="00F36526">
      <w:pPr>
        <w:pStyle w:val="Default"/>
        <w:jc w:val="both"/>
        <w:rPr>
          <w:rFonts w:ascii="Times New Roman" w:hAnsi="Times New Roman" w:cs="Times New Roman"/>
          <w:b/>
        </w:rPr>
      </w:pPr>
    </w:p>
    <w:p w:rsidR="00EA4C20" w:rsidRDefault="00EA4C20" w:rsidP="00F36526">
      <w:pPr>
        <w:pStyle w:val="Default"/>
        <w:jc w:val="both"/>
        <w:rPr>
          <w:rFonts w:ascii="Times New Roman" w:hAnsi="Times New Roman" w:cs="Times New Roman"/>
          <w:b/>
        </w:rPr>
      </w:pPr>
    </w:p>
    <w:p w:rsidR="00601A3D" w:rsidRPr="00894AF3" w:rsidRDefault="00601A3D" w:rsidP="00F36526">
      <w:pPr>
        <w:pStyle w:val="Default"/>
        <w:jc w:val="both"/>
        <w:rPr>
          <w:rFonts w:ascii="Times New Roman" w:hAnsi="Times New Roman" w:cs="Times New Roman"/>
          <w:b/>
        </w:rPr>
      </w:pPr>
      <w:r w:rsidRPr="00894AF3">
        <w:rPr>
          <w:rFonts w:ascii="Times New Roman" w:hAnsi="Times New Roman" w:cs="Times New Roman"/>
          <w:b/>
        </w:rPr>
        <w:t xml:space="preserve">According to their annual report, the SCS PLC’s </w:t>
      </w:r>
      <w:r w:rsidRPr="00894AF3">
        <w:rPr>
          <w:rFonts w:ascii="Times New Roman" w:hAnsi="Times New Roman" w:cs="Times New Roman"/>
          <w:b/>
          <w:bCs/>
        </w:rPr>
        <w:t xml:space="preserve">Financial Summary: </w:t>
      </w:r>
    </w:p>
    <w:p w:rsidR="00601A3D" w:rsidRPr="00894AF3" w:rsidRDefault="00601A3D" w:rsidP="00F36526">
      <w:pPr>
        <w:pStyle w:val="Default"/>
        <w:numPr>
          <w:ilvl w:val="0"/>
          <w:numId w:val="4"/>
        </w:numPr>
        <w:spacing w:after="25"/>
        <w:jc w:val="both"/>
        <w:rPr>
          <w:rFonts w:ascii="Times New Roman" w:hAnsi="Times New Roman" w:cs="Times New Roman"/>
        </w:rPr>
      </w:pPr>
      <w:r>
        <w:rPr>
          <w:rFonts w:ascii="Times New Roman" w:hAnsi="Times New Roman" w:cs="Times New Roman"/>
        </w:rPr>
        <w:t>The t</w:t>
      </w:r>
      <w:r w:rsidRPr="00894AF3">
        <w:rPr>
          <w:rFonts w:ascii="Times New Roman" w:hAnsi="Times New Roman" w:cs="Times New Roman"/>
        </w:rPr>
        <w:t xml:space="preserve">otal sales order intake up 9.1% on a like-for-like basis </w:t>
      </w:r>
    </w:p>
    <w:p w:rsidR="00601A3D" w:rsidRPr="00894AF3" w:rsidRDefault="00601A3D" w:rsidP="00F36526">
      <w:pPr>
        <w:pStyle w:val="Default"/>
        <w:numPr>
          <w:ilvl w:val="0"/>
          <w:numId w:val="4"/>
        </w:numPr>
        <w:spacing w:after="25"/>
        <w:jc w:val="both"/>
        <w:rPr>
          <w:rFonts w:ascii="Times New Roman" w:hAnsi="Times New Roman" w:cs="Times New Roman"/>
        </w:rPr>
      </w:pPr>
      <w:r w:rsidRPr="00894AF3">
        <w:rPr>
          <w:rFonts w:ascii="Times New Roman" w:hAnsi="Times New Roman" w:cs="Times New Roman"/>
        </w:rPr>
        <w:t xml:space="preserve">Gross sales up 10.2% to £145.4m (H1 2015: £132.0m) </w:t>
      </w:r>
    </w:p>
    <w:p w:rsidR="00601A3D" w:rsidRPr="00894AF3" w:rsidRDefault="00601A3D" w:rsidP="00F36526">
      <w:pPr>
        <w:pStyle w:val="Default"/>
        <w:numPr>
          <w:ilvl w:val="0"/>
          <w:numId w:val="4"/>
        </w:numPr>
        <w:spacing w:after="25"/>
        <w:jc w:val="both"/>
        <w:rPr>
          <w:rFonts w:ascii="Times New Roman" w:hAnsi="Times New Roman" w:cs="Times New Roman"/>
        </w:rPr>
      </w:pPr>
      <w:r w:rsidRPr="00894AF3">
        <w:rPr>
          <w:rFonts w:ascii="Times New Roman" w:hAnsi="Times New Roman" w:cs="Times New Roman"/>
        </w:rPr>
        <w:t xml:space="preserve">Gross profit increased 13.0% to £64.8m (H1 2015: £57.3m) </w:t>
      </w:r>
    </w:p>
    <w:p w:rsidR="00601A3D" w:rsidRPr="00894AF3" w:rsidRDefault="00601A3D" w:rsidP="00F36526">
      <w:pPr>
        <w:pStyle w:val="Default"/>
        <w:numPr>
          <w:ilvl w:val="0"/>
          <w:numId w:val="4"/>
        </w:numPr>
        <w:spacing w:after="25"/>
        <w:jc w:val="both"/>
        <w:rPr>
          <w:rFonts w:ascii="Times New Roman" w:hAnsi="Times New Roman" w:cs="Times New Roman"/>
        </w:rPr>
      </w:pPr>
      <w:r w:rsidRPr="00894AF3">
        <w:rPr>
          <w:rFonts w:ascii="Times New Roman" w:hAnsi="Times New Roman" w:cs="Times New Roman"/>
        </w:rPr>
        <w:t xml:space="preserve">Gross margin increased to 44.6% (H1 2015: 43.4%) </w:t>
      </w:r>
    </w:p>
    <w:p w:rsidR="00601A3D" w:rsidRPr="00894AF3" w:rsidRDefault="00601A3D" w:rsidP="00F36526">
      <w:pPr>
        <w:pStyle w:val="Default"/>
        <w:numPr>
          <w:ilvl w:val="0"/>
          <w:numId w:val="4"/>
        </w:numPr>
        <w:spacing w:after="25"/>
        <w:jc w:val="both"/>
        <w:rPr>
          <w:rFonts w:ascii="Times New Roman" w:hAnsi="Times New Roman" w:cs="Times New Roman"/>
        </w:rPr>
      </w:pPr>
      <w:r w:rsidRPr="00894AF3">
        <w:rPr>
          <w:rFonts w:ascii="Times New Roman" w:hAnsi="Times New Roman" w:cs="Times New Roman"/>
        </w:rPr>
        <w:t xml:space="preserve">EBITDA improved by £2.0m to negative £1.0m (H1 2015: negative £3.0m before exceptional items) </w:t>
      </w:r>
    </w:p>
    <w:p w:rsidR="00601A3D" w:rsidRPr="00894AF3" w:rsidRDefault="00601A3D" w:rsidP="00F36526">
      <w:pPr>
        <w:pStyle w:val="Default"/>
        <w:numPr>
          <w:ilvl w:val="0"/>
          <w:numId w:val="4"/>
        </w:numPr>
        <w:spacing w:after="25"/>
        <w:jc w:val="both"/>
        <w:rPr>
          <w:rFonts w:ascii="Times New Roman" w:hAnsi="Times New Roman" w:cs="Times New Roman"/>
        </w:rPr>
      </w:pPr>
      <w:r w:rsidRPr="00894AF3">
        <w:rPr>
          <w:rFonts w:ascii="Times New Roman" w:hAnsi="Times New Roman" w:cs="Times New Roman"/>
        </w:rPr>
        <w:t xml:space="preserve">Operating loss of £3.4m (H1 2015 loss: £5.3m before exceptional items) </w:t>
      </w:r>
    </w:p>
    <w:p w:rsidR="00601A3D" w:rsidRPr="00894AF3" w:rsidRDefault="00601A3D" w:rsidP="00F36526">
      <w:pPr>
        <w:pStyle w:val="Default"/>
        <w:numPr>
          <w:ilvl w:val="0"/>
          <w:numId w:val="4"/>
        </w:numPr>
        <w:spacing w:after="25"/>
        <w:jc w:val="both"/>
        <w:rPr>
          <w:rFonts w:ascii="Times New Roman" w:hAnsi="Times New Roman" w:cs="Times New Roman"/>
        </w:rPr>
      </w:pPr>
      <w:r w:rsidRPr="00894AF3">
        <w:rPr>
          <w:rFonts w:ascii="Times New Roman" w:hAnsi="Times New Roman" w:cs="Times New Roman"/>
        </w:rPr>
        <w:t xml:space="preserve">Loss per share 7.08p (H1 2015 loss: 31.37p) </w:t>
      </w:r>
    </w:p>
    <w:p w:rsidR="00601A3D" w:rsidRPr="00894AF3" w:rsidRDefault="00601A3D" w:rsidP="00F36526">
      <w:pPr>
        <w:pStyle w:val="Default"/>
        <w:numPr>
          <w:ilvl w:val="0"/>
          <w:numId w:val="4"/>
        </w:numPr>
        <w:spacing w:after="25"/>
        <w:jc w:val="both"/>
        <w:rPr>
          <w:rFonts w:ascii="Times New Roman" w:hAnsi="Times New Roman" w:cs="Times New Roman"/>
        </w:rPr>
      </w:pPr>
      <w:r w:rsidRPr="00894AF3">
        <w:rPr>
          <w:rFonts w:ascii="Times New Roman" w:hAnsi="Times New Roman" w:cs="Times New Roman"/>
        </w:rPr>
        <w:t xml:space="preserve">Strong cash inflow from operating activities of £17.3m (H1 2015: £11.9m) </w:t>
      </w:r>
    </w:p>
    <w:p w:rsidR="00601A3D" w:rsidRPr="00894AF3" w:rsidRDefault="00601A3D" w:rsidP="00F36526">
      <w:pPr>
        <w:pStyle w:val="Default"/>
        <w:numPr>
          <w:ilvl w:val="0"/>
          <w:numId w:val="4"/>
        </w:numPr>
        <w:spacing w:after="25"/>
        <w:jc w:val="both"/>
        <w:rPr>
          <w:rFonts w:ascii="Times New Roman" w:hAnsi="Times New Roman" w:cs="Times New Roman"/>
        </w:rPr>
      </w:pPr>
      <w:r w:rsidRPr="00894AF3">
        <w:rPr>
          <w:rFonts w:ascii="Times New Roman" w:hAnsi="Times New Roman" w:cs="Times New Roman"/>
        </w:rPr>
        <w:t xml:space="preserve">Interim dividend of 4.67p per share (H1 2015: 2.8p per share) – reflecting the first full financial year as a quoted company and an anticipated one third and two thirds split between interim and final </w:t>
      </w:r>
    </w:p>
    <w:p w:rsidR="00601A3D" w:rsidRDefault="00601A3D" w:rsidP="00F36526">
      <w:pPr>
        <w:pStyle w:val="Default"/>
        <w:numPr>
          <w:ilvl w:val="0"/>
          <w:numId w:val="4"/>
        </w:numPr>
        <w:jc w:val="both"/>
        <w:rPr>
          <w:rFonts w:ascii="Times New Roman" w:hAnsi="Times New Roman" w:cs="Times New Roman"/>
        </w:rPr>
      </w:pPr>
      <w:r w:rsidRPr="00894AF3">
        <w:rPr>
          <w:rFonts w:ascii="Times New Roman" w:hAnsi="Times New Roman" w:cs="Times New Roman"/>
        </w:rPr>
        <w:t xml:space="preserve">Strong balance sheet with cash of £32.2m (H1 2015: £26.6m) </w:t>
      </w:r>
    </w:p>
    <w:p w:rsidR="005D6592" w:rsidRPr="00894AF3" w:rsidRDefault="005D6592" w:rsidP="005D6592">
      <w:pPr>
        <w:pStyle w:val="Default"/>
        <w:jc w:val="both"/>
        <w:rPr>
          <w:rFonts w:ascii="Times New Roman" w:hAnsi="Times New Roman" w:cs="Times New Roman"/>
        </w:rPr>
      </w:pPr>
    </w:p>
    <w:p w:rsidR="00601A3D" w:rsidRDefault="005D6592" w:rsidP="00F36526">
      <w:pPr>
        <w:autoSpaceDE w:val="0"/>
        <w:autoSpaceDN w:val="0"/>
        <w:adjustRightInd w:val="0"/>
        <w:spacing w:after="0" w:line="240" w:lineRule="auto"/>
        <w:jc w:val="both"/>
        <w:rPr>
          <w:rFonts w:ascii="Times New Roman" w:hAnsi="Times New Roman" w:cs="Times New Roman"/>
          <w:b/>
          <w:sz w:val="28"/>
          <w:szCs w:val="28"/>
        </w:rPr>
      </w:pPr>
      <w:r>
        <w:rPr>
          <w:rFonts w:ascii="Times New Roman" w:hAnsi="Times New Roman" w:cs="Times New Roman"/>
          <w:b/>
          <w:noProof/>
          <w:sz w:val="28"/>
          <w:szCs w:val="28"/>
          <w:lang w:eastAsia="en-GB"/>
        </w:rPr>
        <w:lastRenderedPageBreak/>
        <w:drawing>
          <wp:inline distT="0" distB="0" distL="0" distR="0">
            <wp:extent cx="5731510" cy="10365056"/>
            <wp:effectExtent l="19050" t="0" r="2540" b="0"/>
            <wp:docPr id="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srcRect/>
                    <a:stretch>
                      <a:fillRect/>
                    </a:stretch>
                  </pic:blipFill>
                  <pic:spPr bwMode="auto">
                    <a:xfrm>
                      <a:off x="0" y="0"/>
                      <a:ext cx="5731510" cy="10365056"/>
                    </a:xfrm>
                    <a:prstGeom prst="rect">
                      <a:avLst/>
                    </a:prstGeom>
                    <a:noFill/>
                    <a:ln w="9525">
                      <a:noFill/>
                      <a:miter lim="800000"/>
                      <a:headEnd/>
                      <a:tailEnd/>
                    </a:ln>
                  </pic:spPr>
                </pic:pic>
              </a:graphicData>
            </a:graphic>
          </wp:inline>
        </w:drawing>
      </w:r>
    </w:p>
    <w:p w:rsidR="00DF7113" w:rsidRDefault="00B00DAA" w:rsidP="00F36526">
      <w:pPr>
        <w:pStyle w:val="ListParagraph"/>
        <w:numPr>
          <w:ilvl w:val="0"/>
          <w:numId w:val="5"/>
        </w:numPr>
        <w:autoSpaceDE w:val="0"/>
        <w:autoSpaceDN w:val="0"/>
        <w:adjustRightInd w:val="0"/>
        <w:spacing w:after="0" w:line="240" w:lineRule="auto"/>
        <w:jc w:val="both"/>
        <w:rPr>
          <w:rFonts w:ascii="Times New Roman" w:hAnsi="Times New Roman" w:cs="Times New Roman"/>
          <w:b/>
          <w:sz w:val="24"/>
          <w:szCs w:val="24"/>
          <w:u w:val="single"/>
        </w:rPr>
      </w:pPr>
      <w:r w:rsidRPr="00B00DAA">
        <w:rPr>
          <w:rFonts w:ascii="Times New Roman" w:hAnsi="Times New Roman" w:cs="Times New Roman"/>
          <w:b/>
          <w:sz w:val="24"/>
          <w:szCs w:val="24"/>
          <w:u w:val="single"/>
        </w:rPr>
        <w:lastRenderedPageBreak/>
        <w:t xml:space="preserve">CALCULATION OF </w:t>
      </w:r>
      <w:r w:rsidR="00DF7113" w:rsidRPr="00B00DAA">
        <w:rPr>
          <w:rFonts w:ascii="Times New Roman" w:hAnsi="Times New Roman" w:cs="Times New Roman"/>
          <w:b/>
          <w:sz w:val="24"/>
          <w:szCs w:val="24"/>
          <w:u w:val="single"/>
        </w:rPr>
        <w:t>FINANCIAL ANALYSIS OF DFS PLCAND SCS PLC</w:t>
      </w:r>
    </w:p>
    <w:p w:rsidR="00C21FB1" w:rsidRDefault="00C21FB1" w:rsidP="00F36526">
      <w:pPr>
        <w:autoSpaceDE w:val="0"/>
        <w:autoSpaceDN w:val="0"/>
        <w:adjustRightInd w:val="0"/>
        <w:spacing w:after="0" w:line="240" w:lineRule="auto"/>
        <w:jc w:val="both"/>
        <w:rPr>
          <w:rFonts w:ascii="Times New Roman" w:hAnsi="Times New Roman" w:cs="Times New Roman"/>
          <w:b/>
          <w:sz w:val="24"/>
          <w:szCs w:val="24"/>
        </w:rPr>
      </w:pPr>
    </w:p>
    <w:p w:rsidR="0001294D" w:rsidRPr="001E0483" w:rsidRDefault="00C21FB1" w:rsidP="00F36526">
      <w:pPr>
        <w:autoSpaceDE w:val="0"/>
        <w:autoSpaceDN w:val="0"/>
        <w:adjustRightInd w:val="0"/>
        <w:spacing w:after="0" w:line="240" w:lineRule="auto"/>
        <w:jc w:val="both"/>
        <w:rPr>
          <w:rFonts w:ascii="Times New Roman" w:hAnsi="Times New Roman" w:cs="Times New Roman"/>
          <w:b/>
          <w:sz w:val="24"/>
          <w:szCs w:val="24"/>
        </w:rPr>
      </w:pPr>
      <w:r>
        <w:rPr>
          <w:rFonts w:ascii="Times New Roman" w:hAnsi="Times New Roman" w:cs="Times New Roman"/>
          <w:b/>
          <w:sz w:val="24"/>
          <w:szCs w:val="24"/>
        </w:rPr>
        <w:t>2.1</w:t>
      </w:r>
      <w:r w:rsidR="002E26AD">
        <w:rPr>
          <w:rFonts w:ascii="Times New Roman" w:hAnsi="Times New Roman" w:cs="Times New Roman"/>
          <w:b/>
          <w:sz w:val="24"/>
          <w:szCs w:val="24"/>
        </w:rPr>
        <w:t xml:space="preserve"> </w:t>
      </w:r>
      <w:r w:rsidR="00B00DAA" w:rsidRPr="00C21FB1">
        <w:rPr>
          <w:rFonts w:ascii="Times New Roman" w:hAnsi="Times New Roman" w:cs="Times New Roman"/>
          <w:b/>
          <w:sz w:val="24"/>
          <w:szCs w:val="24"/>
        </w:rPr>
        <w:t>Calculation of Profitability Ratios</w:t>
      </w:r>
    </w:p>
    <w:p w:rsidR="00C21FB1" w:rsidRPr="00770BE6" w:rsidRDefault="0001294D" w:rsidP="00F36526">
      <w:pPr>
        <w:autoSpaceDE w:val="0"/>
        <w:autoSpaceDN w:val="0"/>
        <w:adjustRightInd w:val="0"/>
        <w:spacing w:after="0" w:line="240" w:lineRule="auto"/>
        <w:jc w:val="both"/>
        <w:rPr>
          <w:rFonts w:ascii="Times New Roman" w:hAnsi="Times New Roman" w:cs="Times New Roman"/>
          <w:sz w:val="24"/>
          <w:szCs w:val="24"/>
        </w:rPr>
      </w:pPr>
      <w:r w:rsidRPr="00552E92">
        <w:rPr>
          <w:rFonts w:ascii="Times New Roman" w:hAnsi="Times New Roman" w:cs="Times New Roman"/>
          <w:sz w:val="24"/>
          <w:szCs w:val="24"/>
        </w:rPr>
        <w:t>“</w:t>
      </w:r>
      <w:r w:rsidR="00470B84" w:rsidRPr="00552E92">
        <w:rPr>
          <w:rFonts w:ascii="Times New Roman" w:hAnsi="Times New Roman" w:cs="Times New Roman"/>
          <w:sz w:val="24"/>
          <w:szCs w:val="24"/>
        </w:rPr>
        <w:t xml:space="preserve">According to </w:t>
      </w:r>
      <w:r w:rsidR="00F71C8A" w:rsidRPr="00552E92">
        <w:rPr>
          <w:rFonts w:ascii="Times New Roman" w:hAnsi="Times New Roman" w:cs="Times New Roman"/>
          <w:sz w:val="24"/>
          <w:szCs w:val="24"/>
        </w:rPr>
        <w:t>(ready ratios.com),</w:t>
      </w:r>
      <w:r w:rsidR="00F71C8A">
        <w:rPr>
          <w:rFonts w:ascii="Times New Roman" w:hAnsi="Times New Roman" w:cs="Times New Roman"/>
          <w:b/>
          <w:sz w:val="24"/>
          <w:szCs w:val="24"/>
        </w:rPr>
        <w:t xml:space="preserve"> </w:t>
      </w:r>
      <w:r w:rsidR="0074651E">
        <w:rPr>
          <w:rFonts w:ascii="Times New Roman" w:hAnsi="Times New Roman" w:cs="Times New Roman"/>
          <w:sz w:val="24"/>
          <w:szCs w:val="24"/>
        </w:rPr>
        <w:t>p</w:t>
      </w:r>
      <w:r w:rsidR="003A145B" w:rsidRPr="003A145B">
        <w:rPr>
          <w:rFonts w:ascii="Times New Roman" w:hAnsi="Times New Roman" w:cs="Times New Roman"/>
          <w:sz w:val="24"/>
          <w:szCs w:val="24"/>
        </w:rPr>
        <w:t>rofitabi</w:t>
      </w:r>
      <w:r w:rsidR="003A145B">
        <w:rPr>
          <w:rFonts w:ascii="Times New Roman" w:hAnsi="Times New Roman" w:cs="Times New Roman"/>
          <w:sz w:val="24"/>
          <w:szCs w:val="24"/>
        </w:rPr>
        <w:t>li</w:t>
      </w:r>
      <w:r w:rsidR="003A145B" w:rsidRPr="003A145B">
        <w:rPr>
          <w:rFonts w:ascii="Times New Roman" w:hAnsi="Times New Roman" w:cs="Times New Roman"/>
          <w:sz w:val="24"/>
          <w:szCs w:val="24"/>
        </w:rPr>
        <w:t xml:space="preserve">ty ratios </w:t>
      </w:r>
      <w:r w:rsidR="003A145B">
        <w:rPr>
          <w:rFonts w:ascii="Times New Roman" w:hAnsi="Times New Roman" w:cs="Times New Roman"/>
          <w:sz w:val="24"/>
          <w:szCs w:val="24"/>
        </w:rPr>
        <w:t>measure a company’s ability to generate earnings relative to sales, Assets and equity. These ratios assess the ability of a company to generate earnings, profits and cash Flows relative to some metrics, such the amount of money invested</w:t>
      </w:r>
      <w:r w:rsidR="003A145B">
        <w:rPr>
          <w:rFonts w:ascii="Times New Roman" w:hAnsi="Times New Roman" w:cs="Times New Roman"/>
          <w:color w:val="404346"/>
          <w:sz w:val="24"/>
          <w:szCs w:val="24"/>
        </w:rPr>
        <w:t>. Its highli</w:t>
      </w:r>
      <w:r w:rsidR="00770BE6">
        <w:rPr>
          <w:rFonts w:ascii="Times New Roman" w:hAnsi="Times New Roman" w:cs="Times New Roman"/>
          <w:color w:val="404346"/>
          <w:sz w:val="24"/>
          <w:szCs w:val="24"/>
        </w:rPr>
        <w:t>ght how effectively the profitability of a</w:t>
      </w:r>
      <w:r w:rsidR="008147A9">
        <w:rPr>
          <w:rFonts w:ascii="Times New Roman" w:hAnsi="Times New Roman" w:cs="Times New Roman"/>
          <w:color w:val="404346"/>
          <w:sz w:val="24"/>
          <w:szCs w:val="24"/>
        </w:rPr>
        <w:t xml:space="preserve"> company is being managed. Such</w:t>
      </w:r>
      <w:r w:rsidR="00770BE6">
        <w:rPr>
          <w:rFonts w:ascii="Times New Roman" w:hAnsi="Times New Roman" w:cs="Times New Roman"/>
          <w:color w:val="404346"/>
          <w:sz w:val="24"/>
          <w:szCs w:val="24"/>
        </w:rPr>
        <w:t xml:space="preserve"> as</w:t>
      </w:r>
      <w:r w:rsidR="008147A9">
        <w:rPr>
          <w:rFonts w:ascii="Times New Roman" w:hAnsi="Times New Roman" w:cs="Times New Roman"/>
          <w:color w:val="404346"/>
          <w:sz w:val="24"/>
          <w:szCs w:val="24"/>
        </w:rPr>
        <w:t>,</w:t>
      </w:r>
      <w:r w:rsidR="00770BE6">
        <w:rPr>
          <w:rFonts w:ascii="Times New Roman" w:hAnsi="Times New Roman" w:cs="Times New Roman"/>
          <w:color w:val="404346"/>
          <w:sz w:val="24"/>
          <w:szCs w:val="24"/>
        </w:rPr>
        <w:t xml:space="preserve"> </w:t>
      </w:r>
      <w:r w:rsidR="008147A9">
        <w:rPr>
          <w:rFonts w:ascii="Times New Roman" w:hAnsi="Times New Roman" w:cs="Times New Roman"/>
          <w:color w:val="404346"/>
          <w:sz w:val="24"/>
          <w:szCs w:val="24"/>
        </w:rPr>
        <w:t>operating profit margin, gross profit m</w:t>
      </w:r>
      <w:r w:rsidR="00770BE6">
        <w:rPr>
          <w:rFonts w:ascii="Times New Roman" w:hAnsi="Times New Roman" w:cs="Times New Roman"/>
          <w:color w:val="404346"/>
          <w:sz w:val="24"/>
          <w:szCs w:val="24"/>
        </w:rPr>
        <w:t>argin,</w:t>
      </w:r>
      <w:r w:rsidR="003710A9">
        <w:rPr>
          <w:rFonts w:ascii="Times New Roman" w:hAnsi="Times New Roman" w:cs="Times New Roman"/>
          <w:color w:val="404346"/>
          <w:sz w:val="24"/>
          <w:szCs w:val="24"/>
        </w:rPr>
        <w:t xml:space="preserve"> net profit margin,</w:t>
      </w:r>
      <w:r w:rsidR="00770BE6">
        <w:rPr>
          <w:rFonts w:ascii="Times New Roman" w:hAnsi="Times New Roman" w:cs="Times New Roman"/>
          <w:color w:val="404346"/>
          <w:sz w:val="24"/>
          <w:szCs w:val="24"/>
        </w:rPr>
        <w:t xml:space="preserve"> </w:t>
      </w:r>
      <w:r w:rsidR="003710A9">
        <w:rPr>
          <w:rFonts w:ascii="Times New Roman" w:hAnsi="Times New Roman" w:cs="Times New Roman"/>
          <w:color w:val="404346"/>
          <w:sz w:val="24"/>
          <w:szCs w:val="24"/>
        </w:rPr>
        <w:t>return on c</w:t>
      </w:r>
      <w:r w:rsidR="00770BE6">
        <w:rPr>
          <w:rFonts w:ascii="Times New Roman" w:hAnsi="Times New Roman" w:cs="Times New Roman"/>
          <w:color w:val="404346"/>
          <w:sz w:val="24"/>
          <w:szCs w:val="24"/>
        </w:rPr>
        <w:t>apital employed and so on</w:t>
      </w:r>
      <w:r>
        <w:rPr>
          <w:rFonts w:ascii="Times New Roman" w:hAnsi="Times New Roman" w:cs="Times New Roman"/>
          <w:color w:val="404346"/>
          <w:sz w:val="24"/>
          <w:szCs w:val="24"/>
        </w:rPr>
        <w:t>”</w:t>
      </w:r>
      <w:r w:rsidR="00770BE6">
        <w:rPr>
          <w:rFonts w:ascii="Times New Roman" w:hAnsi="Times New Roman" w:cs="Times New Roman"/>
          <w:color w:val="404346"/>
          <w:sz w:val="24"/>
          <w:szCs w:val="24"/>
        </w:rPr>
        <w:t>.</w:t>
      </w:r>
      <w:r w:rsidR="008147A9">
        <w:rPr>
          <w:rFonts w:ascii="Times New Roman" w:hAnsi="Times New Roman" w:cs="Times New Roman"/>
          <w:color w:val="404346"/>
          <w:sz w:val="24"/>
          <w:szCs w:val="24"/>
        </w:rPr>
        <w:t xml:space="preserve"> </w:t>
      </w:r>
    </w:p>
    <w:p w:rsidR="00AD0A0F" w:rsidRDefault="0001294D" w:rsidP="00F36526">
      <w:pPr>
        <w:pStyle w:val="NormalWeb"/>
        <w:spacing w:before="0" w:beforeAutospacing="0" w:after="0" w:afterAutospacing="0" w:line="330" w:lineRule="atLeast"/>
        <w:jc w:val="both"/>
        <w:rPr>
          <w:color w:val="404346"/>
        </w:rPr>
      </w:pPr>
      <w:r>
        <w:rPr>
          <w:color w:val="404346"/>
        </w:rPr>
        <w:t>“</w:t>
      </w:r>
      <w:r w:rsidR="00C21FB1" w:rsidRPr="00C21FB1">
        <w:rPr>
          <w:color w:val="404346"/>
        </w:rPr>
        <w:t xml:space="preserve">Different profitability ratios provide different useful insights into the financial health and performance of a company. </w:t>
      </w:r>
      <w:r w:rsidR="00CE3DA0">
        <w:rPr>
          <w:color w:val="404346"/>
        </w:rPr>
        <w:t>“</w:t>
      </w:r>
      <w:r w:rsidR="00CE3DA0" w:rsidRPr="00C21FB1">
        <w:rPr>
          <w:color w:val="404346"/>
        </w:rPr>
        <w:t>Some background knowledge of the nature of business of a company is necessary when analyzing profitability ratios. For example sales of some businesses are seasonal and they experience seasonality in their operations. The retail industry is example of such businesses. The revenues of retail industry are usually very high in the fourth quarter due to Christmas. Therefore, it will not be useful to compare the profitability ratios of this quarter with the profitability ratios of earlier quarters. For meaningful conclusions, the profitability ratios of this quarter should be compared to the profitability ratios of similar quart</w:t>
      </w:r>
      <w:r w:rsidR="00CE3DA0">
        <w:rPr>
          <w:color w:val="404346"/>
        </w:rPr>
        <w:t>ers in the previous years.”</w:t>
      </w:r>
      <w:r w:rsidR="00CE3DA0" w:rsidRPr="00C21FB1">
        <w:rPr>
          <w:color w:val="404346"/>
        </w:rPr>
        <w:t> </w:t>
      </w:r>
    </w:p>
    <w:p w:rsidR="001E0483" w:rsidRPr="001E0483" w:rsidRDefault="001E0483" w:rsidP="00F36526">
      <w:pPr>
        <w:pStyle w:val="NormalWeb"/>
        <w:spacing w:before="0" w:beforeAutospacing="0" w:after="0" w:afterAutospacing="0" w:line="330" w:lineRule="atLeast"/>
        <w:jc w:val="both"/>
        <w:rPr>
          <w:color w:val="404346"/>
        </w:rPr>
      </w:pPr>
    </w:p>
    <w:p w:rsidR="003674AC" w:rsidRPr="00B00DAA" w:rsidRDefault="003674AC" w:rsidP="00F36526">
      <w:pPr>
        <w:autoSpaceDE w:val="0"/>
        <w:autoSpaceDN w:val="0"/>
        <w:adjustRightInd w:val="0"/>
        <w:spacing w:after="0" w:line="240" w:lineRule="auto"/>
        <w:jc w:val="both"/>
        <w:rPr>
          <w:rFonts w:ascii="Times New Roman" w:hAnsi="Times New Roman" w:cs="Times New Roman"/>
          <w:b/>
          <w:sz w:val="24"/>
          <w:szCs w:val="24"/>
          <w:u w:val="single"/>
        </w:rPr>
      </w:pPr>
      <w:r w:rsidRPr="00B00DAA">
        <w:rPr>
          <w:rFonts w:ascii="Times New Roman" w:hAnsi="Times New Roman" w:cs="Times New Roman"/>
          <w:b/>
          <w:sz w:val="24"/>
          <w:szCs w:val="24"/>
          <w:u w:val="single"/>
        </w:rPr>
        <w:t>TABLE 1 : PROFITABILITY RATIOS OF DFS (2013- 2017) AND SCS (2017)</w:t>
      </w:r>
    </w:p>
    <w:p w:rsidR="00DF7113" w:rsidRDefault="00DF7113" w:rsidP="00F36526">
      <w:pPr>
        <w:autoSpaceDE w:val="0"/>
        <w:autoSpaceDN w:val="0"/>
        <w:adjustRightInd w:val="0"/>
        <w:spacing w:after="0" w:line="240" w:lineRule="auto"/>
        <w:jc w:val="both"/>
        <w:rPr>
          <w:rFonts w:ascii="Times New Roman" w:hAnsi="Times New Roman" w:cs="Times New Roman"/>
          <w:b/>
          <w:sz w:val="28"/>
          <w:szCs w:val="28"/>
          <w:u w:val="single"/>
        </w:rPr>
      </w:pPr>
    </w:p>
    <w:p w:rsidR="00110287" w:rsidRDefault="00DF7113" w:rsidP="00F36526">
      <w:pPr>
        <w:autoSpaceDE w:val="0"/>
        <w:autoSpaceDN w:val="0"/>
        <w:adjustRightInd w:val="0"/>
        <w:spacing w:after="0" w:line="240" w:lineRule="auto"/>
        <w:jc w:val="both"/>
        <w:rPr>
          <w:rFonts w:ascii="Times New Roman" w:hAnsi="Times New Roman" w:cs="Times New Roman"/>
          <w:b/>
          <w:sz w:val="28"/>
          <w:szCs w:val="28"/>
          <w:u w:val="single"/>
        </w:rPr>
      </w:pPr>
      <w:r>
        <w:rPr>
          <w:rFonts w:ascii="Times New Roman" w:hAnsi="Times New Roman" w:cs="Times New Roman"/>
          <w:b/>
          <w:noProof/>
          <w:sz w:val="28"/>
          <w:szCs w:val="28"/>
          <w:u w:val="single"/>
          <w:lang w:eastAsia="en-GB"/>
        </w:rPr>
        <w:drawing>
          <wp:inline distT="0" distB="0" distL="0" distR="0">
            <wp:extent cx="6467475" cy="1724025"/>
            <wp:effectExtent l="19050" t="0" r="9525"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srcRect/>
                    <a:stretch>
                      <a:fillRect/>
                    </a:stretch>
                  </pic:blipFill>
                  <pic:spPr bwMode="auto">
                    <a:xfrm>
                      <a:off x="0" y="0"/>
                      <a:ext cx="6464751" cy="1723299"/>
                    </a:xfrm>
                    <a:prstGeom prst="rect">
                      <a:avLst/>
                    </a:prstGeom>
                    <a:noFill/>
                    <a:ln w="9525">
                      <a:noFill/>
                      <a:miter lim="800000"/>
                      <a:headEnd/>
                      <a:tailEnd/>
                    </a:ln>
                  </pic:spPr>
                </pic:pic>
              </a:graphicData>
            </a:graphic>
          </wp:inline>
        </w:drawing>
      </w:r>
    </w:p>
    <w:tbl>
      <w:tblPr>
        <w:tblW w:w="6180" w:type="dxa"/>
        <w:tblInd w:w="93" w:type="dxa"/>
        <w:tblLook w:val="04A0"/>
      </w:tblPr>
      <w:tblGrid>
        <w:gridCol w:w="6180"/>
      </w:tblGrid>
      <w:tr w:rsidR="00861E1F" w:rsidRPr="00861E1F" w:rsidTr="00861E1F">
        <w:trPr>
          <w:trHeight w:val="420"/>
        </w:trPr>
        <w:tc>
          <w:tcPr>
            <w:tcW w:w="61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61E1F" w:rsidRPr="00861E1F" w:rsidRDefault="00861E1F" w:rsidP="00F36526">
            <w:pPr>
              <w:spacing w:after="0" w:line="240" w:lineRule="auto"/>
              <w:jc w:val="both"/>
              <w:rPr>
                <w:rFonts w:ascii="Calibri" w:eastAsia="Times New Roman" w:hAnsi="Calibri" w:cs="Times New Roman"/>
                <w:b/>
                <w:bCs/>
                <w:color w:val="000000"/>
                <w:lang w:eastAsia="en-GB"/>
              </w:rPr>
            </w:pPr>
            <w:r w:rsidRPr="00861E1F">
              <w:rPr>
                <w:rFonts w:ascii="Calibri" w:eastAsia="Times New Roman" w:hAnsi="Calibri" w:cs="Times New Roman"/>
                <w:b/>
                <w:bCs/>
                <w:color w:val="000000"/>
                <w:lang w:eastAsia="en-GB"/>
              </w:rPr>
              <w:t>Operating Profit margin (%) = Operating Income/Sales</w:t>
            </w:r>
          </w:p>
        </w:tc>
      </w:tr>
      <w:tr w:rsidR="00861E1F" w:rsidRPr="00861E1F" w:rsidTr="00861E1F">
        <w:trPr>
          <w:trHeight w:val="375"/>
        </w:trPr>
        <w:tc>
          <w:tcPr>
            <w:tcW w:w="6180" w:type="dxa"/>
            <w:tcBorders>
              <w:top w:val="nil"/>
              <w:left w:val="single" w:sz="4" w:space="0" w:color="auto"/>
              <w:bottom w:val="single" w:sz="4" w:space="0" w:color="auto"/>
              <w:right w:val="single" w:sz="4" w:space="0" w:color="auto"/>
            </w:tcBorders>
            <w:shd w:val="clear" w:color="auto" w:fill="auto"/>
            <w:noWrap/>
            <w:vAlign w:val="bottom"/>
            <w:hideMark/>
          </w:tcPr>
          <w:p w:rsidR="00861E1F" w:rsidRPr="00861E1F" w:rsidRDefault="00861E1F" w:rsidP="00F36526">
            <w:pPr>
              <w:spacing w:after="0" w:line="240" w:lineRule="auto"/>
              <w:jc w:val="both"/>
              <w:rPr>
                <w:rFonts w:ascii="Calibri" w:eastAsia="Times New Roman" w:hAnsi="Calibri" w:cs="Times New Roman"/>
                <w:b/>
                <w:bCs/>
                <w:color w:val="000000"/>
                <w:lang w:eastAsia="en-GB"/>
              </w:rPr>
            </w:pPr>
            <w:r w:rsidRPr="00861E1F">
              <w:rPr>
                <w:rFonts w:ascii="Calibri" w:eastAsia="Times New Roman" w:hAnsi="Calibri" w:cs="Times New Roman"/>
                <w:b/>
                <w:bCs/>
                <w:color w:val="000000"/>
                <w:lang w:eastAsia="en-GB"/>
              </w:rPr>
              <w:t>Gross Profit margin (%) = Gross Profit/ Sales</w:t>
            </w:r>
          </w:p>
        </w:tc>
      </w:tr>
      <w:tr w:rsidR="00861E1F" w:rsidRPr="00861E1F" w:rsidTr="00861E1F">
        <w:trPr>
          <w:trHeight w:val="345"/>
        </w:trPr>
        <w:tc>
          <w:tcPr>
            <w:tcW w:w="6180" w:type="dxa"/>
            <w:tcBorders>
              <w:top w:val="nil"/>
              <w:left w:val="single" w:sz="4" w:space="0" w:color="auto"/>
              <w:bottom w:val="single" w:sz="4" w:space="0" w:color="auto"/>
              <w:right w:val="single" w:sz="4" w:space="0" w:color="auto"/>
            </w:tcBorders>
            <w:shd w:val="clear" w:color="auto" w:fill="auto"/>
            <w:noWrap/>
            <w:vAlign w:val="bottom"/>
            <w:hideMark/>
          </w:tcPr>
          <w:p w:rsidR="00861E1F" w:rsidRPr="00861E1F" w:rsidRDefault="00861E1F" w:rsidP="00F36526">
            <w:pPr>
              <w:spacing w:after="0" w:line="240" w:lineRule="auto"/>
              <w:jc w:val="both"/>
              <w:rPr>
                <w:rFonts w:ascii="Calibri" w:eastAsia="Times New Roman" w:hAnsi="Calibri" w:cs="Times New Roman"/>
                <w:b/>
                <w:bCs/>
                <w:color w:val="000000"/>
                <w:lang w:eastAsia="en-GB"/>
              </w:rPr>
            </w:pPr>
            <w:r w:rsidRPr="00861E1F">
              <w:rPr>
                <w:rFonts w:ascii="Calibri" w:eastAsia="Times New Roman" w:hAnsi="Calibri" w:cs="Times New Roman"/>
                <w:b/>
                <w:bCs/>
                <w:color w:val="000000"/>
                <w:lang w:eastAsia="en-GB"/>
              </w:rPr>
              <w:t>ROCE (%)= Operating Profit/Average Capital Employed</w:t>
            </w:r>
          </w:p>
        </w:tc>
      </w:tr>
      <w:tr w:rsidR="00861E1F" w:rsidRPr="00861E1F" w:rsidTr="00861E1F">
        <w:trPr>
          <w:trHeight w:val="360"/>
        </w:trPr>
        <w:tc>
          <w:tcPr>
            <w:tcW w:w="6180" w:type="dxa"/>
            <w:tcBorders>
              <w:top w:val="nil"/>
              <w:left w:val="single" w:sz="4" w:space="0" w:color="auto"/>
              <w:bottom w:val="single" w:sz="4" w:space="0" w:color="auto"/>
              <w:right w:val="single" w:sz="4" w:space="0" w:color="auto"/>
            </w:tcBorders>
            <w:shd w:val="clear" w:color="auto" w:fill="auto"/>
            <w:noWrap/>
            <w:vAlign w:val="bottom"/>
            <w:hideMark/>
          </w:tcPr>
          <w:p w:rsidR="00861E1F" w:rsidRPr="00861E1F" w:rsidRDefault="00861E1F" w:rsidP="00F36526">
            <w:pPr>
              <w:spacing w:after="0" w:line="240" w:lineRule="auto"/>
              <w:jc w:val="both"/>
              <w:rPr>
                <w:rFonts w:ascii="Calibri" w:eastAsia="Times New Roman" w:hAnsi="Calibri" w:cs="Times New Roman"/>
                <w:b/>
                <w:bCs/>
                <w:color w:val="000000"/>
                <w:lang w:eastAsia="en-GB"/>
              </w:rPr>
            </w:pPr>
            <w:r w:rsidRPr="00861E1F">
              <w:rPr>
                <w:rFonts w:ascii="Calibri" w:eastAsia="Times New Roman" w:hAnsi="Calibri" w:cs="Times New Roman"/>
                <w:b/>
                <w:bCs/>
                <w:color w:val="000000"/>
                <w:lang w:eastAsia="en-GB"/>
              </w:rPr>
              <w:t>Net Profit Margin (%)= Net Income /Sales</w:t>
            </w:r>
          </w:p>
        </w:tc>
      </w:tr>
    </w:tbl>
    <w:p w:rsidR="00110287" w:rsidRDefault="00110287" w:rsidP="00F36526">
      <w:pPr>
        <w:jc w:val="both"/>
        <w:rPr>
          <w:rFonts w:ascii="Times New Roman" w:hAnsi="Times New Roman" w:cs="Times New Roman"/>
          <w:sz w:val="28"/>
          <w:szCs w:val="28"/>
        </w:rPr>
      </w:pPr>
    </w:p>
    <w:p w:rsidR="00861E1F" w:rsidRDefault="00861E1F" w:rsidP="00F36526">
      <w:pPr>
        <w:jc w:val="both"/>
        <w:rPr>
          <w:rFonts w:ascii="Times New Roman" w:hAnsi="Times New Roman" w:cs="Times New Roman"/>
          <w:sz w:val="28"/>
          <w:szCs w:val="28"/>
        </w:rPr>
      </w:pPr>
    </w:p>
    <w:p w:rsidR="00E76049" w:rsidRPr="00F67B49" w:rsidRDefault="00110287" w:rsidP="00F36526">
      <w:pPr>
        <w:jc w:val="both"/>
        <w:rPr>
          <w:rFonts w:ascii="Times New Roman" w:hAnsi="Times New Roman" w:cs="Times New Roman"/>
          <w:sz w:val="28"/>
          <w:szCs w:val="28"/>
        </w:rPr>
      </w:pPr>
      <w:r>
        <w:rPr>
          <w:rFonts w:ascii="Times New Roman" w:hAnsi="Times New Roman" w:cs="Times New Roman"/>
          <w:noProof/>
          <w:sz w:val="28"/>
          <w:szCs w:val="28"/>
          <w:lang w:eastAsia="en-GB"/>
        </w:rPr>
        <w:lastRenderedPageBreak/>
        <w:drawing>
          <wp:inline distT="0" distB="0" distL="0" distR="0">
            <wp:extent cx="6248400" cy="3743325"/>
            <wp:effectExtent l="19050" t="0" r="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srcRect/>
                    <a:stretch>
                      <a:fillRect/>
                    </a:stretch>
                  </pic:blipFill>
                  <pic:spPr bwMode="auto">
                    <a:xfrm>
                      <a:off x="0" y="0"/>
                      <a:ext cx="6254284" cy="3746850"/>
                    </a:xfrm>
                    <a:prstGeom prst="rect">
                      <a:avLst/>
                    </a:prstGeom>
                    <a:noFill/>
                    <a:ln w="9525">
                      <a:noFill/>
                      <a:miter lim="800000"/>
                      <a:headEnd/>
                      <a:tailEnd/>
                    </a:ln>
                  </pic:spPr>
                </pic:pic>
              </a:graphicData>
            </a:graphic>
          </wp:inline>
        </w:drawing>
      </w:r>
    </w:p>
    <w:p w:rsidR="00887945" w:rsidRPr="00887945" w:rsidRDefault="00887945" w:rsidP="00F36526">
      <w:pPr>
        <w:jc w:val="both"/>
        <w:rPr>
          <w:rFonts w:ascii="Times New Roman" w:hAnsi="Times New Roman" w:cs="Times New Roman"/>
          <w:b/>
          <w:sz w:val="24"/>
          <w:szCs w:val="24"/>
        </w:rPr>
      </w:pPr>
      <w:r w:rsidRPr="00887945">
        <w:rPr>
          <w:rFonts w:ascii="Times New Roman" w:hAnsi="Times New Roman" w:cs="Times New Roman"/>
          <w:b/>
          <w:sz w:val="24"/>
          <w:szCs w:val="24"/>
        </w:rPr>
        <w:t>2.2 Calculation of Liquidity Ratios</w:t>
      </w:r>
    </w:p>
    <w:p w:rsidR="00887945" w:rsidRPr="00887945" w:rsidRDefault="008A5DE2" w:rsidP="00F36526">
      <w:pPr>
        <w:jc w:val="both"/>
        <w:rPr>
          <w:rFonts w:ascii="Times New Roman" w:hAnsi="Times New Roman" w:cs="Times New Roman"/>
          <w:sz w:val="24"/>
          <w:szCs w:val="24"/>
          <w:u w:val="single"/>
        </w:rPr>
      </w:pPr>
      <w:r w:rsidRPr="00887945">
        <w:rPr>
          <w:rFonts w:ascii="Times New Roman" w:hAnsi="Times New Roman" w:cs="Times New Roman"/>
          <w:sz w:val="24"/>
          <w:szCs w:val="24"/>
          <w:u w:val="single"/>
        </w:rPr>
        <w:t>TABLE 3: LIQUIDITY RATIOS OF DFS (2013-2017) AND SCS (2017)</w:t>
      </w:r>
    </w:p>
    <w:p w:rsidR="00CB5D54" w:rsidRPr="00887945" w:rsidRDefault="00CB5D54" w:rsidP="00F36526">
      <w:pPr>
        <w:jc w:val="both"/>
        <w:rPr>
          <w:rFonts w:ascii="Times New Roman" w:hAnsi="Times New Roman" w:cs="Times New Roman"/>
          <w:sz w:val="28"/>
          <w:szCs w:val="28"/>
          <w:u w:val="single"/>
        </w:rPr>
      </w:pPr>
      <w:r>
        <w:rPr>
          <w:color w:val="404346"/>
        </w:rPr>
        <w:t>“</w:t>
      </w:r>
      <w:r w:rsidR="0074651E">
        <w:rPr>
          <w:color w:val="404346"/>
        </w:rPr>
        <w:t>According to</w:t>
      </w:r>
      <w:r w:rsidR="00F71C8A">
        <w:rPr>
          <w:color w:val="404346"/>
        </w:rPr>
        <w:t xml:space="preserve"> (</w:t>
      </w:r>
      <w:r w:rsidR="0074651E">
        <w:rPr>
          <w:color w:val="404346"/>
        </w:rPr>
        <w:t>ready Ratios.com</w:t>
      </w:r>
      <w:r w:rsidR="00F71C8A">
        <w:rPr>
          <w:color w:val="404346"/>
        </w:rPr>
        <w:t>)</w:t>
      </w:r>
      <w:r w:rsidR="0074651E">
        <w:rPr>
          <w:color w:val="404346"/>
        </w:rPr>
        <w:t xml:space="preserve">, </w:t>
      </w:r>
      <w:r w:rsidR="0074651E">
        <w:rPr>
          <w:rFonts w:ascii="Times New Roman" w:hAnsi="Times New Roman" w:cs="Times New Roman"/>
          <w:color w:val="404346"/>
          <w:sz w:val="24"/>
          <w:szCs w:val="24"/>
        </w:rPr>
        <w:t>l</w:t>
      </w:r>
      <w:r w:rsidRPr="00CB5D54">
        <w:rPr>
          <w:rFonts w:ascii="Times New Roman" w:hAnsi="Times New Roman" w:cs="Times New Roman"/>
          <w:color w:val="404346"/>
          <w:sz w:val="24"/>
          <w:szCs w:val="24"/>
        </w:rPr>
        <w:t>iquidity ratios are the ratios that measure the ability of a company to meet its short term debt obligations. These ratios measure the ability of a company to pay off its short-term liabilities when they fall due</w:t>
      </w:r>
      <w:r>
        <w:rPr>
          <w:color w:val="404346"/>
        </w:rPr>
        <w:t>”</w:t>
      </w:r>
      <w:r w:rsidRPr="00CB5D54">
        <w:rPr>
          <w:rFonts w:ascii="Times New Roman" w:hAnsi="Times New Roman" w:cs="Times New Roman"/>
          <w:color w:val="404346"/>
          <w:sz w:val="24"/>
          <w:szCs w:val="24"/>
        </w:rPr>
        <w:t>.</w:t>
      </w:r>
    </w:p>
    <w:p w:rsidR="00D41A22" w:rsidRPr="0092201F" w:rsidRDefault="00CB5D54" w:rsidP="00F36526">
      <w:pPr>
        <w:pStyle w:val="NormalWeb"/>
        <w:spacing w:before="0" w:beforeAutospacing="0" w:after="0" w:afterAutospacing="0" w:line="330" w:lineRule="atLeast"/>
        <w:jc w:val="both"/>
        <w:rPr>
          <w:color w:val="404346"/>
        </w:rPr>
      </w:pPr>
      <w:r>
        <w:rPr>
          <w:color w:val="404346"/>
        </w:rPr>
        <w:t>“</w:t>
      </w:r>
      <w:r w:rsidRPr="00CB5D54">
        <w:rPr>
          <w:color w:val="404346"/>
        </w:rPr>
        <w:t>The liquidity ratios are a result of dividing cash and other liquid assets by the short term borrowings and current liabilities. They show the number of times the short term debt obligations are covered by the cash and liquid assets.</w:t>
      </w:r>
      <w:r w:rsidR="00CE2D81">
        <w:rPr>
          <w:color w:val="404346"/>
        </w:rPr>
        <w:t>”</w:t>
      </w:r>
      <w:r w:rsidR="0092201F" w:rsidRPr="0092201F">
        <w:rPr>
          <w:color w:val="404346"/>
        </w:rPr>
        <w:t xml:space="preserve"> </w:t>
      </w:r>
      <w:r w:rsidR="0092201F" w:rsidRPr="00CB5D54">
        <w:rPr>
          <w:color w:val="404346"/>
        </w:rPr>
        <w:t>If the value is greater than 1, it means the short term obligations are fully covered</w:t>
      </w:r>
      <w:r w:rsidR="0092201F">
        <w:rPr>
          <w:color w:val="404346"/>
        </w:rPr>
        <w:t>”</w:t>
      </w:r>
      <w:r w:rsidR="0092201F" w:rsidRPr="00CB5D54">
        <w:rPr>
          <w:color w:val="404346"/>
        </w:rPr>
        <w:t>.</w:t>
      </w:r>
    </w:p>
    <w:p w:rsidR="00D41A22" w:rsidRDefault="00D41A22" w:rsidP="00F36526">
      <w:pPr>
        <w:pStyle w:val="NormalWeb"/>
        <w:spacing w:before="0" w:beforeAutospacing="0" w:after="0" w:afterAutospacing="0" w:line="330" w:lineRule="atLeast"/>
        <w:jc w:val="both"/>
        <w:rPr>
          <w:b/>
          <w:color w:val="404346"/>
        </w:rPr>
      </w:pPr>
    </w:p>
    <w:tbl>
      <w:tblPr>
        <w:tblW w:w="6180" w:type="dxa"/>
        <w:tblInd w:w="93" w:type="dxa"/>
        <w:tblLook w:val="04A0"/>
      </w:tblPr>
      <w:tblGrid>
        <w:gridCol w:w="6180"/>
      </w:tblGrid>
      <w:tr w:rsidR="00D41A22" w:rsidRPr="00470B84" w:rsidTr="00D41A22">
        <w:trPr>
          <w:trHeight w:val="300"/>
        </w:trPr>
        <w:tc>
          <w:tcPr>
            <w:tcW w:w="61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41A22" w:rsidRPr="00D41A22" w:rsidRDefault="00D41A22" w:rsidP="00F36526">
            <w:pPr>
              <w:spacing w:after="0" w:line="240" w:lineRule="auto"/>
              <w:jc w:val="both"/>
              <w:rPr>
                <w:rFonts w:ascii="Calibri" w:eastAsia="Times New Roman" w:hAnsi="Calibri" w:cs="Times New Roman"/>
                <w:color w:val="000000"/>
                <w:lang w:val="fr-FR" w:eastAsia="en-GB"/>
              </w:rPr>
            </w:pPr>
            <w:r w:rsidRPr="00D41A22">
              <w:rPr>
                <w:rFonts w:ascii="Calibri" w:eastAsia="Times New Roman" w:hAnsi="Calibri" w:cs="Times New Roman"/>
                <w:color w:val="000000"/>
                <w:lang w:val="fr-FR" w:eastAsia="en-GB"/>
              </w:rPr>
              <w:t>Current Ratio = Current Assets/ Current Liabilities</w:t>
            </w:r>
          </w:p>
        </w:tc>
      </w:tr>
      <w:tr w:rsidR="00D41A22" w:rsidRPr="00D41A22" w:rsidTr="00D41A22">
        <w:trPr>
          <w:trHeight w:val="300"/>
        </w:trPr>
        <w:tc>
          <w:tcPr>
            <w:tcW w:w="6180" w:type="dxa"/>
            <w:tcBorders>
              <w:top w:val="nil"/>
              <w:left w:val="single" w:sz="4" w:space="0" w:color="auto"/>
              <w:bottom w:val="single" w:sz="4" w:space="0" w:color="auto"/>
              <w:right w:val="single" w:sz="4" w:space="0" w:color="auto"/>
            </w:tcBorders>
            <w:shd w:val="clear" w:color="auto" w:fill="auto"/>
            <w:noWrap/>
            <w:vAlign w:val="bottom"/>
            <w:hideMark/>
          </w:tcPr>
          <w:p w:rsidR="00D41A22" w:rsidRPr="00D41A22" w:rsidRDefault="00D41A22" w:rsidP="00F36526">
            <w:pPr>
              <w:spacing w:after="0" w:line="240" w:lineRule="auto"/>
              <w:jc w:val="both"/>
              <w:rPr>
                <w:rFonts w:ascii="Calibri" w:eastAsia="Times New Roman" w:hAnsi="Calibri" w:cs="Times New Roman"/>
                <w:color w:val="000000"/>
                <w:lang w:eastAsia="en-GB"/>
              </w:rPr>
            </w:pPr>
            <w:r w:rsidRPr="00D41A22">
              <w:rPr>
                <w:rFonts w:ascii="Calibri" w:eastAsia="Times New Roman" w:hAnsi="Calibri" w:cs="Times New Roman"/>
                <w:color w:val="000000"/>
                <w:lang w:eastAsia="en-GB"/>
              </w:rPr>
              <w:t>Quick Ratio = Current Assets - Inventory/ Current Liabilities</w:t>
            </w:r>
          </w:p>
        </w:tc>
      </w:tr>
      <w:tr w:rsidR="00D41A22" w:rsidRPr="00D41A22" w:rsidTr="00D41A22">
        <w:trPr>
          <w:trHeight w:val="300"/>
        </w:trPr>
        <w:tc>
          <w:tcPr>
            <w:tcW w:w="6180" w:type="dxa"/>
            <w:tcBorders>
              <w:top w:val="nil"/>
              <w:left w:val="single" w:sz="4" w:space="0" w:color="auto"/>
              <w:bottom w:val="single" w:sz="4" w:space="0" w:color="auto"/>
              <w:right w:val="single" w:sz="4" w:space="0" w:color="auto"/>
            </w:tcBorders>
            <w:shd w:val="clear" w:color="auto" w:fill="auto"/>
            <w:noWrap/>
            <w:vAlign w:val="bottom"/>
            <w:hideMark/>
          </w:tcPr>
          <w:p w:rsidR="00D41A22" w:rsidRPr="00D41A22" w:rsidRDefault="00D41A22" w:rsidP="00F36526">
            <w:pPr>
              <w:spacing w:after="0" w:line="240" w:lineRule="auto"/>
              <w:jc w:val="both"/>
              <w:rPr>
                <w:rFonts w:ascii="Calibri" w:eastAsia="Times New Roman" w:hAnsi="Calibri" w:cs="Times New Roman"/>
                <w:color w:val="000000"/>
                <w:lang w:eastAsia="en-GB"/>
              </w:rPr>
            </w:pPr>
            <w:r w:rsidRPr="00D41A22">
              <w:rPr>
                <w:rFonts w:ascii="Calibri" w:eastAsia="Times New Roman" w:hAnsi="Calibri" w:cs="Times New Roman"/>
                <w:color w:val="000000"/>
                <w:lang w:eastAsia="en-GB"/>
              </w:rPr>
              <w:t>Cash Ratio = Cash/ Current Liabilities</w:t>
            </w:r>
          </w:p>
        </w:tc>
      </w:tr>
    </w:tbl>
    <w:p w:rsidR="00D41A22" w:rsidRDefault="00D41A22" w:rsidP="00F36526">
      <w:pPr>
        <w:jc w:val="both"/>
        <w:rPr>
          <w:rFonts w:ascii="Times New Roman" w:hAnsi="Times New Roman" w:cs="Times New Roman"/>
          <w:sz w:val="24"/>
          <w:szCs w:val="24"/>
        </w:rPr>
      </w:pPr>
    </w:p>
    <w:p w:rsidR="008A5DE2" w:rsidRDefault="008A5DE2" w:rsidP="00F36526">
      <w:pPr>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6229350" cy="1457325"/>
            <wp:effectExtent l="19050" t="0" r="0" b="0"/>
            <wp:docPr id="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srcRect/>
                    <a:stretch>
                      <a:fillRect/>
                    </a:stretch>
                  </pic:blipFill>
                  <pic:spPr bwMode="auto">
                    <a:xfrm>
                      <a:off x="0" y="0"/>
                      <a:ext cx="6239271" cy="1459646"/>
                    </a:xfrm>
                    <a:prstGeom prst="rect">
                      <a:avLst/>
                    </a:prstGeom>
                    <a:noFill/>
                    <a:ln w="9525">
                      <a:noFill/>
                      <a:miter lim="800000"/>
                      <a:headEnd/>
                      <a:tailEnd/>
                    </a:ln>
                  </pic:spPr>
                </pic:pic>
              </a:graphicData>
            </a:graphic>
          </wp:inline>
        </w:drawing>
      </w:r>
    </w:p>
    <w:p w:rsidR="00694D57" w:rsidRPr="00F67B49" w:rsidRDefault="008A5DE2" w:rsidP="00F36526">
      <w:pPr>
        <w:jc w:val="both"/>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extent cx="6181725" cy="3657600"/>
            <wp:effectExtent l="19050" t="0" r="9525" b="0"/>
            <wp:docPr id="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cstate="print"/>
                    <a:srcRect/>
                    <a:stretch>
                      <a:fillRect/>
                    </a:stretch>
                  </pic:blipFill>
                  <pic:spPr bwMode="auto">
                    <a:xfrm>
                      <a:off x="0" y="0"/>
                      <a:ext cx="6181725" cy="3657600"/>
                    </a:xfrm>
                    <a:prstGeom prst="rect">
                      <a:avLst/>
                    </a:prstGeom>
                    <a:noFill/>
                    <a:ln w="9525">
                      <a:noFill/>
                      <a:miter lim="800000"/>
                      <a:headEnd/>
                      <a:tailEnd/>
                    </a:ln>
                  </pic:spPr>
                </pic:pic>
              </a:graphicData>
            </a:graphic>
          </wp:inline>
        </w:drawing>
      </w:r>
    </w:p>
    <w:p w:rsidR="000E6A66" w:rsidRDefault="00516C44" w:rsidP="00F36526">
      <w:pPr>
        <w:jc w:val="both"/>
        <w:rPr>
          <w:rFonts w:ascii="Times New Roman" w:hAnsi="Times New Roman" w:cs="Times New Roman"/>
          <w:b/>
          <w:sz w:val="24"/>
          <w:szCs w:val="24"/>
        </w:rPr>
      </w:pPr>
      <w:r w:rsidRPr="00516C44">
        <w:rPr>
          <w:rFonts w:ascii="Times New Roman" w:hAnsi="Times New Roman" w:cs="Times New Roman"/>
          <w:b/>
          <w:sz w:val="24"/>
          <w:szCs w:val="24"/>
        </w:rPr>
        <w:t xml:space="preserve">2.3 Calculation </w:t>
      </w:r>
      <w:r>
        <w:rPr>
          <w:rFonts w:ascii="Times New Roman" w:hAnsi="Times New Roman" w:cs="Times New Roman"/>
          <w:b/>
          <w:sz w:val="24"/>
          <w:szCs w:val="24"/>
        </w:rPr>
        <w:t>o</w:t>
      </w:r>
      <w:r w:rsidRPr="00516C44">
        <w:rPr>
          <w:rFonts w:ascii="Times New Roman" w:hAnsi="Times New Roman" w:cs="Times New Roman"/>
          <w:b/>
          <w:sz w:val="24"/>
          <w:szCs w:val="24"/>
        </w:rPr>
        <w:t>f Gearing Ratios</w:t>
      </w:r>
    </w:p>
    <w:p w:rsidR="0003744B" w:rsidRDefault="0027665C" w:rsidP="00F36526">
      <w:pPr>
        <w:jc w:val="both"/>
        <w:rPr>
          <w:rFonts w:ascii="Times New Roman" w:hAnsi="Times New Roman" w:cs="Times New Roman"/>
          <w:color w:val="000000"/>
          <w:sz w:val="24"/>
          <w:szCs w:val="24"/>
        </w:rPr>
      </w:pPr>
      <w:r>
        <w:rPr>
          <w:rFonts w:ascii="Times New Roman" w:hAnsi="Times New Roman" w:cs="Times New Roman"/>
          <w:color w:val="000000"/>
          <w:sz w:val="24"/>
          <w:szCs w:val="24"/>
        </w:rPr>
        <w:t>“</w:t>
      </w:r>
      <w:r w:rsidR="0074651E">
        <w:rPr>
          <w:rFonts w:ascii="Times New Roman" w:hAnsi="Times New Roman" w:cs="Times New Roman"/>
          <w:color w:val="000000"/>
          <w:sz w:val="24"/>
          <w:szCs w:val="24"/>
        </w:rPr>
        <w:t>According to</w:t>
      </w:r>
      <w:r w:rsidR="00F71C8A">
        <w:rPr>
          <w:rFonts w:ascii="Times New Roman" w:hAnsi="Times New Roman" w:cs="Times New Roman"/>
          <w:color w:val="000000"/>
          <w:sz w:val="24"/>
          <w:szCs w:val="24"/>
        </w:rPr>
        <w:t xml:space="preserve"> (</w:t>
      </w:r>
      <w:r w:rsidR="0074651E">
        <w:rPr>
          <w:rFonts w:ascii="Times New Roman" w:hAnsi="Times New Roman" w:cs="Times New Roman"/>
          <w:color w:val="000000"/>
          <w:sz w:val="24"/>
          <w:szCs w:val="24"/>
        </w:rPr>
        <w:t>investopedia.com</w:t>
      </w:r>
      <w:r w:rsidR="00F71C8A">
        <w:rPr>
          <w:rFonts w:ascii="Times New Roman" w:hAnsi="Times New Roman" w:cs="Times New Roman"/>
          <w:color w:val="000000"/>
          <w:sz w:val="24"/>
          <w:szCs w:val="24"/>
        </w:rPr>
        <w:t>)</w:t>
      </w:r>
      <w:r w:rsidR="0074651E">
        <w:rPr>
          <w:rFonts w:ascii="Times New Roman" w:hAnsi="Times New Roman" w:cs="Times New Roman"/>
          <w:color w:val="000000"/>
          <w:sz w:val="24"/>
          <w:szCs w:val="24"/>
        </w:rPr>
        <w:t>, a</w:t>
      </w:r>
      <w:r w:rsidRPr="0027665C">
        <w:rPr>
          <w:rFonts w:ascii="Times New Roman" w:hAnsi="Times New Roman" w:cs="Times New Roman"/>
          <w:color w:val="000000"/>
          <w:sz w:val="24"/>
          <w:szCs w:val="24"/>
        </w:rPr>
        <w:t xml:space="preserve"> gearing ratio is a general classification describing a financial ratio that compares some form of owner's equity (or capital) to funds borrowed by the company. Gearing is a measurement of the entity’s financial leverage, which demonstrates the degree to which a firm's activities are funded by owner's funds versus creditor's funds</w:t>
      </w:r>
      <w:r>
        <w:rPr>
          <w:rFonts w:ascii="Times New Roman" w:hAnsi="Times New Roman" w:cs="Times New Roman"/>
          <w:color w:val="000000"/>
          <w:sz w:val="24"/>
          <w:szCs w:val="24"/>
        </w:rPr>
        <w:t>”</w:t>
      </w:r>
    </w:p>
    <w:p w:rsidR="0003744B" w:rsidRPr="00694D57" w:rsidRDefault="0003744B" w:rsidP="00F36526">
      <w:pPr>
        <w:jc w:val="both"/>
        <w:rPr>
          <w:rFonts w:ascii="Times New Roman" w:hAnsi="Times New Roman" w:cs="Times New Roman"/>
          <w:color w:val="000000"/>
          <w:sz w:val="24"/>
          <w:szCs w:val="24"/>
        </w:rPr>
      </w:pPr>
      <w:r>
        <w:rPr>
          <w:color w:val="000000"/>
        </w:rPr>
        <w:t>“</w:t>
      </w:r>
      <w:r w:rsidRPr="007F3120">
        <w:rPr>
          <w:color w:val="000000"/>
        </w:rPr>
        <w:t>Gearing ratios are most beneficial to companies when used as a tool for comparison. As a standalone calculation, a gearing ratio may not hold any weight or meaning. For example, a company may have a debt ratio of 0.6. Although this figure alone provides some information as to the company’s financial structure, it is more meaningful to benchmark this figure against another. For instance, the company had a debt ratio last year of 0.3, the industry average is 0.8 and the company’s main competitor ha</w:t>
      </w:r>
      <w:r w:rsidR="00941892">
        <w:rPr>
          <w:color w:val="000000"/>
        </w:rPr>
        <w:t>s a debt ratio of 0.9</w:t>
      </w:r>
      <w:r w:rsidRPr="007F3120">
        <w:rPr>
          <w:color w:val="000000"/>
        </w:rPr>
        <w:t>.</w:t>
      </w:r>
    </w:p>
    <w:p w:rsidR="000E6A66" w:rsidRDefault="000E6A66" w:rsidP="00F36526">
      <w:pPr>
        <w:tabs>
          <w:tab w:val="left" w:pos="1155"/>
        </w:tabs>
        <w:jc w:val="both"/>
        <w:rPr>
          <w:rFonts w:ascii="Times New Roman" w:hAnsi="Times New Roman" w:cs="Times New Roman"/>
          <w:b/>
          <w:noProof/>
          <w:sz w:val="24"/>
          <w:szCs w:val="24"/>
          <w:lang w:eastAsia="en-GB"/>
        </w:rPr>
      </w:pPr>
      <w:r w:rsidRPr="000E6A66">
        <w:rPr>
          <w:rFonts w:ascii="Times New Roman" w:hAnsi="Times New Roman" w:cs="Times New Roman"/>
          <w:b/>
          <w:noProof/>
          <w:sz w:val="24"/>
          <w:szCs w:val="24"/>
          <w:lang w:eastAsia="en-GB"/>
        </w:rPr>
        <w:t>TABLE4: GEARING RATIOS OF DFS PLC (2013-2017) AND SCS PLC (2017)</w:t>
      </w:r>
    </w:p>
    <w:p w:rsidR="005C30BF" w:rsidRDefault="005C30BF" w:rsidP="00F36526">
      <w:pPr>
        <w:tabs>
          <w:tab w:val="left" w:pos="1155"/>
        </w:tabs>
        <w:jc w:val="both"/>
        <w:rPr>
          <w:rFonts w:ascii="Times New Roman" w:hAnsi="Times New Roman" w:cs="Times New Roman"/>
          <w:b/>
          <w:noProof/>
          <w:sz w:val="24"/>
          <w:szCs w:val="24"/>
          <w:lang w:eastAsia="en-GB"/>
        </w:rPr>
      </w:pPr>
    </w:p>
    <w:tbl>
      <w:tblPr>
        <w:tblW w:w="6180" w:type="dxa"/>
        <w:tblInd w:w="93" w:type="dxa"/>
        <w:tblLook w:val="04A0"/>
      </w:tblPr>
      <w:tblGrid>
        <w:gridCol w:w="6180"/>
      </w:tblGrid>
      <w:tr w:rsidR="005C30BF" w:rsidRPr="005C30BF" w:rsidTr="005C30BF">
        <w:trPr>
          <w:trHeight w:val="300"/>
        </w:trPr>
        <w:tc>
          <w:tcPr>
            <w:tcW w:w="61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5C30BF" w:rsidRPr="005C30BF" w:rsidRDefault="005C30BF" w:rsidP="00F36526">
            <w:pPr>
              <w:spacing w:after="0" w:line="240" w:lineRule="auto"/>
              <w:jc w:val="both"/>
              <w:rPr>
                <w:rFonts w:ascii="Calibri" w:eastAsia="Times New Roman" w:hAnsi="Calibri" w:cs="Times New Roman"/>
                <w:color w:val="000000"/>
                <w:lang w:eastAsia="en-GB"/>
              </w:rPr>
            </w:pPr>
            <w:r w:rsidRPr="005C30BF">
              <w:rPr>
                <w:rFonts w:ascii="Calibri" w:eastAsia="Times New Roman" w:hAnsi="Calibri" w:cs="Times New Roman"/>
                <w:color w:val="000000"/>
                <w:lang w:eastAsia="en-GB"/>
              </w:rPr>
              <w:t>Gearing Ratio (%) = Net Debt/ Total Equity</w:t>
            </w:r>
          </w:p>
        </w:tc>
      </w:tr>
      <w:tr w:rsidR="005C30BF" w:rsidRPr="005C30BF" w:rsidTr="005C30BF">
        <w:trPr>
          <w:trHeight w:val="300"/>
        </w:trPr>
        <w:tc>
          <w:tcPr>
            <w:tcW w:w="6180" w:type="dxa"/>
            <w:tcBorders>
              <w:top w:val="nil"/>
              <w:left w:val="single" w:sz="4" w:space="0" w:color="auto"/>
              <w:bottom w:val="single" w:sz="4" w:space="0" w:color="auto"/>
              <w:right w:val="single" w:sz="4" w:space="0" w:color="auto"/>
            </w:tcBorders>
            <w:shd w:val="clear" w:color="auto" w:fill="auto"/>
            <w:noWrap/>
            <w:vAlign w:val="bottom"/>
            <w:hideMark/>
          </w:tcPr>
          <w:p w:rsidR="005C30BF" w:rsidRPr="005C30BF" w:rsidRDefault="005C30BF" w:rsidP="00F36526">
            <w:pPr>
              <w:spacing w:after="0" w:line="240" w:lineRule="auto"/>
              <w:jc w:val="both"/>
              <w:rPr>
                <w:rFonts w:ascii="Calibri" w:eastAsia="Times New Roman" w:hAnsi="Calibri" w:cs="Times New Roman"/>
                <w:color w:val="000000"/>
                <w:lang w:eastAsia="en-GB"/>
              </w:rPr>
            </w:pPr>
            <w:r w:rsidRPr="005C30BF">
              <w:rPr>
                <w:rFonts w:ascii="Calibri" w:eastAsia="Times New Roman" w:hAnsi="Calibri" w:cs="Times New Roman"/>
                <w:color w:val="000000"/>
                <w:lang w:eastAsia="en-GB"/>
              </w:rPr>
              <w:t>Interest Cover= Operating Profit/ Interest Payable</w:t>
            </w:r>
          </w:p>
        </w:tc>
      </w:tr>
    </w:tbl>
    <w:p w:rsidR="005C30BF" w:rsidRDefault="005C30BF" w:rsidP="00F36526">
      <w:pPr>
        <w:tabs>
          <w:tab w:val="left" w:pos="1155"/>
        </w:tabs>
        <w:jc w:val="both"/>
        <w:rPr>
          <w:rFonts w:ascii="Times New Roman" w:hAnsi="Times New Roman" w:cs="Times New Roman"/>
          <w:sz w:val="24"/>
          <w:szCs w:val="24"/>
        </w:rPr>
      </w:pPr>
    </w:p>
    <w:p w:rsidR="000E6A66" w:rsidRPr="000E6A66" w:rsidRDefault="000E6A66" w:rsidP="00F36526">
      <w:pPr>
        <w:tabs>
          <w:tab w:val="left" w:pos="1155"/>
        </w:tabs>
        <w:jc w:val="both"/>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extent cx="5934075" cy="2095500"/>
            <wp:effectExtent l="19050" t="0" r="9525" b="0"/>
            <wp:docPr id="1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srcRect/>
                    <a:stretch>
                      <a:fillRect/>
                    </a:stretch>
                  </pic:blipFill>
                  <pic:spPr bwMode="auto">
                    <a:xfrm>
                      <a:off x="0" y="0"/>
                      <a:ext cx="5934075" cy="2095500"/>
                    </a:xfrm>
                    <a:prstGeom prst="rect">
                      <a:avLst/>
                    </a:prstGeom>
                    <a:noFill/>
                    <a:ln w="9525">
                      <a:noFill/>
                      <a:miter lim="800000"/>
                      <a:headEnd/>
                      <a:tailEnd/>
                    </a:ln>
                  </pic:spPr>
                </pic:pic>
              </a:graphicData>
            </a:graphic>
          </wp:inline>
        </w:drawing>
      </w:r>
    </w:p>
    <w:p w:rsidR="00E464E8" w:rsidRPr="00F67B49" w:rsidRDefault="000E6A66" w:rsidP="00F67B49">
      <w:pPr>
        <w:tabs>
          <w:tab w:val="left" w:pos="1275"/>
        </w:tabs>
        <w:jc w:val="both"/>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31510" cy="3746850"/>
            <wp:effectExtent l="19050" t="0" r="2540" b="0"/>
            <wp:docPr id="1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cstate="print"/>
                    <a:srcRect/>
                    <a:stretch>
                      <a:fillRect/>
                    </a:stretch>
                  </pic:blipFill>
                  <pic:spPr bwMode="auto">
                    <a:xfrm>
                      <a:off x="0" y="0"/>
                      <a:ext cx="5731510" cy="3746850"/>
                    </a:xfrm>
                    <a:prstGeom prst="rect">
                      <a:avLst/>
                    </a:prstGeom>
                    <a:noFill/>
                    <a:ln w="9525">
                      <a:noFill/>
                      <a:miter lim="800000"/>
                      <a:headEnd/>
                      <a:tailEnd/>
                    </a:ln>
                  </pic:spPr>
                </pic:pic>
              </a:graphicData>
            </a:graphic>
          </wp:inline>
        </w:drawing>
      </w:r>
    </w:p>
    <w:p w:rsidR="007646F2" w:rsidRDefault="00516C44" w:rsidP="00F36526">
      <w:pPr>
        <w:jc w:val="both"/>
        <w:rPr>
          <w:rFonts w:ascii="Times New Roman" w:hAnsi="Times New Roman" w:cs="Times New Roman"/>
          <w:b/>
          <w:sz w:val="24"/>
          <w:szCs w:val="24"/>
        </w:rPr>
      </w:pPr>
      <w:r w:rsidRPr="00516C44">
        <w:rPr>
          <w:rFonts w:ascii="Times New Roman" w:hAnsi="Times New Roman" w:cs="Times New Roman"/>
          <w:b/>
          <w:sz w:val="24"/>
          <w:szCs w:val="24"/>
        </w:rPr>
        <w:t>2.4 Calculation of Efficiency Ratios</w:t>
      </w:r>
    </w:p>
    <w:p w:rsidR="00CD28A4" w:rsidRDefault="00CD28A4" w:rsidP="00F36526">
      <w:pPr>
        <w:jc w:val="both"/>
        <w:rPr>
          <w:rFonts w:ascii="Times New Roman" w:hAnsi="Times New Roman" w:cs="Times New Roman"/>
          <w:color w:val="000000"/>
          <w:sz w:val="24"/>
          <w:szCs w:val="24"/>
        </w:rPr>
      </w:pPr>
      <w:r>
        <w:rPr>
          <w:rFonts w:ascii="Times New Roman" w:hAnsi="Times New Roman" w:cs="Times New Roman"/>
          <w:color w:val="000000"/>
          <w:sz w:val="24"/>
          <w:szCs w:val="24"/>
        </w:rPr>
        <w:t>“</w:t>
      </w:r>
      <w:r w:rsidR="00D555D6">
        <w:rPr>
          <w:rFonts w:ascii="Times New Roman" w:hAnsi="Times New Roman" w:cs="Times New Roman"/>
          <w:color w:val="000000"/>
          <w:sz w:val="24"/>
          <w:szCs w:val="24"/>
        </w:rPr>
        <w:t xml:space="preserve">According to </w:t>
      </w:r>
      <w:r w:rsidR="005A6C8F">
        <w:rPr>
          <w:rFonts w:ascii="Times New Roman" w:hAnsi="Times New Roman" w:cs="Times New Roman"/>
          <w:color w:val="000000"/>
          <w:sz w:val="24"/>
          <w:szCs w:val="24"/>
        </w:rPr>
        <w:t>(</w:t>
      </w:r>
      <w:r w:rsidR="00D555D6">
        <w:rPr>
          <w:rFonts w:ascii="Times New Roman" w:hAnsi="Times New Roman" w:cs="Times New Roman"/>
          <w:color w:val="000000"/>
          <w:sz w:val="24"/>
          <w:szCs w:val="24"/>
        </w:rPr>
        <w:t>investopedia.com</w:t>
      </w:r>
      <w:r w:rsidR="005A6C8F">
        <w:rPr>
          <w:rFonts w:ascii="Times New Roman" w:hAnsi="Times New Roman" w:cs="Times New Roman"/>
          <w:color w:val="000000"/>
          <w:sz w:val="24"/>
          <w:szCs w:val="24"/>
        </w:rPr>
        <w:t>)</w:t>
      </w:r>
      <w:r w:rsidR="00D555D6">
        <w:rPr>
          <w:rFonts w:ascii="Times New Roman" w:hAnsi="Times New Roman" w:cs="Times New Roman"/>
          <w:color w:val="000000"/>
          <w:sz w:val="24"/>
          <w:szCs w:val="24"/>
        </w:rPr>
        <w:t>, t</w:t>
      </w:r>
      <w:r w:rsidRPr="00CD28A4">
        <w:rPr>
          <w:rFonts w:ascii="Times New Roman" w:hAnsi="Times New Roman" w:cs="Times New Roman"/>
          <w:color w:val="000000"/>
          <w:sz w:val="24"/>
          <w:szCs w:val="24"/>
        </w:rPr>
        <w:t>he efficiency ratio is typically used to analyze how well a company uses its assets and liabilities internally. An efficiency ratio can calculate the </w:t>
      </w:r>
      <w:r w:rsidRPr="00CD28A4">
        <w:rPr>
          <w:color w:val="000000"/>
        </w:rPr>
        <w:t>turnover</w:t>
      </w:r>
      <w:r w:rsidRPr="00CD28A4">
        <w:rPr>
          <w:rFonts w:ascii="Times New Roman" w:hAnsi="Times New Roman" w:cs="Times New Roman"/>
          <w:color w:val="000000"/>
          <w:sz w:val="24"/>
          <w:szCs w:val="24"/>
        </w:rPr>
        <w:t> of </w:t>
      </w:r>
      <w:r w:rsidRPr="00CD28A4">
        <w:rPr>
          <w:color w:val="000000"/>
        </w:rPr>
        <w:t>receivable</w:t>
      </w:r>
      <w:r w:rsidRPr="00CD28A4">
        <w:rPr>
          <w:rFonts w:ascii="Times New Roman" w:hAnsi="Times New Roman" w:cs="Times New Roman"/>
          <w:color w:val="000000"/>
          <w:sz w:val="24"/>
          <w:szCs w:val="24"/>
        </w:rPr>
        <w:t>, the repayment of liabilities, the quantity and usage of equity, and the general use of inventory and machinery. This ratio can also be used to track and analyze the performance of commercial and investment banks</w:t>
      </w:r>
      <w:r>
        <w:rPr>
          <w:rFonts w:ascii="Times New Roman" w:hAnsi="Times New Roman" w:cs="Times New Roman"/>
          <w:color w:val="000000"/>
          <w:sz w:val="24"/>
          <w:szCs w:val="24"/>
        </w:rPr>
        <w:t>”</w:t>
      </w:r>
      <w:r w:rsidRPr="00CD28A4">
        <w:rPr>
          <w:rFonts w:ascii="Times New Roman" w:hAnsi="Times New Roman" w:cs="Times New Roman"/>
          <w:color w:val="000000"/>
          <w:sz w:val="24"/>
          <w:szCs w:val="24"/>
        </w:rPr>
        <w:t>.</w:t>
      </w:r>
    </w:p>
    <w:p w:rsidR="00CD28A4" w:rsidRPr="00CD28A4" w:rsidRDefault="00CD28A4" w:rsidP="00F36526">
      <w:pPr>
        <w:jc w:val="both"/>
        <w:rPr>
          <w:rFonts w:ascii="Times New Roman" w:hAnsi="Times New Roman" w:cs="Times New Roman"/>
          <w:sz w:val="24"/>
          <w:szCs w:val="24"/>
        </w:rPr>
      </w:pPr>
      <w:r>
        <w:rPr>
          <w:rFonts w:ascii="Times New Roman" w:hAnsi="Times New Roman" w:cs="Times New Roman"/>
          <w:color w:val="000000"/>
          <w:sz w:val="24"/>
          <w:szCs w:val="24"/>
          <w:shd w:val="clear" w:color="auto" w:fill="FFFFFF"/>
        </w:rPr>
        <w:t>“</w:t>
      </w:r>
      <w:r w:rsidRPr="00CD28A4">
        <w:rPr>
          <w:rFonts w:ascii="Times New Roman" w:hAnsi="Times New Roman" w:cs="Times New Roman"/>
          <w:color w:val="000000"/>
          <w:sz w:val="24"/>
          <w:szCs w:val="24"/>
          <w:shd w:val="clear" w:color="auto" w:fill="FFFFFF"/>
        </w:rPr>
        <w:t>Analysts use efficiency ratios, also known as activity ratios, to measure the performance of a company's short-term or current performance. All of these ratios use numbers in a company's current assets or current liabilities, quantifying the operations of the business</w:t>
      </w:r>
      <w:r>
        <w:rPr>
          <w:rFonts w:ascii="Times New Roman" w:hAnsi="Times New Roman" w:cs="Times New Roman"/>
          <w:color w:val="000000"/>
          <w:sz w:val="24"/>
          <w:szCs w:val="24"/>
          <w:shd w:val="clear" w:color="auto" w:fill="FFFFFF"/>
        </w:rPr>
        <w:t>”</w:t>
      </w:r>
      <w:r w:rsidRPr="00CD28A4">
        <w:rPr>
          <w:rFonts w:ascii="Times New Roman" w:hAnsi="Times New Roman" w:cs="Times New Roman"/>
          <w:color w:val="000000"/>
          <w:sz w:val="24"/>
          <w:szCs w:val="24"/>
          <w:shd w:val="clear" w:color="auto" w:fill="FFFFFF"/>
        </w:rPr>
        <w:t>.</w:t>
      </w:r>
    </w:p>
    <w:p w:rsidR="00CD28A4" w:rsidRPr="00B24B96" w:rsidRDefault="00CD28A4" w:rsidP="00F36526">
      <w:pPr>
        <w:pStyle w:val="NormalWeb"/>
        <w:jc w:val="both"/>
        <w:rPr>
          <w:b/>
          <w:color w:val="000000"/>
        </w:rPr>
      </w:pPr>
      <w:r>
        <w:rPr>
          <w:color w:val="000000"/>
        </w:rPr>
        <w:t>“</w:t>
      </w:r>
      <w:r w:rsidRPr="00CD28A4">
        <w:rPr>
          <w:color w:val="000000"/>
        </w:rPr>
        <w:t>An efficiency ratio measures a company's ability to use its assets to generate income.</w:t>
      </w:r>
      <w:r w:rsidR="00E2336F">
        <w:rPr>
          <w:color w:val="000000"/>
        </w:rPr>
        <w:t>”</w:t>
      </w:r>
    </w:p>
    <w:p w:rsidR="00CD28A4" w:rsidRPr="00CD28A4" w:rsidRDefault="00CD28A4" w:rsidP="00F36526">
      <w:pPr>
        <w:jc w:val="both"/>
        <w:rPr>
          <w:rFonts w:ascii="Times New Roman" w:hAnsi="Times New Roman" w:cs="Times New Roman"/>
          <w:sz w:val="24"/>
          <w:szCs w:val="24"/>
        </w:rPr>
      </w:pPr>
    </w:p>
    <w:tbl>
      <w:tblPr>
        <w:tblW w:w="6180" w:type="dxa"/>
        <w:tblInd w:w="93" w:type="dxa"/>
        <w:tblLook w:val="04A0"/>
      </w:tblPr>
      <w:tblGrid>
        <w:gridCol w:w="6180"/>
      </w:tblGrid>
      <w:tr w:rsidR="007646F2" w:rsidRPr="007646F2" w:rsidTr="007646F2">
        <w:trPr>
          <w:trHeight w:val="300"/>
        </w:trPr>
        <w:tc>
          <w:tcPr>
            <w:tcW w:w="61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646F2" w:rsidRPr="007646F2" w:rsidRDefault="007646F2" w:rsidP="00F36526">
            <w:pPr>
              <w:spacing w:after="0" w:line="240" w:lineRule="auto"/>
              <w:jc w:val="both"/>
              <w:rPr>
                <w:rFonts w:ascii="Calibri" w:eastAsia="Times New Roman" w:hAnsi="Calibri" w:cs="Times New Roman"/>
                <w:b/>
                <w:bCs/>
                <w:color w:val="000000"/>
                <w:lang w:eastAsia="en-GB"/>
              </w:rPr>
            </w:pPr>
            <w:r w:rsidRPr="007646F2">
              <w:rPr>
                <w:rFonts w:ascii="Calibri" w:eastAsia="Times New Roman" w:hAnsi="Calibri" w:cs="Times New Roman"/>
                <w:b/>
                <w:bCs/>
                <w:color w:val="000000"/>
                <w:lang w:eastAsia="en-GB"/>
              </w:rPr>
              <w:t>Fixed Asset Turnover= Sales/ Fixed Assets</w:t>
            </w:r>
          </w:p>
        </w:tc>
      </w:tr>
      <w:tr w:rsidR="007646F2" w:rsidRPr="007646F2" w:rsidTr="007646F2">
        <w:trPr>
          <w:trHeight w:val="300"/>
        </w:trPr>
        <w:tc>
          <w:tcPr>
            <w:tcW w:w="6180" w:type="dxa"/>
            <w:tcBorders>
              <w:top w:val="nil"/>
              <w:left w:val="single" w:sz="4" w:space="0" w:color="auto"/>
              <w:bottom w:val="single" w:sz="4" w:space="0" w:color="auto"/>
              <w:right w:val="single" w:sz="4" w:space="0" w:color="auto"/>
            </w:tcBorders>
            <w:shd w:val="clear" w:color="auto" w:fill="auto"/>
            <w:noWrap/>
            <w:vAlign w:val="bottom"/>
            <w:hideMark/>
          </w:tcPr>
          <w:p w:rsidR="007646F2" w:rsidRPr="007646F2" w:rsidRDefault="007646F2" w:rsidP="00F36526">
            <w:pPr>
              <w:spacing w:after="0" w:line="240" w:lineRule="auto"/>
              <w:jc w:val="both"/>
              <w:rPr>
                <w:rFonts w:ascii="Calibri" w:eastAsia="Times New Roman" w:hAnsi="Calibri" w:cs="Times New Roman"/>
                <w:b/>
                <w:bCs/>
                <w:color w:val="000000"/>
                <w:lang w:eastAsia="en-GB"/>
              </w:rPr>
            </w:pPr>
            <w:r w:rsidRPr="007646F2">
              <w:rPr>
                <w:rFonts w:ascii="Calibri" w:eastAsia="Times New Roman" w:hAnsi="Calibri" w:cs="Times New Roman"/>
                <w:b/>
                <w:bCs/>
                <w:color w:val="000000"/>
                <w:lang w:eastAsia="en-GB"/>
              </w:rPr>
              <w:t>Accounts Receivable= Accounts Receivable/ Average Daily Sales</w:t>
            </w:r>
          </w:p>
        </w:tc>
      </w:tr>
      <w:tr w:rsidR="007646F2" w:rsidRPr="007646F2" w:rsidTr="007646F2">
        <w:trPr>
          <w:trHeight w:val="300"/>
        </w:trPr>
        <w:tc>
          <w:tcPr>
            <w:tcW w:w="6180" w:type="dxa"/>
            <w:tcBorders>
              <w:top w:val="nil"/>
              <w:left w:val="single" w:sz="4" w:space="0" w:color="auto"/>
              <w:bottom w:val="single" w:sz="4" w:space="0" w:color="auto"/>
              <w:right w:val="single" w:sz="4" w:space="0" w:color="auto"/>
            </w:tcBorders>
            <w:shd w:val="clear" w:color="auto" w:fill="auto"/>
            <w:noWrap/>
            <w:vAlign w:val="bottom"/>
            <w:hideMark/>
          </w:tcPr>
          <w:p w:rsidR="007646F2" w:rsidRPr="007646F2" w:rsidRDefault="007646F2" w:rsidP="00F36526">
            <w:pPr>
              <w:spacing w:after="0" w:line="240" w:lineRule="auto"/>
              <w:jc w:val="both"/>
              <w:rPr>
                <w:rFonts w:ascii="Calibri" w:eastAsia="Times New Roman" w:hAnsi="Calibri" w:cs="Times New Roman"/>
                <w:b/>
                <w:bCs/>
                <w:color w:val="000000"/>
                <w:lang w:eastAsia="en-GB"/>
              </w:rPr>
            </w:pPr>
            <w:r w:rsidRPr="007646F2">
              <w:rPr>
                <w:rFonts w:ascii="Calibri" w:eastAsia="Times New Roman" w:hAnsi="Calibri" w:cs="Times New Roman"/>
                <w:b/>
                <w:bCs/>
                <w:color w:val="000000"/>
                <w:lang w:eastAsia="en-GB"/>
              </w:rPr>
              <w:t>Creditor's Ratio= Average Trade Creditors X 365/ Cost Of Sales</w:t>
            </w:r>
          </w:p>
        </w:tc>
      </w:tr>
    </w:tbl>
    <w:p w:rsidR="007646F2" w:rsidRPr="00516C44" w:rsidRDefault="007646F2" w:rsidP="00F36526">
      <w:pPr>
        <w:jc w:val="both"/>
        <w:rPr>
          <w:rFonts w:ascii="Times New Roman" w:hAnsi="Times New Roman" w:cs="Times New Roman"/>
          <w:b/>
          <w:sz w:val="24"/>
          <w:szCs w:val="24"/>
        </w:rPr>
      </w:pPr>
    </w:p>
    <w:p w:rsidR="00710E49" w:rsidRPr="00710E49" w:rsidRDefault="00710E49" w:rsidP="00F36526">
      <w:pPr>
        <w:jc w:val="both"/>
        <w:rPr>
          <w:rFonts w:ascii="Times New Roman" w:hAnsi="Times New Roman" w:cs="Times New Roman"/>
          <w:b/>
          <w:sz w:val="24"/>
          <w:szCs w:val="24"/>
        </w:rPr>
      </w:pPr>
      <w:r w:rsidRPr="00851C1A">
        <w:rPr>
          <w:rFonts w:ascii="Times New Roman" w:hAnsi="Times New Roman" w:cs="Times New Roman"/>
          <w:b/>
          <w:sz w:val="24"/>
          <w:szCs w:val="24"/>
        </w:rPr>
        <w:t>TABLE2: EFFICIENCY RATIOS OF DFS PLC (2013- 2017) AND SCS PLC (2017)</w:t>
      </w:r>
    </w:p>
    <w:p w:rsidR="00710E49" w:rsidRDefault="00710E49" w:rsidP="00F36526">
      <w:pPr>
        <w:jc w:val="both"/>
        <w:rPr>
          <w:rFonts w:ascii="Times New Roman" w:hAnsi="Times New Roman" w:cs="Times New Roman"/>
          <w:sz w:val="24"/>
          <w:szCs w:val="24"/>
        </w:rPr>
      </w:pPr>
      <w:r w:rsidRPr="00710E49">
        <w:rPr>
          <w:rFonts w:ascii="Times New Roman" w:hAnsi="Times New Roman" w:cs="Times New Roman"/>
          <w:noProof/>
          <w:sz w:val="24"/>
          <w:szCs w:val="24"/>
          <w:lang w:eastAsia="en-GB"/>
        </w:rPr>
        <w:drawing>
          <wp:inline distT="0" distB="0" distL="0" distR="0">
            <wp:extent cx="5731510" cy="1499364"/>
            <wp:effectExtent l="19050" t="0" r="2540" b="0"/>
            <wp:docPr id="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srcRect/>
                    <a:stretch>
                      <a:fillRect/>
                    </a:stretch>
                  </pic:blipFill>
                  <pic:spPr bwMode="auto">
                    <a:xfrm>
                      <a:off x="0" y="0"/>
                      <a:ext cx="5731510" cy="1499364"/>
                    </a:xfrm>
                    <a:prstGeom prst="rect">
                      <a:avLst/>
                    </a:prstGeom>
                    <a:noFill/>
                    <a:ln w="9525">
                      <a:noFill/>
                      <a:miter lim="800000"/>
                      <a:headEnd/>
                      <a:tailEnd/>
                    </a:ln>
                  </pic:spPr>
                </pic:pic>
              </a:graphicData>
            </a:graphic>
          </wp:inline>
        </w:drawing>
      </w:r>
    </w:p>
    <w:p w:rsidR="00AF0443" w:rsidRDefault="00710E49" w:rsidP="00F36526">
      <w:pPr>
        <w:jc w:val="both"/>
        <w:rPr>
          <w:rFonts w:ascii="Times New Roman" w:hAnsi="Times New Roman" w:cs="Times New Roman"/>
          <w:sz w:val="24"/>
          <w:szCs w:val="24"/>
        </w:rPr>
      </w:pPr>
      <w:r w:rsidRPr="00710E49">
        <w:rPr>
          <w:rFonts w:ascii="Times New Roman" w:hAnsi="Times New Roman" w:cs="Times New Roman"/>
          <w:noProof/>
          <w:sz w:val="24"/>
          <w:szCs w:val="24"/>
          <w:lang w:eastAsia="en-GB"/>
        </w:rPr>
        <w:drawing>
          <wp:inline distT="0" distB="0" distL="0" distR="0">
            <wp:extent cx="5731510" cy="3514015"/>
            <wp:effectExtent l="19050" t="0" r="2540" b="0"/>
            <wp:docPr id="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srcRect/>
                    <a:stretch>
                      <a:fillRect/>
                    </a:stretch>
                  </pic:blipFill>
                  <pic:spPr bwMode="auto">
                    <a:xfrm>
                      <a:off x="0" y="0"/>
                      <a:ext cx="5731510" cy="3514015"/>
                    </a:xfrm>
                    <a:prstGeom prst="rect">
                      <a:avLst/>
                    </a:prstGeom>
                    <a:noFill/>
                    <a:ln w="9525">
                      <a:noFill/>
                      <a:miter lim="800000"/>
                      <a:headEnd/>
                      <a:tailEnd/>
                    </a:ln>
                  </pic:spPr>
                </pic:pic>
              </a:graphicData>
            </a:graphic>
          </wp:inline>
        </w:drawing>
      </w:r>
    </w:p>
    <w:p w:rsidR="005C64EA" w:rsidRPr="00CE2D81" w:rsidRDefault="005C64EA" w:rsidP="00F36526">
      <w:pPr>
        <w:pStyle w:val="ListParagraph"/>
        <w:numPr>
          <w:ilvl w:val="0"/>
          <w:numId w:val="5"/>
        </w:numPr>
        <w:jc w:val="both"/>
        <w:rPr>
          <w:rFonts w:ascii="Times New Roman" w:hAnsi="Times New Roman" w:cs="Times New Roman"/>
          <w:b/>
          <w:sz w:val="24"/>
          <w:szCs w:val="24"/>
          <w:u w:val="single"/>
        </w:rPr>
      </w:pPr>
      <w:r w:rsidRPr="00CE2D81">
        <w:rPr>
          <w:rFonts w:ascii="Times New Roman" w:hAnsi="Times New Roman" w:cs="Times New Roman"/>
          <w:b/>
          <w:sz w:val="24"/>
          <w:szCs w:val="24"/>
          <w:u w:val="single"/>
        </w:rPr>
        <w:t>Critical analysis of the DFS PLC calculated</w:t>
      </w:r>
    </w:p>
    <w:p w:rsidR="00CE2D81" w:rsidRPr="001F1B80" w:rsidRDefault="001F1B80" w:rsidP="00F36526">
      <w:pPr>
        <w:jc w:val="both"/>
        <w:rPr>
          <w:rFonts w:ascii="Times New Roman" w:hAnsi="Times New Roman" w:cs="Times New Roman"/>
          <w:b/>
          <w:sz w:val="24"/>
          <w:szCs w:val="24"/>
        </w:rPr>
      </w:pPr>
      <w:r w:rsidRPr="001F1B80">
        <w:rPr>
          <w:rFonts w:ascii="Times New Roman" w:hAnsi="Times New Roman" w:cs="Times New Roman"/>
          <w:b/>
          <w:sz w:val="24"/>
          <w:szCs w:val="24"/>
        </w:rPr>
        <w:t xml:space="preserve">4.0 </w:t>
      </w:r>
      <w:r>
        <w:rPr>
          <w:rFonts w:ascii="Times New Roman" w:hAnsi="Times New Roman" w:cs="Times New Roman"/>
          <w:b/>
          <w:sz w:val="24"/>
          <w:szCs w:val="24"/>
        </w:rPr>
        <w:t>Explanation of the changes over</w:t>
      </w:r>
      <w:r w:rsidRPr="001F1B80">
        <w:rPr>
          <w:rFonts w:ascii="Times New Roman" w:hAnsi="Times New Roman" w:cs="Times New Roman"/>
          <w:b/>
          <w:sz w:val="24"/>
          <w:szCs w:val="24"/>
        </w:rPr>
        <w:t xml:space="preserve"> of the</w:t>
      </w:r>
      <w:r w:rsidR="005C64EA" w:rsidRPr="001F1B80">
        <w:rPr>
          <w:rFonts w:ascii="Times New Roman" w:hAnsi="Times New Roman" w:cs="Times New Roman"/>
          <w:b/>
          <w:sz w:val="24"/>
          <w:szCs w:val="24"/>
        </w:rPr>
        <w:t xml:space="preserve"> Ratios</w:t>
      </w:r>
      <w:r>
        <w:rPr>
          <w:rFonts w:ascii="Times New Roman" w:hAnsi="Times New Roman" w:cs="Times New Roman"/>
          <w:b/>
          <w:sz w:val="24"/>
          <w:szCs w:val="24"/>
        </w:rPr>
        <w:t xml:space="preserve"> over the years</w:t>
      </w:r>
      <w:r w:rsidRPr="001F1B80">
        <w:rPr>
          <w:rFonts w:ascii="Times New Roman" w:hAnsi="Times New Roman" w:cs="Times New Roman"/>
          <w:b/>
          <w:sz w:val="24"/>
          <w:szCs w:val="24"/>
        </w:rPr>
        <w:t xml:space="preserve">, </w:t>
      </w:r>
    </w:p>
    <w:p w:rsidR="001F1B80" w:rsidRDefault="001F1B80" w:rsidP="00F36526">
      <w:pPr>
        <w:jc w:val="both"/>
        <w:rPr>
          <w:rFonts w:ascii="Times New Roman" w:hAnsi="Times New Roman" w:cs="Times New Roman"/>
          <w:b/>
          <w:sz w:val="24"/>
          <w:szCs w:val="24"/>
        </w:rPr>
      </w:pPr>
      <w:r>
        <w:rPr>
          <w:rFonts w:ascii="Times New Roman" w:hAnsi="Times New Roman" w:cs="Times New Roman"/>
          <w:b/>
          <w:sz w:val="24"/>
          <w:szCs w:val="24"/>
        </w:rPr>
        <w:t>Profitability Ratios</w:t>
      </w:r>
    </w:p>
    <w:p w:rsidR="005C64EA" w:rsidRPr="00CE2D81" w:rsidRDefault="001946A2" w:rsidP="00F36526">
      <w:pPr>
        <w:jc w:val="both"/>
        <w:rPr>
          <w:rFonts w:ascii="Times New Roman" w:hAnsi="Times New Roman" w:cs="Times New Roman"/>
          <w:b/>
          <w:sz w:val="24"/>
          <w:szCs w:val="24"/>
        </w:rPr>
      </w:pPr>
      <w:r>
        <w:rPr>
          <w:rFonts w:ascii="Times New Roman" w:hAnsi="Times New Roman" w:cs="Times New Roman"/>
          <w:sz w:val="24"/>
          <w:szCs w:val="24"/>
        </w:rPr>
        <w:t>“</w:t>
      </w:r>
      <w:r w:rsidR="005C64EA" w:rsidRPr="00C7502A">
        <w:rPr>
          <w:rFonts w:ascii="Times New Roman" w:hAnsi="Times New Roman" w:cs="Times New Roman"/>
          <w:sz w:val="24"/>
          <w:szCs w:val="24"/>
        </w:rPr>
        <w:t xml:space="preserve">According to </w:t>
      </w:r>
      <w:r w:rsidR="005C64EA" w:rsidRPr="00CE2D81">
        <w:rPr>
          <w:rFonts w:ascii="Times New Roman" w:hAnsi="Times New Roman" w:cs="Times New Roman"/>
          <w:b/>
          <w:sz w:val="24"/>
          <w:szCs w:val="24"/>
        </w:rPr>
        <w:t>table 1 and the graph</w:t>
      </w:r>
      <w:r w:rsidR="005C64EA">
        <w:rPr>
          <w:rFonts w:ascii="Times New Roman" w:hAnsi="Times New Roman" w:cs="Times New Roman"/>
          <w:sz w:val="24"/>
          <w:szCs w:val="24"/>
        </w:rPr>
        <w:t xml:space="preserve"> results</w:t>
      </w:r>
      <w:r w:rsidR="005C64EA" w:rsidRPr="00C7502A">
        <w:rPr>
          <w:rFonts w:ascii="Times New Roman" w:hAnsi="Times New Roman" w:cs="Times New Roman"/>
          <w:sz w:val="24"/>
          <w:szCs w:val="24"/>
        </w:rPr>
        <w:t>, for the period of (30/07/2013 to 30/07/2017), DFS PLC have experienced some changes in its profitability ratios. In 2017, the Operating profit margin decreased by -3.8%, the Gross Profit Margin by -2.3%, the ROCE also decreased by -2.7% but the Net  Profit margin increased by 8.2%.</w:t>
      </w:r>
      <w:r w:rsidR="005C64EA">
        <w:rPr>
          <w:rFonts w:ascii="Times New Roman" w:hAnsi="Times New Roman" w:cs="Times New Roman"/>
          <w:sz w:val="24"/>
          <w:szCs w:val="24"/>
        </w:rPr>
        <w:t xml:space="preserve"> Compared to the SCS </w:t>
      </w:r>
      <w:r w:rsidR="005C64EA">
        <w:rPr>
          <w:rFonts w:ascii="Times New Roman" w:hAnsi="Times New Roman" w:cs="Times New Roman"/>
          <w:sz w:val="24"/>
          <w:szCs w:val="24"/>
        </w:rPr>
        <w:lastRenderedPageBreak/>
        <w:t xml:space="preserve">PLC’ had an Operating Profit margin of 3.6% a high rate in its Gross profit margin of 46.2%, the ROCE was 12.4% and a net profit margin of 3.6% in 2017.  The </w:t>
      </w:r>
      <w:r w:rsidR="005C64EA" w:rsidRPr="00C21FB1">
        <w:rPr>
          <w:color w:val="404346"/>
        </w:rPr>
        <w:t>gross profit</w:t>
      </w:r>
      <w:r w:rsidR="005C64EA">
        <w:rPr>
          <w:color w:val="404346"/>
        </w:rPr>
        <w:t xml:space="preserve"> margin</w:t>
      </w:r>
      <w:r w:rsidR="005C64EA" w:rsidRPr="00C21FB1">
        <w:rPr>
          <w:color w:val="404346"/>
        </w:rPr>
        <w:t xml:space="preserve"> and net profit ratios tell how well the </w:t>
      </w:r>
      <w:r w:rsidR="005C64EA">
        <w:rPr>
          <w:color w:val="404346"/>
        </w:rPr>
        <w:t xml:space="preserve">DFS PLC and the SCS PLC are managing their expenses during the last five years.  The Net profit margin has increased from -1.6% in 2013 to 6.6% in 2017 for the DFS PLC. </w:t>
      </w:r>
      <w:r w:rsidR="005C64EA" w:rsidRPr="00C21FB1">
        <w:rPr>
          <w:color w:val="404346"/>
        </w:rPr>
        <w:t>For most of these ratios, a higher value is desirable. A hig</w:t>
      </w:r>
      <w:r w:rsidR="005C64EA">
        <w:rPr>
          <w:color w:val="404346"/>
        </w:rPr>
        <w:t>her value means that the companies are doing well and they are</w:t>
      </w:r>
      <w:r w:rsidR="005C64EA" w:rsidRPr="00C21FB1">
        <w:rPr>
          <w:color w:val="404346"/>
        </w:rPr>
        <w:t xml:space="preserve"> good at generating profits, revenues and cash flows</w:t>
      </w:r>
      <w:r>
        <w:rPr>
          <w:color w:val="404346"/>
        </w:rPr>
        <w:t>”</w:t>
      </w:r>
      <w:r w:rsidR="005C64EA">
        <w:rPr>
          <w:color w:val="404346"/>
        </w:rPr>
        <w:t xml:space="preserve">.  </w:t>
      </w:r>
    </w:p>
    <w:p w:rsidR="005C64EA" w:rsidRPr="004A5D73" w:rsidRDefault="005C64EA" w:rsidP="00F36526">
      <w:pPr>
        <w:jc w:val="both"/>
        <w:rPr>
          <w:color w:val="404346"/>
        </w:rPr>
      </w:pPr>
      <w:r>
        <w:rPr>
          <w:color w:val="404346"/>
        </w:rPr>
        <w:t>The r</w:t>
      </w:r>
      <w:r w:rsidRPr="00C21FB1">
        <w:rPr>
          <w:color w:val="404346"/>
        </w:rPr>
        <w:t>eturn on capital employed (</w:t>
      </w:r>
      <w:r>
        <w:rPr>
          <w:color w:val="404346"/>
        </w:rPr>
        <w:t xml:space="preserve">ROCE) tells how well the businesses are </w:t>
      </w:r>
      <w:r w:rsidRPr="00C21FB1">
        <w:rPr>
          <w:color w:val="404346"/>
        </w:rPr>
        <w:t>using capital employed to generate returns. Return on inve</w:t>
      </w:r>
      <w:r>
        <w:rPr>
          <w:color w:val="404346"/>
        </w:rPr>
        <w:t>stment tells whether the companies are</w:t>
      </w:r>
      <w:r w:rsidRPr="00C21FB1">
        <w:rPr>
          <w:color w:val="404346"/>
        </w:rPr>
        <w:t xml:space="preserve"> g</w:t>
      </w:r>
      <w:r>
        <w:rPr>
          <w:color w:val="404346"/>
        </w:rPr>
        <w:t>enerating enough profits for their</w:t>
      </w:r>
      <w:r w:rsidRPr="00C21FB1">
        <w:rPr>
          <w:color w:val="404346"/>
        </w:rPr>
        <w:t xml:space="preserve"> shareholders</w:t>
      </w:r>
      <w:r>
        <w:rPr>
          <w:color w:val="404346"/>
        </w:rPr>
        <w:t>”</w:t>
      </w:r>
      <w:r w:rsidRPr="00C21FB1">
        <w:rPr>
          <w:color w:val="404346"/>
        </w:rPr>
        <w:t>.</w:t>
      </w:r>
    </w:p>
    <w:p w:rsidR="005C64EA" w:rsidRDefault="005C64EA" w:rsidP="00F36526">
      <w:pPr>
        <w:pStyle w:val="NormalWeb"/>
        <w:spacing w:before="0" w:beforeAutospacing="0" w:after="0" w:afterAutospacing="0" w:line="330" w:lineRule="atLeast"/>
        <w:jc w:val="both"/>
        <w:rPr>
          <w:color w:val="404346"/>
        </w:rPr>
      </w:pPr>
      <w:r>
        <w:rPr>
          <w:color w:val="404346"/>
        </w:rPr>
        <w:t>“. Profitability ratios</w:t>
      </w:r>
      <w:r w:rsidRPr="00C21FB1">
        <w:rPr>
          <w:color w:val="404346"/>
        </w:rPr>
        <w:t xml:space="preserve"> give meaningful information only when they are analyzed in comparison to competitors or compared to the ratios in previous periods. Therefore, trend analysis and industry analysis is required to draw meaningful conclusions about the profitability of a company</w:t>
      </w:r>
      <w:r>
        <w:rPr>
          <w:color w:val="404346"/>
        </w:rPr>
        <w:t>”</w:t>
      </w:r>
      <w:r w:rsidRPr="00C21FB1">
        <w:rPr>
          <w:color w:val="404346"/>
        </w:rPr>
        <w:t>.</w:t>
      </w:r>
    </w:p>
    <w:p w:rsidR="00CE2D81" w:rsidRDefault="00CE2D81" w:rsidP="00F36526">
      <w:pPr>
        <w:pStyle w:val="NormalWeb"/>
        <w:spacing w:before="0" w:beforeAutospacing="0" w:after="0" w:afterAutospacing="0" w:line="330" w:lineRule="atLeast"/>
        <w:jc w:val="both"/>
        <w:rPr>
          <w:color w:val="404346"/>
        </w:rPr>
      </w:pPr>
    </w:p>
    <w:p w:rsidR="00CE2D81" w:rsidRPr="00CE2D81" w:rsidRDefault="00CE2D81" w:rsidP="00F36526">
      <w:pPr>
        <w:pStyle w:val="NormalWeb"/>
        <w:spacing w:before="0" w:beforeAutospacing="0" w:after="0" w:afterAutospacing="0" w:line="330" w:lineRule="atLeast"/>
        <w:jc w:val="both"/>
        <w:rPr>
          <w:b/>
          <w:color w:val="404346"/>
        </w:rPr>
      </w:pPr>
      <w:r w:rsidRPr="00CE2D81">
        <w:rPr>
          <w:b/>
          <w:color w:val="404346"/>
        </w:rPr>
        <w:t>Liquidity Ratios</w:t>
      </w:r>
    </w:p>
    <w:p w:rsidR="00AF0443" w:rsidRPr="00BD0432" w:rsidRDefault="001946A2" w:rsidP="00F36526">
      <w:pPr>
        <w:pStyle w:val="NormalWeb"/>
        <w:spacing w:before="0" w:beforeAutospacing="0" w:after="0" w:afterAutospacing="0" w:line="330" w:lineRule="atLeast"/>
        <w:jc w:val="both"/>
      </w:pPr>
      <w:r>
        <w:t>“</w:t>
      </w:r>
      <w:r w:rsidR="00BD0432" w:rsidRPr="00C7502A">
        <w:t xml:space="preserve">According to </w:t>
      </w:r>
      <w:r w:rsidR="00BD0432">
        <w:rPr>
          <w:b/>
        </w:rPr>
        <w:t>table 2</w:t>
      </w:r>
      <w:r w:rsidR="00BD0432" w:rsidRPr="00CE2D81">
        <w:rPr>
          <w:b/>
        </w:rPr>
        <w:t xml:space="preserve"> and the graph</w:t>
      </w:r>
      <w:r w:rsidR="00BD0432">
        <w:t xml:space="preserve"> results</w:t>
      </w:r>
      <w:r w:rsidR="00BD0432" w:rsidRPr="00C7502A">
        <w:t>, for the period of (30/07/2013 to 30/07/2017), DFS PLC</w:t>
      </w:r>
      <w:r w:rsidR="00BD0432">
        <w:t xml:space="preserve"> also</w:t>
      </w:r>
      <w:r w:rsidR="00BD0432" w:rsidRPr="00C7502A">
        <w:t xml:space="preserve"> have experienced some changes in its</w:t>
      </w:r>
      <w:r w:rsidR="00BD0432">
        <w:t xml:space="preserve"> liquidity</w:t>
      </w:r>
      <w:r w:rsidR="00BD0432" w:rsidRPr="00C7502A">
        <w:t xml:space="preserve"> ratios. In 2</w:t>
      </w:r>
      <w:r w:rsidR="00BD0432">
        <w:t>017, the company current ratio</w:t>
      </w:r>
      <w:r w:rsidR="00BD0432" w:rsidRPr="00C7502A">
        <w:t xml:space="preserve"> </w:t>
      </w:r>
      <w:r w:rsidR="00BD0432">
        <w:t>decreased by -0.41 and</w:t>
      </w:r>
      <w:r w:rsidR="00BD0432" w:rsidRPr="00C7502A">
        <w:t xml:space="preserve"> th</w:t>
      </w:r>
      <w:r w:rsidR="00BD0432">
        <w:t>e quick ratio rapidly increased by 32.74, w</w:t>
      </w:r>
      <w:r w:rsidR="00481FBC">
        <w:t>h</w:t>
      </w:r>
      <w:r w:rsidR="00BD0432">
        <w:t>ere as the Cash ratio decreased by -0.22</w:t>
      </w:r>
      <w:r w:rsidR="00BD0432" w:rsidRPr="00C7502A">
        <w:t>.</w:t>
      </w:r>
      <w:r w:rsidR="00BD0432">
        <w:t xml:space="preserve"> Compared to the SCS PLC’</w:t>
      </w:r>
      <w:r w:rsidR="00CA75EC">
        <w:t xml:space="preserve"> had a</w:t>
      </w:r>
      <w:r w:rsidR="00BD0432">
        <w:t xml:space="preserve"> </w:t>
      </w:r>
      <w:r w:rsidR="003F6C5E">
        <w:t xml:space="preserve">Current Ratio of 1.26, </w:t>
      </w:r>
      <w:r w:rsidR="00BD0432">
        <w:t>a</w:t>
      </w:r>
      <w:r w:rsidR="00A01C11">
        <w:t xml:space="preserve"> very</w:t>
      </w:r>
      <w:r w:rsidR="00BD0432">
        <w:t xml:space="preserve"> high rate</w:t>
      </w:r>
      <w:r w:rsidR="00A01C11">
        <w:t xml:space="preserve"> of 71908.61 with the Quick ratio and a Cash ratio o</w:t>
      </w:r>
      <w:r w:rsidR="00CA75EC">
        <w:t xml:space="preserve">f </w:t>
      </w:r>
      <w:r w:rsidR="00A01C11">
        <w:t xml:space="preserve">0.72 </w:t>
      </w:r>
      <w:r w:rsidR="00BD0432">
        <w:t>in 2017</w:t>
      </w:r>
    </w:p>
    <w:p w:rsidR="00CE2D81" w:rsidRPr="00CB5D54" w:rsidRDefault="0092201F" w:rsidP="00F36526">
      <w:pPr>
        <w:pStyle w:val="NormalWeb"/>
        <w:spacing w:before="0" w:beforeAutospacing="0" w:after="0" w:afterAutospacing="0" w:line="330" w:lineRule="atLeast"/>
        <w:jc w:val="both"/>
        <w:rPr>
          <w:color w:val="404346"/>
        </w:rPr>
      </w:pPr>
      <w:r>
        <w:rPr>
          <w:color w:val="404346"/>
        </w:rPr>
        <w:t xml:space="preserve"> </w:t>
      </w:r>
      <w:r w:rsidR="00CE2D81">
        <w:rPr>
          <w:color w:val="404346"/>
        </w:rPr>
        <w:t>“</w:t>
      </w:r>
      <w:r w:rsidR="00CE2D81" w:rsidRPr="00CB5D54">
        <w:rPr>
          <w:color w:val="404346"/>
        </w:rPr>
        <w:t>Generally, the higher the liquidity ratios are, the higher the margin of safety that the company posses to meet its current liabilities. Liquidity ratios greater than 1 indicate that the company is in good financial health and it is less likely fall into financial difficulties.</w:t>
      </w:r>
    </w:p>
    <w:p w:rsidR="00CE2D81" w:rsidRPr="00CB5D54" w:rsidRDefault="00CA75EC" w:rsidP="00F36526">
      <w:pPr>
        <w:pStyle w:val="NormalWeb"/>
        <w:spacing w:before="0" w:beforeAutospacing="0" w:after="0" w:afterAutospacing="0" w:line="330" w:lineRule="atLeast"/>
        <w:jc w:val="both"/>
        <w:rPr>
          <w:color w:val="404346"/>
        </w:rPr>
      </w:pPr>
      <w:r>
        <w:rPr>
          <w:color w:val="404346"/>
        </w:rPr>
        <w:t>The DFS Plc’s current ratio and</w:t>
      </w:r>
      <w:r w:rsidR="00CE2D81" w:rsidRPr="00CB5D54">
        <w:rPr>
          <w:color w:val="404346"/>
        </w:rPr>
        <w:t xml:space="preserve"> cash</w:t>
      </w:r>
      <w:r>
        <w:rPr>
          <w:color w:val="404346"/>
        </w:rPr>
        <w:t xml:space="preserve"> ratio explain that the company is not in good financial health compared to SCS PLC. However the quick ratio is in a very good state</w:t>
      </w:r>
      <w:r w:rsidR="00CE2D81" w:rsidRPr="00CB5D54">
        <w:rPr>
          <w:color w:val="404346"/>
        </w:rPr>
        <w:t>. Some analysts consider only the </w:t>
      </w:r>
      <w:r w:rsidR="00CE2D81">
        <w:rPr>
          <w:color w:val="404346"/>
        </w:rPr>
        <w:t>c</w:t>
      </w:r>
      <w:r w:rsidR="00CE2D81" w:rsidRPr="00CB5D54">
        <w:rPr>
          <w:color w:val="404346"/>
        </w:rPr>
        <w:t>ash and cash equivalents as relevant assets because they are most likely to be used to meet short term liabilities in an emergency. Some analysts consider the debtors and trade receivables as relevant assets in addition to cash and cash equivalents. The value of inventory is also considered relevant asset for calculations of liquidity ratios by some analysts</w:t>
      </w:r>
      <w:r w:rsidR="00CE2D81">
        <w:rPr>
          <w:color w:val="404346"/>
        </w:rPr>
        <w:t>”</w:t>
      </w:r>
      <w:r w:rsidR="00CE2D81" w:rsidRPr="00CB5D54">
        <w:rPr>
          <w:color w:val="404346"/>
        </w:rPr>
        <w:t>.</w:t>
      </w:r>
    </w:p>
    <w:p w:rsidR="00CE2D81" w:rsidRPr="00CB5D54" w:rsidRDefault="00CE2D81" w:rsidP="00F36526">
      <w:pPr>
        <w:pStyle w:val="NormalWeb"/>
        <w:spacing w:before="0" w:beforeAutospacing="0" w:after="0" w:afterAutospacing="0" w:line="330" w:lineRule="atLeast"/>
        <w:jc w:val="both"/>
        <w:rPr>
          <w:color w:val="404346"/>
        </w:rPr>
      </w:pPr>
      <w:r>
        <w:rPr>
          <w:color w:val="404346"/>
        </w:rPr>
        <w:t>“</w:t>
      </w:r>
      <w:r w:rsidRPr="00CB5D54">
        <w:rPr>
          <w:color w:val="404346"/>
        </w:rPr>
        <w:t>The concept of cash cycle is also important for better understanding of liquidity ratios. The cash continuously cycles through the operations of a company. A company’s cash is usually tied up in the finished goods, the raw materials, and trade debtors. It is not until the inventory is sold, sales invoices raised, and the debtors’ make payments that the company receives cash. The cash tied up in the cash cycle is known as working capital, and liquidity ratios try to measure the balance between current assets and current liabilities</w:t>
      </w:r>
      <w:r>
        <w:rPr>
          <w:color w:val="404346"/>
        </w:rPr>
        <w:t>”</w:t>
      </w:r>
      <w:r w:rsidRPr="00CB5D54">
        <w:rPr>
          <w:color w:val="404346"/>
        </w:rPr>
        <w:t>.</w:t>
      </w:r>
    </w:p>
    <w:p w:rsidR="00CE2D81" w:rsidRDefault="00CE2D81" w:rsidP="00F36526">
      <w:pPr>
        <w:pStyle w:val="NormalWeb"/>
        <w:spacing w:before="0" w:beforeAutospacing="0" w:after="0" w:afterAutospacing="0" w:line="330" w:lineRule="atLeast"/>
        <w:jc w:val="both"/>
        <w:rPr>
          <w:color w:val="404346"/>
        </w:rPr>
      </w:pPr>
      <w:r>
        <w:rPr>
          <w:color w:val="404346"/>
        </w:rPr>
        <w:t>A company must have</w:t>
      </w:r>
      <w:r w:rsidRPr="00CB5D54">
        <w:rPr>
          <w:color w:val="404346"/>
        </w:rPr>
        <w:t xml:space="preserve"> the ability to release cash from cash cycle to meet its financial obligations when the creditors seek payment. In other words, a company should posses the ability to translate its short term assets into cash. The liquidity ratios attempt to measure this ability of a company</w:t>
      </w:r>
      <w:r>
        <w:rPr>
          <w:color w:val="404346"/>
        </w:rPr>
        <w:t>”</w:t>
      </w:r>
      <w:r w:rsidRPr="00CB5D54">
        <w:rPr>
          <w:color w:val="404346"/>
        </w:rPr>
        <w:t>.</w:t>
      </w:r>
    </w:p>
    <w:p w:rsidR="00557ED0" w:rsidRPr="00557ED0" w:rsidRDefault="00557ED0" w:rsidP="00F36526">
      <w:pPr>
        <w:pStyle w:val="NormalWeb"/>
        <w:spacing w:before="0" w:beforeAutospacing="0" w:after="0" w:afterAutospacing="0" w:line="330" w:lineRule="atLeast"/>
        <w:jc w:val="both"/>
        <w:rPr>
          <w:b/>
          <w:color w:val="404346"/>
        </w:rPr>
      </w:pPr>
      <w:r w:rsidRPr="00557ED0">
        <w:rPr>
          <w:b/>
          <w:color w:val="404346"/>
        </w:rPr>
        <w:t>Gearing Ratios</w:t>
      </w:r>
    </w:p>
    <w:p w:rsidR="00557ED0" w:rsidRDefault="001946A2" w:rsidP="00F36526">
      <w:pPr>
        <w:pStyle w:val="NormalWeb"/>
        <w:spacing w:before="0" w:beforeAutospacing="0" w:after="0" w:afterAutospacing="0" w:line="330" w:lineRule="atLeast"/>
        <w:jc w:val="both"/>
      </w:pPr>
      <w:r>
        <w:lastRenderedPageBreak/>
        <w:t>“</w:t>
      </w:r>
      <w:r w:rsidR="00557ED0" w:rsidRPr="00C7502A">
        <w:t xml:space="preserve">According to </w:t>
      </w:r>
      <w:r w:rsidR="00557ED0">
        <w:rPr>
          <w:b/>
        </w:rPr>
        <w:t>table 3</w:t>
      </w:r>
      <w:r w:rsidR="00557ED0" w:rsidRPr="00CE2D81">
        <w:rPr>
          <w:b/>
        </w:rPr>
        <w:t xml:space="preserve"> and the graph</w:t>
      </w:r>
      <w:r w:rsidR="00557ED0">
        <w:t xml:space="preserve"> results</w:t>
      </w:r>
      <w:r w:rsidR="00557ED0" w:rsidRPr="00C7502A">
        <w:t>, for the period of (30/07/2013 to 30/07/2017), DFS PLC</w:t>
      </w:r>
      <w:r w:rsidR="00557ED0">
        <w:t xml:space="preserve"> also</w:t>
      </w:r>
      <w:r w:rsidR="00557ED0" w:rsidRPr="00C7502A">
        <w:t xml:space="preserve"> hav</w:t>
      </w:r>
      <w:r w:rsidR="005A566F">
        <w:t>e seen</w:t>
      </w:r>
      <w:r w:rsidR="00557ED0" w:rsidRPr="00C7502A">
        <w:t xml:space="preserve"> some changes in its</w:t>
      </w:r>
      <w:r w:rsidR="00557ED0">
        <w:t xml:space="preserve"> </w:t>
      </w:r>
      <w:r w:rsidR="005A566F">
        <w:t>gearing</w:t>
      </w:r>
      <w:r w:rsidR="00557ED0" w:rsidRPr="00C7502A">
        <w:t xml:space="preserve"> ratios. In 2</w:t>
      </w:r>
      <w:r w:rsidR="005A566F">
        <w:t>017, DFS PLC’s gearing</w:t>
      </w:r>
      <w:r w:rsidR="00557ED0">
        <w:t xml:space="preserve"> ratio</w:t>
      </w:r>
      <w:r w:rsidR="00557ED0" w:rsidRPr="00C7502A">
        <w:t xml:space="preserve"> </w:t>
      </w:r>
      <w:r w:rsidR="005A566F">
        <w:t>grew by 4.7%</w:t>
      </w:r>
      <w:r w:rsidR="00557ED0">
        <w:t xml:space="preserve"> and</w:t>
      </w:r>
      <w:r w:rsidR="00557ED0" w:rsidRPr="00C7502A">
        <w:t xml:space="preserve"> th</w:t>
      </w:r>
      <w:r w:rsidR="005A566F">
        <w:t>e interest cover ratio dropped</w:t>
      </w:r>
      <w:r w:rsidR="00557ED0">
        <w:t xml:space="preserve"> </w:t>
      </w:r>
      <w:r w:rsidR="005A566F">
        <w:t>by -4.7%.</w:t>
      </w:r>
      <w:r w:rsidR="00557ED0">
        <w:t xml:space="preserve"> C</w:t>
      </w:r>
      <w:r w:rsidR="005A566F">
        <w:t>ompared with</w:t>
      </w:r>
      <w:r w:rsidR="00557ED0">
        <w:t xml:space="preserve"> the SCS PLC’ had a </w:t>
      </w:r>
      <w:r w:rsidR="005A566F">
        <w:t>gearing ratio of 0.1%</w:t>
      </w:r>
      <w:r w:rsidR="00557ED0">
        <w:t>, a very</w:t>
      </w:r>
      <w:r w:rsidR="005A566F">
        <w:t xml:space="preserve"> lower</w:t>
      </w:r>
      <w:r w:rsidR="00557ED0">
        <w:t xml:space="preserve"> rate</w:t>
      </w:r>
      <w:r w:rsidR="005A566F">
        <w:t xml:space="preserve"> of -124.9% in the interest cover ratio</w:t>
      </w:r>
      <w:r w:rsidR="00557ED0">
        <w:t xml:space="preserve"> in 2017</w:t>
      </w:r>
      <w:r w:rsidR="00694D57">
        <w:t>.</w:t>
      </w:r>
    </w:p>
    <w:p w:rsidR="0003744B" w:rsidRDefault="005F6FD7" w:rsidP="00F36526">
      <w:pPr>
        <w:jc w:val="both"/>
        <w:rPr>
          <w:rFonts w:ascii="Times New Roman" w:hAnsi="Times New Roman" w:cs="Times New Roman"/>
          <w:color w:val="000000"/>
          <w:sz w:val="24"/>
          <w:szCs w:val="24"/>
        </w:rPr>
      </w:pPr>
      <w:r>
        <w:rPr>
          <w:rFonts w:ascii="Times New Roman" w:hAnsi="Times New Roman" w:cs="Times New Roman"/>
          <w:color w:val="000000"/>
          <w:sz w:val="24"/>
          <w:szCs w:val="24"/>
        </w:rPr>
        <w:t>According to researchers, a h</w:t>
      </w:r>
      <w:r w:rsidR="00694D57" w:rsidRPr="00D76957">
        <w:rPr>
          <w:rFonts w:ascii="Times New Roman" w:hAnsi="Times New Roman" w:cs="Times New Roman"/>
          <w:color w:val="000000"/>
          <w:sz w:val="24"/>
          <w:szCs w:val="24"/>
        </w:rPr>
        <w:t>igher calculations of a </w:t>
      </w:r>
      <w:r w:rsidR="00694D57" w:rsidRPr="00D76957">
        <w:rPr>
          <w:color w:val="000000"/>
        </w:rPr>
        <w:t>gearing</w:t>
      </w:r>
      <w:r w:rsidR="00694D57" w:rsidRPr="00D76957">
        <w:rPr>
          <w:rFonts w:ascii="Times New Roman" w:hAnsi="Times New Roman" w:cs="Times New Roman"/>
          <w:color w:val="000000"/>
          <w:sz w:val="24"/>
          <w:szCs w:val="24"/>
        </w:rPr>
        <w:t> ratio indicate a company has higher degree of leverage and is more susceptible to downturns in the economy and in the </w:t>
      </w:r>
      <w:r w:rsidR="00694D57">
        <w:rPr>
          <w:rFonts w:ascii="Times New Roman" w:hAnsi="Times New Roman" w:cs="Times New Roman"/>
          <w:color w:val="000000"/>
          <w:sz w:val="24"/>
          <w:szCs w:val="24"/>
        </w:rPr>
        <w:t>business</w:t>
      </w:r>
      <w:r w:rsidR="00694D57" w:rsidRPr="00D76957">
        <w:rPr>
          <w:color w:val="000000"/>
        </w:rPr>
        <w:t>‘s cycle</w:t>
      </w:r>
      <w:r w:rsidR="00694D57" w:rsidRPr="00D76957">
        <w:rPr>
          <w:rFonts w:ascii="Times New Roman" w:hAnsi="Times New Roman" w:cs="Times New Roman"/>
          <w:color w:val="000000"/>
          <w:sz w:val="24"/>
          <w:szCs w:val="24"/>
        </w:rPr>
        <w:t xml:space="preserve">. This is because companies that have higher leverage have higher amounts of debt when compared to owner’s equity. Therefore, entities with high gearing ratio findings have higher amounts of debt to service. </w:t>
      </w:r>
      <w:r w:rsidR="0003744B">
        <w:rPr>
          <w:rFonts w:ascii="Times New Roman" w:hAnsi="Times New Roman" w:cs="Times New Roman"/>
          <w:color w:val="000000"/>
          <w:sz w:val="24"/>
          <w:szCs w:val="24"/>
        </w:rPr>
        <w:t xml:space="preserve"> In this case the DFS PLC has a lower leverage during the last five year compared to the SCS PLC. </w:t>
      </w:r>
      <w:r w:rsidR="00694D57" w:rsidRPr="00D76957">
        <w:rPr>
          <w:rFonts w:ascii="Times New Roman" w:hAnsi="Times New Roman" w:cs="Times New Roman"/>
          <w:color w:val="000000"/>
          <w:sz w:val="24"/>
          <w:szCs w:val="24"/>
        </w:rPr>
        <w:t>Companies with lower gearing ratio calculations have more equ</w:t>
      </w:r>
      <w:r w:rsidR="0003744B">
        <w:rPr>
          <w:rFonts w:ascii="Times New Roman" w:hAnsi="Times New Roman" w:cs="Times New Roman"/>
          <w:color w:val="000000"/>
          <w:sz w:val="24"/>
          <w:szCs w:val="24"/>
        </w:rPr>
        <w:t>ity to rely upon as financing is concern</w:t>
      </w:r>
      <w:r w:rsidR="001946A2">
        <w:rPr>
          <w:rFonts w:ascii="Times New Roman" w:hAnsi="Times New Roman" w:cs="Times New Roman"/>
          <w:color w:val="000000"/>
          <w:sz w:val="24"/>
          <w:szCs w:val="24"/>
        </w:rPr>
        <w:t>”</w:t>
      </w:r>
      <w:r w:rsidR="00694D57">
        <w:rPr>
          <w:rFonts w:ascii="Times New Roman" w:hAnsi="Times New Roman" w:cs="Times New Roman"/>
          <w:color w:val="000000"/>
          <w:sz w:val="24"/>
          <w:szCs w:val="24"/>
        </w:rPr>
        <w:t>.</w:t>
      </w:r>
    </w:p>
    <w:p w:rsidR="00AE683D" w:rsidRDefault="00AE683D" w:rsidP="00F36526">
      <w:pPr>
        <w:jc w:val="both"/>
        <w:rPr>
          <w:rFonts w:ascii="Times New Roman" w:hAnsi="Times New Roman" w:cs="Times New Roman"/>
          <w:b/>
          <w:color w:val="000000"/>
          <w:sz w:val="24"/>
          <w:szCs w:val="24"/>
        </w:rPr>
      </w:pPr>
      <w:r w:rsidRPr="00AE683D">
        <w:rPr>
          <w:rFonts w:ascii="Times New Roman" w:hAnsi="Times New Roman" w:cs="Times New Roman"/>
          <w:b/>
          <w:color w:val="000000"/>
          <w:sz w:val="24"/>
          <w:szCs w:val="24"/>
        </w:rPr>
        <w:t>Efficiency Ratios</w:t>
      </w:r>
    </w:p>
    <w:p w:rsidR="00694D57" w:rsidRDefault="001946A2" w:rsidP="00F36526">
      <w:pPr>
        <w:jc w:val="both"/>
        <w:rPr>
          <w:rFonts w:ascii="Times New Roman" w:hAnsi="Times New Roman" w:cs="Times New Roman"/>
          <w:sz w:val="24"/>
          <w:szCs w:val="24"/>
        </w:rPr>
      </w:pPr>
      <w:r>
        <w:rPr>
          <w:rFonts w:ascii="Times New Roman" w:hAnsi="Times New Roman" w:cs="Times New Roman"/>
          <w:sz w:val="24"/>
          <w:szCs w:val="24"/>
        </w:rPr>
        <w:t>“</w:t>
      </w:r>
      <w:r w:rsidR="00AE683D" w:rsidRPr="00C7502A">
        <w:rPr>
          <w:rFonts w:ascii="Times New Roman" w:hAnsi="Times New Roman" w:cs="Times New Roman"/>
          <w:sz w:val="24"/>
          <w:szCs w:val="24"/>
        </w:rPr>
        <w:t xml:space="preserve">According to </w:t>
      </w:r>
      <w:r w:rsidR="00AE683D">
        <w:rPr>
          <w:b/>
        </w:rPr>
        <w:t xml:space="preserve">table </w:t>
      </w:r>
      <w:r w:rsidR="002F70BB">
        <w:rPr>
          <w:b/>
        </w:rPr>
        <w:t>4</w:t>
      </w:r>
      <w:r w:rsidR="00AE683D" w:rsidRPr="00CE2D81">
        <w:rPr>
          <w:rFonts w:ascii="Times New Roman" w:hAnsi="Times New Roman" w:cs="Times New Roman"/>
          <w:b/>
          <w:sz w:val="24"/>
          <w:szCs w:val="24"/>
        </w:rPr>
        <w:t xml:space="preserve"> and the </w:t>
      </w:r>
      <w:r w:rsidR="004F584F">
        <w:rPr>
          <w:rFonts w:ascii="Times New Roman" w:hAnsi="Times New Roman" w:cs="Times New Roman"/>
          <w:b/>
          <w:sz w:val="24"/>
          <w:szCs w:val="24"/>
        </w:rPr>
        <w:t>diagram</w:t>
      </w:r>
      <w:r w:rsidR="00AE683D">
        <w:rPr>
          <w:rFonts w:ascii="Times New Roman" w:hAnsi="Times New Roman" w:cs="Times New Roman"/>
          <w:sz w:val="24"/>
          <w:szCs w:val="24"/>
        </w:rPr>
        <w:t xml:space="preserve"> results</w:t>
      </w:r>
      <w:r w:rsidR="00AE683D" w:rsidRPr="00C7502A">
        <w:rPr>
          <w:rFonts w:ascii="Times New Roman" w:hAnsi="Times New Roman" w:cs="Times New Roman"/>
          <w:sz w:val="24"/>
          <w:szCs w:val="24"/>
        </w:rPr>
        <w:t>, for the period of (30/07/2013 to 30/07/2017), DFS PLC</w:t>
      </w:r>
      <w:r w:rsidR="00AE683D">
        <w:t xml:space="preserve"> also</w:t>
      </w:r>
      <w:r w:rsidR="00AE683D" w:rsidRPr="00C7502A">
        <w:rPr>
          <w:rFonts w:ascii="Times New Roman" w:hAnsi="Times New Roman" w:cs="Times New Roman"/>
          <w:sz w:val="24"/>
          <w:szCs w:val="24"/>
        </w:rPr>
        <w:t xml:space="preserve"> hav</w:t>
      </w:r>
      <w:r w:rsidR="00AE683D">
        <w:t>e seen</w:t>
      </w:r>
      <w:r w:rsidR="00AE683D" w:rsidRPr="00C7502A">
        <w:rPr>
          <w:rFonts w:ascii="Times New Roman" w:hAnsi="Times New Roman" w:cs="Times New Roman"/>
          <w:sz w:val="24"/>
          <w:szCs w:val="24"/>
        </w:rPr>
        <w:t xml:space="preserve"> some changes in its</w:t>
      </w:r>
      <w:r w:rsidR="00AE683D">
        <w:t xml:space="preserve"> </w:t>
      </w:r>
      <w:r w:rsidR="002F70BB">
        <w:t>Efficiency</w:t>
      </w:r>
      <w:r w:rsidR="00AE683D" w:rsidRPr="00C7502A">
        <w:rPr>
          <w:rFonts w:ascii="Times New Roman" w:hAnsi="Times New Roman" w:cs="Times New Roman"/>
          <w:sz w:val="24"/>
          <w:szCs w:val="24"/>
        </w:rPr>
        <w:t xml:space="preserve"> ratios. In 2</w:t>
      </w:r>
      <w:r w:rsidR="00AE683D">
        <w:t>017, DFS PLC’</w:t>
      </w:r>
      <w:r w:rsidR="002F70BB">
        <w:t>s Fixed Assets Turnover</w:t>
      </w:r>
      <w:r w:rsidR="00AE683D">
        <w:t xml:space="preserve"> ratio</w:t>
      </w:r>
      <w:r w:rsidR="00AE683D" w:rsidRPr="00C7502A">
        <w:rPr>
          <w:rFonts w:ascii="Times New Roman" w:hAnsi="Times New Roman" w:cs="Times New Roman"/>
          <w:sz w:val="24"/>
          <w:szCs w:val="24"/>
        </w:rPr>
        <w:t xml:space="preserve"> </w:t>
      </w:r>
      <w:r w:rsidR="002F70BB">
        <w:t>grew by 0.13</w:t>
      </w:r>
      <w:r w:rsidR="00AE683D">
        <w:t xml:space="preserve"> and</w:t>
      </w:r>
      <w:r w:rsidR="00AE683D" w:rsidRPr="00C7502A">
        <w:rPr>
          <w:rFonts w:ascii="Times New Roman" w:hAnsi="Times New Roman" w:cs="Times New Roman"/>
          <w:sz w:val="24"/>
          <w:szCs w:val="24"/>
        </w:rPr>
        <w:t xml:space="preserve"> th</w:t>
      </w:r>
      <w:r w:rsidR="002F70BB">
        <w:t>e Accounts Receivable</w:t>
      </w:r>
      <w:r w:rsidR="00AE683D">
        <w:t xml:space="preserve"> ratio dropped </w:t>
      </w:r>
      <w:r w:rsidR="002F70BB">
        <w:t>by -3.43 and the company’s Creditors ratio increased by 127.05</w:t>
      </w:r>
      <w:r w:rsidR="00AE683D">
        <w:t>.</w:t>
      </w:r>
      <w:r w:rsidR="00AE683D">
        <w:rPr>
          <w:rFonts w:ascii="Times New Roman" w:hAnsi="Times New Roman" w:cs="Times New Roman"/>
          <w:sz w:val="24"/>
          <w:szCs w:val="24"/>
        </w:rPr>
        <w:t xml:space="preserve"> C</w:t>
      </w:r>
      <w:r w:rsidR="00AE683D">
        <w:t>ompared with</w:t>
      </w:r>
      <w:r w:rsidR="00AE683D">
        <w:rPr>
          <w:rFonts w:ascii="Times New Roman" w:hAnsi="Times New Roman" w:cs="Times New Roman"/>
          <w:sz w:val="24"/>
          <w:szCs w:val="24"/>
        </w:rPr>
        <w:t xml:space="preserve"> the SCS PLC’</w:t>
      </w:r>
      <w:r w:rsidR="00AE683D">
        <w:t xml:space="preserve"> had a</w:t>
      </w:r>
      <w:r w:rsidR="00AE683D">
        <w:rPr>
          <w:rFonts w:ascii="Times New Roman" w:hAnsi="Times New Roman" w:cs="Times New Roman"/>
          <w:sz w:val="24"/>
          <w:szCs w:val="24"/>
        </w:rPr>
        <w:t xml:space="preserve"> </w:t>
      </w:r>
      <w:r w:rsidR="002F70BB">
        <w:t>Fixed Assets Turnover</w:t>
      </w:r>
      <w:r w:rsidR="00AE683D">
        <w:t xml:space="preserve"> ratio </w:t>
      </w:r>
      <w:r w:rsidR="002F70BB">
        <w:t>of 13.34</w:t>
      </w:r>
      <w:r w:rsidR="00AE683D">
        <w:t xml:space="preserve">, </w:t>
      </w:r>
      <w:r w:rsidR="00AE683D">
        <w:rPr>
          <w:rFonts w:ascii="Times New Roman" w:hAnsi="Times New Roman" w:cs="Times New Roman"/>
          <w:sz w:val="24"/>
          <w:szCs w:val="24"/>
        </w:rPr>
        <w:t>a rate</w:t>
      </w:r>
      <w:r w:rsidR="00AE683D">
        <w:t xml:space="preserve"> of</w:t>
      </w:r>
      <w:r w:rsidR="002F70BB">
        <w:t xml:space="preserve"> 10.63</w:t>
      </w:r>
      <w:r w:rsidR="00AE683D">
        <w:t xml:space="preserve"> in</w:t>
      </w:r>
      <w:r w:rsidR="002F70BB">
        <w:t xml:space="preserve"> the accounts Receivable</w:t>
      </w:r>
      <w:r w:rsidR="00AE683D">
        <w:t xml:space="preserve"> ratio</w:t>
      </w:r>
      <w:r w:rsidR="002F70BB">
        <w:t xml:space="preserve"> and Creditors ratio of -14.54</w:t>
      </w:r>
      <w:r w:rsidR="00AE683D">
        <w:t xml:space="preserve"> </w:t>
      </w:r>
      <w:r w:rsidR="00AE683D">
        <w:rPr>
          <w:rFonts w:ascii="Times New Roman" w:hAnsi="Times New Roman" w:cs="Times New Roman"/>
          <w:sz w:val="24"/>
          <w:szCs w:val="24"/>
        </w:rPr>
        <w:t>in 2017</w:t>
      </w:r>
      <w:r>
        <w:rPr>
          <w:rFonts w:ascii="Times New Roman" w:hAnsi="Times New Roman" w:cs="Times New Roman"/>
          <w:sz w:val="24"/>
          <w:szCs w:val="24"/>
        </w:rPr>
        <w:t>”</w:t>
      </w:r>
      <w:r w:rsidR="00E2336F">
        <w:rPr>
          <w:rFonts w:ascii="Times New Roman" w:hAnsi="Times New Roman" w:cs="Times New Roman"/>
          <w:sz w:val="24"/>
          <w:szCs w:val="24"/>
        </w:rPr>
        <w:t>.</w:t>
      </w:r>
    </w:p>
    <w:p w:rsidR="00E2336F" w:rsidRDefault="00E2336F" w:rsidP="00F36526">
      <w:pPr>
        <w:pStyle w:val="NormalWeb"/>
        <w:jc w:val="both"/>
        <w:rPr>
          <w:color w:val="000000"/>
        </w:rPr>
      </w:pPr>
      <w:r>
        <w:rPr>
          <w:color w:val="000000"/>
        </w:rPr>
        <w:t xml:space="preserve"> </w:t>
      </w:r>
      <w:r w:rsidR="001946A2">
        <w:rPr>
          <w:color w:val="000000"/>
        </w:rPr>
        <w:t>“</w:t>
      </w:r>
      <w:r>
        <w:rPr>
          <w:color w:val="000000"/>
        </w:rPr>
        <w:t>A</w:t>
      </w:r>
      <w:r w:rsidRPr="00CD28A4">
        <w:rPr>
          <w:color w:val="000000"/>
        </w:rPr>
        <w:t>n efficiency ratio often looks at aspects of the company, such as the time it takes to collect cash from customers or the amount of time it takes to convert inventory to cash. This makes efficiency ratios important, because an improvement in the efficiency ratios usually translates to improved profitability</w:t>
      </w:r>
      <w:r>
        <w:rPr>
          <w:color w:val="000000"/>
        </w:rPr>
        <w:t>”</w:t>
      </w:r>
      <w:r w:rsidRPr="00CD28A4">
        <w:rPr>
          <w:color w:val="000000"/>
        </w:rPr>
        <w:t>.</w:t>
      </w:r>
    </w:p>
    <w:p w:rsidR="00E2336F" w:rsidRDefault="00E2336F" w:rsidP="00F36526">
      <w:pPr>
        <w:pStyle w:val="NormalWeb"/>
        <w:jc w:val="both"/>
        <w:rPr>
          <w:b/>
          <w:color w:val="000000"/>
        </w:rPr>
      </w:pPr>
      <w:r>
        <w:rPr>
          <w:color w:val="000000"/>
        </w:rPr>
        <w:t>“</w:t>
      </w:r>
      <w:r w:rsidRPr="00CD28A4">
        <w:rPr>
          <w:color w:val="000000"/>
        </w:rPr>
        <w:t>These ratios can be compared to peers in the same industry and can identify businesses that are better managed relative to the others. Some common efficiency ratios are accounts receivable turnover, Fixed Assets turnover, sales to inventory, sales to net working Capital, accounts payable to sales and stock turnover ratios</w:t>
      </w:r>
      <w:r>
        <w:rPr>
          <w:color w:val="000000"/>
        </w:rPr>
        <w:t>”</w:t>
      </w:r>
      <w:r w:rsidRPr="00B24B96">
        <w:rPr>
          <w:b/>
          <w:color w:val="000000"/>
        </w:rPr>
        <w:t>.</w:t>
      </w:r>
    </w:p>
    <w:p w:rsidR="008164EB" w:rsidRDefault="00980E39" w:rsidP="00F36526">
      <w:pPr>
        <w:pStyle w:val="NormalWeb"/>
        <w:numPr>
          <w:ilvl w:val="0"/>
          <w:numId w:val="7"/>
        </w:numPr>
        <w:jc w:val="both"/>
        <w:rPr>
          <w:b/>
          <w:color w:val="000000"/>
        </w:rPr>
      </w:pPr>
      <w:r>
        <w:rPr>
          <w:b/>
          <w:color w:val="000000"/>
        </w:rPr>
        <w:t>Comparison analysis against SCS PLC, DFS PLC major competitor and sector average.</w:t>
      </w:r>
    </w:p>
    <w:p w:rsidR="008164EB" w:rsidRPr="008164EB" w:rsidRDefault="001946A2" w:rsidP="00F36526">
      <w:pPr>
        <w:pStyle w:val="NormalWeb"/>
        <w:ind w:left="284"/>
        <w:jc w:val="both"/>
        <w:rPr>
          <w:b/>
          <w:color w:val="000000"/>
        </w:rPr>
      </w:pPr>
      <w:r>
        <w:rPr>
          <w:color w:val="000000"/>
        </w:rPr>
        <w:t>“</w:t>
      </w:r>
      <w:r w:rsidR="004F584F" w:rsidRPr="008164EB">
        <w:rPr>
          <w:color w:val="000000"/>
        </w:rPr>
        <w:t>During the Financial analysis of DFC PLC, several limitation of ratios emerged. According to our results,</w:t>
      </w:r>
      <w:r w:rsidR="00E61395" w:rsidRPr="008164EB">
        <w:rPr>
          <w:rFonts w:ascii="Arial" w:hAnsi="Arial" w:cs="Arial"/>
          <w:color w:val="000000"/>
          <w:sz w:val="20"/>
          <w:szCs w:val="20"/>
        </w:rPr>
        <w:t xml:space="preserve"> at the end of the f</w:t>
      </w:r>
      <w:r w:rsidR="004F584F" w:rsidRPr="008164EB">
        <w:rPr>
          <w:rFonts w:ascii="Arial" w:hAnsi="Arial" w:cs="Arial"/>
          <w:color w:val="000000"/>
          <w:sz w:val="20"/>
          <w:szCs w:val="20"/>
        </w:rPr>
        <w:t>inancial year 2017, the DFS PLC prese</w:t>
      </w:r>
      <w:r w:rsidR="00E61395" w:rsidRPr="008164EB">
        <w:rPr>
          <w:rFonts w:ascii="Arial" w:hAnsi="Arial" w:cs="Arial"/>
          <w:color w:val="000000"/>
          <w:sz w:val="20"/>
          <w:szCs w:val="20"/>
        </w:rPr>
        <w:t>nted a wicker position in relation the outcome of their</w:t>
      </w:r>
      <w:r w:rsidR="004F584F" w:rsidRPr="008164EB">
        <w:rPr>
          <w:rFonts w:ascii="Arial" w:hAnsi="Arial" w:cs="Arial"/>
          <w:color w:val="000000"/>
          <w:sz w:val="20"/>
          <w:szCs w:val="20"/>
        </w:rPr>
        <w:t xml:space="preserve"> ratios.</w:t>
      </w:r>
      <w:r w:rsidR="00E61395" w:rsidRPr="008164EB">
        <w:rPr>
          <w:rFonts w:ascii="Arial" w:hAnsi="Arial" w:cs="Arial"/>
          <w:color w:val="000000"/>
          <w:sz w:val="20"/>
          <w:szCs w:val="20"/>
        </w:rPr>
        <w:t xml:space="preserve"> This clearly means that The DFS PLC is in the risk zone compared to the SCS PLC it major competitor. Therefore there is a probability of a bankruptcy or financial </w:t>
      </w:r>
      <w:r w:rsidR="00FE2222" w:rsidRPr="008164EB">
        <w:rPr>
          <w:rFonts w:ascii="Arial" w:hAnsi="Arial" w:cs="Arial"/>
          <w:color w:val="000000"/>
          <w:sz w:val="20"/>
          <w:szCs w:val="20"/>
        </w:rPr>
        <w:t xml:space="preserve">weaknesses </w:t>
      </w:r>
      <w:r w:rsidR="00E61395" w:rsidRPr="008164EB">
        <w:rPr>
          <w:rFonts w:ascii="Arial" w:hAnsi="Arial" w:cs="Arial"/>
          <w:color w:val="000000"/>
          <w:sz w:val="20"/>
          <w:szCs w:val="20"/>
        </w:rPr>
        <w:t xml:space="preserve">compared to SCS PLC. </w:t>
      </w:r>
      <w:r w:rsidR="004F584F" w:rsidRPr="008164EB">
        <w:rPr>
          <w:rFonts w:ascii="Arial" w:hAnsi="Arial" w:cs="Arial"/>
          <w:color w:val="000000"/>
          <w:sz w:val="20"/>
          <w:szCs w:val="20"/>
        </w:rPr>
        <w:t xml:space="preserve"> Despite the good results obtain</w:t>
      </w:r>
      <w:r w:rsidR="00FE2222" w:rsidRPr="008164EB">
        <w:rPr>
          <w:rFonts w:ascii="Arial" w:hAnsi="Arial" w:cs="Arial"/>
          <w:color w:val="000000"/>
          <w:sz w:val="20"/>
          <w:szCs w:val="20"/>
        </w:rPr>
        <w:t>ed, it should be said that this</w:t>
      </w:r>
      <w:r w:rsidR="004F584F" w:rsidRPr="008164EB">
        <w:rPr>
          <w:rFonts w:ascii="Arial" w:hAnsi="Arial" w:cs="Arial"/>
          <w:color w:val="000000"/>
          <w:sz w:val="20"/>
          <w:szCs w:val="20"/>
        </w:rPr>
        <w:t xml:space="preserve"> is only relative and the final conclusion should be made based on results of deeper analysis</w:t>
      </w:r>
      <w:r>
        <w:rPr>
          <w:rFonts w:ascii="Arial" w:hAnsi="Arial" w:cs="Arial"/>
          <w:color w:val="000000"/>
          <w:sz w:val="20"/>
          <w:szCs w:val="20"/>
        </w:rPr>
        <w:t>”</w:t>
      </w:r>
      <w:r w:rsidR="004F584F" w:rsidRPr="008164EB">
        <w:rPr>
          <w:rFonts w:ascii="Arial" w:hAnsi="Arial" w:cs="Arial"/>
          <w:color w:val="000000"/>
          <w:sz w:val="20"/>
          <w:szCs w:val="20"/>
        </w:rPr>
        <w:t>.</w:t>
      </w:r>
    </w:p>
    <w:p w:rsidR="002460BE" w:rsidRDefault="00375FFE" w:rsidP="002460BE">
      <w:pPr>
        <w:pStyle w:val="NormalWeb"/>
        <w:spacing w:before="0" w:beforeAutospacing="0" w:after="0" w:afterAutospacing="0"/>
        <w:textAlignment w:val="baseline"/>
        <w:rPr>
          <w:b/>
          <w:color w:val="000000"/>
        </w:rPr>
      </w:pPr>
      <w:r w:rsidRPr="00375FFE">
        <w:rPr>
          <w:b/>
          <w:color w:val="000000"/>
        </w:rPr>
        <w:t>Projections of the DFS PLC future performances against SCS PLC</w:t>
      </w:r>
    </w:p>
    <w:p w:rsidR="002460BE" w:rsidRDefault="002460BE" w:rsidP="002460BE">
      <w:pPr>
        <w:pStyle w:val="NormalWeb"/>
        <w:spacing w:before="0" w:beforeAutospacing="0" w:after="0" w:afterAutospacing="0"/>
        <w:textAlignment w:val="baseline"/>
        <w:rPr>
          <w:b/>
          <w:color w:val="000000"/>
        </w:rPr>
      </w:pPr>
    </w:p>
    <w:p w:rsidR="002460BE" w:rsidRPr="006806A9" w:rsidRDefault="001946A2" w:rsidP="002460BE">
      <w:pPr>
        <w:pStyle w:val="NormalWeb"/>
        <w:spacing w:before="0" w:beforeAutospacing="0" w:after="0" w:afterAutospacing="0"/>
        <w:textAlignment w:val="baseline"/>
        <w:rPr>
          <w:b/>
          <w:color w:val="3C3C3C"/>
        </w:rPr>
      </w:pPr>
      <w:r>
        <w:rPr>
          <w:b/>
          <w:color w:val="000000"/>
        </w:rPr>
        <w:t>“</w:t>
      </w:r>
      <w:r w:rsidR="00CE218E">
        <w:rPr>
          <w:b/>
          <w:color w:val="000000"/>
        </w:rPr>
        <w:t xml:space="preserve">According to the Financial Time The DFS PLC announced that the UK sofa sales were failing in recent years because of the political issues that followed the Brexit vote and alert of market consumer weakness, hitting shares prices of several of the UK biggest </w:t>
      </w:r>
      <w:r w:rsidR="00CE218E">
        <w:rPr>
          <w:b/>
          <w:color w:val="000000"/>
        </w:rPr>
        <w:lastRenderedPageBreak/>
        <w:t>retailers.</w:t>
      </w:r>
      <w:r w:rsidR="00CE218E">
        <w:rPr>
          <w:b/>
          <w:color w:val="3C3C3C"/>
        </w:rPr>
        <w:t xml:space="preserve"> The company’s stock fell 21% at the close of trading in London and announced that the number of shoppers in stores has fallen dramatically. That has decreased their earnings outlook and warned of market condition</w:t>
      </w:r>
      <w:r w:rsidR="0046051E">
        <w:rPr>
          <w:b/>
          <w:color w:val="3C3C3C"/>
        </w:rPr>
        <w:t>s and government figures showed a drop in retail sales.</w:t>
      </w:r>
      <w:r w:rsidR="00CE218E">
        <w:rPr>
          <w:b/>
          <w:color w:val="3C3C3C"/>
        </w:rPr>
        <w:t xml:space="preserve"> </w:t>
      </w:r>
    </w:p>
    <w:p w:rsidR="00446BEB" w:rsidRDefault="0046051E" w:rsidP="00F67B49">
      <w:pPr>
        <w:pStyle w:val="NormalWeb"/>
        <w:spacing w:before="0" w:beforeAutospacing="0" w:after="0" w:afterAutospacing="0"/>
        <w:textAlignment w:val="baseline"/>
        <w:rPr>
          <w:b/>
          <w:color w:val="3C3C3C"/>
        </w:rPr>
      </w:pPr>
      <w:r>
        <w:rPr>
          <w:b/>
          <w:color w:val="3C3C3C"/>
        </w:rPr>
        <w:t>Shares of the major companies such as Marks &amp; Spencer, Group Plc, Tesco Plc, Debenhams Plc, SCS Plc also dropped</w:t>
      </w:r>
      <w:r w:rsidR="001946A2">
        <w:rPr>
          <w:b/>
          <w:color w:val="3C3C3C"/>
        </w:rPr>
        <w:t>”</w:t>
      </w:r>
      <w:r>
        <w:rPr>
          <w:b/>
          <w:color w:val="3C3C3C"/>
        </w:rPr>
        <w:t>.</w:t>
      </w:r>
      <w:r w:rsidR="002460BE" w:rsidRPr="006806A9">
        <w:rPr>
          <w:b/>
          <w:color w:val="3C3C3C"/>
        </w:rPr>
        <w:t xml:space="preserve"> </w:t>
      </w:r>
      <w:r w:rsidR="00F67B49">
        <w:rPr>
          <w:b/>
          <w:color w:val="3C3C3C"/>
        </w:rPr>
        <w:t xml:space="preserve"> </w:t>
      </w:r>
      <w:r w:rsidR="00176FCB">
        <w:rPr>
          <w:b/>
          <w:color w:val="3C3C3C"/>
        </w:rPr>
        <w:t>DFS mention that it expects to report full year earnings before interest, Tax depreciation and amortization between 8£2 million and £87 million. “</w:t>
      </w:r>
      <w:r w:rsidR="002460BE" w:rsidRPr="006806A9">
        <w:rPr>
          <w:b/>
          <w:color w:val="3C3C3C"/>
        </w:rPr>
        <w:t>DFS said it expects to report full year-earnings before interest, tax, depreciation and amortization between 82 million pounds ($104 million) and 87 millio</w:t>
      </w:r>
      <w:r w:rsidR="00176FCB">
        <w:rPr>
          <w:b/>
          <w:color w:val="3C3C3C"/>
        </w:rPr>
        <w:t>n pounds.  DFS share fell</w:t>
      </w:r>
      <w:r w:rsidR="002460BE" w:rsidRPr="006806A9">
        <w:rPr>
          <w:b/>
          <w:color w:val="3C3C3C"/>
        </w:rPr>
        <w:t xml:space="preserve"> sent the FTSE 350 General Retailers Index down 4 percent. Apparel and furniture retailer Next fell 6.1 percent after being downgraded to underperform at Credit Suisse, while sofa and flooring retailer </w:t>
      </w:r>
      <w:hyperlink r:id="rId19" w:tooltip="Company Overview" w:history="1">
        <w:r w:rsidR="002460BE" w:rsidRPr="006806A9">
          <w:rPr>
            <w:b/>
            <w:color w:val="3C3C3C"/>
          </w:rPr>
          <w:t>ScS Group Plc</w:t>
        </w:r>
      </w:hyperlink>
      <w:r w:rsidR="002460BE" w:rsidRPr="006806A9">
        <w:rPr>
          <w:b/>
          <w:color w:val="3C3C3C"/>
        </w:rPr>
        <w:t> was off 8.1 percent. Marks &amp; Spencer fell 4.7 percent and Tesco declined 3.2 percent ahead of Friday’s </w:t>
      </w:r>
      <w:hyperlink r:id="rId20" w:tgtFrame="_blank" w:tooltip="PREVIEW TESCO 1Q: May Report Highest U.K. Growth in Seven Years" w:history="1">
        <w:r w:rsidR="002460BE" w:rsidRPr="006806A9">
          <w:rPr>
            <w:b/>
            <w:color w:val="3C3C3C"/>
          </w:rPr>
          <w:t>first-quarter sales announcement</w:t>
        </w:r>
      </w:hyperlink>
      <w:r w:rsidR="00176FCB">
        <w:rPr>
          <w:b/>
          <w:color w:val="3C3C3C"/>
        </w:rPr>
        <w:t>”</w:t>
      </w:r>
      <w:r w:rsidR="00446BEB">
        <w:rPr>
          <w:b/>
          <w:color w:val="3C3C3C"/>
        </w:rPr>
        <w:t>.</w:t>
      </w:r>
    </w:p>
    <w:p w:rsidR="00375FFE" w:rsidRPr="00446BEB" w:rsidRDefault="00095722" w:rsidP="00446BEB">
      <w:pPr>
        <w:spacing w:before="450" w:after="450" w:line="435" w:lineRule="atLeast"/>
        <w:textAlignment w:val="baseline"/>
        <w:rPr>
          <w:rFonts w:ascii="Times New Roman" w:eastAsia="Times New Roman" w:hAnsi="Times New Roman" w:cs="Times New Roman"/>
          <w:b/>
          <w:color w:val="3C3C3C"/>
          <w:sz w:val="24"/>
          <w:szCs w:val="24"/>
          <w:lang w:eastAsia="en-GB"/>
        </w:rPr>
      </w:pPr>
      <w:r>
        <w:rPr>
          <w:b/>
        </w:rPr>
        <w:t xml:space="preserve">7.0 </w:t>
      </w:r>
      <w:r w:rsidR="00375FFE">
        <w:rPr>
          <w:b/>
        </w:rPr>
        <w:t>Discussion of the DFS Pros and Cons ratios analysis</w:t>
      </w:r>
    </w:p>
    <w:p w:rsidR="00375FFE" w:rsidRDefault="00BA43FC" w:rsidP="00F36526">
      <w:pPr>
        <w:autoSpaceDE w:val="0"/>
        <w:autoSpaceDN w:val="0"/>
        <w:adjustRightInd w:val="0"/>
        <w:spacing w:after="0" w:line="240" w:lineRule="auto"/>
        <w:jc w:val="both"/>
        <w:rPr>
          <w:rFonts w:ascii="Times New Roman" w:hAnsi="Times New Roman" w:cs="Times New Roman"/>
          <w:color w:val="000000"/>
          <w:sz w:val="24"/>
          <w:szCs w:val="24"/>
        </w:rPr>
      </w:pPr>
      <w:r>
        <w:rPr>
          <w:rFonts w:ascii="Arial" w:hAnsi="Arial" w:cs="Arial"/>
          <w:color w:val="000000"/>
          <w:sz w:val="24"/>
          <w:szCs w:val="24"/>
        </w:rPr>
        <w:t>“</w:t>
      </w:r>
      <w:r w:rsidR="00095722">
        <w:rPr>
          <w:rFonts w:ascii="Times New Roman" w:hAnsi="Times New Roman" w:cs="Times New Roman"/>
          <w:color w:val="000000"/>
          <w:sz w:val="24"/>
          <w:szCs w:val="24"/>
        </w:rPr>
        <w:t>In the year 2017, DFS PLC revenue in the second quarter has been weaker and declined in some sectors of their business. According to the annual report, the results are reflected below.</w:t>
      </w:r>
    </w:p>
    <w:p w:rsidR="00FE3DC4" w:rsidRPr="00FD59BC" w:rsidRDefault="00095722" w:rsidP="00FD59BC">
      <w:pPr>
        <w:autoSpaceDE w:val="0"/>
        <w:autoSpaceDN w:val="0"/>
        <w:adjustRightInd w:val="0"/>
        <w:spacing w:after="0" w:line="24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The figures shown in the </w:t>
      </w:r>
      <w:r w:rsidR="004D0AAD">
        <w:rPr>
          <w:rFonts w:ascii="Times New Roman" w:hAnsi="Times New Roman" w:cs="Times New Roman"/>
          <w:color w:val="000000"/>
          <w:sz w:val="24"/>
          <w:szCs w:val="24"/>
        </w:rPr>
        <w:t xml:space="preserve">group revenues for the second half of the year were 4% lower than the previous one. In addition, the company has seen an increase of 7% in the first quarter to produce growth of 1% over the all year. </w:t>
      </w:r>
      <w:r w:rsidR="00375FFE" w:rsidRPr="00375FFE">
        <w:rPr>
          <w:rFonts w:ascii="Times New Roman" w:hAnsi="Times New Roman" w:cs="Times New Roman"/>
          <w:color w:val="000000"/>
          <w:sz w:val="24"/>
          <w:szCs w:val="24"/>
        </w:rPr>
        <w:t xml:space="preserve"> </w:t>
      </w:r>
      <w:r w:rsidR="004D0AAD">
        <w:rPr>
          <w:rFonts w:ascii="Times New Roman" w:hAnsi="Times New Roman" w:cs="Times New Roman"/>
          <w:color w:val="000000"/>
          <w:sz w:val="24"/>
          <w:szCs w:val="24"/>
        </w:rPr>
        <w:t>The EBITDA for the year will be at the low end of the £82-£87 million range previously given, with revenue impacts being partly offset by cost flex</w:t>
      </w:r>
      <w:r w:rsidR="00BA43FC">
        <w:rPr>
          <w:rFonts w:ascii="Times New Roman" w:hAnsi="Times New Roman" w:cs="Times New Roman"/>
          <w:color w:val="000000"/>
          <w:sz w:val="24"/>
          <w:szCs w:val="24"/>
        </w:rPr>
        <w:t>ibility and the benefits of operating efficiency initiatives”.</w:t>
      </w:r>
      <w:r w:rsidR="004D0AAD">
        <w:rPr>
          <w:rFonts w:ascii="Times New Roman" w:hAnsi="Times New Roman" w:cs="Times New Roman"/>
          <w:color w:val="000000"/>
          <w:sz w:val="24"/>
          <w:szCs w:val="24"/>
        </w:rPr>
        <w:t xml:space="preserve"> </w:t>
      </w:r>
    </w:p>
    <w:p w:rsidR="00065D5D" w:rsidRDefault="00D33513" w:rsidP="00FD59BC">
      <w:pPr>
        <w:pStyle w:val="NormalWeb"/>
        <w:numPr>
          <w:ilvl w:val="0"/>
          <w:numId w:val="9"/>
        </w:numPr>
        <w:jc w:val="both"/>
        <w:rPr>
          <w:b/>
          <w:color w:val="000000"/>
        </w:rPr>
      </w:pPr>
      <w:r w:rsidRPr="00375FFE">
        <w:rPr>
          <w:b/>
          <w:color w:val="000000"/>
        </w:rPr>
        <w:t>Conclusion</w:t>
      </w:r>
    </w:p>
    <w:p w:rsidR="00F001CE" w:rsidRDefault="001946A2" w:rsidP="00F36526">
      <w:pPr>
        <w:pStyle w:val="NormalWeb"/>
        <w:ind w:left="360"/>
        <w:jc w:val="both"/>
        <w:rPr>
          <w:color w:val="000000"/>
        </w:rPr>
      </w:pPr>
      <w:r>
        <w:rPr>
          <w:rFonts w:asciiTheme="minorHAnsi" w:eastAsiaTheme="minorHAnsi" w:hAnsiTheme="minorHAnsi" w:cstheme="minorBidi"/>
          <w:b/>
          <w:color w:val="000000"/>
          <w:sz w:val="22"/>
          <w:szCs w:val="22"/>
          <w:lang w:eastAsia="en-US"/>
        </w:rPr>
        <w:t>“</w:t>
      </w:r>
      <w:r w:rsidR="00694F60" w:rsidRPr="00065D5D">
        <w:rPr>
          <w:rFonts w:asciiTheme="minorHAnsi" w:eastAsiaTheme="minorHAnsi" w:hAnsiTheme="minorHAnsi" w:cstheme="minorBidi"/>
          <w:b/>
          <w:color w:val="000000"/>
          <w:sz w:val="22"/>
          <w:szCs w:val="22"/>
          <w:lang w:eastAsia="en-US"/>
        </w:rPr>
        <w:t>According to the financial analysis</w:t>
      </w:r>
      <w:r w:rsidR="00F001CE">
        <w:rPr>
          <w:rFonts w:asciiTheme="minorHAnsi" w:eastAsiaTheme="minorHAnsi" w:hAnsiTheme="minorHAnsi" w:cstheme="minorBidi"/>
          <w:b/>
          <w:color w:val="000000"/>
          <w:sz w:val="22"/>
          <w:szCs w:val="22"/>
          <w:lang w:eastAsia="en-US"/>
        </w:rPr>
        <w:t>,</w:t>
      </w:r>
      <w:r w:rsidR="00694F60" w:rsidRPr="00065D5D">
        <w:rPr>
          <w:rFonts w:asciiTheme="minorHAnsi" w:eastAsiaTheme="minorHAnsi" w:hAnsiTheme="minorHAnsi" w:cstheme="minorBidi"/>
          <w:b/>
          <w:color w:val="000000"/>
          <w:sz w:val="22"/>
          <w:szCs w:val="22"/>
          <w:lang w:eastAsia="en-US"/>
        </w:rPr>
        <w:t xml:space="preserve"> DFS Plc is a business to invest in</w:t>
      </w:r>
      <w:r w:rsidR="00F001CE">
        <w:rPr>
          <w:rFonts w:asciiTheme="minorHAnsi" w:eastAsiaTheme="minorHAnsi" w:hAnsiTheme="minorHAnsi" w:cstheme="minorBidi"/>
          <w:b/>
          <w:color w:val="000000"/>
          <w:sz w:val="22"/>
          <w:szCs w:val="22"/>
          <w:lang w:eastAsia="en-US"/>
        </w:rPr>
        <w:t>.  A</w:t>
      </w:r>
      <w:r w:rsidR="00694F60" w:rsidRPr="00065D5D">
        <w:rPr>
          <w:rFonts w:asciiTheme="minorHAnsi" w:eastAsiaTheme="minorHAnsi" w:hAnsiTheme="minorHAnsi" w:cstheme="minorBidi"/>
          <w:b/>
          <w:color w:val="000000"/>
          <w:sz w:val="22"/>
          <w:szCs w:val="22"/>
          <w:lang w:eastAsia="en-US"/>
        </w:rPr>
        <w:t>s they are focused on their growth strategy to obtain a long-term returns for their shareholders.</w:t>
      </w:r>
      <w:r w:rsidR="00F001CE">
        <w:rPr>
          <w:rFonts w:asciiTheme="minorHAnsi" w:eastAsiaTheme="minorHAnsi" w:hAnsiTheme="minorHAnsi" w:cstheme="minorBidi"/>
          <w:b/>
          <w:color w:val="000000"/>
          <w:sz w:val="22"/>
          <w:szCs w:val="22"/>
          <w:lang w:eastAsia="en-US"/>
        </w:rPr>
        <w:t xml:space="preserve"> However, </w:t>
      </w:r>
      <w:r w:rsidR="00694F60" w:rsidRPr="00065D5D">
        <w:rPr>
          <w:rFonts w:asciiTheme="minorHAnsi" w:eastAsiaTheme="minorHAnsi" w:hAnsiTheme="minorHAnsi" w:cstheme="minorBidi"/>
          <w:b/>
          <w:color w:val="000000"/>
          <w:sz w:val="22"/>
          <w:szCs w:val="22"/>
          <w:lang w:eastAsia="en-US"/>
        </w:rPr>
        <w:t>their revenue growth will be difficult to achieve in the near future than expected</w:t>
      </w:r>
      <w:r w:rsidR="00F001CE">
        <w:rPr>
          <w:color w:val="000000"/>
        </w:rPr>
        <w:t xml:space="preserve"> compared to big competitors such as SCS PLC.</w:t>
      </w:r>
      <w:r w:rsidR="00065D5D" w:rsidRPr="00065D5D">
        <w:rPr>
          <w:color w:val="000000"/>
        </w:rPr>
        <w:t xml:space="preserve"> Moreover, the company has identified </w:t>
      </w:r>
      <w:r w:rsidR="00B716E0" w:rsidRPr="00B716E0">
        <w:rPr>
          <w:color w:val="000000"/>
        </w:rPr>
        <w:t>opportunities to drive operating efficiencies and product margin</w:t>
      </w:r>
      <w:r w:rsidR="00065D5D">
        <w:rPr>
          <w:color w:val="000000"/>
        </w:rPr>
        <w:t xml:space="preserve"> growth. The business has announced in 2017 a new</w:t>
      </w:r>
      <w:r w:rsidR="00B716E0" w:rsidRPr="00B716E0">
        <w:rPr>
          <w:color w:val="000000"/>
        </w:rPr>
        <w:t xml:space="preserve"> </w:t>
      </w:r>
      <w:r w:rsidR="005D24DD">
        <w:rPr>
          <w:color w:val="000000"/>
        </w:rPr>
        <w:t>strategy in refinancing on more favourable terms which will deliver an annual saving of closed to £1 million in the cost of their debt financing.</w:t>
      </w:r>
      <w:r w:rsidR="00B716E0" w:rsidRPr="00B716E0">
        <w:rPr>
          <w:color w:val="000000"/>
        </w:rPr>
        <w:t xml:space="preserve"> </w:t>
      </w:r>
      <w:r w:rsidR="007D5CED">
        <w:rPr>
          <w:color w:val="000000"/>
        </w:rPr>
        <w:t xml:space="preserve">They intend to improve and maintain their plans for growth investment in the future, according to their key performance </w:t>
      </w:r>
      <w:r w:rsidR="00F001CE">
        <w:rPr>
          <w:color w:val="000000"/>
        </w:rPr>
        <w:t xml:space="preserve">indicators, </w:t>
      </w:r>
      <w:r w:rsidR="007D5CED">
        <w:rPr>
          <w:color w:val="000000"/>
        </w:rPr>
        <w:t xml:space="preserve"> the business is confident</w:t>
      </w:r>
      <w:r w:rsidR="00F001CE">
        <w:rPr>
          <w:color w:val="000000"/>
        </w:rPr>
        <w:t xml:space="preserve"> that</w:t>
      </w:r>
      <w:r w:rsidR="007D5CED">
        <w:rPr>
          <w:color w:val="000000"/>
        </w:rPr>
        <w:t xml:space="preserve"> their long term strategy will </w:t>
      </w:r>
      <w:r w:rsidR="00F001CE">
        <w:rPr>
          <w:color w:val="000000"/>
        </w:rPr>
        <w:t>allow</w:t>
      </w:r>
      <w:r w:rsidR="007D5CED">
        <w:rPr>
          <w:color w:val="000000"/>
        </w:rPr>
        <w:t xml:space="preserve"> them to outperform the market over the longer term as</w:t>
      </w:r>
      <w:r w:rsidR="00F001CE">
        <w:rPr>
          <w:color w:val="000000"/>
        </w:rPr>
        <w:t xml:space="preserve"> their main competitor SCS PL</w:t>
      </w:r>
      <w:r>
        <w:rPr>
          <w:color w:val="000000"/>
        </w:rPr>
        <w:t>”</w:t>
      </w:r>
      <w:r w:rsidR="00F001CE">
        <w:rPr>
          <w:color w:val="000000"/>
        </w:rPr>
        <w:t>.</w:t>
      </w:r>
    </w:p>
    <w:p w:rsidR="00192DA4" w:rsidRDefault="001946A2" w:rsidP="00192DA4">
      <w:pPr>
        <w:pStyle w:val="NormalWeb"/>
        <w:ind w:left="360"/>
        <w:jc w:val="both"/>
        <w:rPr>
          <w:b/>
          <w:color w:val="000000"/>
        </w:rPr>
      </w:pPr>
      <w:r>
        <w:rPr>
          <w:rFonts w:asciiTheme="minorHAnsi" w:eastAsiaTheme="minorHAnsi" w:hAnsiTheme="minorHAnsi" w:cstheme="minorBidi"/>
          <w:b/>
          <w:color w:val="000000"/>
          <w:sz w:val="22"/>
          <w:szCs w:val="22"/>
          <w:lang w:eastAsia="en-US"/>
        </w:rPr>
        <w:t>“</w:t>
      </w:r>
      <w:r w:rsidR="00F001CE">
        <w:rPr>
          <w:rFonts w:asciiTheme="minorHAnsi" w:eastAsiaTheme="minorHAnsi" w:hAnsiTheme="minorHAnsi" w:cstheme="minorBidi"/>
          <w:b/>
          <w:color w:val="000000"/>
          <w:sz w:val="22"/>
          <w:szCs w:val="22"/>
          <w:lang w:eastAsia="en-US"/>
        </w:rPr>
        <w:t xml:space="preserve">Finally, according to their annual financial report, the DFS PLC has historically capitalised on adverse marked </w:t>
      </w:r>
      <w:r w:rsidR="00F001CE">
        <w:rPr>
          <w:rFonts w:ascii="Arial" w:hAnsi="Arial" w:cs="Arial"/>
          <w:color w:val="000000"/>
          <w:sz w:val="23"/>
          <w:szCs w:val="23"/>
        </w:rPr>
        <w:t xml:space="preserve">market conditions to build </w:t>
      </w:r>
      <w:r w:rsidR="006D128E">
        <w:rPr>
          <w:rFonts w:ascii="Arial" w:hAnsi="Arial" w:cs="Arial"/>
          <w:color w:val="000000"/>
          <w:sz w:val="23"/>
          <w:szCs w:val="23"/>
        </w:rPr>
        <w:t>their position in the UK market for living room furniture</w:t>
      </w:r>
      <w:r w:rsidR="00B716E0" w:rsidRPr="00B716E0">
        <w:rPr>
          <w:rFonts w:ascii="Arial" w:hAnsi="Arial" w:cs="Arial"/>
          <w:color w:val="000000"/>
          <w:sz w:val="23"/>
          <w:szCs w:val="23"/>
        </w:rPr>
        <w:t>,</w:t>
      </w:r>
      <w:r w:rsidR="006D128E">
        <w:rPr>
          <w:rFonts w:ascii="Arial" w:hAnsi="Arial" w:cs="Arial"/>
          <w:color w:val="000000"/>
          <w:sz w:val="23"/>
          <w:szCs w:val="23"/>
        </w:rPr>
        <w:t xml:space="preserve"> leveraging their fundamental strengths in stores, sales, intensities, scales of operations, flexibility cost based </w:t>
      </w:r>
      <w:r w:rsidR="00B716E0" w:rsidRPr="00B716E0">
        <w:rPr>
          <w:rFonts w:ascii="Arial" w:hAnsi="Arial" w:cs="Arial"/>
          <w:color w:val="000000"/>
          <w:sz w:val="23"/>
          <w:szCs w:val="23"/>
        </w:rPr>
        <w:t>intensities, scale o</w:t>
      </w:r>
      <w:r w:rsidR="006D128E">
        <w:rPr>
          <w:rFonts w:ascii="Arial" w:hAnsi="Arial" w:cs="Arial"/>
          <w:color w:val="000000"/>
          <w:sz w:val="23"/>
          <w:szCs w:val="23"/>
        </w:rPr>
        <w:t>f operations</w:t>
      </w:r>
      <w:r w:rsidR="00B716E0" w:rsidRPr="00B716E0">
        <w:rPr>
          <w:rFonts w:ascii="Arial" w:hAnsi="Arial" w:cs="Arial"/>
          <w:color w:val="000000"/>
          <w:sz w:val="23"/>
          <w:szCs w:val="23"/>
        </w:rPr>
        <w:t xml:space="preserve"> </w:t>
      </w:r>
      <w:r w:rsidR="006D128E">
        <w:rPr>
          <w:rFonts w:ascii="Arial" w:hAnsi="Arial" w:cs="Arial"/>
          <w:color w:val="000000"/>
          <w:sz w:val="23"/>
          <w:szCs w:val="23"/>
        </w:rPr>
        <w:t>as well as vertically integrated business model. Therefore it is recommended to buy shares with the company as their planned to grow in the future</w:t>
      </w:r>
      <w:r>
        <w:rPr>
          <w:rFonts w:ascii="Arial" w:hAnsi="Arial" w:cs="Arial"/>
          <w:color w:val="000000"/>
          <w:sz w:val="23"/>
          <w:szCs w:val="23"/>
        </w:rPr>
        <w:t>”</w:t>
      </w:r>
      <w:r w:rsidR="006D128E">
        <w:rPr>
          <w:rFonts w:ascii="Arial" w:hAnsi="Arial" w:cs="Arial"/>
          <w:color w:val="000000"/>
          <w:sz w:val="23"/>
          <w:szCs w:val="23"/>
        </w:rPr>
        <w:t xml:space="preserve">. </w:t>
      </w:r>
      <w:r w:rsidR="00B716E0" w:rsidRPr="00B716E0">
        <w:rPr>
          <w:rFonts w:ascii="Arial" w:hAnsi="Arial" w:cs="Arial"/>
          <w:color w:val="000000"/>
          <w:sz w:val="23"/>
          <w:szCs w:val="23"/>
        </w:rPr>
        <w:t xml:space="preserve"> </w:t>
      </w:r>
    </w:p>
    <w:p w:rsidR="00192DA4" w:rsidRDefault="00192DA4" w:rsidP="00192DA4">
      <w:pPr>
        <w:pStyle w:val="NormalWeb"/>
        <w:jc w:val="both"/>
        <w:rPr>
          <w:color w:val="000000"/>
        </w:rPr>
      </w:pPr>
      <w:r>
        <w:rPr>
          <w:color w:val="000000"/>
        </w:rPr>
        <w:t xml:space="preserve">       </w:t>
      </w:r>
    </w:p>
    <w:p w:rsidR="00192DA4" w:rsidRDefault="00192DA4" w:rsidP="00192DA4">
      <w:pPr>
        <w:pStyle w:val="NormalWeb"/>
        <w:jc w:val="both"/>
        <w:rPr>
          <w:color w:val="000000"/>
        </w:rPr>
      </w:pPr>
    </w:p>
    <w:p w:rsidR="00192DA4" w:rsidRDefault="00192DA4" w:rsidP="00192DA4">
      <w:pPr>
        <w:pStyle w:val="NormalWeb"/>
        <w:jc w:val="both"/>
        <w:rPr>
          <w:color w:val="000000"/>
        </w:rPr>
      </w:pPr>
    </w:p>
    <w:p w:rsidR="00192DA4" w:rsidRDefault="00192DA4" w:rsidP="00192DA4">
      <w:pPr>
        <w:pStyle w:val="NormalWeb"/>
        <w:jc w:val="both"/>
        <w:rPr>
          <w:color w:val="000000"/>
        </w:rPr>
      </w:pPr>
    </w:p>
    <w:p w:rsidR="00192DA4" w:rsidRDefault="00192DA4" w:rsidP="00192DA4">
      <w:pPr>
        <w:pStyle w:val="NormalWeb"/>
        <w:jc w:val="both"/>
        <w:rPr>
          <w:color w:val="000000"/>
        </w:rPr>
      </w:pPr>
    </w:p>
    <w:p w:rsidR="004308AE" w:rsidRPr="00192DA4" w:rsidRDefault="004308AE" w:rsidP="00192DA4">
      <w:pPr>
        <w:pStyle w:val="NormalWeb"/>
        <w:jc w:val="both"/>
        <w:rPr>
          <w:b/>
          <w:color w:val="000000"/>
        </w:rPr>
      </w:pPr>
      <w:r w:rsidRPr="006C39F8">
        <w:rPr>
          <w:color w:val="000000"/>
        </w:rPr>
        <w:t>9.0 REFERENCE</w:t>
      </w:r>
    </w:p>
    <w:p w:rsidR="003453E3" w:rsidRDefault="003453E3" w:rsidP="00F36526">
      <w:pPr>
        <w:pStyle w:val="NormalWeb"/>
        <w:ind w:left="360"/>
        <w:jc w:val="both"/>
        <w:rPr>
          <w:color w:val="000000"/>
        </w:rPr>
      </w:pPr>
      <w:r>
        <w:rPr>
          <w:color w:val="000000"/>
        </w:rPr>
        <w:t>www. BIZED.ac.uk</w:t>
      </w:r>
    </w:p>
    <w:p w:rsidR="00192DA4" w:rsidRDefault="00D5486D" w:rsidP="00F36526">
      <w:pPr>
        <w:pStyle w:val="NormalWeb"/>
        <w:ind w:left="360"/>
        <w:jc w:val="both"/>
        <w:rPr>
          <w:color w:val="000000"/>
        </w:rPr>
      </w:pPr>
      <w:hyperlink r:id="rId21" w:history="1">
        <w:r w:rsidRPr="00F122F3">
          <w:rPr>
            <w:rStyle w:val="Hyperlink"/>
          </w:rPr>
          <w:t>www.bloomberg.com</w:t>
        </w:r>
      </w:hyperlink>
    </w:p>
    <w:p w:rsidR="00D5486D" w:rsidRPr="006C39F8" w:rsidRDefault="00D5486D" w:rsidP="00F36526">
      <w:pPr>
        <w:pStyle w:val="NormalWeb"/>
        <w:ind w:left="360"/>
        <w:jc w:val="both"/>
        <w:rPr>
          <w:color w:val="000000"/>
        </w:rPr>
      </w:pPr>
      <w:r>
        <w:rPr>
          <w:color w:val="000000"/>
        </w:rPr>
        <w:t>Collier. P.M (2009) Accounting for Managers 3</w:t>
      </w:r>
      <w:r w:rsidRPr="00D5486D">
        <w:rPr>
          <w:color w:val="000000"/>
          <w:vertAlign w:val="superscript"/>
        </w:rPr>
        <w:t>rd</w:t>
      </w:r>
      <w:r>
        <w:rPr>
          <w:color w:val="000000"/>
        </w:rPr>
        <w:t xml:space="preserve"> edition London</w:t>
      </w:r>
      <w:r w:rsidR="003C47BB">
        <w:rPr>
          <w:color w:val="000000"/>
        </w:rPr>
        <w:t>. John &amp; Sons Ltd.</w:t>
      </w:r>
    </w:p>
    <w:p w:rsidR="003F017F" w:rsidRPr="003F017F" w:rsidRDefault="003F017F" w:rsidP="00F36526">
      <w:pPr>
        <w:pStyle w:val="NormalWeb"/>
        <w:ind w:left="360"/>
        <w:jc w:val="both"/>
        <w:rPr>
          <w:color w:val="000000" w:themeColor="text1"/>
        </w:rPr>
      </w:pPr>
      <w:hyperlink r:id="rId22" w:history="1">
        <w:r w:rsidRPr="00F122F3">
          <w:rPr>
            <w:rStyle w:val="Hyperlink"/>
          </w:rPr>
          <w:t>www.scsplc.co.uk</w:t>
        </w:r>
      </w:hyperlink>
      <w:r w:rsidRPr="003F017F">
        <w:t>.</w:t>
      </w:r>
      <w:r>
        <w:t>, Annual Report and Financial statements 2017 (interest)</w:t>
      </w:r>
    </w:p>
    <w:p w:rsidR="000E1B9B" w:rsidRPr="006C39F8" w:rsidRDefault="000E7B92" w:rsidP="00F36526">
      <w:pPr>
        <w:pStyle w:val="NormalWeb"/>
        <w:ind w:left="360"/>
        <w:jc w:val="both"/>
        <w:rPr>
          <w:b/>
          <w:color w:val="000000" w:themeColor="text1"/>
        </w:rPr>
      </w:pPr>
      <w:hyperlink r:id="rId23" w:history="1">
        <w:r w:rsidRPr="006C39F8">
          <w:rPr>
            <w:rStyle w:val="Hyperlink"/>
            <w:b/>
          </w:rPr>
          <w:t>www.dfscorporate.co.uk</w:t>
        </w:r>
      </w:hyperlink>
      <w:r w:rsidRPr="006C39F8">
        <w:rPr>
          <w:b/>
          <w:color w:val="000000" w:themeColor="text1"/>
        </w:rPr>
        <w:t xml:space="preserve"> , Annual Report and Financial statements 2013 (internet)</w:t>
      </w:r>
    </w:p>
    <w:p w:rsidR="000E7B92" w:rsidRPr="006C39F8" w:rsidRDefault="000E7B92" w:rsidP="00F36526">
      <w:pPr>
        <w:pStyle w:val="NormalWeb"/>
        <w:ind w:left="360"/>
        <w:jc w:val="both"/>
        <w:rPr>
          <w:b/>
          <w:color w:val="000000" w:themeColor="text1"/>
        </w:rPr>
      </w:pPr>
      <w:hyperlink r:id="rId24" w:history="1">
        <w:r w:rsidRPr="006C39F8">
          <w:rPr>
            <w:rStyle w:val="Hyperlink"/>
            <w:b/>
          </w:rPr>
          <w:t>www.dfscorporate.co.uk</w:t>
        </w:r>
      </w:hyperlink>
      <w:r w:rsidRPr="006C39F8">
        <w:rPr>
          <w:b/>
          <w:color w:val="000000" w:themeColor="text1"/>
        </w:rPr>
        <w:t xml:space="preserve"> , Annual Report and Financial statements 2014 (internet)</w:t>
      </w:r>
    </w:p>
    <w:p w:rsidR="000E7B92" w:rsidRPr="006C39F8" w:rsidRDefault="000E7B92" w:rsidP="00F36526">
      <w:pPr>
        <w:pStyle w:val="NormalWeb"/>
        <w:ind w:left="360"/>
        <w:jc w:val="both"/>
        <w:rPr>
          <w:b/>
          <w:color w:val="000000" w:themeColor="text1"/>
        </w:rPr>
      </w:pPr>
      <w:hyperlink r:id="rId25" w:history="1">
        <w:r w:rsidRPr="006C39F8">
          <w:rPr>
            <w:rStyle w:val="Hyperlink"/>
            <w:b/>
          </w:rPr>
          <w:t>www.dfscorporate.co.uk</w:t>
        </w:r>
      </w:hyperlink>
      <w:r w:rsidRPr="006C39F8">
        <w:rPr>
          <w:b/>
          <w:color w:val="000000" w:themeColor="text1"/>
        </w:rPr>
        <w:t xml:space="preserve"> , Annual Report and Financial statements 2015 (internet)</w:t>
      </w:r>
    </w:p>
    <w:p w:rsidR="000E7B92" w:rsidRPr="006C39F8" w:rsidRDefault="000E7B92" w:rsidP="00F36526">
      <w:pPr>
        <w:pStyle w:val="NormalWeb"/>
        <w:ind w:left="360"/>
        <w:jc w:val="both"/>
        <w:rPr>
          <w:b/>
          <w:color w:val="000000" w:themeColor="text1"/>
        </w:rPr>
      </w:pPr>
      <w:hyperlink r:id="rId26" w:history="1">
        <w:r w:rsidRPr="006C39F8">
          <w:rPr>
            <w:rStyle w:val="Hyperlink"/>
            <w:b/>
          </w:rPr>
          <w:t>www.dfscorporate.co.uk</w:t>
        </w:r>
      </w:hyperlink>
      <w:r w:rsidRPr="006C39F8">
        <w:rPr>
          <w:b/>
          <w:color w:val="000000" w:themeColor="text1"/>
        </w:rPr>
        <w:t xml:space="preserve"> , Annual Report and Financial statements 2016 (internet)</w:t>
      </w:r>
    </w:p>
    <w:p w:rsidR="000E7B92" w:rsidRDefault="000E7B92" w:rsidP="00F36526">
      <w:pPr>
        <w:pStyle w:val="NormalWeb"/>
        <w:ind w:left="360"/>
        <w:jc w:val="both"/>
        <w:rPr>
          <w:b/>
          <w:color w:val="000000" w:themeColor="text1"/>
        </w:rPr>
      </w:pPr>
      <w:hyperlink r:id="rId27" w:history="1">
        <w:r w:rsidRPr="006C39F8">
          <w:rPr>
            <w:rStyle w:val="Hyperlink"/>
            <w:b/>
          </w:rPr>
          <w:t>www.dfscorporate.co.uk</w:t>
        </w:r>
      </w:hyperlink>
      <w:r w:rsidRPr="006C39F8">
        <w:rPr>
          <w:b/>
          <w:color w:val="000000" w:themeColor="text1"/>
        </w:rPr>
        <w:t xml:space="preserve"> , Annual Report and Financial statements 2017 (internet)</w:t>
      </w:r>
    </w:p>
    <w:p w:rsidR="003C47BB" w:rsidRPr="006C39F8" w:rsidRDefault="003C47BB" w:rsidP="00F36526">
      <w:pPr>
        <w:pStyle w:val="NormalWeb"/>
        <w:ind w:left="360"/>
        <w:jc w:val="both"/>
        <w:rPr>
          <w:b/>
          <w:color w:val="000000" w:themeColor="text1"/>
        </w:rPr>
      </w:pPr>
      <w:r>
        <w:rPr>
          <w:b/>
          <w:color w:val="000000" w:themeColor="text1"/>
        </w:rPr>
        <w:t>Fraser. G (1990) Decision Accounting, Oxford: Basil Blackwell Ltd</w:t>
      </w:r>
    </w:p>
    <w:p w:rsidR="00565106" w:rsidRDefault="00192DA4" w:rsidP="00F36526">
      <w:pPr>
        <w:pStyle w:val="NormalWeb"/>
        <w:ind w:left="360"/>
        <w:jc w:val="both"/>
        <w:rPr>
          <w:color w:val="000000" w:themeColor="text1"/>
        </w:rPr>
      </w:pPr>
      <w:hyperlink r:id="rId28" w:history="1">
        <w:r w:rsidRPr="00F122F3">
          <w:rPr>
            <w:rStyle w:val="Hyperlink"/>
          </w:rPr>
          <w:t>www.FT,com</w:t>
        </w:r>
      </w:hyperlink>
    </w:p>
    <w:p w:rsidR="00D5486D" w:rsidRDefault="00637F5B" w:rsidP="00F36526">
      <w:pPr>
        <w:pStyle w:val="NormalWeb"/>
        <w:ind w:left="360"/>
        <w:jc w:val="both"/>
        <w:rPr>
          <w:color w:val="000000" w:themeColor="text1"/>
        </w:rPr>
      </w:pPr>
      <w:r>
        <w:rPr>
          <w:color w:val="000000" w:themeColor="text1"/>
        </w:rPr>
        <w:t xml:space="preserve"> T. Lucey, m</w:t>
      </w:r>
      <w:r w:rsidR="00D5486D">
        <w:rPr>
          <w:color w:val="000000" w:themeColor="text1"/>
        </w:rPr>
        <w:t>anagement A</w:t>
      </w:r>
      <w:r>
        <w:rPr>
          <w:color w:val="000000" w:themeColor="text1"/>
        </w:rPr>
        <w:t>ccounting Fourth Edition</w:t>
      </w:r>
      <w:r w:rsidR="00D5486D">
        <w:rPr>
          <w:color w:val="000000" w:themeColor="text1"/>
        </w:rPr>
        <w:t>.</w:t>
      </w:r>
    </w:p>
    <w:p w:rsidR="00637F5B" w:rsidRDefault="00637F5B" w:rsidP="00637F5B">
      <w:pPr>
        <w:pStyle w:val="NormalWeb"/>
        <w:ind w:left="360"/>
        <w:jc w:val="both"/>
        <w:rPr>
          <w:color w:val="000000" w:themeColor="text1"/>
        </w:rPr>
      </w:pPr>
      <w:hyperlink r:id="rId29" w:history="1">
        <w:r w:rsidRPr="000E7B92">
          <w:rPr>
            <w:rStyle w:val="Hyperlink"/>
            <w:color w:val="000000" w:themeColor="text1"/>
          </w:rPr>
          <w:t>https://www.readyratios.com/reference/analysis</w:t>
        </w:r>
      </w:hyperlink>
    </w:p>
    <w:p w:rsidR="00637F5B" w:rsidRDefault="00637F5B" w:rsidP="00F36526">
      <w:pPr>
        <w:pStyle w:val="NormalWeb"/>
        <w:ind w:left="360"/>
        <w:jc w:val="both"/>
        <w:rPr>
          <w:color w:val="000000" w:themeColor="text1"/>
        </w:rPr>
      </w:pPr>
    </w:p>
    <w:p w:rsidR="00192DA4" w:rsidRDefault="00192DA4" w:rsidP="00F36526">
      <w:pPr>
        <w:pStyle w:val="NormalWeb"/>
        <w:ind w:left="360"/>
        <w:jc w:val="both"/>
        <w:rPr>
          <w:color w:val="000000" w:themeColor="text1"/>
        </w:rPr>
      </w:pPr>
    </w:p>
    <w:p w:rsidR="000E7B92" w:rsidRPr="000E7B92" w:rsidRDefault="000E7B92" w:rsidP="00F36526">
      <w:pPr>
        <w:pStyle w:val="NormalWeb"/>
        <w:ind w:left="360"/>
        <w:jc w:val="both"/>
        <w:rPr>
          <w:b/>
          <w:color w:val="000000" w:themeColor="text1"/>
        </w:rPr>
      </w:pPr>
    </w:p>
    <w:p w:rsidR="000E7B92" w:rsidRPr="000E7B92" w:rsidRDefault="000E7B92" w:rsidP="00F36526">
      <w:pPr>
        <w:pStyle w:val="NormalWeb"/>
        <w:ind w:left="360"/>
        <w:jc w:val="both"/>
        <w:rPr>
          <w:b/>
          <w:color w:val="000000" w:themeColor="text1"/>
        </w:rPr>
      </w:pPr>
    </w:p>
    <w:p w:rsidR="000E7B92" w:rsidRPr="000E7B92" w:rsidRDefault="000E7B92" w:rsidP="00F36526">
      <w:pPr>
        <w:pStyle w:val="NormalWeb"/>
        <w:ind w:left="360"/>
        <w:jc w:val="both"/>
        <w:rPr>
          <w:b/>
          <w:color w:val="000000" w:themeColor="text1"/>
        </w:rPr>
      </w:pPr>
    </w:p>
    <w:p w:rsidR="000E7B92" w:rsidRPr="000E7B92" w:rsidRDefault="000E7B92" w:rsidP="00F36526">
      <w:pPr>
        <w:pStyle w:val="NormalWeb"/>
        <w:ind w:left="360"/>
        <w:jc w:val="both"/>
        <w:rPr>
          <w:b/>
          <w:color w:val="000000" w:themeColor="text1"/>
        </w:rPr>
      </w:pPr>
    </w:p>
    <w:p w:rsidR="000E7B92" w:rsidRPr="000E7B92" w:rsidRDefault="000E7B92" w:rsidP="00F36526">
      <w:pPr>
        <w:pStyle w:val="NormalWeb"/>
        <w:ind w:left="360"/>
        <w:jc w:val="both"/>
        <w:rPr>
          <w:b/>
          <w:color w:val="000000" w:themeColor="text1"/>
        </w:rPr>
      </w:pPr>
    </w:p>
    <w:p w:rsidR="004F584F" w:rsidRPr="00E2336F" w:rsidRDefault="004F584F" w:rsidP="00F36526">
      <w:pPr>
        <w:pStyle w:val="NormalWeb"/>
        <w:jc w:val="both"/>
        <w:rPr>
          <w:color w:val="000000"/>
        </w:rPr>
      </w:pPr>
    </w:p>
    <w:p w:rsidR="00E2336F" w:rsidRPr="00AE683D" w:rsidRDefault="00E2336F" w:rsidP="00F36526">
      <w:pPr>
        <w:jc w:val="both"/>
        <w:rPr>
          <w:rFonts w:ascii="Times New Roman" w:hAnsi="Times New Roman" w:cs="Times New Roman"/>
          <w:b/>
          <w:color w:val="000000"/>
          <w:sz w:val="24"/>
          <w:szCs w:val="24"/>
        </w:rPr>
      </w:pPr>
    </w:p>
    <w:p w:rsidR="000E6A66" w:rsidRPr="00CE2D81" w:rsidRDefault="000E6A66" w:rsidP="00F36526">
      <w:pPr>
        <w:jc w:val="both"/>
        <w:rPr>
          <w:rFonts w:ascii="Times New Roman" w:hAnsi="Times New Roman" w:cs="Times New Roman"/>
          <w:b/>
          <w:sz w:val="24"/>
          <w:szCs w:val="24"/>
        </w:rPr>
      </w:pPr>
    </w:p>
    <w:sectPr w:rsidR="000E6A66" w:rsidRPr="00CE2D81" w:rsidSect="0099569C">
      <w:headerReference w:type="default" r:id="rId3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665CD" w:rsidRDefault="004665CD" w:rsidP="00BB4740">
      <w:pPr>
        <w:spacing w:after="0" w:line="240" w:lineRule="auto"/>
      </w:pPr>
      <w:r>
        <w:separator/>
      </w:r>
    </w:p>
  </w:endnote>
  <w:endnote w:type="continuationSeparator" w:id="1">
    <w:p w:rsidR="004665CD" w:rsidRDefault="004665CD" w:rsidP="00BB474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665CD" w:rsidRDefault="004665CD" w:rsidP="00BB4740">
      <w:pPr>
        <w:spacing w:after="0" w:line="240" w:lineRule="auto"/>
      </w:pPr>
      <w:r>
        <w:separator/>
      </w:r>
    </w:p>
  </w:footnote>
  <w:footnote w:type="continuationSeparator" w:id="1">
    <w:p w:rsidR="004665CD" w:rsidRDefault="004665CD" w:rsidP="00BB474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E218E" w:rsidRPr="00CC50C2" w:rsidRDefault="00CE218E" w:rsidP="00BB4740">
    <w:pPr>
      <w:pStyle w:val="ListParagraph"/>
      <w:numPr>
        <w:ilvl w:val="0"/>
        <w:numId w:val="2"/>
      </w:numPr>
      <w:autoSpaceDE w:val="0"/>
      <w:autoSpaceDN w:val="0"/>
      <w:adjustRightInd w:val="0"/>
      <w:spacing w:after="0" w:line="240" w:lineRule="auto"/>
      <w:rPr>
        <w:rFonts w:ascii="Times New Roman" w:hAnsi="Times New Roman" w:cs="Times New Roman"/>
        <w:b/>
        <w:sz w:val="36"/>
        <w:szCs w:val="36"/>
      </w:rPr>
    </w:pPr>
    <w:r w:rsidRPr="00CC50C2">
      <w:rPr>
        <w:rFonts w:ascii="Times New Roman" w:hAnsi="Times New Roman" w:cs="Times New Roman"/>
        <w:b/>
        <w:sz w:val="36"/>
        <w:szCs w:val="36"/>
        <w:u w:val="single"/>
      </w:rPr>
      <w:t>SBMA7100: FINANCIAL MANAGEMENT ASSIGNMENT</w:t>
    </w:r>
    <w:r>
      <w:rPr>
        <w:rFonts w:ascii="Times New Roman" w:hAnsi="Times New Roman" w:cs="Times New Roman"/>
        <w:b/>
        <w:sz w:val="36"/>
        <w:szCs w:val="36"/>
        <w:u w:val="single"/>
      </w:rPr>
      <w:t xml:space="preserve"> 1 CORPORATE FINANCIAL ANALYSIS DFS PLC: LEVEL 7</w:t>
    </w:r>
    <w:r w:rsidRPr="00CC50C2">
      <w:rPr>
        <w:rFonts w:ascii="Times New Roman" w:hAnsi="Times New Roman" w:cs="Times New Roman"/>
        <w:b/>
        <w:sz w:val="36"/>
        <w:szCs w:val="36"/>
        <w:u w:val="single"/>
      </w:rPr>
      <w:t xml:space="preserve"> </w:t>
    </w:r>
  </w:p>
  <w:p w:rsidR="00CE218E" w:rsidRPr="00CC50C2" w:rsidRDefault="00CE218E">
    <w:pPr>
      <w:pStyle w:val="Header"/>
      <w:rPr>
        <w:b/>
        <w:sz w:val="36"/>
        <w:szCs w:val="36"/>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D63AB1"/>
    <w:multiLevelType w:val="hybridMultilevel"/>
    <w:tmpl w:val="92B6C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F0F55E2"/>
    <w:multiLevelType w:val="hybridMultilevel"/>
    <w:tmpl w:val="A11EA03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nsid w:val="34991BC3"/>
    <w:multiLevelType w:val="multilevel"/>
    <w:tmpl w:val="64044418"/>
    <w:lvl w:ilvl="0">
      <w:start w:val="6"/>
      <w:numFmt w:val="decimal"/>
      <w:lvlText w:val="%1.0"/>
      <w:lvlJc w:val="left"/>
      <w:pPr>
        <w:ind w:left="1004" w:hanging="360"/>
      </w:pPr>
      <w:rPr>
        <w:rFonts w:hint="default"/>
      </w:rPr>
    </w:lvl>
    <w:lvl w:ilvl="1">
      <w:start w:val="1"/>
      <w:numFmt w:val="decimal"/>
      <w:lvlText w:val="%1.%2"/>
      <w:lvlJc w:val="left"/>
      <w:pPr>
        <w:ind w:left="1724" w:hanging="360"/>
      </w:pPr>
      <w:rPr>
        <w:rFonts w:hint="default"/>
      </w:rPr>
    </w:lvl>
    <w:lvl w:ilvl="2">
      <w:start w:val="1"/>
      <w:numFmt w:val="decimal"/>
      <w:lvlText w:val="%1.%2.%3"/>
      <w:lvlJc w:val="left"/>
      <w:pPr>
        <w:ind w:left="2804" w:hanging="720"/>
      </w:pPr>
      <w:rPr>
        <w:rFonts w:hint="default"/>
      </w:rPr>
    </w:lvl>
    <w:lvl w:ilvl="3">
      <w:start w:val="1"/>
      <w:numFmt w:val="decimal"/>
      <w:lvlText w:val="%1.%2.%3.%4"/>
      <w:lvlJc w:val="left"/>
      <w:pPr>
        <w:ind w:left="3524" w:hanging="720"/>
      </w:pPr>
      <w:rPr>
        <w:rFonts w:hint="default"/>
      </w:rPr>
    </w:lvl>
    <w:lvl w:ilvl="4">
      <w:start w:val="1"/>
      <w:numFmt w:val="decimal"/>
      <w:lvlText w:val="%1.%2.%3.%4.%5"/>
      <w:lvlJc w:val="left"/>
      <w:pPr>
        <w:ind w:left="4604" w:hanging="1080"/>
      </w:pPr>
      <w:rPr>
        <w:rFonts w:hint="default"/>
      </w:rPr>
    </w:lvl>
    <w:lvl w:ilvl="5">
      <w:start w:val="1"/>
      <w:numFmt w:val="decimal"/>
      <w:lvlText w:val="%1.%2.%3.%4.%5.%6"/>
      <w:lvlJc w:val="left"/>
      <w:pPr>
        <w:ind w:left="5324" w:hanging="1080"/>
      </w:pPr>
      <w:rPr>
        <w:rFonts w:hint="default"/>
      </w:rPr>
    </w:lvl>
    <w:lvl w:ilvl="6">
      <w:start w:val="1"/>
      <w:numFmt w:val="decimal"/>
      <w:lvlText w:val="%1.%2.%3.%4.%5.%6.%7"/>
      <w:lvlJc w:val="left"/>
      <w:pPr>
        <w:ind w:left="6404" w:hanging="1440"/>
      </w:pPr>
      <w:rPr>
        <w:rFonts w:hint="default"/>
      </w:rPr>
    </w:lvl>
    <w:lvl w:ilvl="7">
      <w:start w:val="1"/>
      <w:numFmt w:val="decimal"/>
      <w:lvlText w:val="%1.%2.%3.%4.%5.%6.%7.%8"/>
      <w:lvlJc w:val="left"/>
      <w:pPr>
        <w:ind w:left="7124" w:hanging="1440"/>
      </w:pPr>
      <w:rPr>
        <w:rFonts w:hint="default"/>
      </w:rPr>
    </w:lvl>
    <w:lvl w:ilvl="8">
      <w:start w:val="1"/>
      <w:numFmt w:val="decimal"/>
      <w:lvlText w:val="%1.%2.%3.%4.%5.%6.%7.%8.%9"/>
      <w:lvlJc w:val="left"/>
      <w:pPr>
        <w:ind w:left="8204" w:hanging="1800"/>
      </w:pPr>
      <w:rPr>
        <w:rFonts w:hint="default"/>
      </w:rPr>
    </w:lvl>
  </w:abstractNum>
  <w:abstractNum w:abstractNumId="3">
    <w:nsid w:val="37795224"/>
    <w:multiLevelType w:val="hybridMultilevel"/>
    <w:tmpl w:val="95E2935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nsid w:val="47F3710F"/>
    <w:multiLevelType w:val="multilevel"/>
    <w:tmpl w:val="5B6CD17A"/>
    <w:lvl w:ilvl="0">
      <w:start w:val="8"/>
      <w:numFmt w:val="decimal"/>
      <w:lvlText w:val="%1.0"/>
      <w:lvlJc w:val="left"/>
      <w:pPr>
        <w:ind w:left="644" w:hanging="360"/>
      </w:pPr>
      <w:rPr>
        <w:rFonts w:hint="default"/>
      </w:rPr>
    </w:lvl>
    <w:lvl w:ilvl="1">
      <w:start w:val="1"/>
      <w:numFmt w:val="decimal"/>
      <w:lvlText w:val="%1.%2"/>
      <w:lvlJc w:val="left"/>
      <w:pPr>
        <w:ind w:left="1364" w:hanging="360"/>
      </w:pPr>
      <w:rPr>
        <w:rFonts w:hint="default"/>
      </w:rPr>
    </w:lvl>
    <w:lvl w:ilvl="2">
      <w:start w:val="1"/>
      <w:numFmt w:val="decimal"/>
      <w:lvlText w:val="%1.%2.%3"/>
      <w:lvlJc w:val="left"/>
      <w:pPr>
        <w:ind w:left="2444" w:hanging="720"/>
      </w:pPr>
      <w:rPr>
        <w:rFonts w:hint="default"/>
      </w:rPr>
    </w:lvl>
    <w:lvl w:ilvl="3">
      <w:start w:val="1"/>
      <w:numFmt w:val="decimal"/>
      <w:lvlText w:val="%1.%2.%3.%4"/>
      <w:lvlJc w:val="left"/>
      <w:pPr>
        <w:ind w:left="3164" w:hanging="720"/>
      </w:pPr>
      <w:rPr>
        <w:rFonts w:hint="default"/>
      </w:rPr>
    </w:lvl>
    <w:lvl w:ilvl="4">
      <w:start w:val="1"/>
      <w:numFmt w:val="decimal"/>
      <w:lvlText w:val="%1.%2.%3.%4.%5"/>
      <w:lvlJc w:val="left"/>
      <w:pPr>
        <w:ind w:left="4244" w:hanging="1080"/>
      </w:pPr>
      <w:rPr>
        <w:rFonts w:hint="default"/>
      </w:rPr>
    </w:lvl>
    <w:lvl w:ilvl="5">
      <w:start w:val="1"/>
      <w:numFmt w:val="decimal"/>
      <w:lvlText w:val="%1.%2.%3.%4.%5.%6"/>
      <w:lvlJc w:val="left"/>
      <w:pPr>
        <w:ind w:left="4964" w:hanging="1080"/>
      </w:pPr>
      <w:rPr>
        <w:rFonts w:hint="default"/>
      </w:rPr>
    </w:lvl>
    <w:lvl w:ilvl="6">
      <w:start w:val="1"/>
      <w:numFmt w:val="decimal"/>
      <w:lvlText w:val="%1.%2.%3.%4.%5.%6.%7"/>
      <w:lvlJc w:val="left"/>
      <w:pPr>
        <w:ind w:left="6044" w:hanging="1440"/>
      </w:pPr>
      <w:rPr>
        <w:rFonts w:hint="default"/>
      </w:rPr>
    </w:lvl>
    <w:lvl w:ilvl="7">
      <w:start w:val="1"/>
      <w:numFmt w:val="decimal"/>
      <w:lvlText w:val="%1.%2.%3.%4.%5.%6.%7.%8"/>
      <w:lvlJc w:val="left"/>
      <w:pPr>
        <w:ind w:left="6764" w:hanging="1440"/>
      </w:pPr>
      <w:rPr>
        <w:rFonts w:hint="default"/>
      </w:rPr>
    </w:lvl>
    <w:lvl w:ilvl="8">
      <w:start w:val="1"/>
      <w:numFmt w:val="decimal"/>
      <w:lvlText w:val="%1.%2.%3.%4.%5.%6.%7.%8.%9"/>
      <w:lvlJc w:val="left"/>
      <w:pPr>
        <w:ind w:left="7844" w:hanging="1800"/>
      </w:pPr>
      <w:rPr>
        <w:rFonts w:hint="default"/>
      </w:rPr>
    </w:lvl>
  </w:abstractNum>
  <w:abstractNum w:abstractNumId="5">
    <w:nsid w:val="4DC12993"/>
    <w:multiLevelType w:val="multilevel"/>
    <w:tmpl w:val="5D3C628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nsid w:val="5CC3753A"/>
    <w:multiLevelType w:val="hybridMultilevel"/>
    <w:tmpl w:val="541C0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2534B4D"/>
    <w:multiLevelType w:val="hybridMultilevel"/>
    <w:tmpl w:val="46A820A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nsid w:val="66A52476"/>
    <w:multiLevelType w:val="multilevel"/>
    <w:tmpl w:val="EA60052E"/>
    <w:lvl w:ilvl="0">
      <w:start w:val="5"/>
      <w:numFmt w:val="decimal"/>
      <w:lvlText w:val="%1.0"/>
      <w:lvlJc w:val="left"/>
      <w:pPr>
        <w:ind w:left="644"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
  </w:num>
  <w:num w:numId="2">
    <w:abstractNumId w:val="3"/>
  </w:num>
  <w:num w:numId="3">
    <w:abstractNumId w:val="6"/>
  </w:num>
  <w:num w:numId="4">
    <w:abstractNumId w:val="7"/>
  </w:num>
  <w:num w:numId="5">
    <w:abstractNumId w:val="5"/>
  </w:num>
  <w:num w:numId="6">
    <w:abstractNumId w:val="0"/>
  </w:num>
  <w:num w:numId="7">
    <w:abstractNumId w:val="8"/>
  </w:num>
  <w:num w:numId="8">
    <w:abstractNumId w:val="2"/>
  </w:num>
  <w:num w:numId="9">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E04A6"/>
    <w:rsid w:val="00011C56"/>
    <w:rsid w:val="0001294D"/>
    <w:rsid w:val="0003744B"/>
    <w:rsid w:val="00065D5D"/>
    <w:rsid w:val="00095722"/>
    <w:rsid w:val="000B7683"/>
    <w:rsid w:val="000B7928"/>
    <w:rsid w:val="000C59D9"/>
    <w:rsid w:val="000D69AA"/>
    <w:rsid w:val="000E1B9B"/>
    <w:rsid w:val="000E3C31"/>
    <w:rsid w:val="000E6A66"/>
    <w:rsid w:val="000E7B92"/>
    <w:rsid w:val="00110287"/>
    <w:rsid w:val="00154D04"/>
    <w:rsid w:val="001605D3"/>
    <w:rsid w:val="00176FCB"/>
    <w:rsid w:val="00187DE0"/>
    <w:rsid w:val="00192DA4"/>
    <w:rsid w:val="001946A2"/>
    <w:rsid w:val="00194ED2"/>
    <w:rsid w:val="001A4DE4"/>
    <w:rsid w:val="001B7BEE"/>
    <w:rsid w:val="001E0483"/>
    <w:rsid w:val="001F1B80"/>
    <w:rsid w:val="002460BE"/>
    <w:rsid w:val="00255247"/>
    <w:rsid w:val="0027665C"/>
    <w:rsid w:val="002823F1"/>
    <w:rsid w:val="002A0ED0"/>
    <w:rsid w:val="002B6E08"/>
    <w:rsid w:val="002C2FBE"/>
    <w:rsid w:val="002E26AD"/>
    <w:rsid w:val="002F70BB"/>
    <w:rsid w:val="00312DC4"/>
    <w:rsid w:val="00323C9B"/>
    <w:rsid w:val="00333B04"/>
    <w:rsid w:val="00342B70"/>
    <w:rsid w:val="003453E3"/>
    <w:rsid w:val="00353D30"/>
    <w:rsid w:val="003674AC"/>
    <w:rsid w:val="003710A9"/>
    <w:rsid w:val="00375FFE"/>
    <w:rsid w:val="00384295"/>
    <w:rsid w:val="003A145B"/>
    <w:rsid w:val="003B3624"/>
    <w:rsid w:val="003C47BB"/>
    <w:rsid w:val="003C797A"/>
    <w:rsid w:val="003F017F"/>
    <w:rsid w:val="003F6C5E"/>
    <w:rsid w:val="00403B83"/>
    <w:rsid w:val="00415A54"/>
    <w:rsid w:val="00415C9D"/>
    <w:rsid w:val="004308AE"/>
    <w:rsid w:val="00433962"/>
    <w:rsid w:val="00446BEB"/>
    <w:rsid w:val="00456C9D"/>
    <w:rsid w:val="0046051E"/>
    <w:rsid w:val="0046186E"/>
    <w:rsid w:val="004665CD"/>
    <w:rsid w:val="00470B84"/>
    <w:rsid w:val="00475C00"/>
    <w:rsid w:val="00481FBC"/>
    <w:rsid w:val="00485C6F"/>
    <w:rsid w:val="004914C2"/>
    <w:rsid w:val="004958D5"/>
    <w:rsid w:val="004A2A40"/>
    <w:rsid w:val="004A5D73"/>
    <w:rsid w:val="004D0AAD"/>
    <w:rsid w:val="004D28B6"/>
    <w:rsid w:val="004E5C61"/>
    <w:rsid w:val="004F584F"/>
    <w:rsid w:val="0051480F"/>
    <w:rsid w:val="00516C44"/>
    <w:rsid w:val="00552302"/>
    <w:rsid w:val="00552E92"/>
    <w:rsid w:val="00557ED0"/>
    <w:rsid w:val="00565106"/>
    <w:rsid w:val="005A250C"/>
    <w:rsid w:val="005A566F"/>
    <w:rsid w:val="005A6C8F"/>
    <w:rsid w:val="005B646F"/>
    <w:rsid w:val="005C30BF"/>
    <w:rsid w:val="005C64EA"/>
    <w:rsid w:val="005D24DD"/>
    <w:rsid w:val="005D3992"/>
    <w:rsid w:val="005D6592"/>
    <w:rsid w:val="005E2636"/>
    <w:rsid w:val="005F6FD7"/>
    <w:rsid w:val="00600408"/>
    <w:rsid w:val="00601A3D"/>
    <w:rsid w:val="00613819"/>
    <w:rsid w:val="00637F5B"/>
    <w:rsid w:val="00641EDE"/>
    <w:rsid w:val="00647E64"/>
    <w:rsid w:val="0066368C"/>
    <w:rsid w:val="006835F8"/>
    <w:rsid w:val="006836AE"/>
    <w:rsid w:val="00686C5A"/>
    <w:rsid w:val="00694D57"/>
    <w:rsid w:val="00694F60"/>
    <w:rsid w:val="006C39F8"/>
    <w:rsid w:val="006D128E"/>
    <w:rsid w:val="006E04A6"/>
    <w:rsid w:val="006E2D60"/>
    <w:rsid w:val="006F3419"/>
    <w:rsid w:val="00710E49"/>
    <w:rsid w:val="0074651E"/>
    <w:rsid w:val="007646F2"/>
    <w:rsid w:val="00770BE6"/>
    <w:rsid w:val="007B2752"/>
    <w:rsid w:val="007C2D21"/>
    <w:rsid w:val="007D2C71"/>
    <w:rsid w:val="007D5CED"/>
    <w:rsid w:val="007F1AED"/>
    <w:rsid w:val="007F3120"/>
    <w:rsid w:val="008147A9"/>
    <w:rsid w:val="008164EB"/>
    <w:rsid w:val="00851C1A"/>
    <w:rsid w:val="00861802"/>
    <w:rsid w:val="00861E1F"/>
    <w:rsid w:val="00866A6E"/>
    <w:rsid w:val="0088100C"/>
    <w:rsid w:val="00887945"/>
    <w:rsid w:val="00894AF3"/>
    <w:rsid w:val="008A5DE2"/>
    <w:rsid w:val="008D26F2"/>
    <w:rsid w:val="008E1AC2"/>
    <w:rsid w:val="00920498"/>
    <w:rsid w:val="0092201F"/>
    <w:rsid w:val="00934FE4"/>
    <w:rsid w:val="00941892"/>
    <w:rsid w:val="00957F6D"/>
    <w:rsid w:val="00965A15"/>
    <w:rsid w:val="00980E39"/>
    <w:rsid w:val="0099569C"/>
    <w:rsid w:val="009A372C"/>
    <w:rsid w:val="009E71E4"/>
    <w:rsid w:val="00A01C11"/>
    <w:rsid w:val="00A10BB1"/>
    <w:rsid w:val="00A64AB6"/>
    <w:rsid w:val="00AB2ACB"/>
    <w:rsid w:val="00AB5474"/>
    <w:rsid w:val="00AD0A0F"/>
    <w:rsid w:val="00AE683D"/>
    <w:rsid w:val="00AE7940"/>
    <w:rsid w:val="00AF0443"/>
    <w:rsid w:val="00B00DAA"/>
    <w:rsid w:val="00B02A14"/>
    <w:rsid w:val="00B109D9"/>
    <w:rsid w:val="00B14F13"/>
    <w:rsid w:val="00B716E0"/>
    <w:rsid w:val="00B7171B"/>
    <w:rsid w:val="00B838C9"/>
    <w:rsid w:val="00BA43FC"/>
    <w:rsid w:val="00BB4740"/>
    <w:rsid w:val="00BD0432"/>
    <w:rsid w:val="00C04146"/>
    <w:rsid w:val="00C102FF"/>
    <w:rsid w:val="00C16DC9"/>
    <w:rsid w:val="00C216F8"/>
    <w:rsid w:val="00C21FB1"/>
    <w:rsid w:val="00C6519B"/>
    <w:rsid w:val="00C7081E"/>
    <w:rsid w:val="00C7502A"/>
    <w:rsid w:val="00C83D61"/>
    <w:rsid w:val="00CA75EC"/>
    <w:rsid w:val="00CB16BC"/>
    <w:rsid w:val="00CB5D54"/>
    <w:rsid w:val="00CC058E"/>
    <w:rsid w:val="00CC0A0D"/>
    <w:rsid w:val="00CC50C2"/>
    <w:rsid w:val="00CD28A4"/>
    <w:rsid w:val="00CE0F3F"/>
    <w:rsid w:val="00CE218E"/>
    <w:rsid w:val="00CE2D81"/>
    <w:rsid w:val="00CE3DA0"/>
    <w:rsid w:val="00CE74F6"/>
    <w:rsid w:val="00CF36B7"/>
    <w:rsid w:val="00CF761A"/>
    <w:rsid w:val="00D312E9"/>
    <w:rsid w:val="00D33513"/>
    <w:rsid w:val="00D41A22"/>
    <w:rsid w:val="00D432EE"/>
    <w:rsid w:val="00D5486D"/>
    <w:rsid w:val="00D555D6"/>
    <w:rsid w:val="00D76957"/>
    <w:rsid w:val="00DC13AD"/>
    <w:rsid w:val="00DC3361"/>
    <w:rsid w:val="00DD586A"/>
    <w:rsid w:val="00DF7113"/>
    <w:rsid w:val="00E114D8"/>
    <w:rsid w:val="00E2336F"/>
    <w:rsid w:val="00E2683B"/>
    <w:rsid w:val="00E464E8"/>
    <w:rsid w:val="00E47440"/>
    <w:rsid w:val="00E61395"/>
    <w:rsid w:val="00E76049"/>
    <w:rsid w:val="00E929AF"/>
    <w:rsid w:val="00EA0651"/>
    <w:rsid w:val="00EA4C20"/>
    <w:rsid w:val="00ED4721"/>
    <w:rsid w:val="00ED71E4"/>
    <w:rsid w:val="00F001CE"/>
    <w:rsid w:val="00F228C3"/>
    <w:rsid w:val="00F26E20"/>
    <w:rsid w:val="00F2704B"/>
    <w:rsid w:val="00F33E0E"/>
    <w:rsid w:val="00F36526"/>
    <w:rsid w:val="00F45167"/>
    <w:rsid w:val="00F67B49"/>
    <w:rsid w:val="00F71C8A"/>
    <w:rsid w:val="00F81180"/>
    <w:rsid w:val="00F922A3"/>
    <w:rsid w:val="00FD59BC"/>
    <w:rsid w:val="00FD6893"/>
    <w:rsid w:val="00FE2222"/>
    <w:rsid w:val="00FE2D90"/>
    <w:rsid w:val="00FE3783"/>
    <w:rsid w:val="00FE3DC4"/>
    <w:rsid w:val="00FF25B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04A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16F8"/>
    <w:pPr>
      <w:ind w:left="720"/>
      <w:contextualSpacing/>
    </w:pPr>
  </w:style>
  <w:style w:type="paragraph" w:styleId="BalloonText">
    <w:name w:val="Balloon Text"/>
    <w:basedOn w:val="Normal"/>
    <w:link w:val="BalloonTextChar"/>
    <w:uiPriority w:val="99"/>
    <w:semiHidden/>
    <w:unhideWhenUsed/>
    <w:rsid w:val="006F34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3419"/>
    <w:rPr>
      <w:rFonts w:ascii="Tahoma" w:hAnsi="Tahoma" w:cs="Tahoma"/>
      <w:sz w:val="16"/>
      <w:szCs w:val="16"/>
    </w:rPr>
  </w:style>
  <w:style w:type="paragraph" w:styleId="Header">
    <w:name w:val="header"/>
    <w:basedOn w:val="Normal"/>
    <w:link w:val="HeaderChar"/>
    <w:uiPriority w:val="99"/>
    <w:semiHidden/>
    <w:unhideWhenUsed/>
    <w:rsid w:val="00BB474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B4740"/>
  </w:style>
  <w:style w:type="paragraph" w:styleId="Footer">
    <w:name w:val="footer"/>
    <w:basedOn w:val="Normal"/>
    <w:link w:val="FooterChar"/>
    <w:uiPriority w:val="99"/>
    <w:semiHidden/>
    <w:unhideWhenUsed/>
    <w:rsid w:val="00BB474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B4740"/>
  </w:style>
  <w:style w:type="paragraph" w:customStyle="1" w:styleId="Default">
    <w:name w:val="Default"/>
    <w:rsid w:val="007C2D21"/>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unhideWhenUsed/>
    <w:rsid w:val="00C21F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E1B9B"/>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363596550">
      <w:bodyDiv w:val="1"/>
      <w:marLeft w:val="0"/>
      <w:marRight w:val="0"/>
      <w:marTop w:val="0"/>
      <w:marBottom w:val="0"/>
      <w:divBdr>
        <w:top w:val="none" w:sz="0" w:space="0" w:color="auto"/>
        <w:left w:val="none" w:sz="0" w:space="0" w:color="auto"/>
        <w:bottom w:val="none" w:sz="0" w:space="0" w:color="auto"/>
        <w:right w:val="none" w:sz="0" w:space="0" w:color="auto"/>
      </w:divBdr>
    </w:div>
    <w:div w:id="367031451">
      <w:bodyDiv w:val="1"/>
      <w:marLeft w:val="0"/>
      <w:marRight w:val="0"/>
      <w:marTop w:val="0"/>
      <w:marBottom w:val="0"/>
      <w:divBdr>
        <w:top w:val="none" w:sz="0" w:space="0" w:color="auto"/>
        <w:left w:val="none" w:sz="0" w:space="0" w:color="auto"/>
        <w:bottom w:val="none" w:sz="0" w:space="0" w:color="auto"/>
        <w:right w:val="none" w:sz="0" w:space="0" w:color="auto"/>
      </w:divBdr>
    </w:div>
    <w:div w:id="445394272">
      <w:bodyDiv w:val="1"/>
      <w:marLeft w:val="0"/>
      <w:marRight w:val="0"/>
      <w:marTop w:val="0"/>
      <w:marBottom w:val="0"/>
      <w:divBdr>
        <w:top w:val="none" w:sz="0" w:space="0" w:color="auto"/>
        <w:left w:val="none" w:sz="0" w:space="0" w:color="auto"/>
        <w:bottom w:val="none" w:sz="0" w:space="0" w:color="auto"/>
        <w:right w:val="none" w:sz="0" w:space="0" w:color="auto"/>
      </w:divBdr>
    </w:div>
    <w:div w:id="808982239">
      <w:bodyDiv w:val="1"/>
      <w:marLeft w:val="0"/>
      <w:marRight w:val="0"/>
      <w:marTop w:val="0"/>
      <w:marBottom w:val="0"/>
      <w:divBdr>
        <w:top w:val="none" w:sz="0" w:space="0" w:color="auto"/>
        <w:left w:val="none" w:sz="0" w:space="0" w:color="auto"/>
        <w:bottom w:val="none" w:sz="0" w:space="0" w:color="auto"/>
        <w:right w:val="none" w:sz="0" w:space="0" w:color="auto"/>
      </w:divBdr>
    </w:div>
    <w:div w:id="1055854226">
      <w:bodyDiv w:val="1"/>
      <w:marLeft w:val="0"/>
      <w:marRight w:val="0"/>
      <w:marTop w:val="0"/>
      <w:marBottom w:val="0"/>
      <w:divBdr>
        <w:top w:val="none" w:sz="0" w:space="0" w:color="auto"/>
        <w:left w:val="none" w:sz="0" w:space="0" w:color="auto"/>
        <w:bottom w:val="none" w:sz="0" w:space="0" w:color="auto"/>
        <w:right w:val="none" w:sz="0" w:space="0" w:color="auto"/>
      </w:divBdr>
    </w:div>
    <w:div w:id="1324554332">
      <w:bodyDiv w:val="1"/>
      <w:marLeft w:val="0"/>
      <w:marRight w:val="0"/>
      <w:marTop w:val="0"/>
      <w:marBottom w:val="0"/>
      <w:divBdr>
        <w:top w:val="none" w:sz="0" w:space="0" w:color="auto"/>
        <w:left w:val="none" w:sz="0" w:space="0" w:color="auto"/>
        <w:bottom w:val="none" w:sz="0" w:space="0" w:color="auto"/>
        <w:right w:val="none" w:sz="0" w:space="0" w:color="auto"/>
      </w:divBdr>
    </w:div>
    <w:div w:id="2055543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18" Type="http://schemas.openxmlformats.org/officeDocument/2006/relationships/image" Target="media/image12.emf"/><Relationship Id="rId26" Type="http://schemas.openxmlformats.org/officeDocument/2006/relationships/hyperlink" Target="http://www.dfscorporate.co.uk" TargetMode="External"/><Relationship Id="rId3" Type="http://schemas.openxmlformats.org/officeDocument/2006/relationships/settings" Target="settings.xml"/><Relationship Id="rId21" Type="http://schemas.openxmlformats.org/officeDocument/2006/relationships/hyperlink" Target="http://www.bloomberg.com" TargetMode="External"/><Relationship Id="rId7" Type="http://schemas.openxmlformats.org/officeDocument/2006/relationships/image" Target="media/image1.emf"/><Relationship Id="rId12" Type="http://schemas.openxmlformats.org/officeDocument/2006/relationships/image" Target="media/image6.emf"/><Relationship Id="rId17" Type="http://schemas.openxmlformats.org/officeDocument/2006/relationships/image" Target="media/image11.emf"/><Relationship Id="rId25" Type="http://schemas.openxmlformats.org/officeDocument/2006/relationships/hyperlink" Target="http://www.dfscorporate.co.uk" TargetMode="External"/><Relationship Id="rId2" Type="http://schemas.openxmlformats.org/officeDocument/2006/relationships/styles" Target="styles.xml"/><Relationship Id="rId16" Type="http://schemas.openxmlformats.org/officeDocument/2006/relationships/image" Target="media/image10.emf"/><Relationship Id="rId20" Type="http://schemas.openxmlformats.org/officeDocument/2006/relationships/hyperlink" Target="https://www.bloomberg.com/news/terminal/ORL0SI6K50XT" TargetMode="External"/><Relationship Id="rId29" Type="http://schemas.openxmlformats.org/officeDocument/2006/relationships/hyperlink" Target="https://www.readyratios.com/reference/analysi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hyperlink" Target="http://www.dfscorporate.co.uk"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hyperlink" Target="http://www.dfscorporate.co.uk" TargetMode="External"/><Relationship Id="rId28" Type="http://schemas.openxmlformats.org/officeDocument/2006/relationships/hyperlink" Target="http://www.FT,com" TargetMode="External"/><Relationship Id="rId10" Type="http://schemas.openxmlformats.org/officeDocument/2006/relationships/image" Target="media/image4.emf"/><Relationship Id="rId19" Type="http://schemas.openxmlformats.org/officeDocument/2006/relationships/hyperlink" Target="https://www.bloomberg.com/quote/SCS:LN"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hyperlink" Target="http://www.scsplc.co.uk" TargetMode="External"/><Relationship Id="rId27" Type="http://schemas.openxmlformats.org/officeDocument/2006/relationships/hyperlink" Target="http://www.dfscorporate.co.uk"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17</Pages>
  <Words>3101</Words>
  <Characters>17680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20740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OKOU Celine (Mrs)</dc:creator>
  <cp:lastModifiedBy>OKOU Celine (Mrs)</cp:lastModifiedBy>
  <cp:revision>2</cp:revision>
  <dcterms:created xsi:type="dcterms:W3CDTF">2018-01-09T05:12:00Z</dcterms:created>
  <dcterms:modified xsi:type="dcterms:W3CDTF">2018-01-09T05:12:00Z</dcterms:modified>
</cp:coreProperties>
</file>