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44C8F1" w14:textId="2963877B" w:rsidR="0093425A" w:rsidRPr="000231E4" w:rsidRDefault="0093425A" w:rsidP="00F61194">
      <w:pPr>
        <w:jc w:val="both"/>
      </w:pPr>
      <w:bookmarkStart w:id="0" w:name="_GoBack"/>
      <w:bookmarkEnd w:id="0"/>
      <w:r w:rsidRPr="000231E4">
        <w:t>SJTA5007</w:t>
      </w:r>
      <w:r w:rsidR="00D307A0">
        <w:t xml:space="preserve"> Tracey Sayers</w:t>
      </w:r>
    </w:p>
    <w:p w14:paraId="3F3EEC07" w14:textId="2F7D2DDC" w:rsidR="0093425A" w:rsidRPr="000231E4" w:rsidRDefault="0093425A" w:rsidP="00F61194">
      <w:pPr>
        <w:jc w:val="both"/>
        <w:rPr>
          <w:b/>
          <w:sz w:val="24"/>
        </w:rPr>
      </w:pPr>
      <w:r w:rsidRPr="000231E4">
        <w:rPr>
          <w:b/>
          <w:sz w:val="24"/>
        </w:rPr>
        <w:t>Using Theory, critically discuss the challenges posed by internal and external factors on the learning environment.</w:t>
      </w:r>
    </w:p>
    <w:p w14:paraId="211631EF" w14:textId="0AC464DB" w:rsidR="001541C4" w:rsidRPr="000231E4" w:rsidRDefault="0024535F" w:rsidP="00F61194">
      <w:pPr>
        <w:jc w:val="both"/>
      </w:pPr>
      <w:r w:rsidRPr="000231E4">
        <w:t xml:space="preserve">There are many factors that influence behaviour of children and young people. Pervasive disorders such as Autism, Tourette’s and Asperger’s are internal disorders that affect brain functioning. External factors are concerned with the surrounding environment of the child, and so can encompass things such as poverty, drug and alcohol abuse and divorce to name a few. </w:t>
      </w:r>
      <w:r w:rsidR="008C1C2F" w:rsidRPr="000231E4">
        <w:t xml:space="preserve">Cognitive </w:t>
      </w:r>
      <w:r w:rsidR="00771E87" w:rsidRPr="000231E4">
        <w:t xml:space="preserve">development is concerned with the development of attention, learning, memory, reasoning, language and concepts </w:t>
      </w:r>
      <w:r w:rsidR="00EB699C">
        <w:t>(</w:t>
      </w:r>
      <w:r w:rsidR="00EB699C">
        <w:rPr>
          <w:rFonts w:eastAsia="Times New Roman" w:cs="Times New Roman"/>
          <w:lang w:eastAsia="en-GB"/>
        </w:rPr>
        <w:t xml:space="preserve">Rose, </w:t>
      </w:r>
      <w:r w:rsidR="00EB699C" w:rsidRPr="00EB699C">
        <w:rPr>
          <w:rFonts w:eastAsia="Times New Roman" w:cs="Times New Roman"/>
          <w:lang w:eastAsia="en-GB"/>
        </w:rPr>
        <w:t>Fe</w:t>
      </w:r>
      <w:r w:rsidR="00EB699C">
        <w:rPr>
          <w:rFonts w:eastAsia="Times New Roman" w:cs="Times New Roman"/>
          <w:lang w:eastAsia="en-GB"/>
        </w:rPr>
        <w:t xml:space="preserve">ldman, and Jankowski, </w:t>
      </w:r>
      <w:r w:rsidR="00EB699C" w:rsidRPr="00EB699C">
        <w:rPr>
          <w:rFonts w:eastAsia="Times New Roman" w:cs="Times New Roman"/>
          <w:lang w:eastAsia="en-GB"/>
        </w:rPr>
        <w:t>2009</w:t>
      </w:r>
      <w:r w:rsidR="00EB699C">
        <w:rPr>
          <w:rFonts w:eastAsia="Times New Roman" w:cs="Times New Roman"/>
          <w:lang w:eastAsia="en-GB"/>
        </w:rPr>
        <w:t>)</w:t>
      </w:r>
      <w:r w:rsidR="00771E87" w:rsidRPr="00EB699C">
        <w:t>.</w:t>
      </w:r>
      <w:r w:rsidR="00771E87" w:rsidRPr="000231E4">
        <w:t xml:space="preserve"> Previously it was thought that babies can only develop thei</w:t>
      </w:r>
      <w:r w:rsidRPr="000231E4">
        <w:t>r cognitive abilities once born. H</w:t>
      </w:r>
      <w:r w:rsidR="00771E87" w:rsidRPr="000231E4">
        <w:t>owever</w:t>
      </w:r>
      <w:r w:rsidRPr="000231E4">
        <w:t>,</w:t>
      </w:r>
      <w:r w:rsidR="00771E87" w:rsidRPr="000231E4">
        <w:t xml:space="preserve"> more recent studies have suggested that foetuses in the womb are capable of displaying elements of this cognitive development</w:t>
      </w:r>
      <w:r w:rsidR="008D1478" w:rsidRPr="000231E4">
        <w:t xml:space="preserve">. As such, the ability of the foetus to recognise and understand the voice of its mother and music can play an important role in their development prior to birth. </w:t>
      </w:r>
      <w:r w:rsidR="004846BE" w:rsidRPr="000231E4">
        <w:t>When the baby is born, brain development is concentrated on the growth and increase of connections between neurons in the brain and consequently, the brain of infants double in</w:t>
      </w:r>
      <w:r w:rsidR="00702893" w:rsidRPr="000231E4">
        <w:t xml:space="preserve"> the first year alone (</w:t>
      </w:r>
      <w:proofErr w:type="spellStart"/>
      <w:r w:rsidR="00702893" w:rsidRPr="000231E4">
        <w:t>Goswami</w:t>
      </w:r>
      <w:proofErr w:type="spellEnd"/>
      <w:r w:rsidR="00702893" w:rsidRPr="000231E4">
        <w:t xml:space="preserve">, 2007). The environment of the child during this time is of vital importance as it influences the neural pathways which form the foundation of cognitive behaviour </w:t>
      </w:r>
      <w:r w:rsidR="00865599" w:rsidRPr="00865599">
        <w:t>(Hare and Casey,</w:t>
      </w:r>
      <w:r w:rsidR="00702893" w:rsidRPr="00865599">
        <w:t xml:space="preserve"> 2005)</w:t>
      </w:r>
      <w:r w:rsidR="00702893" w:rsidRPr="000231E4">
        <w:rPr>
          <w:b/>
        </w:rPr>
        <w:t xml:space="preserve">. </w:t>
      </w:r>
      <w:r w:rsidR="00AD6963" w:rsidRPr="000231E4">
        <w:t xml:space="preserve">Therefore, we can suggest that if the environment the mother is in during pregnancy and the environment for the baby following its birth is poor and does not promote this type of brain function, these </w:t>
      </w:r>
      <w:r w:rsidR="005175CB" w:rsidRPr="000231E4">
        <w:t xml:space="preserve">internal and </w:t>
      </w:r>
      <w:r w:rsidR="00AD6963" w:rsidRPr="000231E4">
        <w:t xml:space="preserve">external factors can negatively affect a child’s development. </w:t>
      </w:r>
    </w:p>
    <w:p w14:paraId="48DE7421" w14:textId="681A051D" w:rsidR="00942C9A" w:rsidRPr="000231E4" w:rsidRDefault="00690134" w:rsidP="00F61194">
      <w:pPr>
        <w:jc w:val="both"/>
      </w:pPr>
      <w:r w:rsidRPr="000231E4">
        <w:t xml:space="preserve">Piaget’s theory of </w:t>
      </w:r>
      <w:r w:rsidR="008305D7" w:rsidRPr="000231E4">
        <w:t>logical</w:t>
      </w:r>
      <w:r w:rsidRPr="000231E4">
        <w:t xml:space="preserve"> development </w:t>
      </w:r>
      <w:r w:rsidR="008305D7" w:rsidRPr="000231E4">
        <w:t>is widely regarded as one of the most comprehensive understanding</w:t>
      </w:r>
      <w:r w:rsidR="0024535F" w:rsidRPr="000231E4">
        <w:t>s</w:t>
      </w:r>
      <w:r w:rsidR="008305D7" w:rsidRPr="000231E4">
        <w:t xml:space="preserve"> of cognitive development. </w:t>
      </w:r>
      <w:r w:rsidR="006F28E5" w:rsidRPr="000231E4">
        <w:t>For Piaget, development is considered different to learning. Development is said to be a spontaneous process that involves the active participation of the child and cannot be provoked the way learning is</w:t>
      </w:r>
      <w:r w:rsidR="002D654D" w:rsidRPr="000231E4">
        <w:t xml:space="preserve"> (Piaget, 1964).</w:t>
      </w:r>
      <w:r w:rsidR="007E1AD7" w:rsidRPr="000231E4">
        <w:t xml:space="preserve"> </w:t>
      </w:r>
      <w:r w:rsidR="007E77DC" w:rsidRPr="000231E4">
        <w:t>For a child with autism, which is caused by internal factors</w:t>
      </w:r>
      <w:r w:rsidR="0024535F" w:rsidRPr="000231E4">
        <w:t>,</w:t>
      </w:r>
      <w:r w:rsidR="007E77DC" w:rsidRPr="000231E4">
        <w:t xml:space="preserve"> is considered a pervasive disorder, involving severe psychological issues, and can greatly effect cognitive behaviour (</w:t>
      </w:r>
      <w:r w:rsidR="00C8461F" w:rsidRPr="00C8461F">
        <w:t>Kendall, 2000</w:t>
      </w:r>
      <w:r w:rsidR="007E77DC" w:rsidRPr="000231E4">
        <w:t xml:space="preserve">). </w:t>
      </w:r>
      <w:r w:rsidR="00B05F7D" w:rsidRPr="000231E4">
        <w:t xml:space="preserve">Features of autism can include a significant </w:t>
      </w:r>
      <w:r w:rsidR="001C25B5" w:rsidRPr="000231E4">
        <w:t>impairment to the social interaction and communication abilities of the child, and also cause them to display repetitive or restricted behaviour patterns (</w:t>
      </w:r>
      <w:proofErr w:type="spellStart"/>
      <w:r w:rsidR="00206AF7">
        <w:t>Filipeck</w:t>
      </w:r>
      <w:proofErr w:type="spellEnd"/>
      <w:r w:rsidR="00206AF7">
        <w:t xml:space="preserve"> et al. 2000</w:t>
      </w:r>
      <w:r w:rsidR="001C25B5" w:rsidRPr="000231E4">
        <w:t>).</w:t>
      </w:r>
      <w:r w:rsidR="0024535F" w:rsidRPr="000231E4">
        <w:t xml:space="preserve"> This can clearly pose a challenge to the learning environment.</w:t>
      </w:r>
    </w:p>
    <w:p w14:paraId="3F4162A7" w14:textId="1AC33A36" w:rsidR="001A2309" w:rsidRPr="000231E4" w:rsidRDefault="004F1199" w:rsidP="00F61194">
      <w:pPr>
        <w:jc w:val="both"/>
      </w:pPr>
      <w:r w:rsidRPr="000231E4">
        <w:t>Piaget’s theory is based on observations of children and recognised that children’s own curiosity would drive their learning, and suggests that an environment which promotes this curiosity and challenge, and allowed children to control their own learning was most effective</w:t>
      </w:r>
      <w:r w:rsidR="00B17FB2" w:rsidRPr="000231E4">
        <w:t xml:space="preserve"> (Mooney, 2000). As such, a child’s knowledge is said to be produced from the objects and people in the child’s surrounding environment that they interact with</w:t>
      </w:r>
      <w:r w:rsidR="00ED60E4">
        <w:t>,</w:t>
      </w:r>
      <w:r w:rsidR="00B17FB2" w:rsidRPr="000231E4">
        <w:t xml:space="preserve"> and consequent</w:t>
      </w:r>
      <w:r w:rsidR="00ED60E4">
        <w:t>ly attributing meaning to them</w:t>
      </w:r>
      <w:r w:rsidR="00B17FB2" w:rsidRPr="000231E4">
        <w:t xml:space="preserve">. </w:t>
      </w:r>
      <w:r w:rsidR="00D65029" w:rsidRPr="000231E4">
        <w:t>His theory indicates that through the cognitive development of children, they must go through stages that cannot be taught to the child, but rather that the child experiences for themselves, and suggests that each stage is sequential and requires the completion of one stage before moving on to the next on</w:t>
      </w:r>
      <w:r w:rsidR="00B803B6" w:rsidRPr="000231E4">
        <w:t xml:space="preserve">e. To use this in an example, if we were to consider Piaget’s first two stages of cognitive development, sensory-motor </w:t>
      </w:r>
      <w:r w:rsidR="00920D44" w:rsidRPr="000231E4">
        <w:t xml:space="preserve">is the first, and so begins at birth until approximately the age of two. This looks at how infants explore the world through direct sensory and motor contact with their surroundings. Therefore, a child that has access to a stimulating environment, where they are given the opportunity of trial and error in order to learn for themselves, their cognitive development can be successful and allow them to move on to stage two. However, children who do not have the opportunity to access positive environments, in which to explore through all of their senses, may not successfully develop the skills they need </w:t>
      </w:r>
      <w:r w:rsidR="005C03ED" w:rsidRPr="000231E4">
        <w:t xml:space="preserve">as quickly as those in rich and nurturing environments that is required </w:t>
      </w:r>
      <w:r w:rsidR="00920D44" w:rsidRPr="000231E4">
        <w:t>in order to move on to the next stage of pre-operational</w:t>
      </w:r>
      <w:r w:rsidR="005C03ED" w:rsidRPr="000231E4">
        <w:t xml:space="preserve">, and as such can </w:t>
      </w:r>
      <w:r w:rsidR="00B208F3" w:rsidRPr="000231E4">
        <w:t xml:space="preserve">be behind their peers which can have additional </w:t>
      </w:r>
      <w:r w:rsidR="00B208F3" w:rsidRPr="000231E4">
        <w:lastRenderedPageBreak/>
        <w:t>consequences. The second stage, pre-operational as Piaget classifies it, highlights the importance of language</w:t>
      </w:r>
      <w:r w:rsidR="005F13C1" w:rsidRPr="000231E4">
        <w:t xml:space="preserve"> and the ability to think in cognitive development. Although this is largely illogical and unsystematic thinking and language use, the imagination and intuition of the child is considered strong</w:t>
      </w:r>
      <w:r w:rsidR="00D2798F" w:rsidRPr="000231E4">
        <w:t>, and they have the ability to understand and use reasoning, which can be crucial in managing and promoting behaviour</w:t>
      </w:r>
      <w:r w:rsidR="005F13C1" w:rsidRPr="000231E4">
        <w:t xml:space="preserve">. </w:t>
      </w:r>
      <w:r w:rsidR="001A2309" w:rsidRPr="000231E4">
        <w:t xml:space="preserve">Children who have yet to progress to this stage, or are at the lower spectrum of it, can pose a challenge </w:t>
      </w:r>
      <w:r w:rsidR="00843CE9" w:rsidRPr="000231E4">
        <w:t xml:space="preserve">to learning through </w:t>
      </w:r>
      <w:r w:rsidR="00DF6788" w:rsidRPr="000231E4">
        <w:t>their lack of understanding of language a</w:t>
      </w:r>
      <w:r w:rsidR="00886EAE" w:rsidRPr="000231E4">
        <w:t>nd their inability to comprehend reasoning. This can hinder the child’s ability to understand good behaviour as it is challenging for them to comprehend right from wrong for example.</w:t>
      </w:r>
    </w:p>
    <w:p w14:paraId="155AB731" w14:textId="4601F744" w:rsidR="0024535F" w:rsidRPr="000231E4" w:rsidRDefault="00886EAE" w:rsidP="00F61194">
      <w:pPr>
        <w:jc w:val="both"/>
      </w:pPr>
      <w:r w:rsidRPr="000231E4">
        <w:t xml:space="preserve">Vygotsky however challenges elements of Piaget’s </w:t>
      </w:r>
      <w:r w:rsidR="00A00038" w:rsidRPr="000231E4">
        <w:t>theory. Although both agree to an extent that children are active learners and therefore actively construct their own knowledge, Vygotsky’s theory stresses that development of thinking is highly dependent on language and culture, and sees the role of a ‘more knowledgeable other’ as crucial to the cognitive development of</w:t>
      </w:r>
      <w:r w:rsidR="00DB2B64" w:rsidRPr="000231E4">
        <w:t xml:space="preserve"> the child (McLeod, 2007</w:t>
      </w:r>
      <w:r w:rsidR="00A00038" w:rsidRPr="000231E4">
        <w:t xml:space="preserve">). Vygotsky suggests that this ‘more knowledgeable other’ can be any one with more knowledge on a particular topic or activity, whether that is a peer, a teacher, another adult or a parent. </w:t>
      </w:r>
      <w:r w:rsidR="006F6681" w:rsidRPr="000231E4">
        <w:t xml:space="preserve">Language and social interaction is considered to be the most important cultural tool for cognitive development. By looking to others as role models, and by collaborating in conversations, story-telling and collaborative pretend play, children are exposed to social processes and therefore develop the ability to think and reason. </w:t>
      </w:r>
      <w:r w:rsidR="009678CF" w:rsidRPr="000231E4">
        <w:t>External factors such as a poor environment surrounding the child</w:t>
      </w:r>
      <w:r w:rsidR="005E787A" w:rsidRPr="000231E4">
        <w:t>,</w:t>
      </w:r>
      <w:r w:rsidR="009678CF" w:rsidRPr="000231E4">
        <w:t xml:space="preserve"> can encompass a range of social difficulties </w:t>
      </w:r>
      <w:r w:rsidR="0021417B" w:rsidRPr="000231E4">
        <w:t xml:space="preserve">such as physical and verbal abuse. This could cause a challenge to the learning environment and the behaviour of a child, as Vygotsky tells us that children essentially learn through copying. </w:t>
      </w:r>
      <w:r w:rsidR="002904C3" w:rsidRPr="000231E4">
        <w:t xml:space="preserve">If we use this as a worked example, we can see how it </w:t>
      </w:r>
      <w:r w:rsidR="00A30E6E" w:rsidRPr="000231E4">
        <w:t xml:space="preserve">is </w:t>
      </w:r>
      <w:r w:rsidR="002904C3" w:rsidRPr="000231E4">
        <w:t xml:space="preserve">easy for children to imitate the behaviour and social interactions that have been displayed at home, in the learning environment with teachers and other </w:t>
      </w:r>
      <w:r w:rsidR="00A30E6E" w:rsidRPr="000231E4">
        <w:t>children. This could be displayed as aggression and frustration when the child does not get to do what they want or if another child will not share a toy for example. This can pose an addition challenge in the promotion of positive behaviour as the child may find reasoning very hard to comprehend and so difficult for teachers to intervene.</w:t>
      </w:r>
    </w:p>
    <w:p w14:paraId="53523F7E" w14:textId="53EC2661" w:rsidR="0024535F" w:rsidRPr="000231E4" w:rsidRDefault="0024535F" w:rsidP="00F61194">
      <w:pPr>
        <w:jc w:val="both"/>
      </w:pPr>
      <w:r w:rsidRPr="000231E4">
        <w:t>When examining Vygotsky’s theory, social interaction between the child and the social world is considered crucial for cognitive development. We can therefore consider how this has changed for children in more recent decades through the drastic increase of women in the work place. Increasingly, more women are active in the workplace and after a period of maternity leave, many return to work. However, this can mean that for children whose parents are in work, they may miss out on some of the crucial development and attachment that takes place within the first two years after birth. In more extreme cases, where there are other concerns such as alcoholism or post-partum depression, the child can develop the external factor of attachment disorder that sees them at a disadvantage to learn. This can pose a challenge to the learning environment for this child, as the neurological connections have not been adequately developed through experiences at an early age that allow for cognitive behaviour and development (Golding</w:t>
      </w:r>
      <w:r w:rsidR="00DB2B64" w:rsidRPr="000231E4">
        <w:t xml:space="preserve"> et al., 2012</w:t>
      </w:r>
      <w:r w:rsidRPr="000231E4">
        <w:t>).</w:t>
      </w:r>
    </w:p>
    <w:p w14:paraId="0EAF01C9" w14:textId="77777777" w:rsidR="0024535F" w:rsidRPr="000231E4" w:rsidRDefault="00D07EE9" w:rsidP="00F61194">
      <w:pPr>
        <w:jc w:val="both"/>
      </w:pPr>
      <w:r w:rsidRPr="000231E4">
        <w:t xml:space="preserve">Maslow presents a differing theory to explain and understand </w:t>
      </w:r>
      <w:r w:rsidR="00452287" w:rsidRPr="000231E4">
        <w:t>behaviour</w:t>
      </w:r>
      <w:r w:rsidRPr="000231E4">
        <w:t xml:space="preserve">. For Maslow, the reasons behind </w:t>
      </w:r>
      <w:r w:rsidR="00452287" w:rsidRPr="000231E4">
        <w:t>individual’s</w:t>
      </w:r>
      <w:r w:rsidRPr="000231E4">
        <w:t xml:space="preserve"> behaviour stems from inherent motives of becoming self-aware and realising one’s potential (</w:t>
      </w:r>
      <w:r w:rsidR="0077793A" w:rsidRPr="000231E4">
        <w:t xml:space="preserve">Bentham, </w:t>
      </w:r>
      <w:r w:rsidR="00452287" w:rsidRPr="000231E4">
        <w:t>2002). His formulation of a hierarchy of</w:t>
      </w:r>
      <w:r w:rsidR="00B2042C" w:rsidRPr="000231E4">
        <w:t xml:space="preserve"> human needs is crucial to understanding his theory. Displayed in a triangle, the more basic needs are first, and represent the foundation needs that must be met before other needs can </w:t>
      </w:r>
      <w:r w:rsidR="00FB1408" w:rsidRPr="000231E4">
        <w:t xml:space="preserve">be achieved over time and space (Maslow, 1954). </w:t>
      </w:r>
      <w:r w:rsidR="00826E75" w:rsidRPr="000231E4">
        <w:t xml:space="preserve">We can use Maslow’s theory of hierarchy of needs to demonstrate how poverty, as an external factor, can pose a challenge to the learning environment. </w:t>
      </w:r>
    </w:p>
    <w:p w14:paraId="4DFF1851" w14:textId="0F76ECD1" w:rsidR="0024535F" w:rsidRPr="000231E4" w:rsidRDefault="0024535F" w:rsidP="00F61194">
      <w:pPr>
        <w:jc w:val="both"/>
      </w:pPr>
      <w:r w:rsidRPr="000231E4">
        <w:t xml:space="preserve">Family poverty is an external factor influencing the behaviour and cognitive development of children. In the UK, relative poverty is considered to impact people whose ‘resources are so seriously below </w:t>
      </w:r>
      <w:r w:rsidRPr="000231E4">
        <w:lastRenderedPageBreak/>
        <w:t>those commanded by the average individual or family that they are in effect excluded from ordinary living patterns, customs and acti</w:t>
      </w:r>
      <w:r w:rsidR="00DB2B64" w:rsidRPr="000231E4">
        <w:t>vities’ (Townsend, 1979, p.31</w:t>
      </w:r>
      <w:r w:rsidRPr="000231E4">
        <w:t xml:space="preserve">). Yoshikawa et al. (2012), suggest that poverty can have very serious implications for children’s language and cognitive development as well as their physical health. As such, Brooks-Dunn and Duncan (1997) argue that children from poor households suffer more frequently than others from emotional and behavioural problems, that can range from things such as aggression or anxiety and social withdrawal. </w:t>
      </w:r>
      <w:r w:rsidRPr="002001AC">
        <w:t>Bradshaw and Main (2016),</w:t>
      </w:r>
      <w:r w:rsidRPr="000231E4">
        <w:t xml:space="preserve"> discuss the link between poverty and poor educational outcomes for children, and associate this link to difficulties in cognitive developments that occur in infancy. Using Vygotsky’s theory, we can also see how children from poor households may have their cognitive learning and behaviour impacted further if they are unable to access after-school activities and practice social interaction.</w:t>
      </w:r>
    </w:p>
    <w:p w14:paraId="7FFD36F1" w14:textId="2EBA510E" w:rsidR="00253463" w:rsidRPr="000231E4" w:rsidRDefault="00A62499" w:rsidP="00F61194">
      <w:pPr>
        <w:jc w:val="both"/>
      </w:pPr>
      <w:r w:rsidRPr="000231E4">
        <w:t>If we were to examine the physiological needs of humans, which primarily accounts for food, water, warmth and rest, we can clearly see how those who live in poverty may be deficient in some of these needs, which can greatly hinder a child’s performance and behaviour</w:t>
      </w:r>
      <w:r w:rsidR="001B7BC6" w:rsidRPr="000231E4">
        <w:t xml:space="preserve"> (Slack and </w:t>
      </w:r>
      <w:proofErr w:type="spellStart"/>
      <w:r w:rsidR="001B7BC6" w:rsidRPr="000231E4">
        <w:t>Yoo</w:t>
      </w:r>
      <w:proofErr w:type="spellEnd"/>
      <w:r w:rsidR="001B7BC6" w:rsidRPr="000231E4">
        <w:t>, 2005)</w:t>
      </w:r>
      <w:r w:rsidRPr="000231E4">
        <w:t xml:space="preserve">. </w:t>
      </w:r>
      <w:r w:rsidR="00C67660" w:rsidRPr="000231E4">
        <w:t>Food hardship for example</w:t>
      </w:r>
      <w:r w:rsidR="008A5A50" w:rsidRPr="000231E4">
        <w:t>,</w:t>
      </w:r>
      <w:r w:rsidR="00C67660" w:rsidRPr="000231E4">
        <w:t xml:space="preserve"> can have detrimental effects on a child’s </w:t>
      </w:r>
      <w:r w:rsidR="00C97AE3" w:rsidRPr="000231E4">
        <w:t>behaviour, and can see malnutrition, types of diet, eating habits and possibly food additives, impact the attention, conduct disorder, and mood of children (</w:t>
      </w:r>
      <w:r w:rsidR="008229BC" w:rsidRPr="00C05412">
        <w:t>Stevenson, 2006</w:t>
      </w:r>
      <w:r w:rsidR="008229BC" w:rsidRPr="000231E4">
        <w:t>).</w:t>
      </w:r>
      <w:r w:rsidR="000569EF" w:rsidRPr="000231E4">
        <w:t xml:space="preserve"> Consequently, cognitive and behaviour development may happen at a slower rate and so act as a challenge to the learning environment. </w:t>
      </w:r>
      <w:r w:rsidR="008A5A50" w:rsidRPr="000231E4">
        <w:t xml:space="preserve">Government initiatives such as the provision of free school meals for those who are eligible, and breakfast and after school clubs were largely set up to ensure that all students have </w:t>
      </w:r>
      <w:r w:rsidR="00C32E26" w:rsidRPr="000231E4">
        <w:t xml:space="preserve">a nutritious meal at least once a day. This is especially important for those who live in poverty, as it acts as an intervention to provide them with the food they need. In turn, this can help with their cognitive development and behaviour, as it in part overcomes </w:t>
      </w:r>
      <w:r w:rsidR="000569EF" w:rsidRPr="000231E4">
        <w:t xml:space="preserve">some of </w:t>
      </w:r>
      <w:r w:rsidR="00C32E26" w:rsidRPr="000231E4">
        <w:t xml:space="preserve">the issues that </w:t>
      </w:r>
      <w:r w:rsidR="000569EF" w:rsidRPr="000231E4">
        <w:t xml:space="preserve">can </w:t>
      </w:r>
      <w:r w:rsidR="00C32E26" w:rsidRPr="000231E4">
        <w:t xml:space="preserve">lead to challenges in the learning environment. </w:t>
      </w:r>
      <w:r w:rsidR="00F36097" w:rsidRPr="000231E4">
        <w:t xml:space="preserve">In Wales, 76,000 children </w:t>
      </w:r>
      <w:r w:rsidR="00052339" w:rsidRPr="000231E4">
        <w:t>are eligible for free school meals (</w:t>
      </w:r>
      <w:proofErr w:type="spellStart"/>
      <w:r w:rsidR="00052339" w:rsidRPr="00C05412">
        <w:t>StatsWales</w:t>
      </w:r>
      <w:proofErr w:type="spellEnd"/>
      <w:r w:rsidR="00052339" w:rsidRPr="00C05412">
        <w:t>, 201</w:t>
      </w:r>
      <w:r w:rsidR="00C05412">
        <w:t>8</w:t>
      </w:r>
      <w:r w:rsidR="00052339" w:rsidRPr="000231E4">
        <w:t>), highlighting the extent of the issue of child poverty.</w:t>
      </w:r>
      <w:r w:rsidR="005C1E0B" w:rsidRPr="000231E4">
        <w:t xml:space="preserve"> </w:t>
      </w:r>
    </w:p>
    <w:p w14:paraId="285E012C" w14:textId="6213F856" w:rsidR="00C9592C" w:rsidRPr="000231E4" w:rsidRDefault="000B7523" w:rsidP="00F61194">
      <w:pPr>
        <w:jc w:val="both"/>
      </w:pPr>
      <w:r w:rsidRPr="000231E4">
        <w:t>Safety needs are also considered by Maslow as a basic need, and represents the second tier in his hierarchy of needs. Children who live in unstable homes, or places where they do not feel safe, often bring their problems to school with them</w:t>
      </w:r>
      <w:r w:rsidR="00253463" w:rsidRPr="000231E4">
        <w:t xml:space="preserve"> and will likely have difficulty focusing on learning when they do not feel secure. This can also apply to feeling safe in school and can have a similar impact on their education if bullying for example is taking place</w:t>
      </w:r>
      <w:r w:rsidR="00253463" w:rsidRPr="000231E4">
        <w:rPr>
          <w:b/>
        </w:rPr>
        <w:t xml:space="preserve">. </w:t>
      </w:r>
      <w:r w:rsidR="00253463" w:rsidRPr="00C05412">
        <w:t xml:space="preserve">Burleson and Thoron </w:t>
      </w:r>
      <w:r w:rsidR="00B16761" w:rsidRPr="00C05412">
        <w:t>(2014</w:t>
      </w:r>
      <w:r w:rsidR="00232D13" w:rsidRPr="000231E4">
        <w:t>)</w:t>
      </w:r>
      <w:r w:rsidR="00B16761" w:rsidRPr="000231E4">
        <w:t>, state that students view safety through an orderly and predictable word. If a routine is not in place, or is threatened, this can cause children to feel anxious and unsafe, and consequently misbehave and underperform.</w:t>
      </w:r>
      <w:r w:rsidR="00232D13" w:rsidRPr="000231E4">
        <w:t xml:space="preserve"> </w:t>
      </w:r>
      <w:r w:rsidR="00735E63" w:rsidRPr="000231E4">
        <w:t>This can be in part overcome in the learning environment through the implementation of rules and a routine.</w:t>
      </w:r>
      <w:r w:rsidR="002C0013" w:rsidRPr="000231E4">
        <w:t xml:space="preserve"> </w:t>
      </w:r>
    </w:p>
    <w:p w14:paraId="35CB0FC6" w14:textId="3D1E9954" w:rsidR="005C1E0B" w:rsidRPr="000231E4" w:rsidRDefault="00663F69" w:rsidP="00F61194">
      <w:pPr>
        <w:jc w:val="both"/>
      </w:pPr>
      <w:r w:rsidRPr="000231E4">
        <w:t xml:space="preserve">The third tier encompasses belonging and love needs such as intimate relationships and friends. </w:t>
      </w:r>
      <w:r w:rsidR="00A074FD" w:rsidRPr="000231E4">
        <w:t>If these needs are met, it can have multiple and significant positive effects on emotional patterns and on cognitive development. The reverse then is also significant. If attachment and feelings of belonging are lacking, this can have a variety of impacts to the learning environment and the behaviour of the child (</w:t>
      </w:r>
      <w:r w:rsidR="00795642" w:rsidRPr="00C05412">
        <w:t>Burleson and Thoron, 2014</w:t>
      </w:r>
      <w:r w:rsidR="00A074FD" w:rsidRPr="000231E4">
        <w:t xml:space="preserve">). </w:t>
      </w:r>
      <w:r w:rsidR="003C3D42" w:rsidRPr="000231E4">
        <w:t>Children from poor families may not fully meet this need. Parents may work long hours in order to try and make ends meet, which consequently sees the child left alone, or in poor childcare, which therefore makes it difficult for the child to have positive feelings of attachment and belonging.</w:t>
      </w:r>
    </w:p>
    <w:p w14:paraId="0566E51C" w14:textId="671F76D4" w:rsidR="003C3D42" w:rsidRPr="000231E4" w:rsidRDefault="000D307F" w:rsidP="00F61194">
      <w:pPr>
        <w:jc w:val="both"/>
      </w:pPr>
      <w:r w:rsidRPr="000231E4">
        <w:t>Self-esteem is the next need in Maslow’s hierarchy which must be satisfied. This includes feelings of achievement, respect of others, a need to be a unique individual and confidence. Children may feel weak, helpless and inferior is these needs are not met through recognition, appreciation and importance (</w:t>
      </w:r>
      <w:r w:rsidR="00795642" w:rsidRPr="00C05412">
        <w:t>Burleson and Thoron, 2014</w:t>
      </w:r>
      <w:r w:rsidRPr="000231E4">
        <w:t>). Children from poor families may have parents who have a low self-esteem, and so may find it difficult to praise and promote confidence in their children.</w:t>
      </w:r>
    </w:p>
    <w:p w14:paraId="650AC23C" w14:textId="116690E5" w:rsidR="00B567E4" w:rsidRPr="000231E4" w:rsidRDefault="00B567E4" w:rsidP="00F61194">
      <w:pPr>
        <w:jc w:val="both"/>
      </w:pPr>
      <w:r w:rsidRPr="000231E4">
        <w:lastRenderedPageBreak/>
        <w:t xml:space="preserve">The final level relates to self-actualisation, which is concerned with achieving one’s full potential, or the desire for self-fulfilment. </w:t>
      </w:r>
      <w:r w:rsidR="00D30262" w:rsidRPr="000231E4">
        <w:t>Children who come from poorer families may have the notion that they are only capable of being poor as they are now, contributing to a cycle where they perhaps do not try hard in school. The role of the teacher can be highly inf</w:t>
      </w:r>
      <w:r w:rsidR="00A35077" w:rsidRPr="000231E4">
        <w:t>luential in this situation, by helping students realise their full-potential is more than what they think. This way, poor learners can be helped from becoming poor adults.</w:t>
      </w:r>
    </w:p>
    <w:p w14:paraId="1154612E" w14:textId="2236381C" w:rsidR="002C0013" w:rsidRPr="000231E4" w:rsidRDefault="002C0013" w:rsidP="00F61194">
      <w:pPr>
        <w:jc w:val="both"/>
      </w:pPr>
      <w:r w:rsidRPr="000231E4">
        <w:t xml:space="preserve">Using the theories of Piaget, Vygotsky, and Maslow, we have explored some of the various challenged posed by both internal and external factors on the learning environment. These theories, although at times greatly differ, are of vital importance when examining cognitive development and behaviour. There </w:t>
      </w:r>
      <w:r w:rsidR="00543B52" w:rsidRPr="000231E4">
        <w:t>is no</w:t>
      </w:r>
      <w:r w:rsidRPr="000231E4">
        <w:t xml:space="preserve"> one right way to understand this, </w:t>
      </w:r>
      <w:r w:rsidR="00543B52" w:rsidRPr="000231E4">
        <w:t>so instead, we can look at it holistically, incorporating all theories together in order to understand this. All acknowledge and discuss the importance of interaction as a way of furthering cognitive development and abilities, as well as the behaviour of children. The role of teachers is vital for combating the challenges that internal and external factors can present to the learning environment. However, we should not overlook the role of government in this. The ability of teachers and support staff in schools to aid the development of these affected children is reduced through lack of funding. The progress of children through their education, could be greatly improved with additional resources and staff to allow children to have the best possible journey through the education system.</w:t>
      </w:r>
    </w:p>
    <w:p w14:paraId="4358D5DD" w14:textId="77777777" w:rsidR="00A35077" w:rsidRPr="000231E4" w:rsidRDefault="00A35077" w:rsidP="00F61194">
      <w:pPr>
        <w:jc w:val="both"/>
      </w:pPr>
    </w:p>
    <w:p w14:paraId="015EEF16" w14:textId="77777777" w:rsidR="008A5A50" w:rsidRPr="000231E4" w:rsidRDefault="008A5A50" w:rsidP="00F61194">
      <w:pPr>
        <w:jc w:val="both"/>
      </w:pPr>
    </w:p>
    <w:p w14:paraId="18022247" w14:textId="4ED8236E" w:rsidR="00A30E6E" w:rsidRPr="000231E4" w:rsidRDefault="00A30E6E" w:rsidP="00F61194">
      <w:pPr>
        <w:jc w:val="both"/>
      </w:pPr>
    </w:p>
    <w:p w14:paraId="183F4F91" w14:textId="77777777" w:rsidR="00D651C9" w:rsidRPr="000231E4" w:rsidRDefault="00D651C9" w:rsidP="00F61194">
      <w:pPr>
        <w:jc w:val="both"/>
      </w:pPr>
    </w:p>
    <w:p w14:paraId="6B76B86E" w14:textId="77777777" w:rsidR="0024535F" w:rsidRPr="000231E4" w:rsidRDefault="0024535F" w:rsidP="0024535F">
      <w:pPr>
        <w:jc w:val="both"/>
      </w:pPr>
    </w:p>
    <w:p w14:paraId="236A032E" w14:textId="77777777" w:rsidR="00D651C9" w:rsidRPr="000231E4" w:rsidRDefault="00D651C9" w:rsidP="00F61194">
      <w:pPr>
        <w:jc w:val="both"/>
      </w:pPr>
    </w:p>
    <w:p w14:paraId="223944F4" w14:textId="3DAC1EC5" w:rsidR="00C05412" w:rsidRDefault="00C05412" w:rsidP="00C05412">
      <w:pPr>
        <w:jc w:val="both"/>
      </w:pPr>
    </w:p>
    <w:p w14:paraId="0F2544F6" w14:textId="23D3393B" w:rsidR="00C05412" w:rsidRDefault="00C05412" w:rsidP="00C05412">
      <w:pPr>
        <w:jc w:val="both"/>
      </w:pPr>
    </w:p>
    <w:p w14:paraId="7947582F" w14:textId="410EF56A" w:rsidR="00C05412" w:rsidRDefault="00C05412" w:rsidP="00C05412">
      <w:pPr>
        <w:jc w:val="both"/>
      </w:pPr>
    </w:p>
    <w:p w14:paraId="75E9C489" w14:textId="2425C497" w:rsidR="00C05412" w:rsidRDefault="00C05412" w:rsidP="00C05412">
      <w:pPr>
        <w:jc w:val="both"/>
      </w:pPr>
    </w:p>
    <w:p w14:paraId="57F3A268" w14:textId="38AA498C" w:rsidR="00C05412" w:rsidRDefault="00C05412" w:rsidP="00C05412">
      <w:pPr>
        <w:jc w:val="both"/>
      </w:pPr>
    </w:p>
    <w:p w14:paraId="77D44A8F" w14:textId="263D53D3" w:rsidR="00C05412" w:rsidRDefault="00C05412" w:rsidP="00C05412">
      <w:pPr>
        <w:jc w:val="both"/>
      </w:pPr>
    </w:p>
    <w:p w14:paraId="19C59381" w14:textId="4BB88B23" w:rsidR="00C05412" w:rsidRDefault="00C05412" w:rsidP="00C05412">
      <w:pPr>
        <w:jc w:val="both"/>
      </w:pPr>
    </w:p>
    <w:p w14:paraId="01BE9E4D" w14:textId="08CBA89F" w:rsidR="00C05412" w:rsidRDefault="00C05412" w:rsidP="00C05412">
      <w:pPr>
        <w:jc w:val="both"/>
      </w:pPr>
    </w:p>
    <w:p w14:paraId="08109B88" w14:textId="002B6A9F" w:rsidR="00C05412" w:rsidRDefault="00C05412" w:rsidP="00C05412">
      <w:pPr>
        <w:jc w:val="both"/>
      </w:pPr>
    </w:p>
    <w:p w14:paraId="1CA5FF27" w14:textId="273A403F" w:rsidR="00C05412" w:rsidRDefault="00C05412" w:rsidP="00C05412">
      <w:pPr>
        <w:jc w:val="both"/>
      </w:pPr>
    </w:p>
    <w:p w14:paraId="00BF759A" w14:textId="4C0F37B6" w:rsidR="00C05412" w:rsidRDefault="00C05412" w:rsidP="00C05412">
      <w:pPr>
        <w:jc w:val="both"/>
      </w:pPr>
    </w:p>
    <w:p w14:paraId="7ED925BE" w14:textId="6B89F384" w:rsidR="00C05412" w:rsidRDefault="00C05412" w:rsidP="00C05412">
      <w:pPr>
        <w:jc w:val="both"/>
      </w:pPr>
    </w:p>
    <w:p w14:paraId="264FF4C8" w14:textId="77777777" w:rsidR="00C05412" w:rsidRPr="00C05412" w:rsidRDefault="00C05412" w:rsidP="00C05412">
      <w:pPr>
        <w:jc w:val="both"/>
      </w:pPr>
    </w:p>
    <w:p w14:paraId="0A171198" w14:textId="1BE4547D" w:rsidR="00C05412" w:rsidRPr="00C05412" w:rsidRDefault="00C05412" w:rsidP="00C05412">
      <w:pPr>
        <w:spacing w:after="0" w:line="240" w:lineRule="auto"/>
        <w:rPr>
          <w:rFonts w:eastAsia="Times New Roman" w:cs="Times New Roman"/>
          <w:b/>
          <w:lang w:eastAsia="en-GB"/>
        </w:rPr>
      </w:pPr>
      <w:r w:rsidRPr="00C05412">
        <w:rPr>
          <w:rFonts w:eastAsia="Times New Roman" w:cs="Times New Roman"/>
          <w:b/>
          <w:lang w:eastAsia="en-GB"/>
        </w:rPr>
        <w:lastRenderedPageBreak/>
        <w:t>Bibliography</w:t>
      </w:r>
    </w:p>
    <w:p w14:paraId="7BEA41A2" w14:textId="77777777" w:rsidR="00C05412" w:rsidRDefault="00C05412" w:rsidP="00C05412">
      <w:pPr>
        <w:spacing w:after="0" w:line="240" w:lineRule="auto"/>
        <w:rPr>
          <w:rFonts w:eastAsia="Times New Roman" w:cs="Times New Roman"/>
          <w:lang w:eastAsia="en-GB"/>
        </w:rPr>
      </w:pPr>
    </w:p>
    <w:p w14:paraId="320ABC9A" w14:textId="77777777" w:rsidR="00C05412" w:rsidRPr="000231E4" w:rsidRDefault="00C05412" w:rsidP="00F61194">
      <w:pPr>
        <w:jc w:val="both"/>
      </w:pPr>
      <w:r w:rsidRPr="000231E4">
        <w:t>Bentham, S. (2002). Psychology and Education. London: Routledge.</w:t>
      </w:r>
    </w:p>
    <w:p w14:paraId="60F22541" w14:textId="2189FFC7" w:rsidR="00C05412" w:rsidRDefault="00C05412" w:rsidP="002001AC">
      <w:pPr>
        <w:spacing w:after="0" w:line="240" w:lineRule="auto"/>
        <w:rPr>
          <w:rFonts w:eastAsia="Times New Roman" w:cs="Times New Roman"/>
          <w:lang w:eastAsia="en-GB"/>
        </w:rPr>
      </w:pPr>
      <w:r>
        <w:rPr>
          <w:rFonts w:eastAsia="Times New Roman" w:cs="Times New Roman"/>
          <w:lang w:eastAsia="en-GB"/>
        </w:rPr>
        <w:t>Bradshaw, J. and Main, G.</w:t>
      </w:r>
      <w:r w:rsidRPr="002001AC">
        <w:rPr>
          <w:rFonts w:eastAsia="Times New Roman" w:cs="Times New Roman"/>
          <w:lang w:eastAsia="en-GB"/>
        </w:rPr>
        <w:t xml:space="preserve"> </w:t>
      </w:r>
      <w:r>
        <w:rPr>
          <w:rFonts w:eastAsia="Times New Roman" w:cs="Times New Roman"/>
          <w:lang w:eastAsia="en-GB"/>
        </w:rPr>
        <w:t>(</w:t>
      </w:r>
      <w:r w:rsidRPr="002001AC">
        <w:rPr>
          <w:rFonts w:eastAsia="Times New Roman" w:cs="Times New Roman"/>
          <w:lang w:eastAsia="en-GB"/>
        </w:rPr>
        <w:t>2016</w:t>
      </w:r>
      <w:r>
        <w:rPr>
          <w:rFonts w:eastAsia="Times New Roman" w:cs="Times New Roman"/>
          <w:lang w:eastAsia="en-GB"/>
        </w:rPr>
        <w:t>). Child Poverty and D</w:t>
      </w:r>
      <w:r w:rsidRPr="002001AC">
        <w:rPr>
          <w:rFonts w:eastAsia="Times New Roman" w:cs="Times New Roman"/>
          <w:lang w:eastAsia="en-GB"/>
        </w:rPr>
        <w:t>eprivation. </w:t>
      </w:r>
      <w:r w:rsidRPr="002001AC">
        <w:rPr>
          <w:rFonts w:eastAsia="Times New Roman" w:cs="Times New Roman"/>
          <w:i/>
          <w:iCs/>
          <w:lang w:eastAsia="en-GB"/>
        </w:rPr>
        <w:t>The Wellbeing of Children in the UK</w:t>
      </w:r>
      <w:r w:rsidRPr="002001AC">
        <w:rPr>
          <w:rFonts w:eastAsia="Times New Roman" w:cs="Times New Roman"/>
          <w:lang w:eastAsia="en-GB"/>
        </w:rPr>
        <w:t>.</w:t>
      </w:r>
    </w:p>
    <w:p w14:paraId="462629E5" w14:textId="77777777" w:rsidR="00C05412" w:rsidRDefault="00C05412" w:rsidP="002001AC">
      <w:pPr>
        <w:spacing w:after="0" w:line="240" w:lineRule="auto"/>
        <w:rPr>
          <w:rFonts w:eastAsia="Times New Roman" w:cs="Times New Roman"/>
          <w:lang w:eastAsia="en-GB"/>
        </w:rPr>
      </w:pPr>
    </w:p>
    <w:p w14:paraId="448C0920" w14:textId="4121FD4C" w:rsidR="00C05412" w:rsidRDefault="00C05412" w:rsidP="007B588C">
      <w:pPr>
        <w:spacing w:after="0" w:line="240" w:lineRule="auto"/>
        <w:rPr>
          <w:rFonts w:eastAsia="Times New Roman" w:cs="Arial"/>
          <w:color w:val="222222"/>
          <w:szCs w:val="20"/>
          <w:shd w:val="clear" w:color="auto" w:fill="FFFFFF"/>
          <w:lang w:eastAsia="en-GB"/>
        </w:rPr>
      </w:pPr>
      <w:r w:rsidRPr="007B588C">
        <w:rPr>
          <w:rFonts w:eastAsia="Times New Roman" w:cs="Arial"/>
          <w:color w:val="222222"/>
          <w:szCs w:val="20"/>
          <w:shd w:val="clear" w:color="auto" w:fill="FFFFFF"/>
          <w:lang w:eastAsia="en-GB"/>
        </w:rPr>
        <w:t>Br</w:t>
      </w:r>
      <w:r>
        <w:rPr>
          <w:rFonts w:eastAsia="Times New Roman" w:cs="Arial"/>
          <w:color w:val="222222"/>
          <w:szCs w:val="20"/>
          <w:shd w:val="clear" w:color="auto" w:fill="FFFFFF"/>
          <w:lang w:eastAsia="en-GB"/>
        </w:rPr>
        <w:t>ooks-Gunn, J. and Duncan, G.J. (</w:t>
      </w:r>
      <w:r w:rsidRPr="007B588C">
        <w:rPr>
          <w:rFonts w:eastAsia="Times New Roman" w:cs="Arial"/>
          <w:color w:val="222222"/>
          <w:szCs w:val="20"/>
          <w:shd w:val="clear" w:color="auto" w:fill="FFFFFF"/>
          <w:lang w:eastAsia="en-GB"/>
        </w:rPr>
        <w:t>1997</w:t>
      </w:r>
      <w:r>
        <w:rPr>
          <w:rFonts w:eastAsia="Times New Roman" w:cs="Arial"/>
          <w:color w:val="222222"/>
          <w:szCs w:val="20"/>
          <w:shd w:val="clear" w:color="auto" w:fill="FFFFFF"/>
          <w:lang w:eastAsia="en-GB"/>
        </w:rPr>
        <w:t>). The Effects of Poverty on C</w:t>
      </w:r>
      <w:r w:rsidRPr="007B588C">
        <w:rPr>
          <w:rFonts w:eastAsia="Times New Roman" w:cs="Arial"/>
          <w:color w:val="222222"/>
          <w:szCs w:val="20"/>
          <w:shd w:val="clear" w:color="auto" w:fill="FFFFFF"/>
          <w:lang w:eastAsia="en-GB"/>
        </w:rPr>
        <w:t>hildren.</w:t>
      </w:r>
      <w:r w:rsidRPr="000231E4">
        <w:rPr>
          <w:rFonts w:eastAsia="Times New Roman" w:cs="Arial"/>
          <w:color w:val="222222"/>
          <w:szCs w:val="20"/>
          <w:shd w:val="clear" w:color="auto" w:fill="FFFFFF"/>
          <w:lang w:eastAsia="en-GB"/>
        </w:rPr>
        <w:t> </w:t>
      </w:r>
      <w:r>
        <w:rPr>
          <w:rFonts w:eastAsia="Times New Roman" w:cs="Arial"/>
          <w:i/>
          <w:iCs/>
          <w:color w:val="222222"/>
          <w:szCs w:val="20"/>
          <w:lang w:eastAsia="en-GB"/>
        </w:rPr>
        <w:t>The Future of C</w:t>
      </w:r>
      <w:r w:rsidRPr="007B588C">
        <w:rPr>
          <w:rFonts w:eastAsia="Times New Roman" w:cs="Arial"/>
          <w:i/>
          <w:iCs/>
          <w:color w:val="222222"/>
          <w:szCs w:val="20"/>
          <w:lang w:eastAsia="en-GB"/>
        </w:rPr>
        <w:t>hildren</w:t>
      </w:r>
      <w:r w:rsidRPr="007B588C">
        <w:rPr>
          <w:rFonts w:eastAsia="Times New Roman" w:cs="Arial"/>
          <w:color w:val="222222"/>
          <w:szCs w:val="20"/>
          <w:shd w:val="clear" w:color="auto" w:fill="FFFFFF"/>
          <w:lang w:eastAsia="en-GB"/>
        </w:rPr>
        <w:t>, pp.55-71.</w:t>
      </w:r>
    </w:p>
    <w:p w14:paraId="4FFF34E9" w14:textId="77777777" w:rsidR="00C05412" w:rsidRPr="000231E4" w:rsidRDefault="00C05412" w:rsidP="007B588C">
      <w:pPr>
        <w:spacing w:after="0" w:line="240" w:lineRule="auto"/>
        <w:rPr>
          <w:rFonts w:eastAsia="Times New Roman" w:cs="Arial"/>
          <w:color w:val="222222"/>
          <w:szCs w:val="20"/>
          <w:shd w:val="clear" w:color="auto" w:fill="FFFFFF"/>
          <w:lang w:eastAsia="en-GB"/>
        </w:rPr>
      </w:pPr>
    </w:p>
    <w:p w14:paraId="4B46FAA6" w14:textId="0C9DA27E" w:rsidR="00C05412" w:rsidRDefault="00C05412" w:rsidP="00C05412">
      <w:pPr>
        <w:spacing w:after="0" w:line="240" w:lineRule="auto"/>
        <w:rPr>
          <w:rFonts w:eastAsia="Times New Roman" w:cs="Times New Roman"/>
          <w:lang w:eastAsia="en-GB"/>
        </w:rPr>
      </w:pPr>
      <w:r w:rsidRPr="00C05412">
        <w:rPr>
          <w:rFonts w:eastAsia="Times New Roman" w:cs="Times New Roman"/>
          <w:lang w:eastAsia="en-GB"/>
        </w:rPr>
        <w:t xml:space="preserve">Burleson, S.E. and Thoron, A.C. </w:t>
      </w:r>
      <w:r>
        <w:rPr>
          <w:rFonts w:eastAsia="Times New Roman" w:cs="Times New Roman"/>
          <w:lang w:eastAsia="en-GB"/>
        </w:rPr>
        <w:t>(</w:t>
      </w:r>
      <w:r w:rsidRPr="00C05412">
        <w:rPr>
          <w:rFonts w:eastAsia="Times New Roman" w:cs="Times New Roman"/>
          <w:lang w:eastAsia="en-GB"/>
        </w:rPr>
        <w:t>2014</w:t>
      </w:r>
      <w:r>
        <w:rPr>
          <w:rFonts w:eastAsia="Times New Roman" w:cs="Times New Roman"/>
          <w:lang w:eastAsia="en-GB"/>
        </w:rPr>
        <w:t>)</w:t>
      </w:r>
      <w:r w:rsidRPr="00C05412">
        <w:rPr>
          <w:rFonts w:eastAsia="Times New Roman" w:cs="Times New Roman"/>
          <w:lang w:eastAsia="en-GB"/>
        </w:rPr>
        <w:t>. Maslow's Hierarchy of Needs and Its Relation to Learning and Achievement.</w:t>
      </w:r>
    </w:p>
    <w:p w14:paraId="166F7911" w14:textId="77777777" w:rsidR="00C05412" w:rsidRPr="00C05412" w:rsidRDefault="00C05412" w:rsidP="00C05412">
      <w:pPr>
        <w:spacing w:after="0" w:line="240" w:lineRule="auto"/>
        <w:rPr>
          <w:rFonts w:eastAsia="Times New Roman" w:cs="Times New Roman"/>
          <w:lang w:eastAsia="en-GB"/>
        </w:rPr>
      </w:pPr>
    </w:p>
    <w:p w14:paraId="7D0A8CF7" w14:textId="4D844AFB" w:rsidR="00C05412" w:rsidRDefault="00C05412" w:rsidP="00206AF7">
      <w:pPr>
        <w:spacing w:after="0" w:line="240" w:lineRule="auto"/>
        <w:rPr>
          <w:rFonts w:eastAsia="Times New Roman" w:cs="Times New Roman"/>
          <w:lang w:eastAsia="en-GB"/>
        </w:rPr>
      </w:pPr>
      <w:proofErr w:type="spellStart"/>
      <w:r>
        <w:rPr>
          <w:rFonts w:eastAsia="Times New Roman" w:cs="Times New Roman"/>
          <w:lang w:eastAsia="en-GB"/>
        </w:rPr>
        <w:t>Filipek</w:t>
      </w:r>
      <w:proofErr w:type="spellEnd"/>
      <w:r>
        <w:rPr>
          <w:rFonts w:eastAsia="Times New Roman" w:cs="Times New Roman"/>
          <w:lang w:eastAsia="en-GB"/>
        </w:rPr>
        <w:t xml:space="preserve">, P.A. </w:t>
      </w:r>
      <w:proofErr w:type="spellStart"/>
      <w:r>
        <w:rPr>
          <w:rFonts w:eastAsia="Times New Roman" w:cs="Times New Roman"/>
          <w:lang w:eastAsia="en-GB"/>
        </w:rPr>
        <w:t>Accardo</w:t>
      </w:r>
      <w:proofErr w:type="spellEnd"/>
      <w:r>
        <w:rPr>
          <w:rFonts w:eastAsia="Times New Roman" w:cs="Times New Roman"/>
          <w:lang w:eastAsia="en-GB"/>
        </w:rPr>
        <w:t xml:space="preserve">, P.J. </w:t>
      </w:r>
      <w:proofErr w:type="spellStart"/>
      <w:r>
        <w:rPr>
          <w:rFonts w:eastAsia="Times New Roman" w:cs="Times New Roman"/>
          <w:lang w:eastAsia="en-GB"/>
        </w:rPr>
        <w:t>Ashwal</w:t>
      </w:r>
      <w:proofErr w:type="spellEnd"/>
      <w:r>
        <w:rPr>
          <w:rFonts w:eastAsia="Times New Roman" w:cs="Times New Roman"/>
          <w:lang w:eastAsia="en-GB"/>
        </w:rPr>
        <w:t xml:space="preserve">, S. </w:t>
      </w:r>
      <w:proofErr w:type="spellStart"/>
      <w:r>
        <w:rPr>
          <w:rFonts w:eastAsia="Times New Roman" w:cs="Times New Roman"/>
          <w:lang w:eastAsia="en-GB"/>
        </w:rPr>
        <w:t>Baranek</w:t>
      </w:r>
      <w:proofErr w:type="spellEnd"/>
      <w:r>
        <w:rPr>
          <w:rFonts w:eastAsia="Times New Roman" w:cs="Times New Roman"/>
          <w:lang w:eastAsia="en-GB"/>
        </w:rPr>
        <w:t>, G.T. Cook, E.H. Dawson, G. Gordon, B. Gravel, J.S. Johnson, C.P.</w:t>
      </w:r>
      <w:r w:rsidRPr="00206AF7">
        <w:rPr>
          <w:rFonts w:eastAsia="Times New Roman" w:cs="Times New Roman"/>
          <w:lang w:eastAsia="en-GB"/>
        </w:rPr>
        <w:t xml:space="preserve"> </w:t>
      </w:r>
      <w:proofErr w:type="spellStart"/>
      <w:r w:rsidRPr="00206AF7">
        <w:rPr>
          <w:rFonts w:eastAsia="Times New Roman" w:cs="Times New Roman"/>
          <w:lang w:eastAsia="en-GB"/>
        </w:rPr>
        <w:t>Kallen</w:t>
      </w:r>
      <w:proofErr w:type="spellEnd"/>
      <w:r w:rsidRPr="00206AF7">
        <w:rPr>
          <w:rFonts w:eastAsia="Times New Roman" w:cs="Times New Roman"/>
          <w:lang w:eastAsia="en-GB"/>
        </w:rPr>
        <w:t>, R.J.</w:t>
      </w:r>
      <w:r>
        <w:rPr>
          <w:rFonts w:eastAsia="Times New Roman" w:cs="Times New Roman"/>
          <w:lang w:eastAsia="en-GB"/>
        </w:rPr>
        <w:t xml:space="preserve"> and Levy, S.E. (</w:t>
      </w:r>
      <w:r w:rsidRPr="00206AF7">
        <w:rPr>
          <w:rFonts w:eastAsia="Times New Roman" w:cs="Times New Roman"/>
          <w:lang w:eastAsia="en-GB"/>
        </w:rPr>
        <w:t>2000</w:t>
      </w:r>
      <w:r>
        <w:rPr>
          <w:rFonts w:eastAsia="Times New Roman" w:cs="Times New Roman"/>
          <w:lang w:eastAsia="en-GB"/>
        </w:rPr>
        <w:t>). Practice Parameter: Screening and Diagnosis of A</w:t>
      </w:r>
      <w:r w:rsidRPr="00206AF7">
        <w:rPr>
          <w:rFonts w:eastAsia="Times New Roman" w:cs="Times New Roman"/>
          <w:lang w:eastAsia="en-GB"/>
        </w:rPr>
        <w:t>utism Report of the Quality Standards Subcommittee of the American Academy of Neurology and the Child Neurology Society. </w:t>
      </w:r>
      <w:r w:rsidRPr="00206AF7">
        <w:rPr>
          <w:rFonts w:eastAsia="Times New Roman" w:cs="Times New Roman"/>
          <w:i/>
          <w:iCs/>
          <w:lang w:eastAsia="en-GB"/>
        </w:rPr>
        <w:t>Neurology</w:t>
      </w:r>
      <w:r w:rsidRPr="00206AF7">
        <w:rPr>
          <w:rFonts w:eastAsia="Times New Roman" w:cs="Times New Roman"/>
          <w:lang w:eastAsia="en-GB"/>
        </w:rPr>
        <w:t>, </w:t>
      </w:r>
      <w:r w:rsidRPr="00206AF7">
        <w:rPr>
          <w:rFonts w:eastAsia="Times New Roman" w:cs="Times New Roman"/>
          <w:i/>
          <w:iCs/>
          <w:lang w:eastAsia="en-GB"/>
        </w:rPr>
        <w:t>55</w:t>
      </w:r>
      <w:r w:rsidRPr="00206AF7">
        <w:rPr>
          <w:rFonts w:eastAsia="Times New Roman" w:cs="Times New Roman"/>
          <w:lang w:eastAsia="en-GB"/>
        </w:rPr>
        <w:t>(4), pp.468-479.</w:t>
      </w:r>
    </w:p>
    <w:p w14:paraId="673D55CC" w14:textId="77777777" w:rsidR="00C05412" w:rsidRDefault="00C05412" w:rsidP="00206AF7">
      <w:pPr>
        <w:spacing w:after="0" w:line="240" w:lineRule="auto"/>
        <w:rPr>
          <w:rFonts w:eastAsia="Times New Roman" w:cs="Times New Roman"/>
          <w:lang w:eastAsia="en-GB"/>
        </w:rPr>
      </w:pPr>
    </w:p>
    <w:p w14:paraId="18CED7B2" w14:textId="3711726A" w:rsidR="00C05412" w:rsidRDefault="00C05412" w:rsidP="00DB2B64">
      <w:pPr>
        <w:spacing w:after="0" w:line="240" w:lineRule="auto"/>
        <w:rPr>
          <w:rFonts w:eastAsia="Times New Roman" w:cs="Arial"/>
          <w:color w:val="222222"/>
          <w:szCs w:val="20"/>
          <w:shd w:val="clear" w:color="auto" w:fill="FFFFFF"/>
          <w:lang w:eastAsia="en-GB"/>
        </w:rPr>
      </w:pPr>
      <w:r>
        <w:rPr>
          <w:rFonts w:eastAsia="Times New Roman" w:cs="Arial"/>
          <w:color w:val="222222"/>
          <w:szCs w:val="20"/>
          <w:shd w:val="clear" w:color="auto" w:fill="FFFFFF"/>
          <w:lang w:eastAsia="en-GB"/>
        </w:rPr>
        <w:t>Golding, K.S. Fain, J.</w:t>
      </w:r>
      <w:r w:rsidRPr="00DB2B64">
        <w:rPr>
          <w:rFonts w:eastAsia="Times New Roman" w:cs="Arial"/>
          <w:color w:val="222222"/>
          <w:szCs w:val="20"/>
          <w:shd w:val="clear" w:color="auto" w:fill="FFFFFF"/>
          <w:lang w:eastAsia="en-GB"/>
        </w:rPr>
        <w:t xml:space="preserve"> Mills, </w:t>
      </w:r>
      <w:r>
        <w:rPr>
          <w:rFonts w:eastAsia="Times New Roman" w:cs="Arial"/>
          <w:color w:val="222222"/>
          <w:szCs w:val="20"/>
          <w:shd w:val="clear" w:color="auto" w:fill="FFFFFF"/>
          <w:lang w:eastAsia="en-GB"/>
        </w:rPr>
        <w:t>C. Worrall, H. and Frost, A.</w:t>
      </w:r>
      <w:r w:rsidRPr="00DB2B64">
        <w:rPr>
          <w:rFonts w:eastAsia="Times New Roman" w:cs="Arial"/>
          <w:color w:val="222222"/>
          <w:szCs w:val="20"/>
          <w:shd w:val="clear" w:color="auto" w:fill="FFFFFF"/>
          <w:lang w:eastAsia="en-GB"/>
        </w:rPr>
        <w:t xml:space="preserve"> </w:t>
      </w:r>
      <w:r>
        <w:rPr>
          <w:rFonts w:eastAsia="Times New Roman" w:cs="Arial"/>
          <w:color w:val="222222"/>
          <w:szCs w:val="20"/>
          <w:shd w:val="clear" w:color="auto" w:fill="FFFFFF"/>
          <w:lang w:eastAsia="en-GB"/>
        </w:rPr>
        <w:t>(</w:t>
      </w:r>
      <w:r w:rsidRPr="00DB2B64">
        <w:rPr>
          <w:rFonts w:eastAsia="Times New Roman" w:cs="Arial"/>
          <w:color w:val="222222"/>
          <w:szCs w:val="20"/>
          <w:shd w:val="clear" w:color="auto" w:fill="FFFFFF"/>
          <w:lang w:eastAsia="en-GB"/>
        </w:rPr>
        <w:t>2012</w:t>
      </w:r>
      <w:r>
        <w:rPr>
          <w:rFonts w:eastAsia="Times New Roman" w:cs="Arial"/>
          <w:color w:val="222222"/>
          <w:szCs w:val="20"/>
          <w:shd w:val="clear" w:color="auto" w:fill="FFFFFF"/>
          <w:lang w:eastAsia="en-GB"/>
        </w:rPr>
        <w:t>)</w:t>
      </w:r>
      <w:r w:rsidRPr="00DB2B64">
        <w:rPr>
          <w:rFonts w:eastAsia="Times New Roman" w:cs="Arial"/>
          <w:color w:val="222222"/>
          <w:szCs w:val="20"/>
          <w:shd w:val="clear" w:color="auto" w:fill="FFFFFF"/>
          <w:lang w:eastAsia="en-GB"/>
        </w:rPr>
        <w:t>.</w:t>
      </w:r>
      <w:r w:rsidRPr="000231E4">
        <w:rPr>
          <w:rFonts w:eastAsia="Times New Roman" w:cs="Arial"/>
          <w:color w:val="222222"/>
          <w:szCs w:val="20"/>
          <w:shd w:val="clear" w:color="auto" w:fill="FFFFFF"/>
          <w:lang w:eastAsia="en-GB"/>
        </w:rPr>
        <w:t> </w:t>
      </w:r>
      <w:r w:rsidRPr="00DB2B64">
        <w:rPr>
          <w:rFonts w:eastAsia="Times New Roman" w:cs="Arial"/>
          <w:i/>
          <w:iCs/>
          <w:color w:val="222222"/>
          <w:szCs w:val="20"/>
          <w:lang w:eastAsia="en-GB"/>
        </w:rPr>
        <w:t>Obse</w:t>
      </w:r>
      <w:r>
        <w:rPr>
          <w:rFonts w:eastAsia="Times New Roman" w:cs="Arial"/>
          <w:i/>
          <w:iCs/>
          <w:color w:val="222222"/>
          <w:szCs w:val="20"/>
          <w:lang w:eastAsia="en-GB"/>
        </w:rPr>
        <w:t>rving children with attachment Difficulties in School: A Tool for Identifying and Supporting Emotional and Social Difficulties in Children A</w:t>
      </w:r>
      <w:r w:rsidRPr="00DB2B64">
        <w:rPr>
          <w:rFonts w:eastAsia="Times New Roman" w:cs="Arial"/>
          <w:i/>
          <w:iCs/>
          <w:color w:val="222222"/>
          <w:szCs w:val="20"/>
          <w:lang w:eastAsia="en-GB"/>
        </w:rPr>
        <w:t>ged 5-11</w:t>
      </w:r>
      <w:r w:rsidRPr="00DB2B64">
        <w:rPr>
          <w:rFonts w:eastAsia="Times New Roman" w:cs="Arial"/>
          <w:color w:val="222222"/>
          <w:szCs w:val="20"/>
          <w:shd w:val="clear" w:color="auto" w:fill="FFFFFF"/>
          <w:lang w:eastAsia="en-GB"/>
        </w:rPr>
        <w:t>. Jessica Kingsley Publishers.</w:t>
      </w:r>
    </w:p>
    <w:p w14:paraId="335F174A" w14:textId="77777777" w:rsidR="00C05412" w:rsidRPr="000231E4" w:rsidRDefault="00C05412" w:rsidP="00DB2B64">
      <w:pPr>
        <w:spacing w:after="0" w:line="240" w:lineRule="auto"/>
        <w:rPr>
          <w:rFonts w:eastAsia="Times New Roman" w:cs="Arial"/>
          <w:color w:val="222222"/>
          <w:szCs w:val="20"/>
          <w:shd w:val="clear" w:color="auto" w:fill="FFFFFF"/>
          <w:lang w:eastAsia="en-GB"/>
        </w:rPr>
      </w:pPr>
    </w:p>
    <w:p w14:paraId="523573CC" w14:textId="77777777" w:rsidR="00C05412" w:rsidRPr="000231E4" w:rsidRDefault="00C05412" w:rsidP="006B418F">
      <w:pPr>
        <w:spacing w:after="0" w:line="240" w:lineRule="auto"/>
        <w:rPr>
          <w:rFonts w:eastAsia="Times New Roman" w:cs="Arial"/>
          <w:color w:val="222222"/>
          <w:szCs w:val="20"/>
          <w:shd w:val="clear" w:color="auto" w:fill="FFFFFF"/>
          <w:lang w:eastAsia="en-GB"/>
        </w:rPr>
      </w:pPr>
      <w:proofErr w:type="spellStart"/>
      <w:r>
        <w:rPr>
          <w:rFonts w:eastAsia="Times New Roman" w:cs="Arial"/>
          <w:color w:val="222222"/>
          <w:szCs w:val="20"/>
          <w:shd w:val="clear" w:color="auto" w:fill="FFFFFF"/>
          <w:lang w:eastAsia="en-GB"/>
        </w:rPr>
        <w:t>Goswami</w:t>
      </w:r>
      <w:proofErr w:type="spellEnd"/>
      <w:r>
        <w:rPr>
          <w:rFonts w:eastAsia="Times New Roman" w:cs="Arial"/>
          <w:color w:val="222222"/>
          <w:szCs w:val="20"/>
          <w:shd w:val="clear" w:color="auto" w:fill="FFFFFF"/>
          <w:lang w:eastAsia="en-GB"/>
        </w:rPr>
        <w:t>, U.</w:t>
      </w:r>
      <w:r w:rsidRPr="006B418F">
        <w:rPr>
          <w:rFonts w:eastAsia="Times New Roman" w:cs="Arial"/>
          <w:color w:val="222222"/>
          <w:szCs w:val="20"/>
          <w:shd w:val="clear" w:color="auto" w:fill="FFFFFF"/>
          <w:lang w:eastAsia="en-GB"/>
        </w:rPr>
        <w:t xml:space="preserve"> </w:t>
      </w:r>
      <w:r>
        <w:rPr>
          <w:rFonts w:eastAsia="Times New Roman" w:cs="Arial"/>
          <w:color w:val="222222"/>
          <w:szCs w:val="20"/>
          <w:shd w:val="clear" w:color="auto" w:fill="FFFFFF"/>
          <w:lang w:eastAsia="en-GB"/>
        </w:rPr>
        <w:t>(</w:t>
      </w:r>
      <w:r w:rsidRPr="006B418F">
        <w:rPr>
          <w:rFonts w:eastAsia="Times New Roman" w:cs="Arial"/>
          <w:color w:val="222222"/>
          <w:szCs w:val="20"/>
          <w:shd w:val="clear" w:color="auto" w:fill="FFFFFF"/>
          <w:lang w:eastAsia="en-GB"/>
        </w:rPr>
        <w:t>2008</w:t>
      </w:r>
      <w:r>
        <w:rPr>
          <w:rFonts w:eastAsia="Times New Roman" w:cs="Arial"/>
          <w:color w:val="222222"/>
          <w:szCs w:val="20"/>
          <w:shd w:val="clear" w:color="auto" w:fill="FFFFFF"/>
          <w:lang w:eastAsia="en-GB"/>
        </w:rPr>
        <w:t>)</w:t>
      </w:r>
      <w:r w:rsidRPr="006B418F">
        <w:rPr>
          <w:rFonts w:eastAsia="Times New Roman" w:cs="Arial"/>
          <w:color w:val="222222"/>
          <w:szCs w:val="20"/>
          <w:shd w:val="clear" w:color="auto" w:fill="FFFFFF"/>
          <w:lang w:eastAsia="en-GB"/>
        </w:rPr>
        <w:t>.</w:t>
      </w:r>
      <w:r w:rsidRPr="000231E4">
        <w:rPr>
          <w:rFonts w:eastAsia="Times New Roman" w:cs="Arial"/>
          <w:color w:val="222222"/>
          <w:szCs w:val="20"/>
          <w:shd w:val="clear" w:color="auto" w:fill="FFFFFF"/>
          <w:lang w:eastAsia="en-GB"/>
        </w:rPr>
        <w:t> </w:t>
      </w:r>
      <w:r>
        <w:rPr>
          <w:rFonts w:eastAsia="Times New Roman" w:cs="Arial"/>
          <w:i/>
          <w:iCs/>
          <w:color w:val="222222"/>
          <w:szCs w:val="20"/>
          <w:lang w:eastAsia="en-GB"/>
        </w:rPr>
        <w:t>Cognitive Development: The Learning B</w:t>
      </w:r>
      <w:r w:rsidRPr="006B418F">
        <w:rPr>
          <w:rFonts w:eastAsia="Times New Roman" w:cs="Arial"/>
          <w:i/>
          <w:iCs/>
          <w:color w:val="222222"/>
          <w:szCs w:val="20"/>
          <w:lang w:eastAsia="en-GB"/>
        </w:rPr>
        <w:t>rain</w:t>
      </w:r>
      <w:r w:rsidRPr="006B418F">
        <w:rPr>
          <w:rFonts w:eastAsia="Times New Roman" w:cs="Arial"/>
          <w:color w:val="222222"/>
          <w:szCs w:val="20"/>
          <w:shd w:val="clear" w:color="auto" w:fill="FFFFFF"/>
          <w:lang w:eastAsia="en-GB"/>
        </w:rPr>
        <w:t>. Psychology Press.</w:t>
      </w:r>
    </w:p>
    <w:p w14:paraId="67A8326C" w14:textId="620D2FFF" w:rsidR="00C05412" w:rsidRDefault="00C05412" w:rsidP="00C05412">
      <w:pPr>
        <w:spacing w:after="0" w:line="240" w:lineRule="auto"/>
        <w:rPr>
          <w:rFonts w:eastAsia="Times New Roman" w:cs="Times New Roman"/>
          <w:lang w:eastAsia="en-GB"/>
        </w:rPr>
      </w:pPr>
      <w:r w:rsidRPr="00C05412">
        <w:rPr>
          <w:rFonts w:eastAsia="Times New Roman" w:cs="Times New Roman"/>
          <w:lang w:eastAsia="en-GB"/>
        </w:rPr>
        <w:t xml:space="preserve">Hare, T.A. and Casey, B.J., 2005. The </w:t>
      </w:r>
      <w:r>
        <w:rPr>
          <w:rFonts w:eastAsia="Times New Roman" w:cs="Times New Roman"/>
          <w:lang w:eastAsia="en-GB"/>
        </w:rPr>
        <w:t>N</w:t>
      </w:r>
      <w:r w:rsidRPr="00C05412">
        <w:rPr>
          <w:rFonts w:eastAsia="Times New Roman" w:cs="Times New Roman"/>
          <w:lang w:eastAsia="en-GB"/>
        </w:rPr>
        <w:t xml:space="preserve">eurobiology and </w:t>
      </w:r>
      <w:r>
        <w:rPr>
          <w:rFonts w:eastAsia="Times New Roman" w:cs="Times New Roman"/>
          <w:lang w:eastAsia="en-GB"/>
        </w:rPr>
        <w:t>D</w:t>
      </w:r>
      <w:r w:rsidRPr="00C05412">
        <w:rPr>
          <w:rFonts w:eastAsia="Times New Roman" w:cs="Times New Roman"/>
          <w:lang w:eastAsia="en-GB"/>
        </w:rPr>
        <w:t xml:space="preserve">evelopment of </w:t>
      </w:r>
      <w:r>
        <w:rPr>
          <w:rFonts w:eastAsia="Times New Roman" w:cs="Times New Roman"/>
          <w:lang w:eastAsia="en-GB"/>
        </w:rPr>
        <w:t>C</w:t>
      </w:r>
      <w:r w:rsidRPr="00C05412">
        <w:rPr>
          <w:rFonts w:eastAsia="Times New Roman" w:cs="Times New Roman"/>
          <w:lang w:eastAsia="en-GB"/>
        </w:rPr>
        <w:t xml:space="preserve">ognitive and </w:t>
      </w:r>
      <w:r>
        <w:rPr>
          <w:rFonts w:eastAsia="Times New Roman" w:cs="Times New Roman"/>
          <w:lang w:eastAsia="en-GB"/>
        </w:rPr>
        <w:t>A</w:t>
      </w:r>
      <w:r w:rsidRPr="00C05412">
        <w:rPr>
          <w:rFonts w:eastAsia="Times New Roman" w:cs="Times New Roman"/>
          <w:lang w:eastAsia="en-GB"/>
        </w:rPr>
        <w:t xml:space="preserve">ffective </w:t>
      </w:r>
      <w:r>
        <w:rPr>
          <w:rFonts w:eastAsia="Times New Roman" w:cs="Times New Roman"/>
          <w:lang w:eastAsia="en-GB"/>
        </w:rPr>
        <w:t>c</w:t>
      </w:r>
      <w:r w:rsidRPr="00C05412">
        <w:rPr>
          <w:rFonts w:eastAsia="Times New Roman" w:cs="Times New Roman"/>
          <w:lang w:eastAsia="en-GB"/>
        </w:rPr>
        <w:t xml:space="preserve">ontrol. </w:t>
      </w:r>
      <w:r w:rsidRPr="00C05412">
        <w:rPr>
          <w:rFonts w:eastAsia="Times New Roman" w:cs="Times New Roman"/>
          <w:i/>
          <w:lang w:eastAsia="en-GB"/>
        </w:rPr>
        <w:t>Cognition, Brain and Behaviour, 9</w:t>
      </w:r>
      <w:r w:rsidRPr="00C05412">
        <w:rPr>
          <w:rFonts w:eastAsia="Times New Roman" w:cs="Times New Roman"/>
          <w:lang w:eastAsia="en-GB"/>
        </w:rPr>
        <w:t>(3), pp.273-286.</w:t>
      </w:r>
    </w:p>
    <w:p w14:paraId="2EF739BB" w14:textId="77777777" w:rsidR="00C05412" w:rsidRDefault="00C05412" w:rsidP="00C05412">
      <w:pPr>
        <w:spacing w:after="0" w:line="240" w:lineRule="auto"/>
        <w:rPr>
          <w:rFonts w:eastAsia="Times New Roman" w:cs="Times New Roman"/>
          <w:lang w:eastAsia="en-GB"/>
        </w:rPr>
      </w:pPr>
    </w:p>
    <w:p w14:paraId="3AA346DB" w14:textId="77777777" w:rsidR="00C05412" w:rsidRDefault="00C05412" w:rsidP="00C8461F">
      <w:pPr>
        <w:spacing w:after="0" w:line="240" w:lineRule="auto"/>
        <w:rPr>
          <w:rFonts w:eastAsia="Times New Roman" w:cs="Arial"/>
          <w:color w:val="222222"/>
          <w:szCs w:val="20"/>
          <w:shd w:val="clear" w:color="auto" w:fill="FFFFFF"/>
          <w:lang w:eastAsia="en-GB"/>
        </w:rPr>
      </w:pPr>
      <w:r>
        <w:rPr>
          <w:rFonts w:eastAsia="Times New Roman" w:cs="Arial"/>
          <w:color w:val="222222"/>
          <w:szCs w:val="20"/>
          <w:shd w:val="clear" w:color="auto" w:fill="FFFFFF"/>
          <w:lang w:eastAsia="en-GB"/>
        </w:rPr>
        <w:t>Kendall, P.C.</w:t>
      </w:r>
      <w:r w:rsidRPr="00C8461F">
        <w:rPr>
          <w:rFonts w:eastAsia="Times New Roman" w:cs="Arial"/>
          <w:color w:val="222222"/>
          <w:szCs w:val="20"/>
          <w:shd w:val="clear" w:color="auto" w:fill="FFFFFF"/>
          <w:lang w:eastAsia="en-GB"/>
        </w:rPr>
        <w:t xml:space="preserve"> </w:t>
      </w:r>
      <w:r>
        <w:rPr>
          <w:rFonts w:eastAsia="Times New Roman" w:cs="Arial"/>
          <w:color w:val="222222"/>
          <w:szCs w:val="20"/>
          <w:shd w:val="clear" w:color="auto" w:fill="FFFFFF"/>
          <w:lang w:eastAsia="en-GB"/>
        </w:rPr>
        <w:t>(</w:t>
      </w:r>
      <w:r w:rsidRPr="00C8461F">
        <w:rPr>
          <w:rFonts w:eastAsia="Times New Roman" w:cs="Arial"/>
          <w:color w:val="222222"/>
          <w:szCs w:val="20"/>
          <w:shd w:val="clear" w:color="auto" w:fill="FFFFFF"/>
          <w:lang w:eastAsia="en-GB"/>
        </w:rPr>
        <w:t>2000</w:t>
      </w:r>
      <w:r>
        <w:rPr>
          <w:rFonts w:eastAsia="Times New Roman" w:cs="Arial"/>
          <w:color w:val="222222"/>
          <w:szCs w:val="20"/>
          <w:shd w:val="clear" w:color="auto" w:fill="FFFFFF"/>
          <w:lang w:eastAsia="en-GB"/>
        </w:rPr>
        <w:t>)</w:t>
      </w:r>
      <w:r w:rsidRPr="00C8461F">
        <w:rPr>
          <w:rFonts w:eastAsia="Times New Roman" w:cs="Arial"/>
          <w:color w:val="222222"/>
          <w:szCs w:val="20"/>
          <w:shd w:val="clear" w:color="auto" w:fill="FFFFFF"/>
          <w:lang w:eastAsia="en-GB"/>
        </w:rPr>
        <w:t>. </w:t>
      </w:r>
      <w:r>
        <w:rPr>
          <w:rFonts w:eastAsia="Times New Roman" w:cs="Arial"/>
          <w:i/>
          <w:iCs/>
          <w:color w:val="222222"/>
          <w:szCs w:val="20"/>
          <w:lang w:eastAsia="en-GB"/>
        </w:rPr>
        <w:t>Childhood D</w:t>
      </w:r>
      <w:r w:rsidRPr="00C8461F">
        <w:rPr>
          <w:rFonts w:eastAsia="Times New Roman" w:cs="Arial"/>
          <w:i/>
          <w:iCs/>
          <w:color w:val="222222"/>
          <w:szCs w:val="20"/>
          <w:lang w:eastAsia="en-GB"/>
        </w:rPr>
        <w:t>isorders</w:t>
      </w:r>
      <w:r w:rsidRPr="00C8461F">
        <w:rPr>
          <w:rFonts w:eastAsia="Times New Roman" w:cs="Arial"/>
          <w:color w:val="222222"/>
          <w:szCs w:val="20"/>
          <w:shd w:val="clear" w:color="auto" w:fill="FFFFFF"/>
          <w:lang w:eastAsia="en-GB"/>
        </w:rPr>
        <w:t>. Psychology Press.</w:t>
      </w:r>
    </w:p>
    <w:p w14:paraId="24E20F6F" w14:textId="5D6E8A95" w:rsidR="00C05412" w:rsidRDefault="00C05412" w:rsidP="00DB2B64">
      <w:pPr>
        <w:spacing w:after="0" w:line="240" w:lineRule="auto"/>
        <w:rPr>
          <w:rFonts w:eastAsia="Times New Roman" w:cs="Arial"/>
          <w:color w:val="222222"/>
          <w:szCs w:val="20"/>
          <w:shd w:val="clear" w:color="auto" w:fill="FFFFFF"/>
          <w:lang w:eastAsia="en-GB"/>
        </w:rPr>
      </w:pPr>
      <w:r>
        <w:rPr>
          <w:rFonts w:eastAsia="Times New Roman" w:cs="Arial"/>
          <w:color w:val="222222"/>
          <w:szCs w:val="20"/>
          <w:shd w:val="clear" w:color="auto" w:fill="FFFFFF"/>
          <w:lang w:eastAsia="en-GB"/>
        </w:rPr>
        <w:t>Maslow, A.H. (</w:t>
      </w:r>
      <w:r w:rsidRPr="00DB2B64">
        <w:rPr>
          <w:rFonts w:eastAsia="Times New Roman" w:cs="Arial"/>
          <w:color w:val="222222"/>
          <w:szCs w:val="20"/>
          <w:shd w:val="clear" w:color="auto" w:fill="FFFFFF"/>
          <w:lang w:eastAsia="en-GB"/>
        </w:rPr>
        <w:t>1954</w:t>
      </w:r>
      <w:r>
        <w:rPr>
          <w:rFonts w:eastAsia="Times New Roman" w:cs="Arial"/>
          <w:color w:val="222222"/>
          <w:szCs w:val="20"/>
          <w:shd w:val="clear" w:color="auto" w:fill="FFFFFF"/>
          <w:lang w:eastAsia="en-GB"/>
        </w:rPr>
        <w:t xml:space="preserve">). The </w:t>
      </w:r>
      <w:proofErr w:type="spellStart"/>
      <w:r>
        <w:rPr>
          <w:rFonts w:eastAsia="Times New Roman" w:cs="Arial"/>
          <w:color w:val="222222"/>
          <w:szCs w:val="20"/>
          <w:shd w:val="clear" w:color="auto" w:fill="FFFFFF"/>
          <w:lang w:eastAsia="en-GB"/>
        </w:rPr>
        <w:t>Instinctoid</w:t>
      </w:r>
      <w:proofErr w:type="spellEnd"/>
      <w:r>
        <w:rPr>
          <w:rFonts w:eastAsia="Times New Roman" w:cs="Arial"/>
          <w:color w:val="222222"/>
          <w:szCs w:val="20"/>
          <w:shd w:val="clear" w:color="auto" w:fill="FFFFFF"/>
          <w:lang w:eastAsia="en-GB"/>
        </w:rPr>
        <w:t xml:space="preserve"> Nature of Basic N</w:t>
      </w:r>
      <w:r w:rsidRPr="00DB2B64">
        <w:rPr>
          <w:rFonts w:eastAsia="Times New Roman" w:cs="Arial"/>
          <w:color w:val="222222"/>
          <w:szCs w:val="20"/>
          <w:shd w:val="clear" w:color="auto" w:fill="FFFFFF"/>
          <w:lang w:eastAsia="en-GB"/>
        </w:rPr>
        <w:t>eeds.</w:t>
      </w:r>
      <w:r w:rsidRPr="000231E4">
        <w:rPr>
          <w:rFonts w:eastAsia="Times New Roman" w:cs="Arial"/>
          <w:color w:val="222222"/>
          <w:szCs w:val="20"/>
          <w:shd w:val="clear" w:color="auto" w:fill="FFFFFF"/>
          <w:lang w:eastAsia="en-GB"/>
        </w:rPr>
        <w:t> </w:t>
      </w:r>
      <w:r w:rsidRPr="00DB2B64">
        <w:rPr>
          <w:rFonts w:eastAsia="Times New Roman" w:cs="Arial"/>
          <w:i/>
          <w:iCs/>
          <w:color w:val="222222"/>
          <w:szCs w:val="20"/>
          <w:lang w:eastAsia="en-GB"/>
        </w:rPr>
        <w:t>Journal of Personality</w:t>
      </w:r>
      <w:r w:rsidRPr="00DB2B64">
        <w:rPr>
          <w:rFonts w:eastAsia="Times New Roman" w:cs="Arial"/>
          <w:color w:val="222222"/>
          <w:szCs w:val="20"/>
          <w:shd w:val="clear" w:color="auto" w:fill="FFFFFF"/>
          <w:lang w:eastAsia="en-GB"/>
        </w:rPr>
        <w:t>,</w:t>
      </w:r>
      <w:r w:rsidRPr="000231E4">
        <w:rPr>
          <w:rFonts w:eastAsia="Times New Roman" w:cs="Arial"/>
          <w:color w:val="222222"/>
          <w:szCs w:val="20"/>
          <w:shd w:val="clear" w:color="auto" w:fill="FFFFFF"/>
          <w:lang w:eastAsia="en-GB"/>
        </w:rPr>
        <w:t> </w:t>
      </w:r>
      <w:r w:rsidRPr="00DB2B64">
        <w:rPr>
          <w:rFonts w:eastAsia="Times New Roman" w:cs="Arial"/>
          <w:i/>
          <w:iCs/>
          <w:color w:val="222222"/>
          <w:szCs w:val="20"/>
          <w:lang w:eastAsia="en-GB"/>
        </w:rPr>
        <w:t>22</w:t>
      </w:r>
      <w:r w:rsidRPr="00DB2B64">
        <w:rPr>
          <w:rFonts w:eastAsia="Times New Roman" w:cs="Arial"/>
          <w:color w:val="222222"/>
          <w:szCs w:val="20"/>
          <w:shd w:val="clear" w:color="auto" w:fill="FFFFFF"/>
          <w:lang w:eastAsia="en-GB"/>
        </w:rPr>
        <w:t>(3), pp.326-347.</w:t>
      </w:r>
    </w:p>
    <w:p w14:paraId="74C75330" w14:textId="77777777" w:rsidR="00C05412" w:rsidRPr="000231E4" w:rsidRDefault="00C05412" w:rsidP="00DB2B64">
      <w:pPr>
        <w:spacing w:after="0" w:line="240" w:lineRule="auto"/>
        <w:rPr>
          <w:rFonts w:eastAsia="Times New Roman" w:cs="Arial"/>
          <w:color w:val="222222"/>
          <w:szCs w:val="20"/>
          <w:shd w:val="clear" w:color="auto" w:fill="FFFFFF"/>
          <w:lang w:eastAsia="en-GB"/>
        </w:rPr>
      </w:pPr>
    </w:p>
    <w:p w14:paraId="0F76E0EE" w14:textId="1DCF4935" w:rsidR="00C05412" w:rsidRDefault="00C05412" w:rsidP="00DB2B64">
      <w:pPr>
        <w:spacing w:after="0" w:line="240" w:lineRule="auto"/>
        <w:rPr>
          <w:rFonts w:eastAsia="Times New Roman" w:cs="Arial"/>
          <w:color w:val="222222"/>
          <w:szCs w:val="20"/>
          <w:shd w:val="clear" w:color="auto" w:fill="FFFFFF"/>
          <w:lang w:eastAsia="en-GB"/>
        </w:rPr>
      </w:pPr>
      <w:r>
        <w:rPr>
          <w:rFonts w:eastAsia="Times New Roman" w:cs="Arial"/>
          <w:color w:val="222222"/>
          <w:szCs w:val="20"/>
          <w:shd w:val="clear" w:color="auto" w:fill="FFFFFF"/>
          <w:lang w:eastAsia="en-GB"/>
        </w:rPr>
        <w:t>McLeod, S. (</w:t>
      </w:r>
      <w:r w:rsidRPr="00DB2B64">
        <w:rPr>
          <w:rFonts w:eastAsia="Times New Roman" w:cs="Arial"/>
          <w:color w:val="222222"/>
          <w:szCs w:val="20"/>
          <w:shd w:val="clear" w:color="auto" w:fill="FFFFFF"/>
          <w:lang w:eastAsia="en-GB"/>
        </w:rPr>
        <w:t>2007</w:t>
      </w:r>
      <w:r>
        <w:rPr>
          <w:rFonts w:eastAsia="Times New Roman" w:cs="Arial"/>
          <w:color w:val="222222"/>
          <w:szCs w:val="20"/>
          <w:shd w:val="clear" w:color="auto" w:fill="FFFFFF"/>
          <w:lang w:eastAsia="en-GB"/>
        </w:rPr>
        <w:t>)</w:t>
      </w:r>
      <w:r w:rsidRPr="00DB2B64">
        <w:rPr>
          <w:rFonts w:eastAsia="Times New Roman" w:cs="Arial"/>
          <w:color w:val="222222"/>
          <w:szCs w:val="20"/>
          <w:shd w:val="clear" w:color="auto" w:fill="FFFFFF"/>
          <w:lang w:eastAsia="en-GB"/>
        </w:rPr>
        <w:t>. Lev Vygotsky.</w:t>
      </w:r>
      <w:r w:rsidRPr="000231E4">
        <w:rPr>
          <w:rFonts w:eastAsia="Times New Roman" w:cs="Arial"/>
          <w:color w:val="222222"/>
          <w:szCs w:val="20"/>
          <w:shd w:val="clear" w:color="auto" w:fill="FFFFFF"/>
          <w:lang w:eastAsia="en-GB"/>
        </w:rPr>
        <w:t> </w:t>
      </w:r>
      <w:r w:rsidRPr="00DB2B64">
        <w:rPr>
          <w:rFonts w:eastAsia="Times New Roman" w:cs="Arial"/>
          <w:i/>
          <w:iCs/>
          <w:color w:val="222222"/>
          <w:szCs w:val="20"/>
          <w:lang w:eastAsia="en-GB"/>
        </w:rPr>
        <w:t>Simply Psychology</w:t>
      </w:r>
      <w:r w:rsidRPr="00DB2B64">
        <w:rPr>
          <w:rFonts w:eastAsia="Times New Roman" w:cs="Arial"/>
          <w:color w:val="222222"/>
          <w:szCs w:val="20"/>
          <w:shd w:val="clear" w:color="auto" w:fill="FFFFFF"/>
          <w:lang w:eastAsia="en-GB"/>
        </w:rPr>
        <w:t>,</w:t>
      </w:r>
      <w:r w:rsidRPr="000231E4">
        <w:rPr>
          <w:rFonts w:eastAsia="Times New Roman" w:cs="Arial"/>
          <w:color w:val="222222"/>
          <w:szCs w:val="20"/>
          <w:shd w:val="clear" w:color="auto" w:fill="FFFFFF"/>
          <w:lang w:eastAsia="en-GB"/>
        </w:rPr>
        <w:t> </w:t>
      </w:r>
      <w:r w:rsidRPr="00DB2B64">
        <w:rPr>
          <w:rFonts w:eastAsia="Times New Roman" w:cs="Arial"/>
          <w:i/>
          <w:iCs/>
          <w:color w:val="222222"/>
          <w:szCs w:val="20"/>
          <w:lang w:eastAsia="en-GB"/>
        </w:rPr>
        <w:t>7</w:t>
      </w:r>
      <w:r w:rsidRPr="00DB2B64">
        <w:rPr>
          <w:rFonts w:eastAsia="Times New Roman" w:cs="Arial"/>
          <w:color w:val="222222"/>
          <w:szCs w:val="20"/>
          <w:shd w:val="clear" w:color="auto" w:fill="FFFFFF"/>
          <w:lang w:eastAsia="en-GB"/>
        </w:rPr>
        <w:t>.</w:t>
      </w:r>
    </w:p>
    <w:p w14:paraId="343837F8" w14:textId="77777777" w:rsidR="00C05412" w:rsidRPr="000231E4" w:rsidRDefault="00C05412" w:rsidP="00DB2B64">
      <w:pPr>
        <w:spacing w:after="0" w:line="240" w:lineRule="auto"/>
        <w:rPr>
          <w:rFonts w:eastAsia="Times New Roman" w:cs="Arial"/>
          <w:color w:val="222222"/>
          <w:szCs w:val="20"/>
          <w:shd w:val="clear" w:color="auto" w:fill="FFFFFF"/>
          <w:lang w:eastAsia="en-GB"/>
        </w:rPr>
      </w:pPr>
    </w:p>
    <w:p w14:paraId="5E9FC880" w14:textId="6BC7E408" w:rsidR="00C05412" w:rsidRDefault="00C05412" w:rsidP="00795642">
      <w:pPr>
        <w:spacing w:after="0" w:line="240" w:lineRule="auto"/>
        <w:rPr>
          <w:rFonts w:eastAsia="Times New Roman" w:cs="Arial"/>
          <w:color w:val="222222"/>
          <w:szCs w:val="20"/>
          <w:shd w:val="clear" w:color="auto" w:fill="FFFFFF"/>
          <w:lang w:eastAsia="en-GB"/>
        </w:rPr>
      </w:pPr>
      <w:r>
        <w:rPr>
          <w:rFonts w:eastAsia="Times New Roman" w:cs="Arial"/>
          <w:color w:val="222222"/>
          <w:szCs w:val="20"/>
          <w:shd w:val="clear" w:color="auto" w:fill="FFFFFF"/>
          <w:lang w:eastAsia="en-GB"/>
        </w:rPr>
        <w:t>Mooney, C.G.</w:t>
      </w:r>
      <w:r w:rsidRPr="00795642">
        <w:rPr>
          <w:rFonts w:eastAsia="Times New Roman" w:cs="Arial"/>
          <w:color w:val="222222"/>
          <w:szCs w:val="20"/>
          <w:shd w:val="clear" w:color="auto" w:fill="FFFFFF"/>
          <w:lang w:eastAsia="en-GB"/>
        </w:rPr>
        <w:t xml:space="preserve"> </w:t>
      </w:r>
      <w:r>
        <w:rPr>
          <w:rFonts w:eastAsia="Times New Roman" w:cs="Arial"/>
          <w:color w:val="222222"/>
          <w:szCs w:val="20"/>
          <w:shd w:val="clear" w:color="auto" w:fill="FFFFFF"/>
          <w:lang w:eastAsia="en-GB"/>
        </w:rPr>
        <w:t>(</w:t>
      </w:r>
      <w:r w:rsidRPr="00795642">
        <w:rPr>
          <w:rFonts w:eastAsia="Times New Roman" w:cs="Arial"/>
          <w:color w:val="222222"/>
          <w:szCs w:val="20"/>
          <w:shd w:val="clear" w:color="auto" w:fill="FFFFFF"/>
          <w:lang w:eastAsia="en-GB"/>
        </w:rPr>
        <w:t>2013</w:t>
      </w:r>
      <w:r>
        <w:rPr>
          <w:rFonts w:eastAsia="Times New Roman" w:cs="Arial"/>
          <w:color w:val="222222"/>
          <w:szCs w:val="20"/>
          <w:shd w:val="clear" w:color="auto" w:fill="FFFFFF"/>
          <w:lang w:eastAsia="en-GB"/>
        </w:rPr>
        <w:t>)</w:t>
      </w:r>
      <w:r w:rsidRPr="00795642">
        <w:rPr>
          <w:rFonts w:eastAsia="Times New Roman" w:cs="Arial"/>
          <w:color w:val="222222"/>
          <w:szCs w:val="20"/>
          <w:shd w:val="clear" w:color="auto" w:fill="FFFFFF"/>
          <w:lang w:eastAsia="en-GB"/>
        </w:rPr>
        <w:t>.</w:t>
      </w:r>
      <w:r w:rsidRPr="000231E4">
        <w:rPr>
          <w:rFonts w:eastAsia="Times New Roman" w:cs="Arial"/>
          <w:color w:val="222222"/>
          <w:szCs w:val="20"/>
          <w:shd w:val="clear" w:color="auto" w:fill="FFFFFF"/>
          <w:lang w:eastAsia="en-GB"/>
        </w:rPr>
        <w:t> </w:t>
      </w:r>
      <w:r w:rsidRPr="00795642">
        <w:rPr>
          <w:rFonts w:eastAsia="Times New Roman" w:cs="Arial"/>
          <w:i/>
          <w:iCs/>
          <w:color w:val="222222"/>
          <w:szCs w:val="20"/>
          <w:lang w:eastAsia="en-GB"/>
        </w:rPr>
        <w:t>Theories of Childhood: An Introduction to Dewey, Montessori, Erikson, Piaget &amp; Vygotsky</w:t>
      </w:r>
      <w:r w:rsidRPr="00795642">
        <w:rPr>
          <w:rFonts w:eastAsia="Times New Roman" w:cs="Arial"/>
          <w:color w:val="222222"/>
          <w:szCs w:val="20"/>
          <w:shd w:val="clear" w:color="auto" w:fill="FFFFFF"/>
          <w:lang w:eastAsia="en-GB"/>
        </w:rPr>
        <w:t xml:space="preserve">. </w:t>
      </w:r>
      <w:proofErr w:type="spellStart"/>
      <w:r w:rsidRPr="00795642">
        <w:rPr>
          <w:rFonts w:eastAsia="Times New Roman" w:cs="Arial"/>
          <w:color w:val="222222"/>
          <w:szCs w:val="20"/>
          <w:shd w:val="clear" w:color="auto" w:fill="FFFFFF"/>
          <w:lang w:eastAsia="en-GB"/>
        </w:rPr>
        <w:t>Redleaf</w:t>
      </w:r>
      <w:proofErr w:type="spellEnd"/>
      <w:r w:rsidRPr="00795642">
        <w:rPr>
          <w:rFonts w:eastAsia="Times New Roman" w:cs="Arial"/>
          <w:color w:val="222222"/>
          <w:szCs w:val="20"/>
          <w:shd w:val="clear" w:color="auto" w:fill="FFFFFF"/>
          <w:lang w:eastAsia="en-GB"/>
        </w:rPr>
        <w:t xml:space="preserve"> Press.</w:t>
      </w:r>
    </w:p>
    <w:p w14:paraId="6E83F6EC" w14:textId="77777777" w:rsidR="00C05412" w:rsidRDefault="00C05412" w:rsidP="00795642">
      <w:pPr>
        <w:spacing w:after="0" w:line="240" w:lineRule="auto"/>
        <w:rPr>
          <w:rFonts w:eastAsia="Times New Roman" w:cs="Arial"/>
          <w:color w:val="222222"/>
          <w:szCs w:val="20"/>
          <w:shd w:val="clear" w:color="auto" w:fill="FFFFFF"/>
          <w:lang w:eastAsia="en-GB"/>
        </w:rPr>
      </w:pPr>
    </w:p>
    <w:p w14:paraId="32DBBFA0" w14:textId="57A4AADA" w:rsidR="00C05412" w:rsidRDefault="00C05412" w:rsidP="006B418F">
      <w:pPr>
        <w:spacing w:after="0" w:line="240" w:lineRule="auto"/>
        <w:rPr>
          <w:rFonts w:eastAsia="Times New Roman" w:cs="Arial"/>
          <w:color w:val="222222"/>
          <w:szCs w:val="20"/>
          <w:shd w:val="clear" w:color="auto" w:fill="FFFFFF"/>
          <w:lang w:eastAsia="en-GB"/>
        </w:rPr>
      </w:pPr>
      <w:r>
        <w:rPr>
          <w:rFonts w:eastAsia="Times New Roman" w:cs="Arial"/>
          <w:color w:val="222222"/>
          <w:szCs w:val="20"/>
          <w:shd w:val="clear" w:color="auto" w:fill="FFFFFF"/>
          <w:lang w:eastAsia="en-GB"/>
        </w:rPr>
        <w:t>Piaget, J. (</w:t>
      </w:r>
      <w:r w:rsidRPr="006B418F">
        <w:rPr>
          <w:rFonts w:eastAsia="Times New Roman" w:cs="Arial"/>
          <w:color w:val="222222"/>
          <w:szCs w:val="20"/>
          <w:shd w:val="clear" w:color="auto" w:fill="FFFFFF"/>
          <w:lang w:eastAsia="en-GB"/>
        </w:rPr>
        <w:t>1964</w:t>
      </w:r>
      <w:r>
        <w:rPr>
          <w:rFonts w:eastAsia="Times New Roman" w:cs="Arial"/>
          <w:color w:val="222222"/>
          <w:szCs w:val="20"/>
          <w:shd w:val="clear" w:color="auto" w:fill="FFFFFF"/>
          <w:lang w:eastAsia="en-GB"/>
        </w:rPr>
        <w:t>). Part I: Cognitive D</w:t>
      </w:r>
      <w:r w:rsidRPr="006B418F">
        <w:rPr>
          <w:rFonts w:eastAsia="Times New Roman" w:cs="Arial"/>
          <w:color w:val="222222"/>
          <w:szCs w:val="20"/>
          <w:shd w:val="clear" w:color="auto" w:fill="FFFFFF"/>
          <w:lang w:eastAsia="en-GB"/>
        </w:rPr>
        <w:t>eve</w:t>
      </w:r>
      <w:r>
        <w:rPr>
          <w:rFonts w:eastAsia="Times New Roman" w:cs="Arial"/>
          <w:color w:val="222222"/>
          <w:szCs w:val="20"/>
          <w:shd w:val="clear" w:color="auto" w:fill="FFFFFF"/>
          <w:lang w:eastAsia="en-GB"/>
        </w:rPr>
        <w:t>lopment in Children: Piaget Development and L</w:t>
      </w:r>
      <w:r w:rsidRPr="006B418F">
        <w:rPr>
          <w:rFonts w:eastAsia="Times New Roman" w:cs="Arial"/>
          <w:color w:val="222222"/>
          <w:szCs w:val="20"/>
          <w:shd w:val="clear" w:color="auto" w:fill="FFFFFF"/>
          <w:lang w:eastAsia="en-GB"/>
        </w:rPr>
        <w:t>earning.</w:t>
      </w:r>
      <w:r w:rsidRPr="000231E4">
        <w:rPr>
          <w:rFonts w:eastAsia="Times New Roman" w:cs="Arial"/>
          <w:color w:val="222222"/>
          <w:szCs w:val="20"/>
          <w:shd w:val="clear" w:color="auto" w:fill="FFFFFF"/>
          <w:lang w:eastAsia="en-GB"/>
        </w:rPr>
        <w:t> </w:t>
      </w:r>
      <w:r>
        <w:rPr>
          <w:rFonts w:eastAsia="Times New Roman" w:cs="Arial"/>
          <w:i/>
          <w:iCs/>
          <w:color w:val="222222"/>
          <w:szCs w:val="20"/>
          <w:lang w:eastAsia="en-GB"/>
        </w:rPr>
        <w:t>Journal of Research in Science T</w:t>
      </w:r>
      <w:r w:rsidRPr="006B418F">
        <w:rPr>
          <w:rFonts w:eastAsia="Times New Roman" w:cs="Arial"/>
          <w:i/>
          <w:iCs/>
          <w:color w:val="222222"/>
          <w:szCs w:val="20"/>
          <w:lang w:eastAsia="en-GB"/>
        </w:rPr>
        <w:t>eaching</w:t>
      </w:r>
      <w:r w:rsidRPr="006B418F">
        <w:rPr>
          <w:rFonts w:eastAsia="Times New Roman" w:cs="Arial"/>
          <w:color w:val="222222"/>
          <w:szCs w:val="20"/>
          <w:shd w:val="clear" w:color="auto" w:fill="FFFFFF"/>
          <w:lang w:eastAsia="en-GB"/>
        </w:rPr>
        <w:t>,</w:t>
      </w:r>
      <w:r w:rsidRPr="000231E4">
        <w:rPr>
          <w:rFonts w:eastAsia="Times New Roman" w:cs="Arial"/>
          <w:color w:val="222222"/>
          <w:szCs w:val="20"/>
          <w:shd w:val="clear" w:color="auto" w:fill="FFFFFF"/>
          <w:lang w:eastAsia="en-GB"/>
        </w:rPr>
        <w:t> </w:t>
      </w:r>
      <w:r w:rsidRPr="006B418F">
        <w:rPr>
          <w:rFonts w:eastAsia="Times New Roman" w:cs="Arial"/>
          <w:i/>
          <w:iCs/>
          <w:color w:val="222222"/>
          <w:szCs w:val="20"/>
          <w:lang w:eastAsia="en-GB"/>
        </w:rPr>
        <w:t>2</w:t>
      </w:r>
      <w:r w:rsidRPr="006B418F">
        <w:rPr>
          <w:rFonts w:eastAsia="Times New Roman" w:cs="Arial"/>
          <w:color w:val="222222"/>
          <w:szCs w:val="20"/>
          <w:shd w:val="clear" w:color="auto" w:fill="FFFFFF"/>
          <w:lang w:eastAsia="en-GB"/>
        </w:rPr>
        <w:t>(3), pp.176-186.</w:t>
      </w:r>
    </w:p>
    <w:p w14:paraId="633B556B" w14:textId="77777777" w:rsidR="00C05412" w:rsidRPr="000231E4" w:rsidRDefault="00C05412" w:rsidP="006B418F">
      <w:pPr>
        <w:spacing w:after="0" w:line="240" w:lineRule="auto"/>
        <w:rPr>
          <w:rFonts w:eastAsia="Times New Roman" w:cs="Arial"/>
          <w:color w:val="222222"/>
          <w:szCs w:val="20"/>
          <w:shd w:val="clear" w:color="auto" w:fill="FFFFFF"/>
          <w:lang w:eastAsia="en-GB"/>
        </w:rPr>
      </w:pPr>
    </w:p>
    <w:p w14:paraId="335330E5" w14:textId="7648DD1C" w:rsidR="00C05412" w:rsidRDefault="00C05412" w:rsidP="00EB699C">
      <w:pPr>
        <w:spacing w:after="0" w:line="240" w:lineRule="auto"/>
        <w:rPr>
          <w:rFonts w:eastAsia="Times New Roman" w:cs="Times New Roman"/>
          <w:lang w:eastAsia="en-GB"/>
        </w:rPr>
      </w:pPr>
      <w:r>
        <w:rPr>
          <w:rFonts w:eastAsia="Times New Roman" w:cs="Times New Roman"/>
          <w:lang w:eastAsia="en-GB"/>
        </w:rPr>
        <w:t>Rose, S.A.</w:t>
      </w:r>
      <w:r w:rsidRPr="00EB699C">
        <w:rPr>
          <w:rFonts w:eastAsia="Times New Roman" w:cs="Times New Roman"/>
          <w:lang w:eastAsia="en-GB"/>
        </w:rPr>
        <w:t xml:space="preserve"> Fe</w:t>
      </w:r>
      <w:r>
        <w:rPr>
          <w:rFonts w:eastAsia="Times New Roman" w:cs="Times New Roman"/>
          <w:lang w:eastAsia="en-GB"/>
        </w:rPr>
        <w:t>ldman, J.F. and Jankowski, J.J.</w:t>
      </w:r>
      <w:r w:rsidRPr="00EB699C">
        <w:rPr>
          <w:rFonts w:eastAsia="Times New Roman" w:cs="Times New Roman"/>
          <w:lang w:eastAsia="en-GB"/>
        </w:rPr>
        <w:t xml:space="preserve"> </w:t>
      </w:r>
      <w:r>
        <w:rPr>
          <w:rFonts w:eastAsia="Times New Roman" w:cs="Times New Roman"/>
          <w:lang w:eastAsia="en-GB"/>
        </w:rPr>
        <w:t>(</w:t>
      </w:r>
      <w:r w:rsidRPr="00EB699C">
        <w:rPr>
          <w:rFonts w:eastAsia="Times New Roman" w:cs="Times New Roman"/>
          <w:lang w:eastAsia="en-GB"/>
        </w:rPr>
        <w:t>2009</w:t>
      </w:r>
      <w:r>
        <w:rPr>
          <w:rFonts w:eastAsia="Times New Roman" w:cs="Times New Roman"/>
          <w:lang w:eastAsia="en-GB"/>
        </w:rPr>
        <w:t>)</w:t>
      </w:r>
      <w:r w:rsidRPr="00EB699C">
        <w:rPr>
          <w:rFonts w:eastAsia="Times New Roman" w:cs="Times New Roman"/>
          <w:lang w:eastAsia="en-GB"/>
        </w:rPr>
        <w:t>. A cognitive approach to the development of early language. </w:t>
      </w:r>
      <w:r w:rsidRPr="00EB699C">
        <w:rPr>
          <w:rFonts w:eastAsia="Times New Roman" w:cs="Times New Roman"/>
          <w:i/>
          <w:iCs/>
          <w:lang w:eastAsia="en-GB"/>
        </w:rPr>
        <w:t>Child development</w:t>
      </w:r>
      <w:r w:rsidRPr="00EB699C">
        <w:rPr>
          <w:rFonts w:eastAsia="Times New Roman" w:cs="Times New Roman"/>
          <w:lang w:eastAsia="en-GB"/>
        </w:rPr>
        <w:t>, </w:t>
      </w:r>
      <w:r w:rsidRPr="00EB699C">
        <w:rPr>
          <w:rFonts w:eastAsia="Times New Roman" w:cs="Times New Roman"/>
          <w:i/>
          <w:iCs/>
          <w:lang w:eastAsia="en-GB"/>
        </w:rPr>
        <w:t>80</w:t>
      </w:r>
      <w:r w:rsidRPr="00EB699C">
        <w:rPr>
          <w:rFonts w:eastAsia="Times New Roman" w:cs="Times New Roman"/>
          <w:lang w:eastAsia="en-GB"/>
        </w:rPr>
        <w:t>(1), pp.134-150.</w:t>
      </w:r>
    </w:p>
    <w:p w14:paraId="645762F2" w14:textId="77777777" w:rsidR="00C05412" w:rsidRDefault="00C05412" w:rsidP="00EB699C">
      <w:pPr>
        <w:spacing w:after="0" w:line="240" w:lineRule="auto"/>
        <w:rPr>
          <w:rFonts w:eastAsia="Times New Roman" w:cs="Times New Roman"/>
          <w:lang w:eastAsia="en-GB"/>
        </w:rPr>
      </w:pPr>
    </w:p>
    <w:p w14:paraId="19879DE1" w14:textId="077BCDC9" w:rsidR="00C05412" w:rsidRDefault="00C05412" w:rsidP="001B7BC6">
      <w:pPr>
        <w:spacing w:after="0" w:line="240" w:lineRule="auto"/>
        <w:rPr>
          <w:rFonts w:eastAsia="Times New Roman" w:cs="Arial"/>
          <w:color w:val="222222"/>
          <w:szCs w:val="20"/>
          <w:shd w:val="clear" w:color="auto" w:fill="FFFFFF"/>
          <w:lang w:eastAsia="en-GB"/>
        </w:rPr>
      </w:pPr>
      <w:r>
        <w:rPr>
          <w:rFonts w:eastAsia="Times New Roman" w:cs="Arial"/>
          <w:color w:val="222222"/>
          <w:szCs w:val="20"/>
          <w:shd w:val="clear" w:color="auto" w:fill="FFFFFF"/>
          <w:lang w:eastAsia="en-GB"/>
        </w:rPr>
        <w:t xml:space="preserve">Slack, K.S. and </w:t>
      </w:r>
      <w:proofErr w:type="spellStart"/>
      <w:r>
        <w:rPr>
          <w:rFonts w:eastAsia="Times New Roman" w:cs="Arial"/>
          <w:color w:val="222222"/>
          <w:szCs w:val="20"/>
          <w:shd w:val="clear" w:color="auto" w:fill="FFFFFF"/>
          <w:lang w:eastAsia="en-GB"/>
        </w:rPr>
        <w:t>Yoo</w:t>
      </w:r>
      <w:proofErr w:type="spellEnd"/>
      <w:r>
        <w:rPr>
          <w:rFonts w:eastAsia="Times New Roman" w:cs="Arial"/>
          <w:color w:val="222222"/>
          <w:szCs w:val="20"/>
          <w:shd w:val="clear" w:color="auto" w:fill="FFFFFF"/>
          <w:lang w:eastAsia="en-GB"/>
        </w:rPr>
        <w:t>, J. (</w:t>
      </w:r>
      <w:r w:rsidRPr="001B7BC6">
        <w:rPr>
          <w:rFonts w:eastAsia="Times New Roman" w:cs="Arial"/>
          <w:color w:val="222222"/>
          <w:szCs w:val="20"/>
          <w:shd w:val="clear" w:color="auto" w:fill="FFFFFF"/>
          <w:lang w:eastAsia="en-GB"/>
        </w:rPr>
        <w:t>2005</w:t>
      </w:r>
      <w:r>
        <w:rPr>
          <w:rFonts w:eastAsia="Times New Roman" w:cs="Arial"/>
          <w:color w:val="222222"/>
          <w:szCs w:val="20"/>
          <w:shd w:val="clear" w:color="auto" w:fill="FFFFFF"/>
          <w:lang w:eastAsia="en-GB"/>
        </w:rPr>
        <w:t>). Food Hardship and Child B</w:t>
      </w:r>
      <w:r w:rsidRPr="001B7BC6">
        <w:rPr>
          <w:rFonts w:eastAsia="Times New Roman" w:cs="Arial"/>
          <w:color w:val="222222"/>
          <w:szCs w:val="20"/>
          <w:shd w:val="clear" w:color="auto" w:fill="FFFFFF"/>
          <w:lang w:eastAsia="en-GB"/>
        </w:rPr>
        <w:t>ehavio</w:t>
      </w:r>
      <w:r>
        <w:rPr>
          <w:rFonts w:eastAsia="Times New Roman" w:cs="Arial"/>
          <w:color w:val="222222"/>
          <w:szCs w:val="20"/>
          <w:shd w:val="clear" w:color="auto" w:fill="FFFFFF"/>
          <w:lang w:eastAsia="en-GB"/>
        </w:rPr>
        <w:t>ur Problems Among Low-income C</w:t>
      </w:r>
      <w:r w:rsidRPr="001B7BC6">
        <w:rPr>
          <w:rFonts w:eastAsia="Times New Roman" w:cs="Arial"/>
          <w:color w:val="222222"/>
          <w:szCs w:val="20"/>
          <w:shd w:val="clear" w:color="auto" w:fill="FFFFFF"/>
          <w:lang w:eastAsia="en-GB"/>
        </w:rPr>
        <w:t>hildren.</w:t>
      </w:r>
      <w:r w:rsidRPr="000231E4">
        <w:rPr>
          <w:rFonts w:eastAsia="Times New Roman" w:cs="Arial"/>
          <w:color w:val="222222"/>
          <w:szCs w:val="20"/>
          <w:shd w:val="clear" w:color="auto" w:fill="FFFFFF"/>
          <w:lang w:eastAsia="en-GB"/>
        </w:rPr>
        <w:t> </w:t>
      </w:r>
      <w:r w:rsidRPr="001B7BC6">
        <w:rPr>
          <w:rFonts w:eastAsia="Times New Roman" w:cs="Arial"/>
          <w:i/>
          <w:iCs/>
          <w:color w:val="222222"/>
          <w:szCs w:val="20"/>
          <w:lang w:eastAsia="en-GB"/>
        </w:rPr>
        <w:t>Social Service Review</w:t>
      </w:r>
      <w:r w:rsidRPr="001B7BC6">
        <w:rPr>
          <w:rFonts w:eastAsia="Times New Roman" w:cs="Arial"/>
          <w:color w:val="222222"/>
          <w:szCs w:val="20"/>
          <w:shd w:val="clear" w:color="auto" w:fill="FFFFFF"/>
          <w:lang w:eastAsia="en-GB"/>
        </w:rPr>
        <w:t>,</w:t>
      </w:r>
      <w:r w:rsidRPr="000231E4">
        <w:rPr>
          <w:rFonts w:eastAsia="Times New Roman" w:cs="Arial"/>
          <w:color w:val="222222"/>
          <w:szCs w:val="20"/>
          <w:shd w:val="clear" w:color="auto" w:fill="FFFFFF"/>
          <w:lang w:eastAsia="en-GB"/>
        </w:rPr>
        <w:t> </w:t>
      </w:r>
      <w:r w:rsidRPr="001B7BC6">
        <w:rPr>
          <w:rFonts w:eastAsia="Times New Roman" w:cs="Arial"/>
          <w:i/>
          <w:iCs/>
          <w:color w:val="222222"/>
          <w:szCs w:val="20"/>
          <w:lang w:eastAsia="en-GB"/>
        </w:rPr>
        <w:t>79</w:t>
      </w:r>
      <w:r w:rsidRPr="001B7BC6">
        <w:rPr>
          <w:rFonts w:eastAsia="Times New Roman" w:cs="Arial"/>
          <w:color w:val="222222"/>
          <w:szCs w:val="20"/>
          <w:shd w:val="clear" w:color="auto" w:fill="FFFFFF"/>
          <w:lang w:eastAsia="en-GB"/>
        </w:rPr>
        <w:t>(3), pp.511-536.</w:t>
      </w:r>
    </w:p>
    <w:p w14:paraId="339252C4" w14:textId="77777777" w:rsidR="00C05412" w:rsidRPr="000231E4" w:rsidRDefault="00C05412" w:rsidP="001B7BC6">
      <w:pPr>
        <w:spacing w:after="0" w:line="240" w:lineRule="auto"/>
        <w:rPr>
          <w:rFonts w:eastAsia="Times New Roman" w:cs="Arial"/>
          <w:color w:val="222222"/>
          <w:szCs w:val="20"/>
          <w:shd w:val="clear" w:color="auto" w:fill="FFFFFF"/>
          <w:lang w:eastAsia="en-GB"/>
        </w:rPr>
      </w:pPr>
    </w:p>
    <w:p w14:paraId="02C08EAB" w14:textId="0F7DEC44" w:rsidR="00C05412" w:rsidRDefault="00C05412" w:rsidP="007B588C">
      <w:pPr>
        <w:spacing w:after="0" w:line="240" w:lineRule="auto"/>
        <w:rPr>
          <w:rFonts w:eastAsia="Times New Roman" w:cs="Arial"/>
          <w:color w:val="222222"/>
          <w:szCs w:val="20"/>
          <w:shd w:val="clear" w:color="auto" w:fill="FFFFFF"/>
          <w:lang w:eastAsia="en-GB"/>
        </w:rPr>
      </w:pPr>
      <w:r>
        <w:rPr>
          <w:rFonts w:eastAsia="Times New Roman" w:cs="Arial"/>
          <w:color w:val="222222"/>
          <w:szCs w:val="20"/>
          <w:shd w:val="clear" w:color="auto" w:fill="FFFFFF"/>
          <w:lang w:eastAsia="en-GB"/>
        </w:rPr>
        <w:t xml:space="preserve">Slack, K.S. and </w:t>
      </w:r>
      <w:proofErr w:type="spellStart"/>
      <w:r>
        <w:rPr>
          <w:rFonts w:eastAsia="Times New Roman" w:cs="Arial"/>
          <w:color w:val="222222"/>
          <w:szCs w:val="20"/>
          <w:shd w:val="clear" w:color="auto" w:fill="FFFFFF"/>
          <w:lang w:eastAsia="en-GB"/>
        </w:rPr>
        <w:t>Yoo</w:t>
      </w:r>
      <w:proofErr w:type="spellEnd"/>
      <w:r>
        <w:rPr>
          <w:rFonts w:eastAsia="Times New Roman" w:cs="Arial"/>
          <w:color w:val="222222"/>
          <w:szCs w:val="20"/>
          <w:shd w:val="clear" w:color="auto" w:fill="FFFFFF"/>
          <w:lang w:eastAsia="en-GB"/>
        </w:rPr>
        <w:t>, J.</w:t>
      </w:r>
      <w:r w:rsidRPr="007B588C">
        <w:rPr>
          <w:rFonts w:eastAsia="Times New Roman" w:cs="Arial"/>
          <w:color w:val="222222"/>
          <w:szCs w:val="20"/>
          <w:shd w:val="clear" w:color="auto" w:fill="FFFFFF"/>
          <w:lang w:eastAsia="en-GB"/>
        </w:rPr>
        <w:t xml:space="preserve"> </w:t>
      </w:r>
      <w:r>
        <w:rPr>
          <w:rFonts w:eastAsia="Times New Roman" w:cs="Arial"/>
          <w:color w:val="222222"/>
          <w:szCs w:val="20"/>
          <w:shd w:val="clear" w:color="auto" w:fill="FFFFFF"/>
          <w:lang w:eastAsia="en-GB"/>
        </w:rPr>
        <w:t>(</w:t>
      </w:r>
      <w:r w:rsidRPr="007B588C">
        <w:rPr>
          <w:rFonts w:eastAsia="Times New Roman" w:cs="Arial"/>
          <w:color w:val="222222"/>
          <w:szCs w:val="20"/>
          <w:shd w:val="clear" w:color="auto" w:fill="FFFFFF"/>
          <w:lang w:eastAsia="en-GB"/>
        </w:rPr>
        <w:t>2005</w:t>
      </w:r>
      <w:r>
        <w:rPr>
          <w:rFonts w:eastAsia="Times New Roman" w:cs="Arial"/>
          <w:color w:val="222222"/>
          <w:szCs w:val="20"/>
          <w:shd w:val="clear" w:color="auto" w:fill="FFFFFF"/>
          <w:lang w:eastAsia="en-GB"/>
        </w:rPr>
        <w:t>). Food Hardship and Child B</w:t>
      </w:r>
      <w:r w:rsidRPr="007B588C">
        <w:rPr>
          <w:rFonts w:eastAsia="Times New Roman" w:cs="Arial"/>
          <w:color w:val="222222"/>
          <w:szCs w:val="20"/>
          <w:shd w:val="clear" w:color="auto" w:fill="FFFFFF"/>
          <w:lang w:eastAsia="en-GB"/>
        </w:rPr>
        <w:t>ehavio</w:t>
      </w:r>
      <w:r>
        <w:rPr>
          <w:rFonts w:eastAsia="Times New Roman" w:cs="Arial"/>
          <w:color w:val="222222"/>
          <w:szCs w:val="20"/>
          <w:shd w:val="clear" w:color="auto" w:fill="FFFFFF"/>
          <w:lang w:eastAsia="en-GB"/>
        </w:rPr>
        <w:t>ur Problems Among Low-income C</w:t>
      </w:r>
      <w:r w:rsidRPr="007B588C">
        <w:rPr>
          <w:rFonts w:eastAsia="Times New Roman" w:cs="Arial"/>
          <w:color w:val="222222"/>
          <w:szCs w:val="20"/>
          <w:shd w:val="clear" w:color="auto" w:fill="FFFFFF"/>
          <w:lang w:eastAsia="en-GB"/>
        </w:rPr>
        <w:t>hildren.</w:t>
      </w:r>
      <w:r w:rsidRPr="000231E4">
        <w:rPr>
          <w:rFonts w:eastAsia="Times New Roman" w:cs="Arial"/>
          <w:color w:val="222222"/>
          <w:szCs w:val="20"/>
          <w:shd w:val="clear" w:color="auto" w:fill="FFFFFF"/>
          <w:lang w:eastAsia="en-GB"/>
        </w:rPr>
        <w:t> </w:t>
      </w:r>
      <w:r w:rsidRPr="007B588C">
        <w:rPr>
          <w:rFonts w:eastAsia="Times New Roman" w:cs="Arial"/>
          <w:i/>
          <w:iCs/>
          <w:color w:val="222222"/>
          <w:szCs w:val="20"/>
          <w:lang w:eastAsia="en-GB"/>
        </w:rPr>
        <w:t>Social Service Review</w:t>
      </w:r>
      <w:r w:rsidRPr="007B588C">
        <w:rPr>
          <w:rFonts w:eastAsia="Times New Roman" w:cs="Arial"/>
          <w:color w:val="222222"/>
          <w:szCs w:val="20"/>
          <w:shd w:val="clear" w:color="auto" w:fill="FFFFFF"/>
          <w:lang w:eastAsia="en-GB"/>
        </w:rPr>
        <w:t>,</w:t>
      </w:r>
      <w:r w:rsidRPr="000231E4">
        <w:rPr>
          <w:rFonts w:eastAsia="Times New Roman" w:cs="Arial"/>
          <w:color w:val="222222"/>
          <w:szCs w:val="20"/>
          <w:shd w:val="clear" w:color="auto" w:fill="FFFFFF"/>
          <w:lang w:eastAsia="en-GB"/>
        </w:rPr>
        <w:t> </w:t>
      </w:r>
      <w:r w:rsidRPr="007B588C">
        <w:rPr>
          <w:rFonts w:eastAsia="Times New Roman" w:cs="Arial"/>
          <w:i/>
          <w:iCs/>
          <w:color w:val="222222"/>
          <w:szCs w:val="20"/>
          <w:lang w:eastAsia="en-GB"/>
        </w:rPr>
        <w:t>79</w:t>
      </w:r>
      <w:r w:rsidRPr="007B588C">
        <w:rPr>
          <w:rFonts w:eastAsia="Times New Roman" w:cs="Arial"/>
          <w:color w:val="222222"/>
          <w:szCs w:val="20"/>
          <w:shd w:val="clear" w:color="auto" w:fill="FFFFFF"/>
          <w:lang w:eastAsia="en-GB"/>
        </w:rPr>
        <w:t>(3), pp.511-536.</w:t>
      </w:r>
    </w:p>
    <w:p w14:paraId="6CDDB5FB" w14:textId="77777777" w:rsidR="00C05412" w:rsidRPr="007B588C" w:rsidRDefault="00C05412" w:rsidP="007B588C">
      <w:pPr>
        <w:spacing w:after="0" w:line="240" w:lineRule="auto"/>
        <w:rPr>
          <w:rFonts w:eastAsia="Times New Roman" w:cs="Times New Roman"/>
          <w:sz w:val="32"/>
          <w:szCs w:val="24"/>
          <w:lang w:eastAsia="en-GB"/>
        </w:rPr>
      </w:pPr>
    </w:p>
    <w:p w14:paraId="302DE600" w14:textId="77777777" w:rsidR="00C05412" w:rsidRDefault="00C05412" w:rsidP="00C05412">
      <w:pPr>
        <w:spacing w:after="0" w:line="240" w:lineRule="auto"/>
        <w:rPr>
          <w:rFonts w:eastAsia="Times New Roman" w:cs="Times New Roman"/>
          <w:lang w:eastAsia="en-GB"/>
        </w:rPr>
      </w:pPr>
      <w:proofErr w:type="spellStart"/>
      <w:r w:rsidRPr="00C05412">
        <w:rPr>
          <w:rFonts w:eastAsia="Times New Roman" w:cs="Times New Roman"/>
          <w:lang w:eastAsia="en-GB"/>
        </w:rPr>
        <w:t>Statswales.gov.wales</w:t>
      </w:r>
      <w:proofErr w:type="spellEnd"/>
      <w:r w:rsidRPr="00C05412">
        <w:rPr>
          <w:rFonts w:eastAsia="Times New Roman" w:cs="Times New Roman"/>
          <w:lang w:eastAsia="en-GB"/>
        </w:rPr>
        <w:t>. (2018). </w:t>
      </w:r>
      <w:r w:rsidRPr="00C05412">
        <w:rPr>
          <w:rFonts w:eastAsia="Times New Roman" w:cs="Times New Roman"/>
          <w:i/>
          <w:iCs/>
          <w:lang w:eastAsia="en-GB"/>
        </w:rPr>
        <w:t>Pupils eligible for free school meals by local authority, region and year</w:t>
      </w:r>
      <w:r w:rsidRPr="00C05412">
        <w:rPr>
          <w:rFonts w:eastAsia="Times New Roman" w:cs="Times New Roman"/>
          <w:lang w:eastAsia="en-GB"/>
        </w:rPr>
        <w:t>. [online] Available at: https://statswales.gov.wales/Catalogue/Education-and-Skills/Schools-and-Teachers/Schools-Census/Pupil-Level-Annual-School-Census/Provision-of-Meals-and-Milk/pupilseligibleforfreeschoolmeals-by-localauthorityregion-year [Accessed 13 Jan. 2018].</w:t>
      </w:r>
    </w:p>
    <w:p w14:paraId="6BDD6A76" w14:textId="109B50C1" w:rsidR="00C05412" w:rsidRDefault="00C05412" w:rsidP="00C05412">
      <w:pPr>
        <w:spacing w:after="0" w:line="240" w:lineRule="auto"/>
        <w:rPr>
          <w:rFonts w:eastAsia="Times New Roman" w:cs="Times New Roman"/>
          <w:lang w:eastAsia="en-GB"/>
        </w:rPr>
      </w:pPr>
      <w:r w:rsidRPr="00C05412">
        <w:rPr>
          <w:rFonts w:eastAsia="Times New Roman" w:cs="Times New Roman"/>
          <w:lang w:eastAsia="en-GB"/>
        </w:rPr>
        <w:lastRenderedPageBreak/>
        <w:t>Stevenson, J.</w:t>
      </w:r>
      <w:r>
        <w:rPr>
          <w:rFonts w:eastAsia="Times New Roman" w:cs="Times New Roman"/>
          <w:lang w:eastAsia="en-GB"/>
        </w:rPr>
        <w:t xml:space="preserve"> (</w:t>
      </w:r>
      <w:r w:rsidRPr="00C05412">
        <w:rPr>
          <w:rFonts w:eastAsia="Times New Roman" w:cs="Times New Roman"/>
          <w:lang w:eastAsia="en-GB"/>
        </w:rPr>
        <w:t>2006</w:t>
      </w:r>
      <w:r>
        <w:rPr>
          <w:rFonts w:eastAsia="Times New Roman" w:cs="Times New Roman"/>
          <w:lang w:eastAsia="en-GB"/>
        </w:rPr>
        <w:t>)</w:t>
      </w:r>
      <w:r w:rsidRPr="00C05412">
        <w:rPr>
          <w:rFonts w:eastAsia="Times New Roman" w:cs="Times New Roman"/>
          <w:lang w:eastAsia="en-GB"/>
        </w:rPr>
        <w:t xml:space="preserve">. Dietary </w:t>
      </w:r>
      <w:r>
        <w:rPr>
          <w:rFonts w:eastAsia="Times New Roman" w:cs="Times New Roman"/>
          <w:lang w:eastAsia="en-GB"/>
        </w:rPr>
        <w:t>I</w:t>
      </w:r>
      <w:r w:rsidRPr="00C05412">
        <w:rPr>
          <w:rFonts w:eastAsia="Times New Roman" w:cs="Times New Roman"/>
          <w:lang w:eastAsia="en-GB"/>
        </w:rPr>
        <w:t xml:space="preserve">nfluences on </w:t>
      </w:r>
      <w:r>
        <w:rPr>
          <w:rFonts w:eastAsia="Times New Roman" w:cs="Times New Roman"/>
          <w:lang w:eastAsia="en-GB"/>
        </w:rPr>
        <w:t>C</w:t>
      </w:r>
      <w:r w:rsidRPr="00C05412">
        <w:rPr>
          <w:rFonts w:eastAsia="Times New Roman" w:cs="Times New Roman"/>
          <w:lang w:eastAsia="en-GB"/>
        </w:rPr>
        <w:t xml:space="preserve">ognitive </w:t>
      </w:r>
      <w:r>
        <w:rPr>
          <w:rFonts w:eastAsia="Times New Roman" w:cs="Times New Roman"/>
          <w:lang w:eastAsia="en-GB"/>
        </w:rPr>
        <w:t>D</w:t>
      </w:r>
      <w:r w:rsidRPr="00C05412">
        <w:rPr>
          <w:rFonts w:eastAsia="Times New Roman" w:cs="Times New Roman"/>
          <w:lang w:eastAsia="en-GB"/>
        </w:rPr>
        <w:t xml:space="preserve">evelopment and </w:t>
      </w:r>
      <w:r>
        <w:rPr>
          <w:rFonts w:eastAsia="Times New Roman" w:cs="Times New Roman"/>
          <w:lang w:eastAsia="en-GB"/>
        </w:rPr>
        <w:t>B</w:t>
      </w:r>
      <w:r w:rsidRPr="00C05412">
        <w:rPr>
          <w:rFonts w:eastAsia="Times New Roman" w:cs="Times New Roman"/>
          <w:lang w:eastAsia="en-GB"/>
        </w:rPr>
        <w:t xml:space="preserve">ehaviour in </w:t>
      </w:r>
      <w:r>
        <w:rPr>
          <w:rFonts w:eastAsia="Times New Roman" w:cs="Times New Roman"/>
          <w:lang w:eastAsia="en-GB"/>
        </w:rPr>
        <w:t>C</w:t>
      </w:r>
      <w:r w:rsidRPr="00C05412">
        <w:rPr>
          <w:rFonts w:eastAsia="Times New Roman" w:cs="Times New Roman"/>
          <w:lang w:eastAsia="en-GB"/>
        </w:rPr>
        <w:t xml:space="preserve">hildren. </w:t>
      </w:r>
      <w:r w:rsidRPr="00C05412">
        <w:rPr>
          <w:rFonts w:eastAsia="Times New Roman" w:cs="Times New Roman"/>
          <w:i/>
          <w:lang w:eastAsia="en-GB"/>
        </w:rPr>
        <w:t>Proceedings of the Nutrition Society</w:t>
      </w:r>
      <w:r w:rsidRPr="00C05412">
        <w:rPr>
          <w:rFonts w:eastAsia="Times New Roman" w:cs="Times New Roman"/>
          <w:lang w:eastAsia="en-GB"/>
        </w:rPr>
        <w:t>, 65(4), pp.361-365.</w:t>
      </w:r>
    </w:p>
    <w:p w14:paraId="3175A540" w14:textId="77777777" w:rsidR="00C05412" w:rsidRDefault="00C05412" w:rsidP="00C05412">
      <w:pPr>
        <w:spacing w:after="0" w:line="240" w:lineRule="auto"/>
        <w:rPr>
          <w:rFonts w:eastAsia="Times New Roman" w:cs="Times New Roman"/>
          <w:lang w:eastAsia="en-GB"/>
        </w:rPr>
      </w:pPr>
    </w:p>
    <w:p w14:paraId="284A2741" w14:textId="09515761" w:rsidR="00C05412" w:rsidRDefault="00C05412" w:rsidP="00DB2B64">
      <w:pPr>
        <w:spacing w:after="0" w:line="240" w:lineRule="auto"/>
        <w:rPr>
          <w:rFonts w:eastAsia="Times New Roman" w:cs="Arial"/>
          <w:color w:val="222222"/>
          <w:szCs w:val="20"/>
          <w:shd w:val="clear" w:color="auto" w:fill="FFFFFF"/>
          <w:lang w:eastAsia="en-GB"/>
        </w:rPr>
      </w:pPr>
      <w:r>
        <w:rPr>
          <w:rFonts w:eastAsia="Times New Roman" w:cs="Arial"/>
          <w:color w:val="222222"/>
          <w:szCs w:val="20"/>
          <w:shd w:val="clear" w:color="auto" w:fill="FFFFFF"/>
          <w:lang w:eastAsia="en-GB"/>
        </w:rPr>
        <w:t>Townsend, P.</w:t>
      </w:r>
      <w:r w:rsidRPr="00DB2B64">
        <w:rPr>
          <w:rFonts w:eastAsia="Times New Roman" w:cs="Arial"/>
          <w:color w:val="222222"/>
          <w:szCs w:val="20"/>
          <w:shd w:val="clear" w:color="auto" w:fill="FFFFFF"/>
          <w:lang w:eastAsia="en-GB"/>
        </w:rPr>
        <w:t xml:space="preserve"> </w:t>
      </w:r>
      <w:r>
        <w:rPr>
          <w:rFonts w:eastAsia="Times New Roman" w:cs="Arial"/>
          <w:color w:val="222222"/>
          <w:szCs w:val="20"/>
          <w:shd w:val="clear" w:color="auto" w:fill="FFFFFF"/>
          <w:lang w:eastAsia="en-GB"/>
        </w:rPr>
        <w:t>(</w:t>
      </w:r>
      <w:r w:rsidRPr="00DB2B64">
        <w:rPr>
          <w:rFonts w:eastAsia="Times New Roman" w:cs="Arial"/>
          <w:color w:val="222222"/>
          <w:szCs w:val="20"/>
          <w:shd w:val="clear" w:color="auto" w:fill="FFFFFF"/>
          <w:lang w:eastAsia="en-GB"/>
        </w:rPr>
        <w:t>1979</w:t>
      </w:r>
      <w:r>
        <w:rPr>
          <w:rFonts w:eastAsia="Times New Roman" w:cs="Arial"/>
          <w:color w:val="222222"/>
          <w:szCs w:val="20"/>
          <w:shd w:val="clear" w:color="auto" w:fill="FFFFFF"/>
          <w:lang w:eastAsia="en-GB"/>
        </w:rPr>
        <w:t>)</w:t>
      </w:r>
      <w:r w:rsidRPr="00DB2B64">
        <w:rPr>
          <w:rFonts w:eastAsia="Times New Roman" w:cs="Arial"/>
          <w:color w:val="222222"/>
          <w:szCs w:val="20"/>
          <w:shd w:val="clear" w:color="auto" w:fill="FFFFFF"/>
          <w:lang w:eastAsia="en-GB"/>
        </w:rPr>
        <w:t>.</w:t>
      </w:r>
      <w:r w:rsidRPr="000231E4">
        <w:rPr>
          <w:rFonts w:eastAsia="Times New Roman" w:cs="Arial"/>
          <w:color w:val="222222"/>
          <w:szCs w:val="20"/>
          <w:shd w:val="clear" w:color="auto" w:fill="FFFFFF"/>
          <w:lang w:eastAsia="en-GB"/>
        </w:rPr>
        <w:t> </w:t>
      </w:r>
      <w:r w:rsidRPr="00DB2B64">
        <w:rPr>
          <w:rFonts w:eastAsia="Times New Roman" w:cs="Arial"/>
          <w:i/>
          <w:iCs/>
          <w:color w:val="222222"/>
          <w:szCs w:val="20"/>
          <w:lang w:eastAsia="en-GB"/>
        </w:rPr>
        <w:t>Po</w:t>
      </w:r>
      <w:r>
        <w:rPr>
          <w:rFonts w:eastAsia="Times New Roman" w:cs="Arial"/>
          <w:i/>
          <w:iCs/>
          <w:color w:val="222222"/>
          <w:szCs w:val="20"/>
          <w:lang w:eastAsia="en-GB"/>
        </w:rPr>
        <w:t>verty in the United Kingdom: A Survey of Household Resources and Standards of L</w:t>
      </w:r>
      <w:r w:rsidRPr="00DB2B64">
        <w:rPr>
          <w:rFonts w:eastAsia="Times New Roman" w:cs="Arial"/>
          <w:i/>
          <w:iCs/>
          <w:color w:val="222222"/>
          <w:szCs w:val="20"/>
          <w:lang w:eastAsia="en-GB"/>
        </w:rPr>
        <w:t>iving</w:t>
      </w:r>
      <w:r w:rsidRPr="00DB2B64">
        <w:rPr>
          <w:rFonts w:eastAsia="Times New Roman" w:cs="Arial"/>
          <w:color w:val="222222"/>
          <w:szCs w:val="20"/>
          <w:shd w:val="clear" w:color="auto" w:fill="FFFFFF"/>
          <w:lang w:eastAsia="en-GB"/>
        </w:rPr>
        <w:t>. Univ</w:t>
      </w:r>
      <w:r>
        <w:rPr>
          <w:rFonts w:eastAsia="Times New Roman" w:cs="Arial"/>
          <w:color w:val="222222"/>
          <w:szCs w:val="20"/>
          <w:shd w:val="clear" w:color="auto" w:fill="FFFFFF"/>
          <w:lang w:eastAsia="en-GB"/>
        </w:rPr>
        <w:t>ersity</w:t>
      </w:r>
      <w:r w:rsidRPr="00DB2B64">
        <w:rPr>
          <w:rFonts w:eastAsia="Times New Roman" w:cs="Arial"/>
          <w:color w:val="222222"/>
          <w:szCs w:val="20"/>
          <w:shd w:val="clear" w:color="auto" w:fill="FFFFFF"/>
          <w:lang w:eastAsia="en-GB"/>
        </w:rPr>
        <w:t xml:space="preserve"> of California Press.</w:t>
      </w:r>
    </w:p>
    <w:p w14:paraId="1091D086" w14:textId="77777777" w:rsidR="00C05412" w:rsidRPr="000231E4" w:rsidRDefault="00C05412" w:rsidP="00DB2B64">
      <w:pPr>
        <w:spacing w:after="0" w:line="240" w:lineRule="auto"/>
        <w:rPr>
          <w:rFonts w:eastAsia="Times New Roman" w:cs="Arial"/>
          <w:color w:val="222222"/>
          <w:szCs w:val="20"/>
          <w:shd w:val="clear" w:color="auto" w:fill="FFFFFF"/>
          <w:lang w:eastAsia="en-GB"/>
        </w:rPr>
      </w:pPr>
    </w:p>
    <w:p w14:paraId="3FD0C227" w14:textId="77777777" w:rsidR="00C05412" w:rsidRPr="000231E4" w:rsidRDefault="00C05412" w:rsidP="007B588C">
      <w:pPr>
        <w:spacing w:after="0" w:line="240" w:lineRule="auto"/>
        <w:rPr>
          <w:rFonts w:eastAsia="Times New Roman" w:cs="Arial"/>
          <w:color w:val="222222"/>
          <w:szCs w:val="20"/>
          <w:shd w:val="clear" w:color="auto" w:fill="FFFFFF"/>
          <w:lang w:eastAsia="en-GB"/>
        </w:rPr>
      </w:pPr>
      <w:r>
        <w:rPr>
          <w:rFonts w:eastAsia="Times New Roman" w:cs="Arial"/>
          <w:color w:val="222222"/>
          <w:szCs w:val="20"/>
          <w:shd w:val="clear" w:color="auto" w:fill="FFFFFF"/>
          <w:lang w:eastAsia="en-GB"/>
        </w:rPr>
        <w:t xml:space="preserve">Yoshikawa, H. Aber, J.L. and </w:t>
      </w:r>
      <w:proofErr w:type="spellStart"/>
      <w:r>
        <w:rPr>
          <w:rFonts w:eastAsia="Times New Roman" w:cs="Arial"/>
          <w:color w:val="222222"/>
          <w:szCs w:val="20"/>
          <w:shd w:val="clear" w:color="auto" w:fill="FFFFFF"/>
          <w:lang w:eastAsia="en-GB"/>
        </w:rPr>
        <w:t>Beardslee</w:t>
      </w:r>
      <w:proofErr w:type="spellEnd"/>
      <w:r>
        <w:rPr>
          <w:rFonts w:eastAsia="Times New Roman" w:cs="Arial"/>
          <w:color w:val="222222"/>
          <w:szCs w:val="20"/>
          <w:shd w:val="clear" w:color="auto" w:fill="FFFFFF"/>
          <w:lang w:eastAsia="en-GB"/>
        </w:rPr>
        <w:t>, W.R.</w:t>
      </w:r>
      <w:r w:rsidRPr="007B588C">
        <w:rPr>
          <w:rFonts w:eastAsia="Times New Roman" w:cs="Arial"/>
          <w:color w:val="222222"/>
          <w:szCs w:val="20"/>
          <w:shd w:val="clear" w:color="auto" w:fill="FFFFFF"/>
          <w:lang w:eastAsia="en-GB"/>
        </w:rPr>
        <w:t xml:space="preserve"> </w:t>
      </w:r>
      <w:r>
        <w:rPr>
          <w:rFonts w:eastAsia="Times New Roman" w:cs="Arial"/>
          <w:color w:val="222222"/>
          <w:szCs w:val="20"/>
          <w:shd w:val="clear" w:color="auto" w:fill="FFFFFF"/>
          <w:lang w:eastAsia="en-GB"/>
        </w:rPr>
        <w:t>(</w:t>
      </w:r>
      <w:r w:rsidRPr="007B588C">
        <w:rPr>
          <w:rFonts w:eastAsia="Times New Roman" w:cs="Arial"/>
          <w:color w:val="222222"/>
          <w:szCs w:val="20"/>
          <w:shd w:val="clear" w:color="auto" w:fill="FFFFFF"/>
          <w:lang w:eastAsia="en-GB"/>
        </w:rPr>
        <w:t>2012</w:t>
      </w:r>
      <w:r>
        <w:rPr>
          <w:rFonts w:eastAsia="Times New Roman" w:cs="Arial"/>
          <w:color w:val="222222"/>
          <w:szCs w:val="20"/>
          <w:shd w:val="clear" w:color="auto" w:fill="FFFFFF"/>
          <w:lang w:eastAsia="en-GB"/>
        </w:rPr>
        <w:t>). The Effects of Poverty on the Mental, Emotional, and B</w:t>
      </w:r>
      <w:r w:rsidRPr="007B588C">
        <w:rPr>
          <w:rFonts w:eastAsia="Times New Roman" w:cs="Arial"/>
          <w:color w:val="222222"/>
          <w:szCs w:val="20"/>
          <w:shd w:val="clear" w:color="auto" w:fill="FFFFFF"/>
          <w:lang w:eastAsia="en-GB"/>
        </w:rPr>
        <w:t>ehavio</w:t>
      </w:r>
      <w:r>
        <w:rPr>
          <w:rFonts w:eastAsia="Times New Roman" w:cs="Arial"/>
          <w:color w:val="222222"/>
          <w:szCs w:val="20"/>
          <w:shd w:val="clear" w:color="auto" w:fill="FFFFFF"/>
          <w:lang w:eastAsia="en-GB"/>
        </w:rPr>
        <w:t>ural Health of Children and Youth: Implications for P</w:t>
      </w:r>
      <w:r w:rsidRPr="007B588C">
        <w:rPr>
          <w:rFonts w:eastAsia="Times New Roman" w:cs="Arial"/>
          <w:color w:val="222222"/>
          <w:szCs w:val="20"/>
          <w:shd w:val="clear" w:color="auto" w:fill="FFFFFF"/>
          <w:lang w:eastAsia="en-GB"/>
        </w:rPr>
        <w:t>revention.</w:t>
      </w:r>
      <w:r w:rsidRPr="000231E4">
        <w:rPr>
          <w:rFonts w:eastAsia="Times New Roman" w:cs="Arial"/>
          <w:color w:val="222222"/>
          <w:szCs w:val="20"/>
          <w:shd w:val="clear" w:color="auto" w:fill="FFFFFF"/>
          <w:lang w:eastAsia="en-GB"/>
        </w:rPr>
        <w:t> </w:t>
      </w:r>
      <w:r w:rsidRPr="007B588C">
        <w:rPr>
          <w:rFonts w:eastAsia="Times New Roman" w:cs="Arial"/>
          <w:i/>
          <w:iCs/>
          <w:color w:val="222222"/>
          <w:szCs w:val="20"/>
          <w:lang w:eastAsia="en-GB"/>
        </w:rPr>
        <w:t>American Psychologist</w:t>
      </w:r>
      <w:r w:rsidRPr="007B588C">
        <w:rPr>
          <w:rFonts w:eastAsia="Times New Roman" w:cs="Arial"/>
          <w:color w:val="222222"/>
          <w:szCs w:val="20"/>
          <w:shd w:val="clear" w:color="auto" w:fill="FFFFFF"/>
          <w:lang w:eastAsia="en-GB"/>
        </w:rPr>
        <w:t>,</w:t>
      </w:r>
      <w:r w:rsidRPr="000231E4">
        <w:rPr>
          <w:rFonts w:eastAsia="Times New Roman" w:cs="Arial"/>
          <w:color w:val="222222"/>
          <w:szCs w:val="20"/>
          <w:shd w:val="clear" w:color="auto" w:fill="FFFFFF"/>
          <w:lang w:eastAsia="en-GB"/>
        </w:rPr>
        <w:t> </w:t>
      </w:r>
      <w:r w:rsidRPr="007B588C">
        <w:rPr>
          <w:rFonts w:eastAsia="Times New Roman" w:cs="Arial"/>
          <w:i/>
          <w:iCs/>
          <w:color w:val="222222"/>
          <w:szCs w:val="20"/>
          <w:lang w:eastAsia="en-GB"/>
        </w:rPr>
        <w:t>67</w:t>
      </w:r>
      <w:r w:rsidRPr="007B588C">
        <w:rPr>
          <w:rFonts w:eastAsia="Times New Roman" w:cs="Arial"/>
          <w:color w:val="222222"/>
          <w:szCs w:val="20"/>
          <w:shd w:val="clear" w:color="auto" w:fill="FFFFFF"/>
          <w:lang w:eastAsia="en-GB"/>
        </w:rPr>
        <w:t>(4), p.272.</w:t>
      </w:r>
    </w:p>
    <w:p w14:paraId="18799AF5" w14:textId="77777777" w:rsidR="002001AC" w:rsidRPr="002001AC" w:rsidRDefault="002001AC" w:rsidP="002001AC">
      <w:pPr>
        <w:spacing w:after="0" w:line="240" w:lineRule="auto"/>
        <w:rPr>
          <w:rFonts w:eastAsia="Times New Roman" w:cs="Times New Roman"/>
          <w:lang w:eastAsia="en-GB"/>
        </w:rPr>
      </w:pPr>
    </w:p>
    <w:p w14:paraId="1842219C" w14:textId="77777777" w:rsidR="002001AC" w:rsidRPr="00EB699C" w:rsidRDefault="002001AC" w:rsidP="00EB699C">
      <w:pPr>
        <w:spacing w:after="0" w:line="240" w:lineRule="auto"/>
        <w:rPr>
          <w:rFonts w:eastAsia="Times New Roman" w:cs="Times New Roman"/>
          <w:lang w:eastAsia="en-GB"/>
        </w:rPr>
      </w:pPr>
    </w:p>
    <w:p w14:paraId="13C86961" w14:textId="77777777" w:rsidR="00EB699C" w:rsidRPr="00206AF7" w:rsidRDefault="00EB699C" w:rsidP="00206AF7">
      <w:pPr>
        <w:spacing w:after="0" w:line="240" w:lineRule="auto"/>
        <w:rPr>
          <w:rFonts w:eastAsia="Times New Roman" w:cs="Times New Roman"/>
          <w:lang w:eastAsia="en-GB"/>
        </w:rPr>
      </w:pPr>
    </w:p>
    <w:p w14:paraId="2B21A8D5" w14:textId="77777777" w:rsidR="00206AF7" w:rsidRPr="00C8461F" w:rsidRDefault="00206AF7" w:rsidP="00C8461F">
      <w:pPr>
        <w:spacing w:after="0" w:line="240" w:lineRule="auto"/>
        <w:rPr>
          <w:rFonts w:eastAsia="Times New Roman" w:cs="Times New Roman"/>
          <w:sz w:val="32"/>
          <w:szCs w:val="24"/>
          <w:lang w:eastAsia="en-GB"/>
        </w:rPr>
      </w:pPr>
    </w:p>
    <w:p w14:paraId="7DAC721A" w14:textId="77777777" w:rsidR="00C8461F" w:rsidRPr="00795642" w:rsidRDefault="00C8461F" w:rsidP="00795642">
      <w:pPr>
        <w:spacing w:after="0" w:line="240" w:lineRule="auto"/>
        <w:rPr>
          <w:rFonts w:eastAsia="Times New Roman" w:cs="Times New Roman"/>
          <w:sz w:val="32"/>
          <w:szCs w:val="24"/>
          <w:lang w:eastAsia="en-GB"/>
        </w:rPr>
      </w:pPr>
    </w:p>
    <w:p w14:paraId="1E009F07" w14:textId="77777777" w:rsidR="007B588C" w:rsidRPr="007B588C" w:rsidRDefault="007B588C" w:rsidP="007B588C">
      <w:pPr>
        <w:spacing w:after="0" w:line="240" w:lineRule="auto"/>
        <w:rPr>
          <w:rFonts w:eastAsia="Times New Roman" w:cs="Times New Roman"/>
          <w:sz w:val="32"/>
          <w:szCs w:val="24"/>
          <w:lang w:eastAsia="en-GB"/>
        </w:rPr>
      </w:pPr>
    </w:p>
    <w:p w14:paraId="163BAA98" w14:textId="77777777" w:rsidR="007B588C" w:rsidRPr="00DB2B64" w:rsidRDefault="007B588C" w:rsidP="00DB2B64">
      <w:pPr>
        <w:spacing w:after="0" w:line="240" w:lineRule="auto"/>
        <w:rPr>
          <w:rFonts w:eastAsia="Times New Roman" w:cs="Times New Roman"/>
          <w:sz w:val="32"/>
          <w:szCs w:val="24"/>
          <w:lang w:eastAsia="en-GB"/>
        </w:rPr>
      </w:pPr>
    </w:p>
    <w:p w14:paraId="08481486" w14:textId="77777777" w:rsidR="00DB2B64" w:rsidRPr="00DB2B64" w:rsidRDefault="00DB2B64" w:rsidP="00DB2B64">
      <w:pPr>
        <w:spacing w:after="0" w:line="240" w:lineRule="auto"/>
        <w:rPr>
          <w:rFonts w:eastAsia="Times New Roman" w:cs="Times New Roman"/>
          <w:sz w:val="32"/>
          <w:szCs w:val="24"/>
          <w:lang w:eastAsia="en-GB"/>
        </w:rPr>
      </w:pPr>
    </w:p>
    <w:p w14:paraId="71CF707B" w14:textId="77777777" w:rsidR="00DB2B64" w:rsidRPr="00DB2B64" w:rsidRDefault="00DB2B64" w:rsidP="00DB2B64">
      <w:pPr>
        <w:spacing w:after="0" w:line="240" w:lineRule="auto"/>
        <w:rPr>
          <w:rFonts w:eastAsia="Times New Roman" w:cs="Times New Roman"/>
          <w:sz w:val="32"/>
          <w:szCs w:val="24"/>
          <w:lang w:eastAsia="en-GB"/>
        </w:rPr>
      </w:pPr>
    </w:p>
    <w:p w14:paraId="1BFB94A1" w14:textId="77777777" w:rsidR="00DB2B64" w:rsidRPr="00DB2B64" w:rsidRDefault="00DB2B64" w:rsidP="00DB2B64">
      <w:pPr>
        <w:spacing w:after="0" w:line="240" w:lineRule="auto"/>
        <w:rPr>
          <w:rFonts w:eastAsia="Times New Roman" w:cs="Times New Roman"/>
          <w:sz w:val="32"/>
          <w:szCs w:val="24"/>
          <w:lang w:eastAsia="en-GB"/>
        </w:rPr>
      </w:pPr>
    </w:p>
    <w:p w14:paraId="13B3E238" w14:textId="77777777" w:rsidR="00DB2B64" w:rsidRPr="006B418F" w:rsidRDefault="00DB2B64" w:rsidP="006B418F">
      <w:pPr>
        <w:spacing w:after="0" w:line="240" w:lineRule="auto"/>
        <w:rPr>
          <w:rFonts w:eastAsia="Times New Roman" w:cs="Times New Roman"/>
          <w:sz w:val="24"/>
          <w:szCs w:val="24"/>
          <w:lang w:eastAsia="en-GB"/>
        </w:rPr>
      </w:pPr>
    </w:p>
    <w:p w14:paraId="7381A9A2" w14:textId="77777777" w:rsidR="006B418F" w:rsidRPr="006B418F" w:rsidRDefault="006B418F" w:rsidP="006B418F">
      <w:pPr>
        <w:spacing w:after="0" w:line="240" w:lineRule="auto"/>
        <w:rPr>
          <w:rFonts w:eastAsia="Times New Roman" w:cs="Times New Roman"/>
          <w:sz w:val="24"/>
          <w:szCs w:val="24"/>
          <w:lang w:eastAsia="en-GB"/>
        </w:rPr>
      </w:pPr>
    </w:p>
    <w:p w14:paraId="1D3F77BE" w14:textId="77777777" w:rsidR="006B418F" w:rsidRPr="001B7BC6" w:rsidRDefault="006B418F" w:rsidP="001B7BC6">
      <w:pPr>
        <w:spacing w:after="0" w:line="240" w:lineRule="auto"/>
        <w:rPr>
          <w:rFonts w:eastAsia="Times New Roman" w:cs="Times New Roman"/>
          <w:sz w:val="24"/>
          <w:szCs w:val="24"/>
          <w:lang w:eastAsia="en-GB"/>
        </w:rPr>
      </w:pPr>
    </w:p>
    <w:p w14:paraId="5F9CD624" w14:textId="77777777" w:rsidR="001B7BC6" w:rsidRPr="000231E4" w:rsidRDefault="001B7BC6" w:rsidP="00F61194">
      <w:pPr>
        <w:jc w:val="both"/>
      </w:pPr>
    </w:p>
    <w:sectPr w:rsidR="001B7BC6" w:rsidRPr="000231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425A"/>
    <w:rsid w:val="000231E4"/>
    <w:rsid w:val="00037246"/>
    <w:rsid w:val="000400A3"/>
    <w:rsid w:val="00052339"/>
    <w:rsid w:val="000562E5"/>
    <w:rsid w:val="000569EF"/>
    <w:rsid w:val="0007748A"/>
    <w:rsid w:val="000B7523"/>
    <w:rsid w:val="000D307F"/>
    <w:rsid w:val="000F5F3D"/>
    <w:rsid w:val="001007F1"/>
    <w:rsid w:val="00105E0B"/>
    <w:rsid w:val="001541C4"/>
    <w:rsid w:val="00166575"/>
    <w:rsid w:val="00173213"/>
    <w:rsid w:val="0017590E"/>
    <w:rsid w:val="001A2309"/>
    <w:rsid w:val="001B44F0"/>
    <w:rsid w:val="001B7BC6"/>
    <w:rsid w:val="001C25B5"/>
    <w:rsid w:val="001D7721"/>
    <w:rsid w:val="001E2485"/>
    <w:rsid w:val="001F7388"/>
    <w:rsid w:val="002001AC"/>
    <w:rsid w:val="00206AF7"/>
    <w:rsid w:val="0021417B"/>
    <w:rsid w:val="00232D13"/>
    <w:rsid w:val="002369E0"/>
    <w:rsid w:val="00244DCB"/>
    <w:rsid w:val="0024535F"/>
    <w:rsid w:val="00253463"/>
    <w:rsid w:val="00267D2A"/>
    <w:rsid w:val="002904C3"/>
    <w:rsid w:val="002C0013"/>
    <w:rsid w:val="002D654D"/>
    <w:rsid w:val="002F298D"/>
    <w:rsid w:val="00315D24"/>
    <w:rsid w:val="00337CB9"/>
    <w:rsid w:val="00350BAD"/>
    <w:rsid w:val="00384639"/>
    <w:rsid w:val="003B6189"/>
    <w:rsid w:val="003C3D42"/>
    <w:rsid w:val="003F4B1D"/>
    <w:rsid w:val="0042312C"/>
    <w:rsid w:val="00452287"/>
    <w:rsid w:val="0046745D"/>
    <w:rsid w:val="004846BE"/>
    <w:rsid w:val="00493D43"/>
    <w:rsid w:val="004F1199"/>
    <w:rsid w:val="005175CB"/>
    <w:rsid w:val="00543B52"/>
    <w:rsid w:val="005C03ED"/>
    <w:rsid w:val="005C0E05"/>
    <w:rsid w:val="005C1E0B"/>
    <w:rsid w:val="005D56E5"/>
    <w:rsid w:val="005E787A"/>
    <w:rsid w:val="005F13C1"/>
    <w:rsid w:val="005F4701"/>
    <w:rsid w:val="0060676B"/>
    <w:rsid w:val="006448D9"/>
    <w:rsid w:val="00653C6A"/>
    <w:rsid w:val="0065709C"/>
    <w:rsid w:val="00663F69"/>
    <w:rsid w:val="00670AD4"/>
    <w:rsid w:val="00690134"/>
    <w:rsid w:val="006B418F"/>
    <w:rsid w:val="006F28E5"/>
    <w:rsid w:val="006F6681"/>
    <w:rsid w:val="00702893"/>
    <w:rsid w:val="00713EEE"/>
    <w:rsid w:val="00735E63"/>
    <w:rsid w:val="00771E87"/>
    <w:rsid w:val="0077793A"/>
    <w:rsid w:val="00795642"/>
    <w:rsid w:val="007A2709"/>
    <w:rsid w:val="007B588C"/>
    <w:rsid w:val="007B6719"/>
    <w:rsid w:val="007E1AD7"/>
    <w:rsid w:val="007E77DC"/>
    <w:rsid w:val="008229BC"/>
    <w:rsid w:val="00826E75"/>
    <w:rsid w:val="008305D7"/>
    <w:rsid w:val="00837785"/>
    <w:rsid w:val="00843CE9"/>
    <w:rsid w:val="00865599"/>
    <w:rsid w:val="00886EAE"/>
    <w:rsid w:val="008A5A50"/>
    <w:rsid w:val="008B424B"/>
    <w:rsid w:val="008C1C2F"/>
    <w:rsid w:val="008D1478"/>
    <w:rsid w:val="008E523D"/>
    <w:rsid w:val="0090060B"/>
    <w:rsid w:val="00902FC0"/>
    <w:rsid w:val="00920D44"/>
    <w:rsid w:val="0093425A"/>
    <w:rsid w:val="00942C9A"/>
    <w:rsid w:val="00945B4F"/>
    <w:rsid w:val="0096534A"/>
    <w:rsid w:val="009678CF"/>
    <w:rsid w:val="00977122"/>
    <w:rsid w:val="00983025"/>
    <w:rsid w:val="009A620F"/>
    <w:rsid w:val="009D1C18"/>
    <w:rsid w:val="009E2024"/>
    <w:rsid w:val="00A00038"/>
    <w:rsid w:val="00A074FD"/>
    <w:rsid w:val="00A20B77"/>
    <w:rsid w:val="00A2797D"/>
    <w:rsid w:val="00A3046A"/>
    <w:rsid w:val="00A30E6E"/>
    <w:rsid w:val="00A35077"/>
    <w:rsid w:val="00A62499"/>
    <w:rsid w:val="00A913BD"/>
    <w:rsid w:val="00AB0EF2"/>
    <w:rsid w:val="00AB14EA"/>
    <w:rsid w:val="00AC6D67"/>
    <w:rsid w:val="00AD6963"/>
    <w:rsid w:val="00AF6DDC"/>
    <w:rsid w:val="00B05405"/>
    <w:rsid w:val="00B05F7D"/>
    <w:rsid w:val="00B138CF"/>
    <w:rsid w:val="00B16761"/>
    <w:rsid w:val="00B17FB2"/>
    <w:rsid w:val="00B2042C"/>
    <w:rsid w:val="00B208F3"/>
    <w:rsid w:val="00B567E4"/>
    <w:rsid w:val="00B803B6"/>
    <w:rsid w:val="00BF1A0E"/>
    <w:rsid w:val="00C05412"/>
    <w:rsid w:val="00C17C11"/>
    <w:rsid w:val="00C27B3B"/>
    <w:rsid w:val="00C32E26"/>
    <w:rsid w:val="00C67660"/>
    <w:rsid w:val="00C8461F"/>
    <w:rsid w:val="00C9592C"/>
    <w:rsid w:val="00C970D9"/>
    <w:rsid w:val="00C97AE3"/>
    <w:rsid w:val="00CC05FF"/>
    <w:rsid w:val="00CC6424"/>
    <w:rsid w:val="00CD5E27"/>
    <w:rsid w:val="00D00C3C"/>
    <w:rsid w:val="00D07EE9"/>
    <w:rsid w:val="00D2798F"/>
    <w:rsid w:val="00D30262"/>
    <w:rsid w:val="00D307A0"/>
    <w:rsid w:val="00D51B7F"/>
    <w:rsid w:val="00D65029"/>
    <w:rsid w:val="00D651C9"/>
    <w:rsid w:val="00DB2B64"/>
    <w:rsid w:val="00DD5FED"/>
    <w:rsid w:val="00DF16EE"/>
    <w:rsid w:val="00DF6788"/>
    <w:rsid w:val="00E10B6A"/>
    <w:rsid w:val="00E51BC1"/>
    <w:rsid w:val="00E52AD2"/>
    <w:rsid w:val="00E54125"/>
    <w:rsid w:val="00E62CF5"/>
    <w:rsid w:val="00E6635A"/>
    <w:rsid w:val="00EB0903"/>
    <w:rsid w:val="00EB699C"/>
    <w:rsid w:val="00EC6C35"/>
    <w:rsid w:val="00ED60E4"/>
    <w:rsid w:val="00EF3B48"/>
    <w:rsid w:val="00F15859"/>
    <w:rsid w:val="00F15BE9"/>
    <w:rsid w:val="00F36097"/>
    <w:rsid w:val="00F438FD"/>
    <w:rsid w:val="00F61194"/>
    <w:rsid w:val="00FA7C64"/>
    <w:rsid w:val="00FB1408"/>
    <w:rsid w:val="00FC1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2170B"/>
  <w15:chartTrackingRefBased/>
  <w15:docId w15:val="{5365CC6F-A084-43D2-B5FA-84C904CFE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774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05E0B"/>
    <w:pPr>
      <w:spacing w:before="100" w:beforeAutospacing="1" w:after="100" w:afterAutospacing="1" w:line="240" w:lineRule="auto"/>
      <w:outlineLvl w:val="2"/>
    </w:pPr>
    <w:rPr>
      <w:rFonts w:ascii="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5709C"/>
    <w:rPr>
      <w:color w:val="808080"/>
    </w:rPr>
  </w:style>
  <w:style w:type="character" w:customStyle="1" w:styleId="Heading3Char">
    <w:name w:val="Heading 3 Char"/>
    <w:basedOn w:val="DefaultParagraphFont"/>
    <w:link w:val="Heading3"/>
    <w:uiPriority w:val="9"/>
    <w:rsid w:val="00105E0B"/>
    <w:rPr>
      <w:rFonts w:ascii="Times New Roman" w:hAnsi="Times New Roman" w:cs="Times New Roman"/>
      <w:b/>
      <w:bCs/>
      <w:sz w:val="27"/>
      <w:szCs w:val="27"/>
      <w:lang w:eastAsia="en-GB"/>
    </w:rPr>
  </w:style>
  <w:style w:type="paragraph" w:styleId="NormalWeb">
    <w:name w:val="Normal (Web)"/>
    <w:basedOn w:val="Normal"/>
    <w:uiPriority w:val="99"/>
    <w:semiHidden/>
    <w:unhideWhenUsed/>
    <w:rsid w:val="00105E0B"/>
    <w:pPr>
      <w:spacing w:before="100" w:beforeAutospacing="1" w:after="100" w:afterAutospacing="1" w:line="240" w:lineRule="auto"/>
    </w:pPr>
    <w:rPr>
      <w:rFonts w:ascii="Times New Roman" w:hAnsi="Times New Roman" w:cs="Times New Roman"/>
      <w:sz w:val="24"/>
      <w:szCs w:val="24"/>
      <w:lang w:eastAsia="en-GB"/>
    </w:rPr>
  </w:style>
  <w:style w:type="character" w:customStyle="1" w:styleId="apple-converted-space">
    <w:name w:val="apple-converted-space"/>
    <w:basedOn w:val="DefaultParagraphFont"/>
    <w:rsid w:val="00105E0B"/>
  </w:style>
  <w:style w:type="character" w:styleId="Emphasis">
    <w:name w:val="Emphasis"/>
    <w:basedOn w:val="DefaultParagraphFont"/>
    <w:uiPriority w:val="20"/>
    <w:qFormat/>
    <w:rsid w:val="00105E0B"/>
    <w:rPr>
      <w:i/>
      <w:iCs/>
    </w:rPr>
  </w:style>
  <w:style w:type="character" w:customStyle="1" w:styleId="Heading2Char">
    <w:name w:val="Heading 2 Char"/>
    <w:basedOn w:val="DefaultParagraphFont"/>
    <w:link w:val="Heading2"/>
    <w:uiPriority w:val="9"/>
    <w:semiHidden/>
    <w:rsid w:val="0007748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07748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736477">
      <w:bodyDiv w:val="1"/>
      <w:marLeft w:val="0"/>
      <w:marRight w:val="0"/>
      <w:marTop w:val="0"/>
      <w:marBottom w:val="0"/>
      <w:divBdr>
        <w:top w:val="none" w:sz="0" w:space="0" w:color="auto"/>
        <w:left w:val="none" w:sz="0" w:space="0" w:color="auto"/>
        <w:bottom w:val="none" w:sz="0" w:space="0" w:color="auto"/>
        <w:right w:val="none" w:sz="0" w:space="0" w:color="auto"/>
      </w:divBdr>
    </w:div>
    <w:div w:id="112678915">
      <w:bodyDiv w:val="1"/>
      <w:marLeft w:val="0"/>
      <w:marRight w:val="0"/>
      <w:marTop w:val="0"/>
      <w:marBottom w:val="0"/>
      <w:divBdr>
        <w:top w:val="none" w:sz="0" w:space="0" w:color="auto"/>
        <w:left w:val="none" w:sz="0" w:space="0" w:color="auto"/>
        <w:bottom w:val="none" w:sz="0" w:space="0" w:color="auto"/>
        <w:right w:val="none" w:sz="0" w:space="0" w:color="auto"/>
      </w:divBdr>
    </w:div>
    <w:div w:id="415515353">
      <w:bodyDiv w:val="1"/>
      <w:marLeft w:val="0"/>
      <w:marRight w:val="0"/>
      <w:marTop w:val="0"/>
      <w:marBottom w:val="0"/>
      <w:divBdr>
        <w:top w:val="none" w:sz="0" w:space="0" w:color="auto"/>
        <w:left w:val="none" w:sz="0" w:space="0" w:color="auto"/>
        <w:bottom w:val="none" w:sz="0" w:space="0" w:color="auto"/>
        <w:right w:val="none" w:sz="0" w:space="0" w:color="auto"/>
      </w:divBdr>
    </w:div>
    <w:div w:id="569733295">
      <w:bodyDiv w:val="1"/>
      <w:marLeft w:val="0"/>
      <w:marRight w:val="0"/>
      <w:marTop w:val="0"/>
      <w:marBottom w:val="0"/>
      <w:divBdr>
        <w:top w:val="none" w:sz="0" w:space="0" w:color="auto"/>
        <w:left w:val="none" w:sz="0" w:space="0" w:color="auto"/>
        <w:bottom w:val="none" w:sz="0" w:space="0" w:color="auto"/>
        <w:right w:val="none" w:sz="0" w:space="0" w:color="auto"/>
      </w:divBdr>
    </w:div>
    <w:div w:id="612171942">
      <w:bodyDiv w:val="1"/>
      <w:marLeft w:val="0"/>
      <w:marRight w:val="0"/>
      <w:marTop w:val="0"/>
      <w:marBottom w:val="0"/>
      <w:divBdr>
        <w:top w:val="none" w:sz="0" w:space="0" w:color="auto"/>
        <w:left w:val="none" w:sz="0" w:space="0" w:color="auto"/>
        <w:bottom w:val="none" w:sz="0" w:space="0" w:color="auto"/>
        <w:right w:val="none" w:sz="0" w:space="0" w:color="auto"/>
      </w:divBdr>
    </w:div>
    <w:div w:id="670959402">
      <w:bodyDiv w:val="1"/>
      <w:marLeft w:val="0"/>
      <w:marRight w:val="0"/>
      <w:marTop w:val="0"/>
      <w:marBottom w:val="0"/>
      <w:divBdr>
        <w:top w:val="none" w:sz="0" w:space="0" w:color="auto"/>
        <w:left w:val="none" w:sz="0" w:space="0" w:color="auto"/>
        <w:bottom w:val="none" w:sz="0" w:space="0" w:color="auto"/>
        <w:right w:val="none" w:sz="0" w:space="0" w:color="auto"/>
      </w:divBdr>
    </w:div>
    <w:div w:id="701058814">
      <w:bodyDiv w:val="1"/>
      <w:marLeft w:val="0"/>
      <w:marRight w:val="0"/>
      <w:marTop w:val="0"/>
      <w:marBottom w:val="0"/>
      <w:divBdr>
        <w:top w:val="none" w:sz="0" w:space="0" w:color="auto"/>
        <w:left w:val="none" w:sz="0" w:space="0" w:color="auto"/>
        <w:bottom w:val="none" w:sz="0" w:space="0" w:color="auto"/>
        <w:right w:val="none" w:sz="0" w:space="0" w:color="auto"/>
      </w:divBdr>
    </w:div>
    <w:div w:id="735976299">
      <w:bodyDiv w:val="1"/>
      <w:marLeft w:val="0"/>
      <w:marRight w:val="0"/>
      <w:marTop w:val="0"/>
      <w:marBottom w:val="0"/>
      <w:divBdr>
        <w:top w:val="none" w:sz="0" w:space="0" w:color="auto"/>
        <w:left w:val="none" w:sz="0" w:space="0" w:color="auto"/>
        <w:bottom w:val="none" w:sz="0" w:space="0" w:color="auto"/>
        <w:right w:val="none" w:sz="0" w:space="0" w:color="auto"/>
      </w:divBdr>
    </w:div>
    <w:div w:id="821772699">
      <w:bodyDiv w:val="1"/>
      <w:marLeft w:val="0"/>
      <w:marRight w:val="0"/>
      <w:marTop w:val="0"/>
      <w:marBottom w:val="0"/>
      <w:divBdr>
        <w:top w:val="none" w:sz="0" w:space="0" w:color="auto"/>
        <w:left w:val="none" w:sz="0" w:space="0" w:color="auto"/>
        <w:bottom w:val="none" w:sz="0" w:space="0" w:color="auto"/>
        <w:right w:val="none" w:sz="0" w:space="0" w:color="auto"/>
      </w:divBdr>
    </w:div>
    <w:div w:id="923148170">
      <w:bodyDiv w:val="1"/>
      <w:marLeft w:val="0"/>
      <w:marRight w:val="0"/>
      <w:marTop w:val="0"/>
      <w:marBottom w:val="0"/>
      <w:divBdr>
        <w:top w:val="none" w:sz="0" w:space="0" w:color="auto"/>
        <w:left w:val="none" w:sz="0" w:space="0" w:color="auto"/>
        <w:bottom w:val="none" w:sz="0" w:space="0" w:color="auto"/>
        <w:right w:val="none" w:sz="0" w:space="0" w:color="auto"/>
      </w:divBdr>
    </w:div>
    <w:div w:id="962618080">
      <w:bodyDiv w:val="1"/>
      <w:marLeft w:val="0"/>
      <w:marRight w:val="0"/>
      <w:marTop w:val="0"/>
      <w:marBottom w:val="0"/>
      <w:divBdr>
        <w:top w:val="none" w:sz="0" w:space="0" w:color="auto"/>
        <w:left w:val="none" w:sz="0" w:space="0" w:color="auto"/>
        <w:bottom w:val="none" w:sz="0" w:space="0" w:color="auto"/>
        <w:right w:val="none" w:sz="0" w:space="0" w:color="auto"/>
      </w:divBdr>
    </w:div>
    <w:div w:id="1064377339">
      <w:bodyDiv w:val="1"/>
      <w:marLeft w:val="0"/>
      <w:marRight w:val="0"/>
      <w:marTop w:val="0"/>
      <w:marBottom w:val="0"/>
      <w:divBdr>
        <w:top w:val="none" w:sz="0" w:space="0" w:color="auto"/>
        <w:left w:val="none" w:sz="0" w:space="0" w:color="auto"/>
        <w:bottom w:val="none" w:sz="0" w:space="0" w:color="auto"/>
        <w:right w:val="none" w:sz="0" w:space="0" w:color="auto"/>
      </w:divBdr>
    </w:div>
    <w:div w:id="1476070747">
      <w:bodyDiv w:val="1"/>
      <w:marLeft w:val="0"/>
      <w:marRight w:val="0"/>
      <w:marTop w:val="0"/>
      <w:marBottom w:val="0"/>
      <w:divBdr>
        <w:top w:val="none" w:sz="0" w:space="0" w:color="auto"/>
        <w:left w:val="none" w:sz="0" w:space="0" w:color="auto"/>
        <w:bottom w:val="none" w:sz="0" w:space="0" w:color="auto"/>
        <w:right w:val="none" w:sz="0" w:space="0" w:color="auto"/>
      </w:divBdr>
    </w:div>
    <w:div w:id="1488982987">
      <w:bodyDiv w:val="1"/>
      <w:marLeft w:val="0"/>
      <w:marRight w:val="0"/>
      <w:marTop w:val="0"/>
      <w:marBottom w:val="0"/>
      <w:divBdr>
        <w:top w:val="none" w:sz="0" w:space="0" w:color="auto"/>
        <w:left w:val="none" w:sz="0" w:space="0" w:color="auto"/>
        <w:bottom w:val="none" w:sz="0" w:space="0" w:color="auto"/>
        <w:right w:val="none" w:sz="0" w:space="0" w:color="auto"/>
      </w:divBdr>
    </w:div>
    <w:div w:id="1545604016">
      <w:bodyDiv w:val="1"/>
      <w:marLeft w:val="0"/>
      <w:marRight w:val="0"/>
      <w:marTop w:val="0"/>
      <w:marBottom w:val="0"/>
      <w:divBdr>
        <w:top w:val="none" w:sz="0" w:space="0" w:color="auto"/>
        <w:left w:val="none" w:sz="0" w:space="0" w:color="auto"/>
        <w:bottom w:val="none" w:sz="0" w:space="0" w:color="auto"/>
        <w:right w:val="none" w:sz="0" w:space="0" w:color="auto"/>
      </w:divBdr>
    </w:div>
    <w:div w:id="1641032132">
      <w:bodyDiv w:val="1"/>
      <w:marLeft w:val="0"/>
      <w:marRight w:val="0"/>
      <w:marTop w:val="0"/>
      <w:marBottom w:val="0"/>
      <w:divBdr>
        <w:top w:val="none" w:sz="0" w:space="0" w:color="auto"/>
        <w:left w:val="none" w:sz="0" w:space="0" w:color="auto"/>
        <w:bottom w:val="none" w:sz="0" w:space="0" w:color="auto"/>
        <w:right w:val="none" w:sz="0" w:space="0" w:color="auto"/>
      </w:divBdr>
    </w:div>
    <w:div w:id="1780833569">
      <w:bodyDiv w:val="1"/>
      <w:marLeft w:val="0"/>
      <w:marRight w:val="0"/>
      <w:marTop w:val="0"/>
      <w:marBottom w:val="0"/>
      <w:divBdr>
        <w:top w:val="none" w:sz="0" w:space="0" w:color="auto"/>
        <w:left w:val="none" w:sz="0" w:space="0" w:color="auto"/>
        <w:bottom w:val="none" w:sz="0" w:space="0" w:color="auto"/>
        <w:right w:val="none" w:sz="0" w:space="0" w:color="auto"/>
      </w:divBdr>
    </w:div>
    <w:div w:id="1796292362">
      <w:bodyDiv w:val="1"/>
      <w:marLeft w:val="0"/>
      <w:marRight w:val="0"/>
      <w:marTop w:val="0"/>
      <w:marBottom w:val="0"/>
      <w:divBdr>
        <w:top w:val="none" w:sz="0" w:space="0" w:color="auto"/>
        <w:left w:val="none" w:sz="0" w:space="0" w:color="auto"/>
        <w:bottom w:val="none" w:sz="0" w:space="0" w:color="auto"/>
        <w:right w:val="none" w:sz="0" w:space="0" w:color="auto"/>
      </w:divBdr>
    </w:div>
    <w:div w:id="1921450967">
      <w:bodyDiv w:val="1"/>
      <w:marLeft w:val="0"/>
      <w:marRight w:val="0"/>
      <w:marTop w:val="0"/>
      <w:marBottom w:val="0"/>
      <w:divBdr>
        <w:top w:val="none" w:sz="0" w:space="0" w:color="auto"/>
        <w:left w:val="none" w:sz="0" w:space="0" w:color="auto"/>
        <w:bottom w:val="none" w:sz="0" w:space="0" w:color="auto"/>
        <w:right w:val="none" w:sz="0" w:space="0" w:color="auto"/>
      </w:divBdr>
    </w:div>
    <w:div w:id="2000577926">
      <w:bodyDiv w:val="1"/>
      <w:marLeft w:val="0"/>
      <w:marRight w:val="0"/>
      <w:marTop w:val="0"/>
      <w:marBottom w:val="0"/>
      <w:divBdr>
        <w:top w:val="none" w:sz="0" w:space="0" w:color="auto"/>
        <w:left w:val="none" w:sz="0" w:space="0" w:color="auto"/>
        <w:bottom w:val="none" w:sz="0" w:space="0" w:color="auto"/>
        <w:right w:val="none" w:sz="0" w:space="0" w:color="auto"/>
      </w:divBdr>
    </w:div>
    <w:div w:id="2029016688">
      <w:bodyDiv w:val="1"/>
      <w:marLeft w:val="0"/>
      <w:marRight w:val="0"/>
      <w:marTop w:val="0"/>
      <w:marBottom w:val="0"/>
      <w:divBdr>
        <w:top w:val="none" w:sz="0" w:space="0" w:color="auto"/>
        <w:left w:val="none" w:sz="0" w:space="0" w:color="auto"/>
        <w:bottom w:val="none" w:sz="0" w:space="0" w:color="auto"/>
        <w:right w:val="none" w:sz="0" w:space="0" w:color="auto"/>
      </w:divBdr>
    </w:div>
    <w:div w:id="2036685544">
      <w:bodyDiv w:val="1"/>
      <w:marLeft w:val="0"/>
      <w:marRight w:val="0"/>
      <w:marTop w:val="0"/>
      <w:marBottom w:val="0"/>
      <w:divBdr>
        <w:top w:val="none" w:sz="0" w:space="0" w:color="auto"/>
        <w:left w:val="none" w:sz="0" w:space="0" w:color="auto"/>
        <w:bottom w:val="none" w:sz="0" w:space="0" w:color="auto"/>
        <w:right w:val="none" w:sz="0" w:space="0" w:color="auto"/>
      </w:divBdr>
    </w:div>
    <w:div w:id="2126459023">
      <w:bodyDiv w:val="1"/>
      <w:marLeft w:val="0"/>
      <w:marRight w:val="0"/>
      <w:marTop w:val="0"/>
      <w:marBottom w:val="0"/>
      <w:divBdr>
        <w:top w:val="none" w:sz="0" w:space="0" w:color="auto"/>
        <w:left w:val="none" w:sz="0" w:space="0" w:color="auto"/>
        <w:bottom w:val="none" w:sz="0" w:space="0" w:color="auto"/>
        <w:right w:val="none" w:sz="0" w:space="0" w:color="auto"/>
      </w:divBdr>
    </w:div>
    <w:div w:id="2132360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2660</Words>
  <Characters>15162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sayers</dc:creator>
  <cp:keywords/>
  <dc:description/>
  <cp:lastModifiedBy>tracey sayers</cp:lastModifiedBy>
  <cp:revision>2</cp:revision>
  <cp:lastPrinted>2018-01-13T12:18:00Z</cp:lastPrinted>
  <dcterms:created xsi:type="dcterms:W3CDTF">2018-01-13T14:09:00Z</dcterms:created>
  <dcterms:modified xsi:type="dcterms:W3CDTF">2018-01-13T14:09:00Z</dcterms:modified>
</cp:coreProperties>
</file>