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276" w:rsidRDefault="00DB0276" w:rsidP="00005564">
      <w:pPr>
        <w:suppressAutoHyphens/>
        <w:jc w:val="both"/>
        <w:rPr>
          <w:rFonts w:asciiTheme="minorHAnsi" w:hAnsiTheme="minorHAnsi"/>
          <w:b/>
          <w:spacing w:val="-3"/>
          <w:sz w:val="28"/>
          <w:szCs w:val="28"/>
        </w:rPr>
      </w:pPr>
    </w:p>
    <w:p w:rsidR="00DB0276" w:rsidRDefault="00DB0276" w:rsidP="00DB0276">
      <w:pPr>
        <w:pStyle w:val="NormalWeb"/>
        <w:spacing w:before="0" w:beforeAutospacing="0" w:after="0" w:afterAutospacing="0"/>
        <w:ind w:left="-180" w:right="-334"/>
      </w:pPr>
      <w:r>
        <w:rPr>
          <w:noProof/>
          <w:lang w:eastAsia="en-GB"/>
        </w:rPr>
        <w:drawing>
          <wp:inline distT="0" distB="0" distL="0" distR="0">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DB0276" w:rsidRDefault="00DB0276" w:rsidP="00DB0276">
      <w:pPr>
        <w:pStyle w:val="NormalWeb"/>
        <w:spacing w:before="0" w:beforeAutospacing="0" w:after="0" w:afterAutospacing="0"/>
        <w:ind w:left="-180" w:right="-334"/>
      </w:pPr>
    </w:p>
    <w:p w:rsidR="00DB0276" w:rsidRDefault="00DB0276" w:rsidP="00DB0276">
      <w:pPr>
        <w:pStyle w:val="NormalWeb"/>
        <w:spacing w:before="0" w:beforeAutospacing="0" w:after="0" w:afterAutospacing="0"/>
        <w:ind w:left="-180" w:right="-334"/>
      </w:pPr>
    </w:p>
    <w:p w:rsidR="00DB0276" w:rsidRDefault="00DB0276" w:rsidP="00DB0276">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DB0276" w:rsidRPr="00230F35" w:rsidRDefault="00DB0276" w:rsidP="00DB0276">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DB0276" w:rsidRPr="00230F35" w:rsidRDefault="00DB0276" w:rsidP="00DB0276">
      <w:pPr>
        <w:rPr>
          <w:rFonts w:ascii="Arial" w:hAnsi="Arial" w:cs="Arial"/>
          <w:sz w:val="28"/>
          <w:szCs w:val="28"/>
          <w:lang w:val="cy-GB"/>
        </w:rPr>
      </w:pPr>
    </w:p>
    <w:p w:rsidR="00DB0276" w:rsidRDefault="00DB0276" w:rsidP="00DB0276">
      <w:pPr>
        <w:pStyle w:val="Heading3"/>
        <w:jc w:val="center"/>
        <w:rPr>
          <w:lang w:val="cy-GB"/>
        </w:rPr>
      </w:pPr>
      <w:r>
        <w:rPr>
          <w:lang w:val="cy-GB"/>
        </w:rPr>
        <w:t>THIS SHEET MUST BE THE FIRST PAGE OF THE ASSIGNMENT YOU ARE SUBMITTING  (DO NOT SEND AS A SEPARATE FILE)</w:t>
      </w:r>
    </w:p>
    <w:p w:rsidR="00DB0276" w:rsidRDefault="00DB0276" w:rsidP="00DB0276">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DB0276" w:rsidRPr="00230F35" w:rsidTr="006F5B9D">
        <w:trPr>
          <w:trHeight w:val="614"/>
        </w:trPr>
        <w:tc>
          <w:tcPr>
            <w:tcW w:w="8856" w:type="dxa"/>
            <w:gridSpan w:val="5"/>
          </w:tcPr>
          <w:p w:rsidR="00DB0276" w:rsidRPr="00230F35" w:rsidRDefault="00DB0276" w:rsidP="006F5B9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DB0276" w:rsidRPr="00230F35" w:rsidTr="006F5B9D">
        <w:trPr>
          <w:trHeight w:val="718"/>
        </w:trPr>
        <w:tc>
          <w:tcPr>
            <w:tcW w:w="8856" w:type="dxa"/>
            <w:gridSpan w:val="5"/>
          </w:tcPr>
          <w:p w:rsidR="00DB0276" w:rsidRDefault="00DB0276" w:rsidP="006F5B9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rsidR="00DB0276" w:rsidRPr="00230F35" w:rsidRDefault="00DB0276" w:rsidP="006F5B9D">
            <w:pPr>
              <w:pStyle w:val="NormalWeb"/>
              <w:spacing w:before="0" w:beforeAutospacing="0" w:after="0" w:afterAutospacing="0"/>
              <w:ind w:right="34"/>
              <w:rPr>
                <w:rFonts w:ascii="Arial" w:hAnsi="Arial" w:cs="Arial"/>
                <w:sz w:val="22"/>
                <w:szCs w:val="22"/>
              </w:rPr>
            </w:pPr>
            <w:r>
              <w:rPr>
                <w:rFonts w:ascii="Arial" w:hAnsi="Arial" w:cs="Arial"/>
                <w:sz w:val="22"/>
                <w:szCs w:val="22"/>
              </w:rPr>
              <w:t>Peter McIntosh</w:t>
            </w:r>
          </w:p>
        </w:tc>
      </w:tr>
      <w:tr w:rsidR="00DB0276" w:rsidRPr="00230F35" w:rsidTr="006F5B9D">
        <w:trPr>
          <w:trHeight w:val="849"/>
        </w:trPr>
        <w:tc>
          <w:tcPr>
            <w:tcW w:w="4788" w:type="dxa"/>
          </w:tcPr>
          <w:p w:rsidR="00DB0276" w:rsidRPr="00230F35" w:rsidRDefault="00DB0276" w:rsidP="006F5B9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AHHI7016</w:t>
            </w:r>
          </w:p>
          <w:p w:rsidR="00DB0276" w:rsidRPr="00230F35" w:rsidRDefault="00DB0276" w:rsidP="006F5B9D">
            <w:pPr>
              <w:pStyle w:val="NormalWeb"/>
              <w:spacing w:before="0" w:beforeAutospacing="0" w:after="0" w:afterAutospacing="0"/>
              <w:ind w:right="34"/>
              <w:rPr>
                <w:rFonts w:ascii="Arial" w:hAnsi="Arial" w:cs="Arial"/>
                <w:sz w:val="22"/>
                <w:szCs w:val="22"/>
              </w:rPr>
            </w:pPr>
          </w:p>
          <w:p w:rsidR="00DB0276" w:rsidRDefault="00DB0276" w:rsidP="006F5B9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Module </w:t>
            </w:r>
            <w:proofErr w:type="spellStart"/>
            <w:r w:rsidRPr="00230F35">
              <w:rPr>
                <w:rFonts w:ascii="Arial" w:hAnsi="Arial" w:cs="Arial"/>
                <w:sz w:val="22"/>
                <w:szCs w:val="22"/>
              </w:rPr>
              <w:t>title:</w:t>
            </w:r>
            <w:r>
              <w:rPr>
                <w:rFonts w:ascii="Arial" w:hAnsi="Arial" w:cs="Arial"/>
                <w:sz w:val="22"/>
                <w:szCs w:val="22"/>
              </w:rPr>
              <w:t>Studying</w:t>
            </w:r>
            <w:proofErr w:type="spellEnd"/>
            <w:r>
              <w:rPr>
                <w:rFonts w:ascii="Arial" w:hAnsi="Arial" w:cs="Arial"/>
                <w:sz w:val="22"/>
                <w:szCs w:val="22"/>
              </w:rPr>
              <w:t xml:space="preserve"> the Medieval</w:t>
            </w:r>
          </w:p>
          <w:p w:rsidR="00DB0276" w:rsidRDefault="00DB0276" w:rsidP="006F5B9D">
            <w:pPr>
              <w:pStyle w:val="NormalWeb"/>
              <w:spacing w:before="0" w:beforeAutospacing="0" w:after="0" w:afterAutospacing="0"/>
              <w:ind w:right="34"/>
              <w:rPr>
                <w:rFonts w:ascii="Arial" w:hAnsi="Arial" w:cs="Arial"/>
                <w:sz w:val="22"/>
                <w:szCs w:val="22"/>
              </w:rPr>
            </w:pPr>
          </w:p>
          <w:p w:rsidR="00DB0276" w:rsidRPr="00230F35" w:rsidRDefault="00DB0276" w:rsidP="006F5B9D">
            <w:pPr>
              <w:pStyle w:val="NormalWeb"/>
              <w:spacing w:before="0" w:beforeAutospacing="0" w:after="0" w:afterAutospacing="0"/>
              <w:ind w:right="34"/>
              <w:rPr>
                <w:rFonts w:ascii="Arial" w:hAnsi="Arial" w:cs="Arial"/>
                <w:sz w:val="22"/>
                <w:szCs w:val="22"/>
              </w:rPr>
            </w:pPr>
          </w:p>
        </w:tc>
        <w:tc>
          <w:tcPr>
            <w:tcW w:w="2266" w:type="dxa"/>
            <w:gridSpan w:val="3"/>
          </w:tcPr>
          <w:p w:rsidR="00DB0276" w:rsidRDefault="00DB0276" w:rsidP="006F5B9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DB0276" w:rsidRDefault="00DB0276" w:rsidP="006F5B9D">
            <w:pPr>
              <w:pStyle w:val="NormalWeb"/>
              <w:spacing w:before="0" w:beforeAutospacing="0" w:after="0" w:afterAutospacing="0"/>
              <w:ind w:right="34"/>
              <w:rPr>
                <w:rFonts w:ascii="Arial" w:hAnsi="Arial" w:cs="Arial"/>
                <w:sz w:val="22"/>
                <w:szCs w:val="22"/>
              </w:rPr>
            </w:pPr>
          </w:p>
          <w:p w:rsidR="00DB0276" w:rsidRPr="00230F35" w:rsidRDefault="00DB0276" w:rsidP="006F5B9D">
            <w:pPr>
              <w:pStyle w:val="NormalWeb"/>
              <w:spacing w:before="0" w:beforeAutospacing="0" w:after="0" w:afterAutospacing="0"/>
              <w:ind w:right="34"/>
              <w:rPr>
                <w:rFonts w:ascii="Arial" w:hAnsi="Arial" w:cs="Arial"/>
                <w:sz w:val="22"/>
                <w:szCs w:val="22"/>
              </w:rPr>
            </w:pPr>
            <w:r>
              <w:rPr>
                <w:rFonts w:ascii="Arial" w:hAnsi="Arial" w:cs="Arial"/>
                <w:sz w:val="22"/>
                <w:szCs w:val="22"/>
              </w:rPr>
              <w:t>1912857</w:t>
            </w:r>
          </w:p>
        </w:tc>
        <w:tc>
          <w:tcPr>
            <w:tcW w:w="1802" w:type="dxa"/>
          </w:tcPr>
          <w:p w:rsidR="00DB0276" w:rsidRPr="00230F35" w:rsidRDefault="00DB0276" w:rsidP="006F5B9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DB0276" w:rsidRPr="00230F35" w:rsidRDefault="00DB0276" w:rsidP="006F5B9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DB0276" w:rsidRPr="00230F35" w:rsidTr="006F5B9D">
        <w:trPr>
          <w:trHeight w:val="1139"/>
        </w:trPr>
        <w:tc>
          <w:tcPr>
            <w:tcW w:w="8856" w:type="dxa"/>
            <w:gridSpan w:val="5"/>
          </w:tcPr>
          <w:p w:rsidR="00DB0276" w:rsidRPr="00230F35" w:rsidRDefault="00DB0276" w:rsidP="006F5B9D">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w:t>
            </w:r>
            <w:proofErr w:type="spellStart"/>
            <w:r>
              <w:rPr>
                <w:rFonts w:ascii="Arial" w:hAnsi="Arial" w:cs="Arial"/>
                <w:sz w:val="22"/>
                <w:szCs w:val="22"/>
              </w:rPr>
              <w:t>tutor:J</w:t>
            </w:r>
            <w:proofErr w:type="spellEnd"/>
            <w:r>
              <w:rPr>
                <w:rFonts w:ascii="Arial" w:hAnsi="Arial" w:cs="Arial"/>
                <w:sz w:val="22"/>
                <w:szCs w:val="22"/>
              </w:rPr>
              <w:t xml:space="preserve"> BURTON</w:t>
            </w:r>
          </w:p>
          <w:p w:rsidR="00DB0276" w:rsidRPr="00230F35" w:rsidRDefault="00DB0276" w:rsidP="006F5B9D">
            <w:pPr>
              <w:pStyle w:val="NormalWeb"/>
              <w:spacing w:before="0" w:beforeAutospacing="0" w:after="0" w:afterAutospacing="0"/>
              <w:ind w:right="34"/>
              <w:rPr>
                <w:rFonts w:ascii="Arial" w:hAnsi="Arial" w:cs="Arial"/>
                <w:sz w:val="22"/>
                <w:szCs w:val="22"/>
              </w:rPr>
            </w:pPr>
          </w:p>
          <w:p w:rsidR="00DB0276" w:rsidRDefault="00DB0276" w:rsidP="006F5B9D">
            <w:pPr>
              <w:pStyle w:val="NormalWeb"/>
              <w:spacing w:before="0" w:beforeAutospacing="0" w:after="0" w:afterAutospacing="0"/>
              <w:ind w:right="34"/>
              <w:rPr>
                <w:rFonts w:ascii="Arial" w:hAnsi="Arial" w:cs="Arial"/>
                <w:sz w:val="22"/>
                <w:szCs w:val="22"/>
              </w:rPr>
            </w:pPr>
          </w:p>
          <w:p w:rsidR="00DB0276" w:rsidRPr="00230F35" w:rsidRDefault="00DB0276" w:rsidP="006F5B9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22/05/2020</w:t>
            </w:r>
          </w:p>
        </w:tc>
      </w:tr>
      <w:tr w:rsidR="00DB0276" w:rsidRPr="00230F35" w:rsidTr="006F5B9D">
        <w:trPr>
          <w:trHeight w:val="978"/>
        </w:trPr>
        <w:tc>
          <w:tcPr>
            <w:tcW w:w="8856" w:type="dxa"/>
            <w:gridSpan w:val="5"/>
            <w:tcBorders>
              <w:bottom w:val="single" w:sz="4" w:space="0" w:color="000000"/>
            </w:tcBorders>
          </w:tcPr>
          <w:p w:rsidR="00DB0276" w:rsidRDefault="00DB0276" w:rsidP="006F5B9D">
            <w:pPr>
              <w:rPr>
                <w:rFonts w:ascii="Arial" w:hAnsi="Arial" w:cs="Arial"/>
                <w:sz w:val="22"/>
                <w:szCs w:val="22"/>
              </w:rPr>
            </w:pPr>
            <w:r>
              <w:rPr>
                <w:rFonts w:ascii="Arial" w:hAnsi="Arial" w:cs="Arial"/>
                <w:sz w:val="22"/>
                <w:szCs w:val="22"/>
              </w:rPr>
              <w:t>If your module has multiple submissions please indicate which piece of work this is.</w:t>
            </w:r>
          </w:p>
          <w:p w:rsidR="00DB0276" w:rsidRDefault="00DB0276" w:rsidP="006F5B9D">
            <w:pPr>
              <w:rPr>
                <w:rFonts w:ascii="Arial" w:hAnsi="Arial" w:cs="Arial"/>
                <w:sz w:val="22"/>
                <w:szCs w:val="22"/>
              </w:rPr>
            </w:pPr>
          </w:p>
          <w:p w:rsidR="00DB0276" w:rsidRPr="00230F35" w:rsidRDefault="00DB0276" w:rsidP="00DB0276">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w:t>
            </w:r>
          </w:p>
        </w:tc>
      </w:tr>
      <w:tr w:rsidR="00DB0276" w:rsidRPr="00230F35" w:rsidTr="006F5B9D">
        <w:trPr>
          <w:trHeight w:val="978"/>
        </w:trPr>
        <w:tc>
          <w:tcPr>
            <w:tcW w:w="8856" w:type="dxa"/>
            <w:gridSpan w:val="5"/>
            <w:shd w:val="clear" w:color="auto" w:fill="D9D9D9"/>
          </w:tcPr>
          <w:p w:rsidR="00DB0276" w:rsidRPr="00230F35" w:rsidRDefault="00DB0276" w:rsidP="006F5B9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DB0276" w:rsidRDefault="00DB0276" w:rsidP="006F5B9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rsidR="00DB0276" w:rsidRDefault="00DB0276" w:rsidP="006F5B9D">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X</w:t>
            </w:r>
            <w:r w:rsidRPr="005979EE">
              <w:rPr>
                <w:rFonts w:ascii="Calibri" w:hAnsi="Calibri" w:cs="Calibri"/>
                <w:b/>
                <w:sz w:val="44"/>
                <w:szCs w:val="44"/>
              </w:rPr>
              <w:t>□</w:t>
            </w:r>
          </w:p>
          <w:p w:rsidR="00DB0276" w:rsidRPr="00230F35" w:rsidRDefault="00DB0276" w:rsidP="006F5B9D">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DB0276" w:rsidRPr="00230F35" w:rsidTr="006F5B9D">
        <w:trPr>
          <w:trHeight w:val="3972"/>
        </w:trPr>
        <w:tc>
          <w:tcPr>
            <w:tcW w:w="8856" w:type="dxa"/>
            <w:gridSpan w:val="5"/>
          </w:tcPr>
          <w:p w:rsidR="00DB0276" w:rsidRDefault="00DB0276" w:rsidP="006F5B9D">
            <w:pPr>
              <w:rPr>
                <w:rFonts w:ascii="Arial" w:hAnsi="Arial"/>
                <w:b/>
              </w:rPr>
            </w:pPr>
          </w:p>
          <w:p w:rsidR="00DB0276" w:rsidRPr="00116CE6" w:rsidRDefault="00DB0276" w:rsidP="006F5B9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DB0276" w:rsidRPr="00116CE6" w:rsidTr="006F5B9D">
              <w:tc>
                <w:tcPr>
                  <w:tcW w:w="6970" w:type="dxa"/>
                </w:tcPr>
                <w:p w:rsidR="00DB0276" w:rsidRPr="00116CE6" w:rsidRDefault="00DB0276" w:rsidP="006F5B9D">
                  <w:pPr>
                    <w:rPr>
                      <w:rFonts w:ascii="Arial" w:hAnsi="Arial"/>
                    </w:rPr>
                  </w:pPr>
                </w:p>
                <w:p w:rsidR="00DB0276" w:rsidRPr="00116CE6" w:rsidRDefault="00DB0276" w:rsidP="006F5B9D">
                  <w:pPr>
                    <w:rPr>
                      <w:rFonts w:ascii="Arial" w:hAnsi="Arial"/>
                    </w:rPr>
                  </w:pPr>
                  <w:r w:rsidRPr="00116CE6">
                    <w:rPr>
                      <w:rFonts w:ascii="Arial" w:hAnsi="Arial"/>
                    </w:rPr>
                    <w:t>1</w:t>
                  </w:r>
                  <w:r w:rsidRPr="00116CE6">
                    <w:rPr>
                      <w:rFonts w:ascii="Arial" w:hAnsi="Arial"/>
                      <w:vertAlign w:val="superscript"/>
                    </w:rPr>
                    <w:t>st</w:t>
                  </w:r>
                  <w:r w:rsidRPr="00116CE6">
                    <w:rPr>
                      <w:rFonts w:ascii="Arial" w:hAnsi="Arial"/>
                    </w:rPr>
                    <w:t xml:space="preserve"> Marker’s Provisional mark</w:t>
                  </w:r>
                </w:p>
              </w:tc>
              <w:tc>
                <w:tcPr>
                  <w:tcW w:w="1660" w:type="dxa"/>
                </w:tcPr>
                <w:p w:rsidR="00DB0276" w:rsidRPr="00116CE6" w:rsidRDefault="00DB0276" w:rsidP="006F5B9D">
                  <w:pPr>
                    <w:rPr>
                      <w:rFonts w:ascii="Arial" w:hAnsi="Arial"/>
                    </w:rPr>
                  </w:pPr>
                </w:p>
              </w:tc>
            </w:tr>
            <w:tr w:rsidR="00DB0276" w:rsidRPr="00116CE6" w:rsidTr="006F5B9D">
              <w:tc>
                <w:tcPr>
                  <w:tcW w:w="6970" w:type="dxa"/>
                </w:tcPr>
                <w:p w:rsidR="00DB0276" w:rsidRPr="00116CE6" w:rsidRDefault="00DB0276" w:rsidP="006F5B9D">
                  <w:pPr>
                    <w:rPr>
                      <w:rFonts w:ascii="Arial" w:hAnsi="Arial"/>
                    </w:rPr>
                  </w:pPr>
                </w:p>
                <w:p w:rsidR="00DB0276" w:rsidRPr="00116CE6" w:rsidRDefault="00DB0276" w:rsidP="006F5B9D">
                  <w:pPr>
                    <w:rPr>
                      <w:rFonts w:ascii="Arial" w:hAnsi="Arial"/>
                    </w:rPr>
                  </w:pPr>
                  <w:r w:rsidRPr="00116CE6">
                    <w:rPr>
                      <w:rFonts w:ascii="Arial" w:hAnsi="Arial"/>
                    </w:rPr>
                    <w:t>2</w:t>
                  </w:r>
                  <w:r w:rsidRPr="00116CE6">
                    <w:rPr>
                      <w:rFonts w:ascii="Arial" w:hAnsi="Arial"/>
                      <w:vertAlign w:val="superscript"/>
                    </w:rPr>
                    <w:t>nd</w:t>
                  </w:r>
                  <w:r w:rsidRPr="00116CE6">
                    <w:rPr>
                      <w:rFonts w:ascii="Arial" w:hAnsi="Arial"/>
                    </w:rPr>
                    <w:t xml:space="preserve"> Marker</w:t>
                  </w:r>
                  <w:r>
                    <w:rPr>
                      <w:rFonts w:ascii="Arial" w:hAnsi="Arial"/>
                    </w:rPr>
                    <w:t>’s/Moderator’s</w:t>
                  </w:r>
                  <w:r w:rsidRPr="00116CE6">
                    <w:rPr>
                      <w:rFonts w:ascii="Arial" w:hAnsi="Arial"/>
                    </w:rPr>
                    <w:t xml:space="preserve"> provisional mark</w:t>
                  </w:r>
                </w:p>
              </w:tc>
              <w:tc>
                <w:tcPr>
                  <w:tcW w:w="1660" w:type="dxa"/>
                </w:tcPr>
                <w:p w:rsidR="00DB0276" w:rsidRPr="00116CE6" w:rsidRDefault="00DB0276" w:rsidP="006F5B9D">
                  <w:pPr>
                    <w:rPr>
                      <w:rFonts w:ascii="Arial" w:hAnsi="Arial"/>
                    </w:rPr>
                  </w:pPr>
                </w:p>
              </w:tc>
            </w:tr>
            <w:tr w:rsidR="00DB0276" w:rsidRPr="00116CE6" w:rsidTr="006F5B9D">
              <w:tc>
                <w:tcPr>
                  <w:tcW w:w="6970" w:type="dxa"/>
                </w:tcPr>
                <w:p w:rsidR="00DB0276" w:rsidRPr="00116CE6" w:rsidRDefault="00DB0276" w:rsidP="006F5B9D">
                  <w:pPr>
                    <w:rPr>
                      <w:rFonts w:ascii="Arial" w:hAnsi="Arial"/>
                    </w:rPr>
                  </w:pPr>
                </w:p>
                <w:p w:rsidR="00DB0276" w:rsidRPr="00116CE6" w:rsidRDefault="00DB0276" w:rsidP="006F5B9D">
                  <w:pPr>
                    <w:rPr>
                      <w:rFonts w:ascii="Arial" w:hAnsi="Arial"/>
                    </w:rPr>
                  </w:pPr>
                  <w:r w:rsidRPr="00116CE6">
                    <w:rPr>
                      <w:rFonts w:ascii="Arial" w:hAnsi="Arial"/>
                    </w:rPr>
                    <w:t>External Examiner’s mark</w:t>
                  </w:r>
                  <w:r>
                    <w:rPr>
                      <w:rFonts w:ascii="Arial" w:hAnsi="Arial"/>
                    </w:rPr>
                    <w:t xml:space="preserve"> (if relevant)</w:t>
                  </w:r>
                </w:p>
              </w:tc>
              <w:tc>
                <w:tcPr>
                  <w:tcW w:w="1660" w:type="dxa"/>
                </w:tcPr>
                <w:p w:rsidR="00DB0276" w:rsidRPr="00116CE6" w:rsidRDefault="00DB0276" w:rsidP="006F5B9D">
                  <w:pPr>
                    <w:rPr>
                      <w:rFonts w:ascii="Arial" w:hAnsi="Arial"/>
                    </w:rPr>
                  </w:pPr>
                </w:p>
              </w:tc>
            </w:tr>
            <w:tr w:rsidR="00DB0276" w:rsidRPr="00116CE6" w:rsidTr="006F5B9D">
              <w:tc>
                <w:tcPr>
                  <w:tcW w:w="6970" w:type="dxa"/>
                </w:tcPr>
                <w:p w:rsidR="00DB0276" w:rsidRDefault="00DB0276" w:rsidP="006F5B9D">
                  <w:pPr>
                    <w:rPr>
                      <w:rFonts w:ascii="Arial" w:hAnsi="Arial"/>
                    </w:rPr>
                  </w:pPr>
                </w:p>
                <w:p w:rsidR="00DB0276" w:rsidRPr="00022345" w:rsidRDefault="00DB0276" w:rsidP="006F5B9D">
                  <w:pPr>
                    <w:rPr>
                      <w:rFonts w:ascii="Arial" w:hAnsi="Arial"/>
                      <w:b/>
                    </w:rPr>
                  </w:pPr>
                  <w:r w:rsidRPr="00022345">
                    <w:rPr>
                      <w:rFonts w:ascii="Arial" w:hAnsi="Arial"/>
                      <w:b/>
                    </w:rPr>
                    <w:t>Final Mark</w:t>
                  </w:r>
                </w:p>
                <w:p w:rsidR="00DB0276" w:rsidRPr="00116CE6" w:rsidRDefault="00DB0276" w:rsidP="006F5B9D">
                  <w:pPr>
                    <w:rPr>
                      <w:rFonts w:ascii="Arial" w:hAnsi="Arial"/>
                    </w:rPr>
                  </w:pPr>
                </w:p>
              </w:tc>
              <w:tc>
                <w:tcPr>
                  <w:tcW w:w="1660" w:type="dxa"/>
                </w:tcPr>
                <w:p w:rsidR="00DB0276" w:rsidRPr="00116CE6" w:rsidRDefault="00DB0276" w:rsidP="006F5B9D">
                  <w:pPr>
                    <w:rPr>
                      <w:rFonts w:ascii="Arial" w:hAnsi="Arial"/>
                    </w:rPr>
                  </w:pPr>
                </w:p>
              </w:tc>
            </w:tr>
          </w:tbl>
          <w:p w:rsidR="00DB0276" w:rsidRDefault="00DB0276" w:rsidP="006F5B9D">
            <w:pPr>
              <w:pStyle w:val="NormalWeb"/>
              <w:spacing w:before="0" w:beforeAutospacing="0" w:after="0" w:afterAutospacing="0"/>
              <w:ind w:left="142" w:right="34"/>
              <w:rPr>
                <w:rFonts w:ascii="Arial" w:hAnsi="Arial" w:cs="Arial"/>
                <w:b/>
                <w:sz w:val="22"/>
                <w:szCs w:val="22"/>
              </w:rPr>
            </w:pPr>
          </w:p>
          <w:p w:rsidR="00DB0276" w:rsidRPr="00230F35" w:rsidRDefault="00DB0276" w:rsidP="006F5B9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DB0276" w:rsidRDefault="00DB0276" w:rsidP="006F5B9D">
            <w:pPr>
              <w:pStyle w:val="NormalWeb"/>
              <w:spacing w:before="0" w:beforeAutospacing="0" w:after="0" w:afterAutospacing="0"/>
              <w:rPr>
                <w:rFonts w:ascii="Arial" w:hAnsi="Arial" w:cs="Arial"/>
                <w:b/>
                <w:sz w:val="22"/>
                <w:szCs w:val="22"/>
              </w:rPr>
            </w:pPr>
          </w:p>
          <w:p w:rsidR="00DB0276" w:rsidRDefault="00DB0276" w:rsidP="006F5B9D">
            <w:pPr>
              <w:pStyle w:val="NormalWeb"/>
              <w:spacing w:before="0" w:beforeAutospacing="0" w:after="0" w:afterAutospacing="0"/>
              <w:rPr>
                <w:rFonts w:ascii="Arial" w:hAnsi="Arial" w:cs="Arial"/>
                <w:b/>
                <w:sz w:val="22"/>
                <w:szCs w:val="22"/>
              </w:rPr>
            </w:pPr>
          </w:p>
          <w:p w:rsidR="00DB0276" w:rsidRDefault="00DB0276" w:rsidP="006F5B9D">
            <w:pPr>
              <w:pStyle w:val="NormalWeb"/>
              <w:spacing w:before="0" w:beforeAutospacing="0" w:after="0" w:afterAutospacing="0"/>
              <w:rPr>
                <w:rFonts w:ascii="Arial" w:hAnsi="Arial" w:cs="Arial"/>
                <w:b/>
                <w:sz w:val="22"/>
                <w:szCs w:val="22"/>
              </w:rPr>
            </w:pPr>
          </w:p>
          <w:p w:rsidR="00DB0276" w:rsidRDefault="00DB0276" w:rsidP="006F5B9D">
            <w:pPr>
              <w:pStyle w:val="NormalWeb"/>
              <w:spacing w:before="0" w:beforeAutospacing="0" w:after="0" w:afterAutospacing="0"/>
              <w:rPr>
                <w:rFonts w:ascii="Arial" w:hAnsi="Arial" w:cs="Arial"/>
                <w:b/>
                <w:sz w:val="22"/>
                <w:szCs w:val="22"/>
              </w:rPr>
            </w:pPr>
          </w:p>
          <w:p w:rsidR="00DB0276" w:rsidRDefault="00DB0276" w:rsidP="006F5B9D">
            <w:pPr>
              <w:pStyle w:val="NormalWeb"/>
              <w:spacing w:before="0" w:beforeAutospacing="0" w:after="0" w:afterAutospacing="0"/>
              <w:rPr>
                <w:rFonts w:ascii="Arial" w:hAnsi="Arial" w:cs="Arial"/>
                <w:b/>
                <w:sz w:val="22"/>
                <w:szCs w:val="22"/>
              </w:rPr>
            </w:pPr>
          </w:p>
          <w:p w:rsidR="00DB0276" w:rsidRPr="00230F35" w:rsidRDefault="00DB0276" w:rsidP="006F5B9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DB0276" w:rsidRDefault="00DB0276" w:rsidP="006F5B9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DB0276" w:rsidRPr="00001C3B" w:rsidRDefault="00DB0276" w:rsidP="006F5B9D">
            <w:pPr>
              <w:pStyle w:val="NormalWeb"/>
              <w:rPr>
                <w:rFonts w:ascii="Arial" w:hAnsi="Arial" w:cs="Arial"/>
                <w:sz w:val="22"/>
                <w:szCs w:val="22"/>
              </w:rPr>
            </w:pPr>
          </w:p>
        </w:tc>
      </w:tr>
      <w:tr w:rsidR="00DB0276" w:rsidRPr="00230F35" w:rsidTr="006F5B9D">
        <w:trPr>
          <w:trHeight w:val="492"/>
        </w:trPr>
        <w:tc>
          <w:tcPr>
            <w:tcW w:w="6768" w:type="dxa"/>
            <w:gridSpan w:val="3"/>
          </w:tcPr>
          <w:p w:rsidR="00DB0276" w:rsidRPr="00230F35" w:rsidRDefault="00DB0276" w:rsidP="006F5B9D">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DB0276" w:rsidRPr="00230F35" w:rsidRDefault="00DB0276" w:rsidP="006F5B9D">
            <w:pPr>
              <w:pStyle w:val="NormalWeb"/>
              <w:spacing w:after="0"/>
              <w:ind w:left="142" w:right="34"/>
              <w:rPr>
                <w:rFonts w:ascii="Arial" w:hAnsi="Arial" w:cs="Arial"/>
                <w:sz w:val="22"/>
                <w:szCs w:val="22"/>
              </w:rPr>
            </w:pPr>
            <w:r w:rsidRPr="00230F35">
              <w:rPr>
                <w:rFonts w:ascii="Arial" w:hAnsi="Arial" w:cs="Arial"/>
                <w:sz w:val="22"/>
                <w:szCs w:val="22"/>
              </w:rPr>
              <w:t>Date:</w:t>
            </w:r>
          </w:p>
        </w:tc>
      </w:tr>
      <w:tr w:rsidR="00DB0276" w:rsidRPr="002F467C" w:rsidTr="006F5B9D">
        <w:tc>
          <w:tcPr>
            <w:tcW w:w="8856" w:type="dxa"/>
            <w:gridSpan w:val="5"/>
          </w:tcPr>
          <w:p w:rsidR="00DB0276" w:rsidRPr="00230F35" w:rsidRDefault="00DB0276" w:rsidP="006F5B9D">
            <w:pPr>
              <w:pStyle w:val="NormalWeb"/>
              <w:spacing w:before="0" w:beforeAutospacing="0" w:after="0" w:afterAutospacing="0"/>
              <w:ind w:right="-334"/>
              <w:rPr>
                <w:rFonts w:ascii="Arial" w:hAnsi="Arial" w:cs="Arial"/>
                <w:bCs/>
                <w:i/>
                <w:sz w:val="22"/>
                <w:szCs w:val="22"/>
              </w:rPr>
            </w:pPr>
          </w:p>
          <w:p w:rsidR="00DB0276" w:rsidRPr="00230F35" w:rsidRDefault="00DB0276" w:rsidP="006F5B9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DB0276" w:rsidRPr="00230F35" w:rsidRDefault="00DB0276" w:rsidP="006F5B9D">
            <w:pPr>
              <w:pStyle w:val="NormalWeb"/>
              <w:spacing w:before="0" w:beforeAutospacing="0" w:after="0" w:afterAutospacing="0"/>
              <w:ind w:right="-334"/>
              <w:rPr>
                <w:rFonts w:ascii="Arial" w:hAnsi="Arial" w:cs="Arial"/>
                <w:b/>
                <w:bCs/>
                <w:sz w:val="22"/>
                <w:szCs w:val="22"/>
              </w:rPr>
            </w:pPr>
          </w:p>
          <w:p w:rsidR="00DB0276" w:rsidRPr="00230F35" w:rsidRDefault="00DB0276" w:rsidP="006F5B9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DB0276" w:rsidRPr="00230F35" w:rsidRDefault="00DB0276" w:rsidP="006F5B9D">
            <w:pPr>
              <w:pStyle w:val="NormalWeb"/>
              <w:spacing w:before="0" w:beforeAutospacing="0" w:after="0" w:afterAutospacing="0"/>
              <w:ind w:right="-334"/>
              <w:rPr>
                <w:rFonts w:ascii="Arial" w:hAnsi="Arial" w:cs="Arial"/>
                <w:bCs/>
                <w:sz w:val="22"/>
                <w:szCs w:val="22"/>
              </w:rPr>
            </w:pPr>
          </w:p>
          <w:p w:rsidR="00DB0276" w:rsidRPr="00230F35" w:rsidRDefault="00DB0276" w:rsidP="006F5B9D">
            <w:pPr>
              <w:pStyle w:val="NormalWeb"/>
              <w:spacing w:before="0" w:beforeAutospacing="0" w:after="0" w:afterAutospacing="0"/>
              <w:ind w:right="-334"/>
              <w:rPr>
                <w:rFonts w:ascii="Arial" w:hAnsi="Arial" w:cs="Arial"/>
                <w:bCs/>
                <w:sz w:val="22"/>
                <w:szCs w:val="22"/>
              </w:rPr>
            </w:pPr>
          </w:p>
          <w:p w:rsidR="00DB0276" w:rsidRPr="00230F35" w:rsidRDefault="00DB0276" w:rsidP="006F5B9D">
            <w:pPr>
              <w:pStyle w:val="NormalWeb"/>
              <w:spacing w:before="0" w:beforeAutospacing="0" w:after="0" w:afterAutospacing="0"/>
              <w:ind w:right="-334"/>
              <w:rPr>
                <w:rFonts w:ascii="Arial" w:hAnsi="Arial" w:cs="Arial"/>
                <w:bCs/>
                <w:sz w:val="22"/>
                <w:szCs w:val="22"/>
              </w:rPr>
            </w:pPr>
          </w:p>
        </w:tc>
      </w:tr>
      <w:tr w:rsidR="00DB0276" w:rsidRPr="002F467C" w:rsidTr="006F5B9D">
        <w:trPr>
          <w:trHeight w:val="720"/>
        </w:trPr>
        <w:tc>
          <w:tcPr>
            <w:tcW w:w="5211" w:type="dxa"/>
            <w:gridSpan w:val="2"/>
          </w:tcPr>
          <w:p w:rsidR="00DB0276" w:rsidRPr="00230F35" w:rsidRDefault="00DB0276" w:rsidP="006F5B9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DB0276" w:rsidRPr="00230F35" w:rsidRDefault="00DB0276" w:rsidP="006F5B9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DB0276" w:rsidRPr="002F467C" w:rsidTr="006F5B9D">
        <w:trPr>
          <w:trHeight w:val="720"/>
        </w:trPr>
        <w:tc>
          <w:tcPr>
            <w:tcW w:w="8856" w:type="dxa"/>
            <w:gridSpan w:val="5"/>
          </w:tcPr>
          <w:p w:rsidR="00DB0276" w:rsidRPr="00B34964" w:rsidRDefault="00DB0276" w:rsidP="006F5B9D">
            <w:pPr>
              <w:rPr>
                <w:rFonts w:ascii="Arial" w:hAnsi="Arial" w:cs="Arial"/>
                <w:b/>
                <w:sz w:val="22"/>
                <w:szCs w:val="22"/>
              </w:rPr>
            </w:pPr>
            <w:r w:rsidRPr="00B34964">
              <w:rPr>
                <w:rFonts w:ascii="Arial" w:hAnsi="Arial" w:cs="Arial"/>
                <w:b/>
                <w:sz w:val="22"/>
                <w:szCs w:val="22"/>
              </w:rPr>
              <w:t>External Examiner’s comments (if relevant)</w:t>
            </w:r>
          </w:p>
          <w:p w:rsidR="00DB0276" w:rsidRPr="00230F35" w:rsidRDefault="00DB0276" w:rsidP="006F5B9D">
            <w:pPr>
              <w:pStyle w:val="NormalWeb"/>
              <w:spacing w:before="0" w:beforeAutospacing="0" w:after="0" w:afterAutospacing="0"/>
              <w:ind w:right="-334"/>
              <w:rPr>
                <w:rFonts w:ascii="Arial" w:hAnsi="Arial" w:cs="Arial"/>
                <w:bCs/>
                <w:sz w:val="22"/>
                <w:szCs w:val="22"/>
              </w:rPr>
            </w:pPr>
          </w:p>
          <w:p w:rsidR="00DB0276" w:rsidRPr="00230F35" w:rsidRDefault="00DB0276" w:rsidP="006F5B9D">
            <w:pPr>
              <w:pStyle w:val="NormalWeb"/>
              <w:spacing w:before="0" w:beforeAutospacing="0" w:after="0" w:afterAutospacing="0"/>
              <w:ind w:right="-334"/>
              <w:rPr>
                <w:rFonts w:ascii="Arial" w:hAnsi="Arial" w:cs="Arial"/>
                <w:bCs/>
                <w:sz w:val="22"/>
                <w:szCs w:val="22"/>
              </w:rPr>
            </w:pPr>
          </w:p>
          <w:p w:rsidR="00DB0276" w:rsidRPr="00230F35" w:rsidRDefault="00DB0276" w:rsidP="006F5B9D">
            <w:pPr>
              <w:pStyle w:val="NormalWeb"/>
              <w:spacing w:before="0" w:beforeAutospacing="0" w:after="0" w:afterAutospacing="0"/>
              <w:ind w:right="-334"/>
              <w:rPr>
                <w:rFonts w:ascii="Arial" w:hAnsi="Arial" w:cs="Arial"/>
                <w:bCs/>
                <w:sz w:val="22"/>
                <w:szCs w:val="22"/>
              </w:rPr>
            </w:pPr>
          </w:p>
        </w:tc>
      </w:tr>
      <w:tr w:rsidR="00DB0276" w:rsidRPr="002F467C" w:rsidTr="006F5B9D">
        <w:trPr>
          <w:trHeight w:val="720"/>
        </w:trPr>
        <w:tc>
          <w:tcPr>
            <w:tcW w:w="5211" w:type="dxa"/>
            <w:gridSpan w:val="2"/>
          </w:tcPr>
          <w:p w:rsidR="00DB0276" w:rsidRPr="00230F35" w:rsidRDefault="00DB0276" w:rsidP="006F5B9D">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rsidR="00DB0276" w:rsidRPr="00230F35" w:rsidRDefault="00DB0276" w:rsidP="006F5B9D">
            <w:pPr>
              <w:rPr>
                <w:rFonts w:ascii="Arial" w:hAnsi="Arial" w:cs="Arial"/>
                <w:sz w:val="22"/>
                <w:szCs w:val="22"/>
              </w:rPr>
            </w:pPr>
            <w:r w:rsidRPr="00230F35">
              <w:rPr>
                <w:rFonts w:ascii="Arial" w:hAnsi="Arial" w:cs="Arial"/>
                <w:sz w:val="22"/>
                <w:szCs w:val="22"/>
              </w:rPr>
              <w:t>Date:</w:t>
            </w:r>
          </w:p>
        </w:tc>
      </w:tr>
    </w:tbl>
    <w:p w:rsidR="00DB0276" w:rsidRPr="00D67BF8" w:rsidRDefault="00DB0276" w:rsidP="00DB0276">
      <w:pPr>
        <w:pStyle w:val="NormalWeb"/>
        <w:spacing w:before="0" w:beforeAutospacing="0" w:after="0" w:afterAutospacing="0"/>
        <w:ind w:right="-334"/>
        <w:rPr>
          <w:rFonts w:ascii="Trebuchet MS" w:hAnsi="Trebuchet MS" w:cs="Tahoma"/>
          <w:bCs/>
          <w:sz w:val="24"/>
          <w:szCs w:val="24"/>
        </w:rPr>
      </w:pPr>
    </w:p>
    <w:p w:rsidR="00DB0276" w:rsidRDefault="00DB0276" w:rsidP="00DB0276">
      <w:pPr>
        <w:pStyle w:val="ListParagraph"/>
        <w:tabs>
          <w:tab w:val="left" w:pos="0"/>
        </w:tabs>
        <w:suppressAutoHyphens/>
        <w:jc w:val="both"/>
        <w:rPr>
          <w:rFonts w:asciiTheme="minorHAnsi" w:hAnsiTheme="minorHAnsi"/>
          <w:b/>
          <w:spacing w:val="-3"/>
          <w:sz w:val="28"/>
          <w:szCs w:val="28"/>
        </w:rPr>
      </w:pPr>
    </w:p>
    <w:p w:rsidR="00DB0276" w:rsidRPr="00DB0276" w:rsidRDefault="00DB0276" w:rsidP="00DB0276">
      <w:pPr>
        <w:tabs>
          <w:tab w:val="left" w:pos="0"/>
        </w:tabs>
        <w:suppressAutoHyphens/>
        <w:jc w:val="both"/>
        <w:rPr>
          <w:rFonts w:asciiTheme="minorHAnsi" w:hAnsiTheme="minorHAnsi"/>
          <w:b/>
          <w:spacing w:val="-3"/>
          <w:sz w:val="28"/>
          <w:szCs w:val="28"/>
        </w:rPr>
      </w:pPr>
    </w:p>
    <w:p w:rsidR="00DB0276" w:rsidRDefault="00DB0276" w:rsidP="00DB0276">
      <w:pPr>
        <w:pStyle w:val="ListParagraph"/>
        <w:tabs>
          <w:tab w:val="left" w:pos="0"/>
        </w:tabs>
        <w:suppressAutoHyphens/>
        <w:jc w:val="both"/>
        <w:rPr>
          <w:rFonts w:asciiTheme="minorHAnsi" w:hAnsiTheme="minorHAnsi"/>
          <w:b/>
          <w:spacing w:val="-3"/>
          <w:sz w:val="28"/>
          <w:szCs w:val="28"/>
        </w:rPr>
      </w:pPr>
    </w:p>
    <w:p w:rsidR="00DB0276" w:rsidRDefault="00DB0276" w:rsidP="00DB0276">
      <w:pPr>
        <w:pStyle w:val="ListParagraph"/>
        <w:tabs>
          <w:tab w:val="left" w:pos="0"/>
        </w:tabs>
        <w:suppressAutoHyphens/>
        <w:jc w:val="both"/>
        <w:rPr>
          <w:rFonts w:asciiTheme="minorHAnsi" w:hAnsiTheme="minorHAnsi"/>
          <w:b/>
          <w:spacing w:val="-3"/>
          <w:sz w:val="28"/>
          <w:szCs w:val="28"/>
        </w:rPr>
      </w:pPr>
    </w:p>
    <w:p w:rsidR="00DB0276" w:rsidRDefault="00DB0276" w:rsidP="00DB0276">
      <w:pPr>
        <w:pStyle w:val="ListParagraph"/>
        <w:tabs>
          <w:tab w:val="left" w:pos="0"/>
        </w:tabs>
        <w:suppressAutoHyphens/>
        <w:jc w:val="both"/>
        <w:rPr>
          <w:rFonts w:asciiTheme="minorHAnsi" w:hAnsiTheme="minorHAnsi"/>
          <w:b/>
          <w:spacing w:val="-3"/>
          <w:sz w:val="28"/>
          <w:szCs w:val="28"/>
        </w:rPr>
      </w:pPr>
    </w:p>
    <w:p w:rsidR="00005564" w:rsidRPr="0057358F" w:rsidRDefault="00005564" w:rsidP="00005564">
      <w:pPr>
        <w:pStyle w:val="ListParagraph"/>
        <w:numPr>
          <w:ilvl w:val="0"/>
          <w:numId w:val="1"/>
        </w:numPr>
        <w:tabs>
          <w:tab w:val="left" w:pos="0"/>
        </w:tabs>
        <w:suppressAutoHyphens/>
        <w:jc w:val="both"/>
        <w:rPr>
          <w:rFonts w:asciiTheme="minorHAnsi" w:hAnsiTheme="minorHAnsi"/>
          <w:b/>
          <w:spacing w:val="-3"/>
          <w:sz w:val="28"/>
          <w:szCs w:val="28"/>
        </w:rPr>
      </w:pPr>
      <w:r w:rsidRPr="0057358F">
        <w:rPr>
          <w:rFonts w:asciiTheme="minorHAnsi" w:hAnsiTheme="minorHAnsi"/>
          <w:b/>
          <w:spacing w:val="-3"/>
          <w:sz w:val="28"/>
          <w:szCs w:val="28"/>
        </w:rPr>
        <w:lastRenderedPageBreak/>
        <w:t>Memorandum that the Thursday after the Assumption of the Blessed Virgin Mary in the 8</w:t>
      </w:r>
      <w:r w:rsidRPr="0057358F">
        <w:rPr>
          <w:rFonts w:asciiTheme="minorHAnsi" w:hAnsiTheme="minorHAnsi"/>
          <w:b/>
          <w:spacing w:val="-3"/>
          <w:sz w:val="28"/>
          <w:szCs w:val="28"/>
          <w:vertAlign w:val="superscript"/>
        </w:rPr>
        <w:t>th</w:t>
      </w:r>
      <w:r w:rsidRPr="0057358F">
        <w:rPr>
          <w:rFonts w:asciiTheme="minorHAnsi" w:hAnsiTheme="minorHAnsi"/>
          <w:b/>
          <w:spacing w:val="-3"/>
          <w:sz w:val="28"/>
          <w:szCs w:val="28"/>
        </w:rPr>
        <w:t xml:space="preserve"> year of King Richard II the abbot of Byland was accused in the wapentake court held at Pickering. </w:t>
      </w:r>
    </w:p>
    <w:p w:rsidR="00005564" w:rsidRDefault="00F87C91" w:rsidP="00005564">
      <w:pPr>
        <w:pStyle w:val="ListParagraph"/>
        <w:tabs>
          <w:tab w:val="left" w:pos="0"/>
        </w:tabs>
        <w:suppressAutoHyphens/>
        <w:jc w:val="both"/>
        <w:rPr>
          <w:rFonts w:asciiTheme="minorHAnsi" w:hAnsiTheme="minorHAnsi"/>
          <w:spacing w:val="-3"/>
          <w:sz w:val="28"/>
          <w:szCs w:val="28"/>
        </w:rPr>
      </w:pPr>
      <w:r>
        <w:rPr>
          <w:rFonts w:asciiTheme="minorHAnsi" w:hAnsiTheme="minorHAnsi"/>
          <w:spacing w:val="-3"/>
          <w:sz w:val="28"/>
          <w:szCs w:val="28"/>
        </w:rPr>
        <w:tab/>
      </w:r>
      <w:r w:rsidR="00005564">
        <w:rPr>
          <w:rFonts w:asciiTheme="minorHAnsi" w:hAnsiTheme="minorHAnsi"/>
          <w:spacing w:val="-3"/>
          <w:sz w:val="28"/>
          <w:szCs w:val="28"/>
        </w:rPr>
        <w:t>Fi</w:t>
      </w:r>
      <w:r w:rsidR="00815F18">
        <w:rPr>
          <w:rFonts w:asciiTheme="minorHAnsi" w:hAnsiTheme="minorHAnsi"/>
          <w:spacing w:val="-3"/>
          <w:sz w:val="28"/>
          <w:szCs w:val="28"/>
        </w:rPr>
        <w:t xml:space="preserve">rstly break down the fragment </w:t>
      </w:r>
      <w:r w:rsidR="00005564">
        <w:rPr>
          <w:rFonts w:asciiTheme="minorHAnsi" w:hAnsiTheme="minorHAnsi"/>
          <w:spacing w:val="-3"/>
          <w:sz w:val="28"/>
          <w:szCs w:val="28"/>
        </w:rPr>
        <w:t>to years, months</w:t>
      </w:r>
      <w:r w:rsidR="009F5C86">
        <w:rPr>
          <w:rFonts w:asciiTheme="minorHAnsi" w:hAnsiTheme="minorHAnsi"/>
          <w:spacing w:val="-3"/>
          <w:sz w:val="28"/>
          <w:szCs w:val="28"/>
        </w:rPr>
        <w:t>,</w:t>
      </w:r>
      <w:r w:rsidR="00005564">
        <w:rPr>
          <w:rFonts w:asciiTheme="minorHAnsi" w:hAnsiTheme="minorHAnsi"/>
          <w:spacing w:val="-3"/>
          <w:sz w:val="28"/>
          <w:szCs w:val="28"/>
        </w:rPr>
        <w:t xml:space="preserve"> weeks and then dates and days of the week. The 8</w:t>
      </w:r>
      <w:r w:rsidR="00005564" w:rsidRPr="00005564">
        <w:rPr>
          <w:rFonts w:asciiTheme="minorHAnsi" w:hAnsiTheme="minorHAnsi"/>
          <w:spacing w:val="-3"/>
          <w:sz w:val="28"/>
          <w:szCs w:val="28"/>
          <w:vertAlign w:val="superscript"/>
        </w:rPr>
        <w:t>th</w:t>
      </w:r>
      <w:r w:rsidR="00005564">
        <w:rPr>
          <w:rFonts w:asciiTheme="minorHAnsi" w:hAnsiTheme="minorHAnsi"/>
          <w:spacing w:val="-3"/>
          <w:sz w:val="28"/>
          <w:szCs w:val="28"/>
        </w:rPr>
        <w:t xml:space="preserve"> year of the reign of King Richard II was the </w:t>
      </w:r>
      <w:proofErr w:type="gramStart"/>
      <w:r w:rsidR="00005564">
        <w:rPr>
          <w:rFonts w:asciiTheme="minorHAnsi" w:hAnsiTheme="minorHAnsi"/>
          <w:spacing w:val="-3"/>
          <w:sz w:val="28"/>
          <w:szCs w:val="28"/>
        </w:rPr>
        <w:t>Regnal</w:t>
      </w:r>
      <w:proofErr w:type="gramEnd"/>
      <w:r w:rsidR="00005564">
        <w:rPr>
          <w:rFonts w:asciiTheme="minorHAnsi" w:hAnsiTheme="minorHAnsi"/>
          <w:spacing w:val="-3"/>
          <w:sz w:val="28"/>
          <w:szCs w:val="28"/>
        </w:rPr>
        <w:t xml:space="preserve"> year 22</w:t>
      </w:r>
      <w:r w:rsidR="00005564" w:rsidRPr="00005564">
        <w:rPr>
          <w:rFonts w:asciiTheme="minorHAnsi" w:hAnsiTheme="minorHAnsi"/>
          <w:spacing w:val="-3"/>
          <w:sz w:val="28"/>
          <w:szCs w:val="28"/>
          <w:vertAlign w:val="superscript"/>
        </w:rPr>
        <w:t>nd</w:t>
      </w:r>
      <w:r w:rsidR="00005564">
        <w:rPr>
          <w:rFonts w:asciiTheme="minorHAnsi" w:hAnsiTheme="minorHAnsi"/>
          <w:spacing w:val="-3"/>
          <w:sz w:val="28"/>
          <w:szCs w:val="28"/>
        </w:rPr>
        <w:t xml:space="preserve"> June 1384-21</w:t>
      </w:r>
      <w:r w:rsidR="00005564" w:rsidRPr="00005564">
        <w:rPr>
          <w:rFonts w:asciiTheme="minorHAnsi" w:hAnsiTheme="minorHAnsi"/>
          <w:spacing w:val="-3"/>
          <w:sz w:val="28"/>
          <w:szCs w:val="28"/>
          <w:vertAlign w:val="superscript"/>
        </w:rPr>
        <w:t>st</w:t>
      </w:r>
      <w:r w:rsidR="00005564">
        <w:rPr>
          <w:rFonts w:asciiTheme="minorHAnsi" w:hAnsiTheme="minorHAnsi"/>
          <w:spacing w:val="-3"/>
          <w:sz w:val="28"/>
          <w:szCs w:val="28"/>
        </w:rPr>
        <w:t xml:space="preserve"> June 1385</w:t>
      </w:r>
      <w:r w:rsidR="009F5C86">
        <w:rPr>
          <w:rFonts w:asciiTheme="minorHAnsi" w:hAnsiTheme="minorHAnsi"/>
          <w:spacing w:val="-3"/>
          <w:sz w:val="28"/>
          <w:szCs w:val="28"/>
        </w:rPr>
        <w:t>.</w:t>
      </w:r>
      <w:r w:rsidR="00005564">
        <w:rPr>
          <w:rStyle w:val="FootnoteReference"/>
          <w:rFonts w:asciiTheme="minorHAnsi" w:hAnsiTheme="minorHAnsi"/>
          <w:spacing w:val="-3"/>
          <w:sz w:val="28"/>
          <w:szCs w:val="28"/>
        </w:rPr>
        <w:footnoteReference w:id="1"/>
      </w:r>
      <w:r w:rsidR="0048593F">
        <w:rPr>
          <w:rFonts w:asciiTheme="minorHAnsi" w:hAnsiTheme="minorHAnsi"/>
          <w:spacing w:val="-3"/>
          <w:sz w:val="28"/>
          <w:szCs w:val="28"/>
        </w:rPr>
        <w:t xml:space="preserve"> The Assumption of The Blessed Virgin Mary is a non-movable feast, which occurs on the 15</w:t>
      </w:r>
      <w:r w:rsidR="0048593F" w:rsidRPr="0048593F">
        <w:rPr>
          <w:rFonts w:asciiTheme="minorHAnsi" w:hAnsiTheme="minorHAnsi"/>
          <w:spacing w:val="-3"/>
          <w:sz w:val="28"/>
          <w:szCs w:val="28"/>
          <w:vertAlign w:val="superscript"/>
        </w:rPr>
        <w:t>th</w:t>
      </w:r>
      <w:r w:rsidR="0048593F">
        <w:rPr>
          <w:rFonts w:asciiTheme="minorHAnsi" w:hAnsiTheme="minorHAnsi"/>
          <w:spacing w:val="-3"/>
          <w:sz w:val="28"/>
          <w:szCs w:val="28"/>
        </w:rPr>
        <w:t xml:space="preserve"> August</w:t>
      </w:r>
      <w:r w:rsidR="0048593F">
        <w:rPr>
          <w:rStyle w:val="FootnoteReference"/>
          <w:rFonts w:asciiTheme="minorHAnsi" w:hAnsiTheme="minorHAnsi"/>
          <w:spacing w:val="-3"/>
          <w:sz w:val="28"/>
          <w:szCs w:val="28"/>
        </w:rPr>
        <w:footnoteReference w:id="2"/>
      </w:r>
      <w:r w:rsidR="00337868">
        <w:rPr>
          <w:rFonts w:asciiTheme="minorHAnsi" w:hAnsiTheme="minorHAnsi"/>
          <w:spacing w:val="-3"/>
          <w:sz w:val="28"/>
          <w:szCs w:val="28"/>
        </w:rPr>
        <w:t>;</w:t>
      </w:r>
      <w:r w:rsidR="0048593F">
        <w:rPr>
          <w:rFonts w:asciiTheme="minorHAnsi" w:hAnsiTheme="minorHAnsi"/>
          <w:spacing w:val="-3"/>
          <w:sz w:val="28"/>
          <w:szCs w:val="28"/>
        </w:rPr>
        <w:t xml:space="preserve"> therefore the date is restricted to the Grace Year 1384 and the month of August. </w:t>
      </w:r>
      <w:r w:rsidR="00A5267D">
        <w:rPr>
          <w:rFonts w:asciiTheme="minorHAnsi" w:hAnsiTheme="minorHAnsi"/>
          <w:spacing w:val="-3"/>
          <w:sz w:val="28"/>
          <w:szCs w:val="28"/>
        </w:rPr>
        <w:t>The date of Easter 1384 is the 10</w:t>
      </w:r>
      <w:r w:rsidR="00A5267D" w:rsidRPr="00A5267D">
        <w:rPr>
          <w:rFonts w:asciiTheme="minorHAnsi" w:hAnsiTheme="minorHAnsi"/>
          <w:spacing w:val="-3"/>
          <w:sz w:val="28"/>
          <w:szCs w:val="28"/>
          <w:vertAlign w:val="superscript"/>
        </w:rPr>
        <w:t>th</w:t>
      </w:r>
      <w:r w:rsidR="00A5267D">
        <w:rPr>
          <w:rFonts w:asciiTheme="minorHAnsi" w:hAnsiTheme="minorHAnsi"/>
          <w:spacing w:val="-3"/>
          <w:sz w:val="28"/>
          <w:szCs w:val="28"/>
        </w:rPr>
        <w:t xml:space="preserve"> April</w:t>
      </w:r>
      <w:r w:rsidR="00A5267D">
        <w:rPr>
          <w:rStyle w:val="FootnoteReference"/>
          <w:rFonts w:asciiTheme="minorHAnsi" w:hAnsiTheme="minorHAnsi"/>
          <w:spacing w:val="-3"/>
          <w:sz w:val="28"/>
          <w:szCs w:val="28"/>
        </w:rPr>
        <w:footnoteReference w:id="3"/>
      </w:r>
      <w:r w:rsidR="00A5267D">
        <w:rPr>
          <w:rFonts w:asciiTheme="minorHAnsi" w:hAnsiTheme="minorHAnsi"/>
          <w:spacing w:val="-3"/>
          <w:sz w:val="28"/>
          <w:szCs w:val="28"/>
        </w:rPr>
        <w:t>, this was a Monday</w:t>
      </w:r>
      <w:r w:rsidR="00A5267D">
        <w:rPr>
          <w:rStyle w:val="FootnoteReference"/>
          <w:rFonts w:asciiTheme="minorHAnsi" w:hAnsiTheme="minorHAnsi"/>
          <w:spacing w:val="-3"/>
          <w:sz w:val="28"/>
          <w:szCs w:val="28"/>
        </w:rPr>
        <w:footnoteReference w:id="4"/>
      </w:r>
      <w:r w:rsidR="00A5267D">
        <w:rPr>
          <w:rFonts w:asciiTheme="minorHAnsi" w:hAnsiTheme="minorHAnsi"/>
          <w:spacing w:val="-3"/>
          <w:sz w:val="28"/>
          <w:szCs w:val="28"/>
        </w:rPr>
        <w:t>. This leaves us with the Thursday after the Assumption of The Blessed Virgin Mary as being the 18</w:t>
      </w:r>
      <w:r w:rsidR="00A5267D" w:rsidRPr="00A5267D">
        <w:rPr>
          <w:rFonts w:asciiTheme="minorHAnsi" w:hAnsiTheme="minorHAnsi"/>
          <w:spacing w:val="-3"/>
          <w:sz w:val="28"/>
          <w:szCs w:val="28"/>
          <w:vertAlign w:val="superscript"/>
        </w:rPr>
        <w:t>th</w:t>
      </w:r>
      <w:r w:rsidR="00A5267D">
        <w:rPr>
          <w:rFonts w:asciiTheme="minorHAnsi" w:hAnsiTheme="minorHAnsi"/>
          <w:spacing w:val="-3"/>
          <w:sz w:val="28"/>
          <w:szCs w:val="28"/>
        </w:rPr>
        <w:t xml:space="preserve"> August in the year of 1384.</w:t>
      </w:r>
    </w:p>
    <w:p w:rsidR="00A5267D" w:rsidRPr="00BB2754" w:rsidRDefault="00A5267D" w:rsidP="00005564">
      <w:pPr>
        <w:pStyle w:val="ListParagraph"/>
        <w:tabs>
          <w:tab w:val="left" w:pos="0"/>
        </w:tabs>
        <w:suppressAutoHyphens/>
        <w:jc w:val="both"/>
        <w:rPr>
          <w:rFonts w:asciiTheme="minorHAnsi" w:hAnsiTheme="minorHAnsi"/>
          <w:spacing w:val="-3"/>
          <w:sz w:val="28"/>
          <w:szCs w:val="28"/>
        </w:rPr>
      </w:pPr>
    </w:p>
    <w:p w:rsidR="008C5E30" w:rsidRDefault="008C5E30" w:rsidP="008C5E30">
      <w:pPr>
        <w:pStyle w:val="ListParagraph"/>
        <w:numPr>
          <w:ilvl w:val="0"/>
          <w:numId w:val="1"/>
        </w:numPr>
        <w:tabs>
          <w:tab w:val="left" w:pos="0"/>
        </w:tabs>
        <w:suppressAutoHyphens/>
        <w:jc w:val="both"/>
        <w:rPr>
          <w:rFonts w:asciiTheme="minorHAnsi" w:hAnsiTheme="minorHAnsi"/>
          <w:b/>
          <w:spacing w:val="-3"/>
          <w:sz w:val="28"/>
          <w:szCs w:val="28"/>
        </w:rPr>
      </w:pPr>
      <w:r w:rsidRPr="008C5E30">
        <w:rPr>
          <w:rFonts w:asciiTheme="minorHAnsi" w:hAnsiTheme="minorHAnsi"/>
          <w:b/>
          <w:spacing w:val="-3"/>
          <w:sz w:val="28"/>
          <w:szCs w:val="28"/>
        </w:rPr>
        <w:t>Confirmation by Bishop Anian of St Asaph of the charters for Shrewsbury Abbey issued by his predecessors Bishops Reiner, Abraham, and Hugh. Given at Shrewsbury the day after St Mary Magdalene in the first year of his pontificate.</w:t>
      </w:r>
    </w:p>
    <w:p w:rsidR="008C5E30" w:rsidRPr="008C5E30" w:rsidRDefault="00F87C91" w:rsidP="008C5E30">
      <w:pPr>
        <w:pStyle w:val="ListParagraph"/>
        <w:tabs>
          <w:tab w:val="left" w:pos="0"/>
        </w:tabs>
        <w:suppressAutoHyphens/>
        <w:jc w:val="both"/>
        <w:rPr>
          <w:rFonts w:asciiTheme="minorHAnsi" w:hAnsiTheme="minorHAnsi"/>
          <w:spacing w:val="-3"/>
          <w:sz w:val="28"/>
          <w:szCs w:val="28"/>
        </w:rPr>
      </w:pPr>
      <w:r>
        <w:rPr>
          <w:rFonts w:asciiTheme="minorHAnsi" w:hAnsiTheme="minorHAnsi"/>
          <w:spacing w:val="-3"/>
          <w:sz w:val="28"/>
          <w:szCs w:val="28"/>
        </w:rPr>
        <w:tab/>
      </w:r>
      <w:r w:rsidR="008C5E30">
        <w:rPr>
          <w:rFonts w:asciiTheme="minorHAnsi" w:hAnsiTheme="minorHAnsi"/>
          <w:spacing w:val="-3"/>
          <w:sz w:val="28"/>
          <w:szCs w:val="28"/>
        </w:rPr>
        <w:t>Bishop Anian of St Asaph was consecrated in Nov 1249</w:t>
      </w:r>
      <w:r w:rsidR="008C5E30">
        <w:rPr>
          <w:rStyle w:val="FootnoteReference"/>
          <w:rFonts w:asciiTheme="minorHAnsi" w:hAnsiTheme="minorHAnsi"/>
          <w:spacing w:val="-3"/>
          <w:sz w:val="28"/>
          <w:szCs w:val="28"/>
        </w:rPr>
        <w:footnoteReference w:id="5"/>
      </w:r>
      <w:r w:rsidR="008C5E30">
        <w:rPr>
          <w:rFonts w:asciiTheme="minorHAnsi" w:hAnsiTheme="minorHAnsi"/>
          <w:spacing w:val="-3"/>
          <w:sz w:val="28"/>
          <w:szCs w:val="28"/>
        </w:rPr>
        <w:t xml:space="preserve"> </w:t>
      </w:r>
      <w:r w:rsidR="00815F18">
        <w:rPr>
          <w:rFonts w:asciiTheme="minorHAnsi" w:hAnsiTheme="minorHAnsi"/>
          <w:spacing w:val="-3"/>
          <w:sz w:val="28"/>
          <w:szCs w:val="28"/>
        </w:rPr>
        <w:t>as there is no mention of his being the second of that name I have discounted the possibility that he was Bishop Anian II of St Asaph’s. St Mary Magdelene day is 22</w:t>
      </w:r>
      <w:r w:rsidR="00815F18" w:rsidRPr="00815F18">
        <w:rPr>
          <w:rFonts w:asciiTheme="minorHAnsi" w:hAnsiTheme="minorHAnsi"/>
          <w:spacing w:val="-3"/>
          <w:sz w:val="28"/>
          <w:szCs w:val="28"/>
          <w:vertAlign w:val="superscript"/>
        </w:rPr>
        <w:t>nd</w:t>
      </w:r>
      <w:r w:rsidR="00815F18">
        <w:rPr>
          <w:rFonts w:asciiTheme="minorHAnsi" w:hAnsiTheme="minorHAnsi"/>
          <w:spacing w:val="-3"/>
          <w:sz w:val="28"/>
          <w:szCs w:val="28"/>
        </w:rPr>
        <w:t xml:space="preserve"> July</w:t>
      </w:r>
      <w:r w:rsidR="00815F18">
        <w:rPr>
          <w:rStyle w:val="FootnoteReference"/>
          <w:rFonts w:asciiTheme="minorHAnsi" w:hAnsiTheme="minorHAnsi"/>
          <w:spacing w:val="-3"/>
          <w:sz w:val="28"/>
          <w:szCs w:val="28"/>
        </w:rPr>
        <w:footnoteReference w:id="6"/>
      </w:r>
      <w:r w:rsidR="00815F18">
        <w:rPr>
          <w:rFonts w:asciiTheme="minorHAnsi" w:hAnsiTheme="minorHAnsi"/>
          <w:spacing w:val="-3"/>
          <w:sz w:val="28"/>
          <w:szCs w:val="28"/>
        </w:rPr>
        <w:t xml:space="preserve"> and as this is the first year of his Pontificate this would give the date of 22</w:t>
      </w:r>
      <w:r w:rsidR="00815F18" w:rsidRPr="00815F18">
        <w:rPr>
          <w:rFonts w:asciiTheme="minorHAnsi" w:hAnsiTheme="minorHAnsi"/>
          <w:spacing w:val="-3"/>
          <w:sz w:val="28"/>
          <w:szCs w:val="28"/>
          <w:vertAlign w:val="superscript"/>
        </w:rPr>
        <w:t>nd</w:t>
      </w:r>
      <w:r w:rsidR="00815F18">
        <w:rPr>
          <w:rFonts w:asciiTheme="minorHAnsi" w:hAnsiTheme="minorHAnsi"/>
          <w:spacing w:val="-3"/>
          <w:sz w:val="28"/>
          <w:szCs w:val="28"/>
        </w:rPr>
        <w:t xml:space="preserve"> July 1250. </w:t>
      </w:r>
    </w:p>
    <w:p w:rsidR="00E2259A" w:rsidRDefault="00E2259A" w:rsidP="00E2259A">
      <w:pPr>
        <w:pStyle w:val="ListParagraph"/>
        <w:tabs>
          <w:tab w:val="left" w:pos="0"/>
        </w:tabs>
        <w:suppressAutoHyphens/>
        <w:jc w:val="both"/>
        <w:rPr>
          <w:rFonts w:asciiTheme="minorHAnsi" w:hAnsiTheme="minorHAnsi"/>
          <w:spacing w:val="-3"/>
          <w:sz w:val="28"/>
          <w:szCs w:val="28"/>
        </w:rPr>
      </w:pPr>
    </w:p>
    <w:p w:rsidR="00E2259A" w:rsidRPr="0057358F" w:rsidRDefault="00005564" w:rsidP="00E2259A">
      <w:pPr>
        <w:pStyle w:val="ListParagraph"/>
        <w:numPr>
          <w:ilvl w:val="0"/>
          <w:numId w:val="1"/>
        </w:numPr>
        <w:tabs>
          <w:tab w:val="left" w:pos="0"/>
        </w:tabs>
        <w:suppressAutoHyphens/>
        <w:jc w:val="both"/>
        <w:rPr>
          <w:rFonts w:asciiTheme="minorHAnsi" w:hAnsiTheme="minorHAnsi"/>
          <w:b/>
          <w:spacing w:val="-3"/>
          <w:sz w:val="28"/>
          <w:szCs w:val="28"/>
        </w:rPr>
      </w:pPr>
      <w:r w:rsidRPr="0057358F">
        <w:rPr>
          <w:rFonts w:asciiTheme="minorHAnsi" w:hAnsiTheme="minorHAnsi"/>
          <w:b/>
          <w:spacing w:val="-3"/>
          <w:sz w:val="28"/>
          <w:szCs w:val="28"/>
        </w:rPr>
        <w:t>Downham: court held on Thursday the day after Ash Wednesday in the fourth year of the reign of King Edward and the first year of the episcopate of John de Ketene [Ketton]</w:t>
      </w:r>
    </w:p>
    <w:p w:rsidR="00E2259A" w:rsidRPr="00337868" w:rsidRDefault="00E2259A" w:rsidP="00337868">
      <w:pPr>
        <w:pStyle w:val="ListParagraph"/>
        <w:ind w:firstLine="720"/>
        <w:rPr>
          <w:rFonts w:asciiTheme="minorHAnsi" w:hAnsiTheme="minorHAnsi"/>
          <w:spacing w:val="-3"/>
          <w:sz w:val="28"/>
          <w:szCs w:val="28"/>
        </w:rPr>
      </w:pPr>
      <w:r>
        <w:rPr>
          <w:rFonts w:asciiTheme="minorHAnsi" w:hAnsiTheme="minorHAnsi"/>
          <w:spacing w:val="-3"/>
          <w:sz w:val="28"/>
          <w:szCs w:val="28"/>
        </w:rPr>
        <w:t xml:space="preserve">This fragment does not tell us </w:t>
      </w:r>
      <w:r w:rsidR="00CB5C41">
        <w:rPr>
          <w:rFonts w:asciiTheme="minorHAnsi" w:hAnsiTheme="minorHAnsi"/>
          <w:i/>
          <w:spacing w:val="-3"/>
          <w:sz w:val="28"/>
          <w:szCs w:val="28"/>
        </w:rPr>
        <w:t xml:space="preserve">which </w:t>
      </w:r>
      <w:r>
        <w:rPr>
          <w:rFonts w:asciiTheme="minorHAnsi" w:hAnsiTheme="minorHAnsi"/>
          <w:spacing w:val="-3"/>
          <w:sz w:val="28"/>
          <w:szCs w:val="28"/>
        </w:rPr>
        <w:t>reign of King Edward</w:t>
      </w:r>
      <w:r w:rsidR="00CB5C41">
        <w:rPr>
          <w:rFonts w:asciiTheme="minorHAnsi" w:hAnsiTheme="minorHAnsi"/>
          <w:spacing w:val="-3"/>
          <w:sz w:val="28"/>
          <w:szCs w:val="28"/>
        </w:rPr>
        <w:t xml:space="preserve"> and so we must rely on the intersection of the Episcopacy of John De Ketene with the reign of an Edward. British </w:t>
      </w:r>
      <w:r w:rsidR="00820F79">
        <w:rPr>
          <w:rFonts w:asciiTheme="minorHAnsi" w:hAnsiTheme="minorHAnsi"/>
          <w:spacing w:val="-3"/>
          <w:sz w:val="28"/>
          <w:szCs w:val="28"/>
        </w:rPr>
        <w:t xml:space="preserve">History Online informs us that </w:t>
      </w:r>
      <w:r w:rsidR="00CB5C41">
        <w:rPr>
          <w:rFonts w:asciiTheme="minorHAnsi" w:hAnsiTheme="minorHAnsi"/>
          <w:spacing w:val="-3"/>
          <w:sz w:val="28"/>
          <w:szCs w:val="28"/>
        </w:rPr>
        <w:t>John De Ketene was raised to the Episcopacy of Ely in March 1310</w:t>
      </w:r>
      <w:r w:rsidR="009F5C86">
        <w:rPr>
          <w:rFonts w:asciiTheme="minorHAnsi" w:hAnsiTheme="minorHAnsi"/>
          <w:spacing w:val="-3"/>
          <w:sz w:val="28"/>
          <w:szCs w:val="28"/>
        </w:rPr>
        <w:t>.</w:t>
      </w:r>
      <w:r w:rsidR="00CB5C41">
        <w:rPr>
          <w:rStyle w:val="FootnoteReference"/>
          <w:rFonts w:asciiTheme="minorHAnsi" w:hAnsiTheme="minorHAnsi"/>
          <w:spacing w:val="-3"/>
          <w:sz w:val="28"/>
          <w:szCs w:val="28"/>
        </w:rPr>
        <w:footnoteReference w:id="7"/>
      </w:r>
      <w:r w:rsidR="00820F79">
        <w:rPr>
          <w:rFonts w:asciiTheme="minorHAnsi" w:hAnsiTheme="minorHAnsi"/>
          <w:spacing w:val="-3"/>
          <w:sz w:val="28"/>
          <w:szCs w:val="28"/>
        </w:rPr>
        <w:t xml:space="preserve"> This corresponds with </w:t>
      </w:r>
      <w:r w:rsidR="00820F79">
        <w:rPr>
          <w:rFonts w:asciiTheme="minorHAnsi" w:hAnsiTheme="minorHAnsi"/>
          <w:spacing w:val="-3"/>
          <w:sz w:val="28"/>
          <w:szCs w:val="28"/>
        </w:rPr>
        <w:lastRenderedPageBreak/>
        <w:t>the fourth year of the reign of Edward II</w:t>
      </w:r>
      <w:r w:rsidR="009F5C86">
        <w:rPr>
          <w:rFonts w:asciiTheme="minorHAnsi" w:hAnsiTheme="minorHAnsi"/>
          <w:spacing w:val="-3"/>
          <w:sz w:val="28"/>
          <w:szCs w:val="28"/>
        </w:rPr>
        <w:t>,</w:t>
      </w:r>
      <w:r w:rsidR="00820F79">
        <w:rPr>
          <w:rStyle w:val="FootnoteReference"/>
          <w:rFonts w:asciiTheme="minorHAnsi" w:hAnsiTheme="minorHAnsi"/>
          <w:spacing w:val="-3"/>
          <w:sz w:val="28"/>
          <w:szCs w:val="28"/>
        </w:rPr>
        <w:footnoteReference w:id="8"/>
      </w:r>
      <w:r w:rsidR="00820F79">
        <w:rPr>
          <w:rFonts w:asciiTheme="minorHAnsi" w:hAnsiTheme="minorHAnsi"/>
          <w:spacing w:val="-3"/>
          <w:sz w:val="28"/>
          <w:szCs w:val="28"/>
        </w:rPr>
        <w:t xml:space="preserve"> the Regnal year for Edward II runs from 8</w:t>
      </w:r>
      <w:r w:rsidR="00820F79" w:rsidRPr="00820F79">
        <w:rPr>
          <w:rFonts w:asciiTheme="minorHAnsi" w:hAnsiTheme="minorHAnsi"/>
          <w:spacing w:val="-3"/>
          <w:sz w:val="28"/>
          <w:szCs w:val="28"/>
          <w:vertAlign w:val="superscript"/>
        </w:rPr>
        <w:t>th</w:t>
      </w:r>
      <w:r w:rsidR="00820F79">
        <w:rPr>
          <w:rFonts w:asciiTheme="minorHAnsi" w:hAnsiTheme="minorHAnsi"/>
          <w:spacing w:val="-3"/>
          <w:sz w:val="28"/>
          <w:szCs w:val="28"/>
        </w:rPr>
        <w:t xml:space="preserve"> July 1310-7</w:t>
      </w:r>
      <w:r w:rsidR="00820F79" w:rsidRPr="00820F79">
        <w:rPr>
          <w:rFonts w:asciiTheme="minorHAnsi" w:hAnsiTheme="minorHAnsi"/>
          <w:spacing w:val="-3"/>
          <w:sz w:val="28"/>
          <w:szCs w:val="28"/>
          <w:vertAlign w:val="superscript"/>
        </w:rPr>
        <w:t>th</w:t>
      </w:r>
      <w:r w:rsidR="00820F79">
        <w:rPr>
          <w:rFonts w:asciiTheme="minorHAnsi" w:hAnsiTheme="minorHAnsi"/>
          <w:spacing w:val="-3"/>
          <w:sz w:val="28"/>
          <w:szCs w:val="28"/>
        </w:rPr>
        <w:t xml:space="preserve"> July 1311</w:t>
      </w:r>
      <w:r w:rsidR="00DD128E">
        <w:rPr>
          <w:rStyle w:val="FootnoteReference"/>
          <w:rFonts w:asciiTheme="minorHAnsi" w:hAnsiTheme="minorHAnsi"/>
          <w:spacing w:val="-3"/>
          <w:sz w:val="28"/>
          <w:szCs w:val="28"/>
        </w:rPr>
        <w:footnoteReference w:id="9"/>
      </w:r>
      <w:r w:rsidR="00820F79">
        <w:rPr>
          <w:rFonts w:asciiTheme="minorHAnsi" w:hAnsiTheme="minorHAnsi"/>
          <w:spacing w:val="-3"/>
          <w:sz w:val="28"/>
          <w:szCs w:val="28"/>
        </w:rPr>
        <w:t xml:space="preserve"> and so the beginning of the Regnal year in 1310 would be too late for Easter. This leaves us with the year 1311 in which Easter fell on the 11</w:t>
      </w:r>
      <w:r w:rsidR="00820F79" w:rsidRPr="00820F79">
        <w:rPr>
          <w:rFonts w:asciiTheme="minorHAnsi" w:hAnsiTheme="minorHAnsi"/>
          <w:spacing w:val="-3"/>
          <w:sz w:val="28"/>
          <w:szCs w:val="28"/>
          <w:vertAlign w:val="superscript"/>
        </w:rPr>
        <w:t>th</w:t>
      </w:r>
      <w:r w:rsidR="00820F79">
        <w:rPr>
          <w:rFonts w:asciiTheme="minorHAnsi" w:hAnsiTheme="minorHAnsi"/>
          <w:spacing w:val="-3"/>
          <w:sz w:val="28"/>
          <w:szCs w:val="28"/>
        </w:rPr>
        <w:t xml:space="preserve"> April; Ash Wednesday is a movable feast related to the date of Easter.  </w:t>
      </w:r>
      <w:r w:rsidR="00DD128E">
        <w:rPr>
          <w:rFonts w:asciiTheme="minorHAnsi" w:hAnsiTheme="minorHAnsi"/>
          <w:spacing w:val="-3"/>
          <w:sz w:val="28"/>
          <w:szCs w:val="28"/>
        </w:rPr>
        <w:t>In 1311 Ash Wednesday fell on Wednesday 24</w:t>
      </w:r>
      <w:r w:rsidR="00DD128E" w:rsidRPr="00DD128E">
        <w:rPr>
          <w:rFonts w:asciiTheme="minorHAnsi" w:hAnsiTheme="minorHAnsi"/>
          <w:spacing w:val="-3"/>
          <w:sz w:val="28"/>
          <w:szCs w:val="28"/>
          <w:vertAlign w:val="superscript"/>
        </w:rPr>
        <w:t>th</w:t>
      </w:r>
      <w:r w:rsidR="00DD128E">
        <w:rPr>
          <w:rFonts w:asciiTheme="minorHAnsi" w:hAnsiTheme="minorHAnsi"/>
          <w:spacing w:val="-3"/>
          <w:sz w:val="28"/>
          <w:szCs w:val="28"/>
        </w:rPr>
        <w:t xml:space="preserve"> February</w:t>
      </w:r>
      <w:r w:rsidR="00DD128E">
        <w:rPr>
          <w:rStyle w:val="FootnoteReference"/>
          <w:rFonts w:asciiTheme="minorHAnsi" w:hAnsiTheme="minorHAnsi"/>
          <w:spacing w:val="-3"/>
          <w:sz w:val="28"/>
          <w:szCs w:val="28"/>
        </w:rPr>
        <w:footnoteReference w:id="10"/>
      </w:r>
      <w:r w:rsidR="00DD128E">
        <w:rPr>
          <w:rFonts w:asciiTheme="minorHAnsi" w:hAnsiTheme="minorHAnsi"/>
          <w:spacing w:val="-3"/>
          <w:sz w:val="28"/>
          <w:szCs w:val="28"/>
        </w:rPr>
        <w:t xml:space="preserve"> and therefore the court was held on Thursday 25</w:t>
      </w:r>
      <w:r w:rsidR="00DD128E" w:rsidRPr="00DD128E">
        <w:rPr>
          <w:rFonts w:asciiTheme="minorHAnsi" w:hAnsiTheme="minorHAnsi"/>
          <w:spacing w:val="-3"/>
          <w:sz w:val="28"/>
          <w:szCs w:val="28"/>
          <w:vertAlign w:val="superscript"/>
        </w:rPr>
        <w:t>th</w:t>
      </w:r>
      <w:r w:rsidR="00DD128E">
        <w:rPr>
          <w:rFonts w:asciiTheme="minorHAnsi" w:hAnsiTheme="minorHAnsi"/>
          <w:spacing w:val="-3"/>
          <w:sz w:val="28"/>
          <w:szCs w:val="28"/>
        </w:rPr>
        <w:t xml:space="preserve"> February 1311.</w:t>
      </w:r>
      <w:r w:rsidR="00820F79">
        <w:rPr>
          <w:rFonts w:asciiTheme="minorHAnsi" w:hAnsiTheme="minorHAnsi"/>
          <w:spacing w:val="-3"/>
          <w:sz w:val="28"/>
          <w:szCs w:val="28"/>
        </w:rPr>
        <w:t xml:space="preserve"> </w:t>
      </w:r>
    </w:p>
    <w:p w:rsidR="00005564" w:rsidRPr="00751926" w:rsidRDefault="00005564" w:rsidP="00751926">
      <w:pPr>
        <w:pStyle w:val="ListParagraph"/>
        <w:numPr>
          <w:ilvl w:val="0"/>
          <w:numId w:val="1"/>
        </w:numPr>
        <w:tabs>
          <w:tab w:val="left" w:pos="0"/>
        </w:tabs>
        <w:suppressAutoHyphens/>
        <w:jc w:val="both"/>
        <w:rPr>
          <w:rFonts w:asciiTheme="minorHAnsi" w:hAnsiTheme="minorHAnsi"/>
          <w:b/>
          <w:spacing w:val="-3"/>
          <w:sz w:val="28"/>
          <w:szCs w:val="28"/>
        </w:rPr>
      </w:pPr>
      <w:r w:rsidRPr="00751926">
        <w:rPr>
          <w:rFonts w:asciiTheme="minorHAnsi" w:hAnsiTheme="minorHAnsi"/>
          <w:b/>
          <w:spacing w:val="-3"/>
          <w:sz w:val="28"/>
          <w:szCs w:val="28"/>
        </w:rPr>
        <w:t>Henry, king of the English, greets the bishop of Lincoln and Earl David and the earl of Leicester, and Earl Rannulf of Chester, and all the barons and lords of whom Geoffrey Ridel held lands, and all the sheriffs within whose jurisdiction he held them. Know that I have given to Richard Basset the daughter of Geoffrey Ridel to wife, and the custody of Geoffrey Ridel’s land until Robert Ridel can be made a knight and marry the granddaughter of Ralph Basset, namely the daughter of one of his daughters. … And this gift and compact have been made at the request and with the advice of Rannulf, earl of Chester, and William his brother, and Nigel d’Aubigny and Robert Ridel’s other kin and Geva his mother, and Geoffrey the earl’s chancellor, and Simon, dean of Lincoln, and William, son of Rannulf, and Thomas of St John and Geoffrey de Clinton, and Payn son of John, and William d’Aubigny and Humphrey de Bohun and Robert Musard and Robert Basset and Osmund Basset and Thurstan Basset and William, constable of Earl Rannulf of Chester, and Ralph, son of Norman, and Hugh Maubanc. At Woodstock.</w:t>
      </w:r>
    </w:p>
    <w:p w:rsidR="00F87C91" w:rsidRDefault="00F87C91" w:rsidP="00F87C91">
      <w:pPr>
        <w:pStyle w:val="ListParagraph"/>
        <w:tabs>
          <w:tab w:val="left" w:pos="0"/>
        </w:tabs>
        <w:suppressAutoHyphens/>
        <w:jc w:val="both"/>
        <w:rPr>
          <w:rFonts w:asciiTheme="minorHAnsi" w:hAnsiTheme="minorHAnsi"/>
          <w:spacing w:val="-3"/>
          <w:sz w:val="28"/>
          <w:szCs w:val="28"/>
        </w:rPr>
      </w:pPr>
      <w:r>
        <w:rPr>
          <w:rFonts w:asciiTheme="minorHAnsi" w:hAnsiTheme="minorHAnsi"/>
          <w:spacing w:val="-3"/>
          <w:sz w:val="28"/>
          <w:szCs w:val="28"/>
        </w:rPr>
        <w:tab/>
      </w:r>
      <w:r w:rsidR="002D1D93">
        <w:rPr>
          <w:rFonts w:asciiTheme="minorHAnsi" w:hAnsiTheme="minorHAnsi"/>
          <w:spacing w:val="-3"/>
          <w:sz w:val="28"/>
          <w:szCs w:val="28"/>
        </w:rPr>
        <w:t>There are only a few points in the fragment above that indicate an approximate date. All the personalities are contemporaneous to Henry I 11</w:t>
      </w:r>
      <w:r w:rsidR="00146965">
        <w:rPr>
          <w:rFonts w:asciiTheme="minorHAnsi" w:hAnsiTheme="minorHAnsi"/>
          <w:spacing w:val="-3"/>
          <w:sz w:val="28"/>
          <w:szCs w:val="28"/>
        </w:rPr>
        <w:t>00</w:t>
      </w:r>
      <w:r w:rsidR="002D1D93">
        <w:rPr>
          <w:rFonts w:asciiTheme="minorHAnsi" w:hAnsiTheme="minorHAnsi"/>
          <w:spacing w:val="-3"/>
          <w:sz w:val="28"/>
          <w:szCs w:val="28"/>
        </w:rPr>
        <w:t>-1135.</w:t>
      </w:r>
      <w:r w:rsidR="002D1D93">
        <w:rPr>
          <w:rStyle w:val="FootnoteReference"/>
          <w:rFonts w:asciiTheme="minorHAnsi" w:hAnsiTheme="minorHAnsi"/>
          <w:spacing w:val="-3"/>
          <w:sz w:val="28"/>
          <w:szCs w:val="28"/>
        </w:rPr>
        <w:footnoteReference w:id="11"/>
      </w:r>
      <w:r w:rsidR="002D1D93">
        <w:rPr>
          <w:rFonts w:asciiTheme="minorHAnsi" w:hAnsiTheme="minorHAnsi"/>
          <w:spacing w:val="-3"/>
          <w:sz w:val="28"/>
          <w:szCs w:val="28"/>
        </w:rPr>
        <w:t xml:space="preserve"> </w:t>
      </w:r>
      <w:r>
        <w:rPr>
          <w:rFonts w:asciiTheme="minorHAnsi" w:hAnsiTheme="minorHAnsi"/>
          <w:spacing w:val="-3"/>
          <w:sz w:val="28"/>
          <w:szCs w:val="28"/>
        </w:rPr>
        <w:t xml:space="preserve">Earl David is </w:t>
      </w:r>
      <w:r w:rsidR="006F2AD9">
        <w:rPr>
          <w:rFonts w:asciiTheme="minorHAnsi" w:hAnsiTheme="minorHAnsi"/>
          <w:spacing w:val="-3"/>
          <w:sz w:val="28"/>
          <w:szCs w:val="28"/>
        </w:rPr>
        <w:t>the King’s brother in law, prior to becoming King David I of Scotland on 25 April 1124.</w:t>
      </w:r>
      <w:r w:rsidR="006F2AD9">
        <w:rPr>
          <w:rStyle w:val="FootnoteReference"/>
          <w:rFonts w:asciiTheme="minorHAnsi" w:hAnsiTheme="minorHAnsi"/>
          <w:spacing w:val="-3"/>
          <w:sz w:val="28"/>
          <w:szCs w:val="28"/>
        </w:rPr>
        <w:footnoteReference w:id="12"/>
      </w:r>
      <w:r w:rsidR="006F2AD9">
        <w:rPr>
          <w:rFonts w:asciiTheme="minorHAnsi" w:hAnsiTheme="minorHAnsi"/>
          <w:spacing w:val="-3"/>
          <w:sz w:val="28"/>
          <w:szCs w:val="28"/>
        </w:rPr>
        <w:t xml:space="preserve"> </w:t>
      </w:r>
      <w:r w:rsidR="00751926">
        <w:rPr>
          <w:rFonts w:asciiTheme="minorHAnsi" w:hAnsiTheme="minorHAnsi"/>
          <w:spacing w:val="-3"/>
          <w:sz w:val="28"/>
          <w:szCs w:val="28"/>
        </w:rPr>
        <w:t>The daughter of Geoffrey Ridel, Matilda, married Richard Bassett who was the son of Geva and Ralph Bassett</w:t>
      </w:r>
      <w:r w:rsidR="00146965">
        <w:rPr>
          <w:rFonts w:asciiTheme="minorHAnsi" w:hAnsiTheme="minorHAnsi"/>
          <w:spacing w:val="-3"/>
          <w:sz w:val="28"/>
          <w:szCs w:val="28"/>
        </w:rPr>
        <w:t xml:space="preserve"> sometime between 1120 and 1123</w:t>
      </w:r>
      <w:r w:rsidR="00751926">
        <w:rPr>
          <w:rFonts w:asciiTheme="minorHAnsi" w:hAnsiTheme="minorHAnsi"/>
          <w:spacing w:val="-3"/>
          <w:sz w:val="28"/>
          <w:szCs w:val="28"/>
        </w:rPr>
        <w:t>.</w:t>
      </w:r>
      <w:r w:rsidR="00146965">
        <w:rPr>
          <w:rStyle w:val="FootnoteReference"/>
          <w:rFonts w:asciiTheme="minorHAnsi" w:hAnsiTheme="minorHAnsi"/>
          <w:spacing w:val="-3"/>
          <w:sz w:val="28"/>
          <w:szCs w:val="28"/>
        </w:rPr>
        <w:footnoteReference w:id="13"/>
      </w:r>
      <w:r w:rsidR="00D26868">
        <w:rPr>
          <w:rFonts w:asciiTheme="minorHAnsi" w:hAnsiTheme="minorHAnsi"/>
          <w:spacing w:val="-3"/>
          <w:sz w:val="28"/>
          <w:szCs w:val="28"/>
        </w:rPr>
        <w:t xml:space="preserve"> As the king gives custody of </w:t>
      </w:r>
      <w:r w:rsidR="00D26868">
        <w:rPr>
          <w:rFonts w:asciiTheme="minorHAnsi" w:hAnsiTheme="minorHAnsi"/>
          <w:spacing w:val="-3"/>
          <w:sz w:val="28"/>
          <w:szCs w:val="28"/>
        </w:rPr>
        <w:lastRenderedPageBreak/>
        <w:t>Geoffrey Ridel’s lands to Richard Bassett this could only have been after Ridels death in 1120, by drowning</w:t>
      </w:r>
      <w:r>
        <w:rPr>
          <w:rFonts w:asciiTheme="minorHAnsi" w:hAnsiTheme="minorHAnsi"/>
          <w:spacing w:val="-3"/>
          <w:sz w:val="28"/>
          <w:szCs w:val="28"/>
        </w:rPr>
        <w:t>,</w:t>
      </w:r>
      <w:r w:rsidR="00D26868">
        <w:rPr>
          <w:rFonts w:asciiTheme="minorHAnsi" w:hAnsiTheme="minorHAnsi"/>
          <w:spacing w:val="-3"/>
          <w:sz w:val="28"/>
          <w:szCs w:val="28"/>
        </w:rPr>
        <w:t xml:space="preserve"> on The Wh</w:t>
      </w:r>
      <w:r w:rsidR="00233BF9">
        <w:rPr>
          <w:rFonts w:asciiTheme="minorHAnsi" w:hAnsiTheme="minorHAnsi"/>
          <w:spacing w:val="-3"/>
          <w:sz w:val="28"/>
          <w:szCs w:val="28"/>
        </w:rPr>
        <w:t>ite Ship on 25</w:t>
      </w:r>
      <w:r w:rsidR="00233BF9" w:rsidRPr="00233BF9">
        <w:rPr>
          <w:rFonts w:asciiTheme="minorHAnsi" w:hAnsiTheme="minorHAnsi"/>
          <w:spacing w:val="-3"/>
          <w:sz w:val="28"/>
          <w:szCs w:val="28"/>
          <w:vertAlign w:val="superscript"/>
        </w:rPr>
        <w:t>th</w:t>
      </w:r>
      <w:r w:rsidR="00233BF9">
        <w:rPr>
          <w:rFonts w:asciiTheme="minorHAnsi" w:hAnsiTheme="minorHAnsi"/>
          <w:spacing w:val="-3"/>
          <w:sz w:val="28"/>
          <w:szCs w:val="28"/>
        </w:rPr>
        <w:t xml:space="preserve"> November</w:t>
      </w:r>
      <w:r w:rsidR="00D26868">
        <w:rPr>
          <w:rFonts w:asciiTheme="minorHAnsi" w:hAnsiTheme="minorHAnsi"/>
          <w:spacing w:val="-3"/>
          <w:sz w:val="28"/>
          <w:szCs w:val="28"/>
        </w:rPr>
        <w:t xml:space="preserve"> 1120.</w:t>
      </w:r>
      <w:r w:rsidR="00337868">
        <w:rPr>
          <w:rStyle w:val="FootnoteReference"/>
          <w:rFonts w:asciiTheme="minorHAnsi" w:hAnsiTheme="minorHAnsi"/>
          <w:spacing w:val="-3"/>
          <w:sz w:val="28"/>
          <w:szCs w:val="28"/>
        </w:rPr>
        <w:footnoteReference w:id="14"/>
      </w:r>
      <w:r w:rsidR="00D26868">
        <w:rPr>
          <w:rFonts w:asciiTheme="minorHAnsi" w:hAnsiTheme="minorHAnsi"/>
          <w:spacing w:val="-3"/>
          <w:sz w:val="28"/>
          <w:szCs w:val="28"/>
        </w:rPr>
        <w:t xml:space="preserve"> </w:t>
      </w:r>
      <w:r w:rsidR="00146965">
        <w:rPr>
          <w:rFonts w:asciiTheme="minorHAnsi" w:hAnsiTheme="minorHAnsi"/>
          <w:spacing w:val="-3"/>
          <w:sz w:val="28"/>
          <w:szCs w:val="28"/>
        </w:rPr>
        <w:t xml:space="preserve"> </w:t>
      </w:r>
    </w:p>
    <w:p w:rsidR="00146965" w:rsidRPr="00F87C91" w:rsidRDefault="00F87C91" w:rsidP="00F87C91">
      <w:pPr>
        <w:pStyle w:val="ListParagraph"/>
        <w:tabs>
          <w:tab w:val="left" w:pos="0"/>
        </w:tabs>
        <w:suppressAutoHyphens/>
        <w:jc w:val="both"/>
        <w:rPr>
          <w:rFonts w:asciiTheme="minorHAnsi" w:hAnsiTheme="minorHAnsi"/>
          <w:spacing w:val="-3"/>
          <w:sz w:val="28"/>
          <w:szCs w:val="28"/>
        </w:rPr>
      </w:pPr>
      <w:r>
        <w:rPr>
          <w:rFonts w:asciiTheme="minorHAnsi" w:hAnsiTheme="minorHAnsi"/>
          <w:spacing w:val="-3"/>
          <w:sz w:val="28"/>
          <w:szCs w:val="28"/>
        </w:rPr>
        <w:tab/>
      </w:r>
      <w:r w:rsidR="007802C8">
        <w:rPr>
          <w:rFonts w:asciiTheme="minorHAnsi" w:hAnsiTheme="minorHAnsi"/>
          <w:spacing w:val="-3"/>
          <w:sz w:val="28"/>
          <w:szCs w:val="28"/>
        </w:rPr>
        <w:t xml:space="preserve">Henry </w:t>
      </w:r>
      <w:r w:rsidR="008340DB">
        <w:rPr>
          <w:rFonts w:asciiTheme="minorHAnsi" w:hAnsiTheme="minorHAnsi"/>
          <w:spacing w:val="-3"/>
          <w:sz w:val="28"/>
          <w:szCs w:val="28"/>
        </w:rPr>
        <w:t>I had crossed to the continent o</w:t>
      </w:r>
      <w:r w:rsidR="007802C8">
        <w:rPr>
          <w:rFonts w:asciiTheme="minorHAnsi" w:hAnsiTheme="minorHAnsi"/>
          <w:spacing w:val="-3"/>
          <w:sz w:val="28"/>
          <w:szCs w:val="28"/>
        </w:rPr>
        <w:t>n June</w:t>
      </w:r>
      <w:r w:rsidR="008340DB">
        <w:rPr>
          <w:rFonts w:asciiTheme="minorHAnsi" w:hAnsiTheme="minorHAnsi"/>
          <w:spacing w:val="-3"/>
          <w:sz w:val="28"/>
          <w:szCs w:val="28"/>
        </w:rPr>
        <w:t xml:space="preserve"> 10th</w:t>
      </w:r>
      <w:r w:rsidR="007802C8">
        <w:rPr>
          <w:rFonts w:asciiTheme="minorHAnsi" w:hAnsiTheme="minorHAnsi"/>
          <w:spacing w:val="-3"/>
          <w:sz w:val="28"/>
          <w:szCs w:val="28"/>
        </w:rPr>
        <w:t xml:space="preserve"> 1123</w:t>
      </w:r>
      <w:r w:rsidR="008340DB">
        <w:rPr>
          <w:rFonts w:asciiTheme="minorHAnsi" w:hAnsiTheme="minorHAnsi"/>
          <w:spacing w:val="-3"/>
          <w:sz w:val="28"/>
          <w:szCs w:val="28"/>
        </w:rPr>
        <w:t>,</w:t>
      </w:r>
      <w:r w:rsidR="007802C8">
        <w:rPr>
          <w:rStyle w:val="FootnoteReference"/>
          <w:rFonts w:asciiTheme="minorHAnsi" w:hAnsiTheme="minorHAnsi"/>
          <w:spacing w:val="-3"/>
          <w:sz w:val="28"/>
          <w:szCs w:val="28"/>
        </w:rPr>
        <w:footnoteReference w:id="15"/>
      </w:r>
      <w:r>
        <w:rPr>
          <w:rFonts w:asciiTheme="minorHAnsi" w:hAnsiTheme="minorHAnsi"/>
          <w:spacing w:val="-3"/>
          <w:sz w:val="28"/>
          <w:szCs w:val="28"/>
        </w:rPr>
        <w:t xml:space="preserve"> </w:t>
      </w:r>
      <w:r w:rsidR="008340DB" w:rsidRPr="00F87C91">
        <w:rPr>
          <w:rFonts w:asciiTheme="minorHAnsi" w:hAnsiTheme="minorHAnsi"/>
          <w:spacing w:val="-3"/>
          <w:sz w:val="28"/>
          <w:szCs w:val="28"/>
        </w:rPr>
        <w:t>i</w:t>
      </w:r>
      <w:r w:rsidR="00146965" w:rsidRPr="00F87C91">
        <w:rPr>
          <w:rFonts w:asciiTheme="minorHAnsi" w:hAnsiTheme="minorHAnsi"/>
          <w:spacing w:val="-3"/>
          <w:sz w:val="28"/>
          <w:szCs w:val="28"/>
        </w:rPr>
        <w:t>f we take the document at face value then it was produced at Woodstock, in England, prior to the King travelling abroad on 10th June 1123. This would be borne o</w:t>
      </w:r>
      <w:r w:rsidR="00DB0276">
        <w:rPr>
          <w:rFonts w:asciiTheme="minorHAnsi" w:hAnsiTheme="minorHAnsi"/>
          <w:spacing w:val="-3"/>
          <w:sz w:val="28"/>
          <w:szCs w:val="28"/>
        </w:rPr>
        <w:t xml:space="preserve">ut by the use of the </w:t>
      </w:r>
      <w:proofErr w:type="gramStart"/>
      <w:r w:rsidR="00DB0276">
        <w:rPr>
          <w:rFonts w:asciiTheme="minorHAnsi" w:hAnsiTheme="minorHAnsi"/>
          <w:spacing w:val="-3"/>
          <w:sz w:val="28"/>
          <w:szCs w:val="28"/>
        </w:rPr>
        <w:t xml:space="preserve">title </w:t>
      </w:r>
      <w:r w:rsidR="00146965" w:rsidRPr="00F87C91">
        <w:rPr>
          <w:rFonts w:asciiTheme="minorHAnsi" w:hAnsiTheme="minorHAnsi"/>
          <w:spacing w:val="-3"/>
          <w:sz w:val="28"/>
          <w:szCs w:val="28"/>
        </w:rPr>
        <w:t xml:space="preserve"> ‘Earl’</w:t>
      </w:r>
      <w:proofErr w:type="gramEnd"/>
      <w:r w:rsidR="00146965" w:rsidRPr="00F87C91">
        <w:rPr>
          <w:rFonts w:asciiTheme="minorHAnsi" w:hAnsiTheme="minorHAnsi"/>
          <w:spacing w:val="-3"/>
          <w:sz w:val="28"/>
          <w:szCs w:val="28"/>
        </w:rPr>
        <w:t xml:space="preserve"> for his brother in law David who became King 10 months later</w:t>
      </w:r>
      <w:r w:rsidR="008340DB" w:rsidRPr="00F87C91">
        <w:rPr>
          <w:rFonts w:asciiTheme="minorHAnsi" w:hAnsiTheme="minorHAnsi"/>
          <w:spacing w:val="-3"/>
          <w:sz w:val="28"/>
          <w:szCs w:val="28"/>
        </w:rPr>
        <w:t xml:space="preserve"> on 25 April 1124</w:t>
      </w:r>
      <w:r w:rsidR="00146965" w:rsidRPr="00F87C91">
        <w:rPr>
          <w:rFonts w:asciiTheme="minorHAnsi" w:hAnsiTheme="minorHAnsi"/>
          <w:spacing w:val="-3"/>
          <w:sz w:val="28"/>
          <w:szCs w:val="28"/>
        </w:rPr>
        <w:t xml:space="preserve">. </w:t>
      </w:r>
    </w:p>
    <w:p w:rsidR="008340DB" w:rsidRDefault="00DB0276" w:rsidP="00751926">
      <w:pPr>
        <w:pStyle w:val="ListParagraph"/>
        <w:tabs>
          <w:tab w:val="left" w:pos="0"/>
        </w:tabs>
        <w:suppressAutoHyphens/>
        <w:jc w:val="both"/>
        <w:rPr>
          <w:rFonts w:asciiTheme="minorHAnsi" w:hAnsiTheme="minorHAnsi"/>
          <w:spacing w:val="-3"/>
          <w:sz w:val="28"/>
          <w:szCs w:val="28"/>
        </w:rPr>
      </w:pPr>
      <w:r>
        <w:rPr>
          <w:rFonts w:asciiTheme="minorHAnsi" w:hAnsiTheme="minorHAnsi"/>
          <w:spacing w:val="-3"/>
          <w:sz w:val="28"/>
          <w:szCs w:val="28"/>
        </w:rPr>
        <w:tab/>
      </w:r>
      <w:r w:rsidR="008340DB">
        <w:rPr>
          <w:rFonts w:asciiTheme="minorHAnsi" w:hAnsiTheme="minorHAnsi"/>
          <w:spacing w:val="-3"/>
          <w:sz w:val="28"/>
          <w:szCs w:val="28"/>
        </w:rPr>
        <w:t>As the King’s son was killed in The White Ship disaster we can allow a period of mourning for the King and his staff and then a return to work after the new year of 1121. I would therefore place this document in the date range between January 1121 and June</w:t>
      </w:r>
      <w:r>
        <w:rPr>
          <w:rFonts w:asciiTheme="minorHAnsi" w:hAnsiTheme="minorHAnsi"/>
          <w:spacing w:val="-3"/>
          <w:sz w:val="28"/>
          <w:szCs w:val="28"/>
        </w:rPr>
        <w:t xml:space="preserve"> </w:t>
      </w:r>
      <w:proofErr w:type="gramStart"/>
      <w:r>
        <w:rPr>
          <w:rFonts w:asciiTheme="minorHAnsi" w:hAnsiTheme="minorHAnsi"/>
          <w:spacing w:val="-3"/>
          <w:sz w:val="28"/>
          <w:szCs w:val="28"/>
        </w:rPr>
        <w:t>10</w:t>
      </w:r>
      <w:r w:rsidRPr="00DB0276">
        <w:rPr>
          <w:rFonts w:asciiTheme="minorHAnsi" w:hAnsiTheme="minorHAnsi"/>
          <w:spacing w:val="-3"/>
          <w:sz w:val="28"/>
          <w:szCs w:val="28"/>
          <w:vertAlign w:val="superscript"/>
        </w:rPr>
        <w:t>th</w:t>
      </w:r>
      <w:r>
        <w:rPr>
          <w:rFonts w:asciiTheme="minorHAnsi" w:hAnsiTheme="minorHAnsi"/>
          <w:spacing w:val="-3"/>
          <w:sz w:val="28"/>
          <w:szCs w:val="28"/>
        </w:rPr>
        <w:t xml:space="preserve"> </w:t>
      </w:r>
      <w:r w:rsidR="008340DB">
        <w:rPr>
          <w:rFonts w:asciiTheme="minorHAnsi" w:hAnsiTheme="minorHAnsi"/>
          <w:spacing w:val="-3"/>
          <w:sz w:val="28"/>
          <w:szCs w:val="28"/>
        </w:rPr>
        <w:t xml:space="preserve"> 1123</w:t>
      </w:r>
      <w:proofErr w:type="gramEnd"/>
      <w:r w:rsidR="008340DB">
        <w:rPr>
          <w:rFonts w:asciiTheme="minorHAnsi" w:hAnsiTheme="minorHAnsi"/>
          <w:spacing w:val="-3"/>
          <w:sz w:val="28"/>
          <w:szCs w:val="28"/>
        </w:rPr>
        <w:t>.</w:t>
      </w:r>
    </w:p>
    <w:p w:rsidR="008340DB" w:rsidRDefault="00DB0276" w:rsidP="00751926">
      <w:pPr>
        <w:pStyle w:val="ListParagraph"/>
        <w:tabs>
          <w:tab w:val="left" w:pos="0"/>
        </w:tabs>
        <w:suppressAutoHyphens/>
        <w:jc w:val="both"/>
        <w:rPr>
          <w:rFonts w:asciiTheme="minorHAnsi" w:hAnsiTheme="minorHAnsi"/>
          <w:spacing w:val="-3"/>
          <w:sz w:val="28"/>
          <w:szCs w:val="28"/>
        </w:rPr>
      </w:pPr>
      <w:r>
        <w:rPr>
          <w:rFonts w:asciiTheme="minorHAnsi" w:hAnsiTheme="minorHAnsi"/>
          <w:spacing w:val="-3"/>
          <w:sz w:val="28"/>
          <w:szCs w:val="28"/>
        </w:rPr>
        <w:tab/>
      </w:r>
      <w:r w:rsidR="008340DB">
        <w:rPr>
          <w:rFonts w:asciiTheme="minorHAnsi" w:hAnsiTheme="minorHAnsi"/>
          <w:spacing w:val="-3"/>
          <w:sz w:val="28"/>
          <w:szCs w:val="28"/>
        </w:rPr>
        <w:t>However there are analysts who have cast doubt on the veracity of this document and state that it is a forgery concocted to legitimise the holding of land by the Bassets</w:t>
      </w:r>
      <w:r w:rsidR="00F87C91">
        <w:rPr>
          <w:rFonts w:asciiTheme="minorHAnsi" w:hAnsiTheme="minorHAnsi"/>
          <w:spacing w:val="-3"/>
          <w:sz w:val="28"/>
          <w:szCs w:val="28"/>
        </w:rPr>
        <w:t>.</w:t>
      </w:r>
      <w:r w:rsidR="00F87C91">
        <w:rPr>
          <w:rStyle w:val="FootnoteReference"/>
          <w:rFonts w:asciiTheme="minorHAnsi" w:hAnsiTheme="minorHAnsi"/>
          <w:spacing w:val="-3"/>
          <w:sz w:val="28"/>
          <w:szCs w:val="28"/>
        </w:rPr>
        <w:footnoteReference w:id="16"/>
      </w:r>
      <w:r w:rsidR="002B1BBF">
        <w:rPr>
          <w:rFonts w:asciiTheme="minorHAnsi" w:hAnsiTheme="minorHAnsi"/>
          <w:spacing w:val="-3"/>
          <w:sz w:val="28"/>
          <w:szCs w:val="28"/>
        </w:rPr>
        <w:t xml:space="preserve"> This would of course make dating the document extremely difficult.</w:t>
      </w:r>
    </w:p>
    <w:p w:rsidR="006D30CC" w:rsidRDefault="006D30CC" w:rsidP="00751926">
      <w:pPr>
        <w:pStyle w:val="ListParagraph"/>
        <w:tabs>
          <w:tab w:val="left" w:pos="0"/>
        </w:tabs>
        <w:suppressAutoHyphens/>
        <w:jc w:val="both"/>
        <w:rPr>
          <w:rFonts w:asciiTheme="minorHAnsi" w:hAnsiTheme="minorHAnsi"/>
          <w:spacing w:val="-3"/>
          <w:sz w:val="28"/>
          <w:szCs w:val="28"/>
        </w:rPr>
      </w:pPr>
    </w:p>
    <w:p w:rsidR="006D30CC" w:rsidRDefault="006D30CC" w:rsidP="00751926">
      <w:pPr>
        <w:pStyle w:val="ListParagraph"/>
        <w:tabs>
          <w:tab w:val="left" w:pos="0"/>
        </w:tabs>
        <w:suppressAutoHyphens/>
        <w:jc w:val="both"/>
        <w:rPr>
          <w:rFonts w:asciiTheme="minorHAnsi" w:hAnsiTheme="minorHAnsi"/>
          <w:spacing w:val="-3"/>
          <w:sz w:val="28"/>
          <w:szCs w:val="28"/>
        </w:rPr>
      </w:pPr>
    </w:p>
    <w:p w:rsidR="006D30CC" w:rsidRDefault="006D30CC" w:rsidP="00751926">
      <w:pPr>
        <w:pStyle w:val="ListParagraph"/>
        <w:tabs>
          <w:tab w:val="left" w:pos="0"/>
        </w:tabs>
        <w:suppressAutoHyphens/>
        <w:jc w:val="both"/>
        <w:rPr>
          <w:rFonts w:asciiTheme="minorHAnsi" w:hAnsiTheme="minorHAnsi"/>
          <w:spacing w:val="-3"/>
          <w:sz w:val="28"/>
          <w:szCs w:val="28"/>
        </w:rPr>
      </w:pPr>
    </w:p>
    <w:p w:rsidR="006D30CC" w:rsidRDefault="006D30CC" w:rsidP="00751926">
      <w:pPr>
        <w:pStyle w:val="ListParagraph"/>
        <w:tabs>
          <w:tab w:val="left" w:pos="0"/>
        </w:tabs>
        <w:suppressAutoHyphens/>
        <w:jc w:val="both"/>
        <w:rPr>
          <w:rFonts w:asciiTheme="minorHAnsi" w:hAnsiTheme="minorHAnsi"/>
          <w:spacing w:val="-3"/>
          <w:sz w:val="28"/>
          <w:szCs w:val="28"/>
        </w:rPr>
      </w:pPr>
    </w:p>
    <w:p w:rsidR="006D30CC" w:rsidRDefault="006D30CC" w:rsidP="00751926">
      <w:pPr>
        <w:pStyle w:val="ListParagraph"/>
        <w:tabs>
          <w:tab w:val="left" w:pos="0"/>
        </w:tabs>
        <w:suppressAutoHyphens/>
        <w:jc w:val="both"/>
        <w:rPr>
          <w:rFonts w:asciiTheme="minorHAnsi" w:hAnsiTheme="minorHAnsi"/>
          <w:spacing w:val="-3"/>
          <w:sz w:val="28"/>
          <w:szCs w:val="28"/>
        </w:rPr>
      </w:pPr>
    </w:p>
    <w:p w:rsidR="006D30CC" w:rsidRDefault="006D30CC" w:rsidP="00751926">
      <w:pPr>
        <w:pStyle w:val="ListParagraph"/>
        <w:tabs>
          <w:tab w:val="left" w:pos="0"/>
        </w:tabs>
        <w:suppressAutoHyphens/>
        <w:jc w:val="both"/>
        <w:rPr>
          <w:rFonts w:asciiTheme="minorHAnsi" w:hAnsiTheme="minorHAnsi"/>
          <w:spacing w:val="-3"/>
          <w:sz w:val="28"/>
          <w:szCs w:val="28"/>
        </w:rPr>
      </w:pPr>
    </w:p>
    <w:p w:rsidR="006D30CC" w:rsidRDefault="006D30CC" w:rsidP="00751926">
      <w:pPr>
        <w:pStyle w:val="ListParagraph"/>
        <w:tabs>
          <w:tab w:val="left" w:pos="0"/>
        </w:tabs>
        <w:suppressAutoHyphens/>
        <w:jc w:val="both"/>
        <w:rPr>
          <w:rFonts w:asciiTheme="minorHAnsi" w:hAnsiTheme="minorHAnsi"/>
          <w:spacing w:val="-3"/>
          <w:sz w:val="28"/>
          <w:szCs w:val="28"/>
        </w:rPr>
      </w:pPr>
    </w:p>
    <w:p w:rsidR="006D30CC" w:rsidRDefault="006D30CC" w:rsidP="00751926">
      <w:pPr>
        <w:pStyle w:val="ListParagraph"/>
        <w:tabs>
          <w:tab w:val="left" w:pos="0"/>
        </w:tabs>
        <w:suppressAutoHyphens/>
        <w:jc w:val="both"/>
        <w:rPr>
          <w:rFonts w:asciiTheme="minorHAnsi" w:hAnsiTheme="minorHAnsi"/>
          <w:spacing w:val="-3"/>
          <w:sz w:val="28"/>
          <w:szCs w:val="28"/>
        </w:rPr>
      </w:pPr>
    </w:p>
    <w:p w:rsidR="006D30CC" w:rsidRDefault="006D30CC" w:rsidP="00751926">
      <w:pPr>
        <w:pStyle w:val="ListParagraph"/>
        <w:tabs>
          <w:tab w:val="left" w:pos="0"/>
        </w:tabs>
        <w:suppressAutoHyphens/>
        <w:jc w:val="both"/>
        <w:rPr>
          <w:rFonts w:asciiTheme="minorHAnsi" w:hAnsiTheme="minorHAnsi"/>
          <w:spacing w:val="-3"/>
          <w:sz w:val="28"/>
          <w:szCs w:val="28"/>
        </w:rPr>
      </w:pPr>
    </w:p>
    <w:p w:rsidR="006D30CC" w:rsidRDefault="006D30CC" w:rsidP="00751926">
      <w:pPr>
        <w:pStyle w:val="ListParagraph"/>
        <w:tabs>
          <w:tab w:val="left" w:pos="0"/>
        </w:tabs>
        <w:suppressAutoHyphens/>
        <w:jc w:val="both"/>
        <w:rPr>
          <w:rFonts w:asciiTheme="minorHAnsi" w:hAnsiTheme="minorHAnsi"/>
          <w:spacing w:val="-3"/>
          <w:sz w:val="28"/>
          <w:szCs w:val="28"/>
        </w:rPr>
      </w:pPr>
    </w:p>
    <w:p w:rsidR="006D30CC" w:rsidRDefault="006D30CC" w:rsidP="00751926">
      <w:pPr>
        <w:pStyle w:val="ListParagraph"/>
        <w:tabs>
          <w:tab w:val="left" w:pos="0"/>
        </w:tabs>
        <w:suppressAutoHyphens/>
        <w:jc w:val="both"/>
        <w:rPr>
          <w:rFonts w:asciiTheme="minorHAnsi" w:hAnsiTheme="minorHAnsi"/>
          <w:spacing w:val="-3"/>
          <w:sz w:val="28"/>
          <w:szCs w:val="28"/>
        </w:rPr>
      </w:pPr>
    </w:p>
    <w:p w:rsidR="006D30CC" w:rsidRDefault="006D30CC" w:rsidP="00751926">
      <w:pPr>
        <w:pStyle w:val="ListParagraph"/>
        <w:tabs>
          <w:tab w:val="left" w:pos="0"/>
        </w:tabs>
        <w:suppressAutoHyphens/>
        <w:jc w:val="both"/>
        <w:rPr>
          <w:rFonts w:asciiTheme="minorHAnsi" w:hAnsiTheme="minorHAnsi"/>
          <w:spacing w:val="-3"/>
          <w:sz w:val="28"/>
          <w:szCs w:val="28"/>
        </w:rPr>
      </w:pPr>
    </w:p>
    <w:p w:rsidR="006D30CC" w:rsidRDefault="006D30CC" w:rsidP="00751926">
      <w:pPr>
        <w:pStyle w:val="ListParagraph"/>
        <w:tabs>
          <w:tab w:val="left" w:pos="0"/>
        </w:tabs>
        <w:suppressAutoHyphens/>
        <w:jc w:val="both"/>
        <w:rPr>
          <w:rFonts w:asciiTheme="minorHAnsi" w:hAnsiTheme="minorHAnsi"/>
          <w:spacing w:val="-3"/>
          <w:sz w:val="28"/>
          <w:szCs w:val="28"/>
        </w:rPr>
      </w:pPr>
    </w:p>
    <w:p w:rsidR="006D30CC" w:rsidRDefault="006D30CC" w:rsidP="00751926">
      <w:pPr>
        <w:pStyle w:val="ListParagraph"/>
        <w:tabs>
          <w:tab w:val="left" w:pos="0"/>
        </w:tabs>
        <w:suppressAutoHyphens/>
        <w:jc w:val="both"/>
        <w:rPr>
          <w:rFonts w:asciiTheme="minorHAnsi" w:hAnsiTheme="minorHAnsi"/>
          <w:spacing w:val="-3"/>
          <w:sz w:val="28"/>
          <w:szCs w:val="28"/>
        </w:rPr>
      </w:pPr>
    </w:p>
    <w:p w:rsidR="006D30CC" w:rsidRDefault="006D30CC" w:rsidP="00751926">
      <w:pPr>
        <w:pStyle w:val="ListParagraph"/>
        <w:tabs>
          <w:tab w:val="left" w:pos="0"/>
        </w:tabs>
        <w:suppressAutoHyphens/>
        <w:jc w:val="both"/>
        <w:rPr>
          <w:rFonts w:asciiTheme="minorHAnsi" w:hAnsiTheme="minorHAnsi"/>
          <w:spacing w:val="-3"/>
          <w:sz w:val="28"/>
          <w:szCs w:val="28"/>
        </w:rPr>
      </w:pPr>
    </w:p>
    <w:p w:rsidR="006D30CC" w:rsidRDefault="006D30CC" w:rsidP="006D30CC">
      <w:pPr>
        <w:pStyle w:val="ListParagraph"/>
        <w:tabs>
          <w:tab w:val="left" w:pos="0"/>
        </w:tabs>
        <w:suppressAutoHyphens/>
        <w:jc w:val="center"/>
        <w:rPr>
          <w:rFonts w:asciiTheme="minorHAnsi" w:hAnsiTheme="minorHAnsi"/>
          <w:b/>
          <w:spacing w:val="-3"/>
          <w:sz w:val="28"/>
          <w:szCs w:val="28"/>
        </w:rPr>
      </w:pPr>
      <w:r w:rsidRPr="006D30CC">
        <w:rPr>
          <w:rFonts w:asciiTheme="minorHAnsi" w:hAnsiTheme="minorHAnsi"/>
          <w:b/>
          <w:spacing w:val="-3"/>
          <w:sz w:val="28"/>
          <w:szCs w:val="28"/>
        </w:rPr>
        <w:lastRenderedPageBreak/>
        <w:t>Reference List</w:t>
      </w:r>
    </w:p>
    <w:p w:rsidR="006D30CC" w:rsidRDefault="006D30CC" w:rsidP="006D30CC">
      <w:pPr>
        <w:pStyle w:val="ListParagraph"/>
        <w:tabs>
          <w:tab w:val="left" w:pos="0"/>
        </w:tabs>
        <w:suppressAutoHyphens/>
        <w:jc w:val="center"/>
        <w:rPr>
          <w:rFonts w:asciiTheme="minorHAnsi" w:hAnsiTheme="minorHAnsi"/>
          <w:b/>
          <w:spacing w:val="-3"/>
          <w:sz w:val="28"/>
          <w:szCs w:val="28"/>
        </w:rPr>
      </w:pPr>
    </w:p>
    <w:p w:rsidR="004419C7" w:rsidRDefault="006D30CC" w:rsidP="006D30CC">
      <w:pPr>
        <w:pStyle w:val="ListParagraph"/>
        <w:tabs>
          <w:tab w:val="left" w:pos="0"/>
        </w:tabs>
        <w:suppressAutoHyphens/>
      </w:pPr>
      <w:proofErr w:type="gramStart"/>
      <w:r w:rsidRPr="004419C7">
        <w:rPr>
          <w:b/>
        </w:rPr>
        <w:t>Institute of Historical Research, London, 1963</w:t>
      </w:r>
      <w:r>
        <w:t>.</w:t>
      </w:r>
      <w:proofErr w:type="gramEnd"/>
      <w:r>
        <w:t xml:space="preserve"> () </w:t>
      </w:r>
      <w:r>
        <w:rPr>
          <w:i/>
          <w:iCs/>
        </w:rPr>
        <w:t xml:space="preserve">British History Online, </w:t>
      </w:r>
      <w:r>
        <w:t xml:space="preserve">Available at: </w:t>
      </w:r>
      <w:r>
        <w:rPr>
          <w:i/>
          <w:iCs/>
          <w:u w:val="single"/>
        </w:rPr>
        <w:t>www.british-history.ac.uk/fasti-ecclesiae/1300-1541/vol4/pp13-16</w:t>
      </w:r>
      <w:r>
        <w:t xml:space="preserve"> (Accessed: accessed 11th February 2020).</w:t>
      </w:r>
    </w:p>
    <w:p w:rsidR="004419C7" w:rsidRDefault="006D30CC" w:rsidP="006D30CC">
      <w:pPr>
        <w:pStyle w:val="ListParagraph"/>
        <w:tabs>
          <w:tab w:val="left" w:pos="0"/>
        </w:tabs>
        <w:suppressAutoHyphens/>
      </w:pPr>
      <w:r>
        <w:br/>
      </w:r>
      <w:r w:rsidRPr="004419C7">
        <w:rPr>
          <w:b/>
        </w:rPr>
        <w:t>Carpenter, David X</w:t>
      </w:r>
      <w:r>
        <w:t xml:space="preserve"> (2018) '</w:t>
      </w:r>
      <w:proofErr w:type="gramStart"/>
      <w:r>
        <w:t>The</w:t>
      </w:r>
      <w:proofErr w:type="gramEnd"/>
      <w:r>
        <w:t xml:space="preserve"> Marriage of Richard Basset: An Undetected Forgery in the Name of Henry I. ', </w:t>
      </w:r>
      <w:r>
        <w:rPr>
          <w:i/>
          <w:iCs/>
        </w:rPr>
        <w:t xml:space="preserve">Historical Research, </w:t>
      </w:r>
      <w:r>
        <w:t xml:space="preserve">91(252), pp. 399–406 [Online]. Available at: </w:t>
      </w:r>
      <w:r>
        <w:rPr>
          <w:i/>
          <w:iCs/>
          <w:u w:val="single"/>
        </w:rPr>
        <w:t>doi:10.1111/1468-2281.12227.</w:t>
      </w:r>
      <w:r>
        <w:t xml:space="preserve"> </w:t>
      </w:r>
      <w:proofErr w:type="gramStart"/>
      <w:r>
        <w:t>(Accessed: 18th May 2020).</w:t>
      </w:r>
      <w:proofErr w:type="gramEnd"/>
    </w:p>
    <w:p w:rsidR="004419C7" w:rsidRDefault="006D30CC" w:rsidP="006D30CC">
      <w:pPr>
        <w:pStyle w:val="ListParagraph"/>
        <w:tabs>
          <w:tab w:val="left" w:pos="0"/>
        </w:tabs>
        <w:suppressAutoHyphens/>
      </w:pPr>
      <w:r>
        <w:br/>
      </w:r>
      <w:r w:rsidRPr="004419C7">
        <w:rPr>
          <w:b/>
        </w:rPr>
        <w:t>Cheney C.R.</w:t>
      </w:r>
      <w:r>
        <w:t xml:space="preserve"> (1945) </w:t>
      </w:r>
      <w:r>
        <w:rPr>
          <w:i/>
          <w:iCs/>
        </w:rPr>
        <w:t>A Handbook Of Dates For Students of British History</w:t>
      </w:r>
      <w:r>
        <w:t xml:space="preserve">, Revised Edition 2000 </w:t>
      </w:r>
      <w:proofErr w:type="spellStart"/>
      <w:proofErr w:type="gramStart"/>
      <w:r>
        <w:t>edn</w:t>
      </w:r>
      <w:proofErr w:type="spellEnd"/>
      <w:r>
        <w:t>.,</w:t>
      </w:r>
      <w:proofErr w:type="gramEnd"/>
      <w:r>
        <w:t xml:space="preserve"> Cambridge: Cambridge University Press .</w:t>
      </w:r>
    </w:p>
    <w:p w:rsidR="004419C7" w:rsidRDefault="006D30CC" w:rsidP="006D30CC">
      <w:pPr>
        <w:pStyle w:val="ListParagraph"/>
        <w:tabs>
          <w:tab w:val="left" w:pos="0"/>
        </w:tabs>
        <w:suppressAutoHyphens/>
      </w:pPr>
      <w:r>
        <w:br/>
      </w:r>
      <w:r w:rsidRPr="004419C7">
        <w:rPr>
          <w:b/>
        </w:rPr>
        <w:t xml:space="preserve">E B </w:t>
      </w:r>
      <w:proofErr w:type="spellStart"/>
      <w:r w:rsidRPr="004419C7">
        <w:rPr>
          <w:b/>
        </w:rPr>
        <w:t>Pryde</w:t>
      </w:r>
      <w:proofErr w:type="spellEnd"/>
      <w:r>
        <w:t xml:space="preserve">, D E Greenway, S Porter I Roy Ed (1941) </w:t>
      </w:r>
      <w:r>
        <w:rPr>
          <w:i/>
          <w:iCs/>
        </w:rPr>
        <w:t>Handbook Of British Chronology</w:t>
      </w:r>
      <w:r>
        <w:t xml:space="preserve">, 3rd Edition 2003 </w:t>
      </w:r>
      <w:proofErr w:type="spellStart"/>
      <w:r>
        <w:t>edn</w:t>
      </w:r>
      <w:proofErr w:type="spellEnd"/>
      <w:r>
        <w:t>., Cambridge: Cambridge University Press.</w:t>
      </w:r>
    </w:p>
    <w:p w:rsidR="004419C7" w:rsidRDefault="006D30CC" w:rsidP="006D30CC">
      <w:pPr>
        <w:pStyle w:val="ListParagraph"/>
        <w:tabs>
          <w:tab w:val="left" w:pos="0"/>
        </w:tabs>
        <w:suppressAutoHyphens/>
      </w:pPr>
      <w:r>
        <w:br/>
      </w:r>
      <w:r w:rsidRPr="004419C7">
        <w:rPr>
          <w:b/>
        </w:rPr>
        <w:t>Green, J.</w:t>
      </w:r>
      <w:r>
        <w:t xml:space="preserve"> (2020) </w:t>
      </w:r>
      <w:r>
        <w:rPr>
          <w:i/>
          <w:iCs/>
        </w:rPr>
        <w:t xml:space="preserve">Oxford Dictionary of National Biography, </w:t>
      </w:r>
      <w:r>
        <w:t xml:space="preserve">Available at: </w:t>
      </w:r>
      <w:r>
        <w:rPr>
          <w:i/>
          <w:iCs/>
          <w:u w:val="single"/>
        </w:rPr>
        <w:t>https://www.oxforddnb.com/</w:t>
      </w:r>
      <w:r>
        <w:t xml:space="preserve"> (Accessed: 19th May 2020).</w:t>
      </w:r>
    </w:p>
    <w:p w:rsidR="006D30CC" w:rsidRPr="006D30CC" w:rsidRDefault="006D30CC" w:rsidP="006D30CC">
      <w:pPr>
        <w:pStyle w:val="ListParagraph"/>
        <w:tabs>
          <w:tab w:val="left" w:pos="0"/>
        </w:tabs>
        <w:suppressAutoHyphens/>
        <w:rPr>
          <w:rFonts w:asciiTheme="minorHAnsi" w:hAnsiTheme="minorHAnsi"/>
          <w:b/>
          <w:spacing w:val="-3"/>
          <w:sz w:val="28"/>
          <w:szCs w:val="28"/>
        </w:rPr>
      </w:pPr>
      <w:r>
        <w:br/>
      </w:r>
      <w:proofErr w:type="gramStart"/>
      <w:r w:rsidRPr="004419C7">
        <w:rPr>
          <w:b/>
        </w:rPr>
        <w:t>Hollister C. Frost, A</w:t>
      </w:r>
      <w:r>
        <w:t xml:space="preserve"> (2001) </w:t>
      </w:r>
      <w:r>
        <w:rPr>
          <w:i/>
          <w:iCs/>
        </w:rPr>
        <w:t>THE LAST BATTLES.</w:t>
      </w:r>
      <w:proofErr w:type="gramEnd"/>
      <w:r>
        <w:rPr>
          <w:i/>
          <w:iCs/>
        </w:rPr>
        <w:t xml:space="preserve"> Henry I</w:t>
      </w:r>
      <w:r>
        <w:t>, JSTOR, www.jstor.org/stable/j.ctt1bh4cv9.14: Yale University Press.</w:t>
      </w:r>
    </w:p>
    <w:p w:rsidR="00D11CB5" w:rsidRDefault="00D11CB5"/>
    <w:sectPr w:rsidR="00D11CB5" w:rsidSect="00D11CB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4E9F" w:rsidRDefault="00D94E9F" w:rsidP="00005564">
      <w:r>
        <w:separator/>
      </w:r>
    </w:p>
  </w:endnote>
  <w:endnote w:type="continuationSeparator" w:id="0">
    <w:p w:rsidR="00D94E9F" w:rsidRDefault="00D94E9F" w:rsidP="000055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4E9F" w:rsidRDefault="00D94E9F" w:rsidP="00005564">
      <w:r>
        <w:separator/>
      </w:r>
    </w:p>
  </w:footnote>
  <w:footnote w:type="continuationSeparator" w:id="0">
    <w:p w:rsidR="00D94E9F" w:rsidRDefault="00D94E9F" w:rsidP="00005564">
      <w:r>
        <w:continuationSeparator/>
      </w:r>
    </w:p>
  </w:footnote>
  <w:footnote w:id="1">
    <w:p w:rsidR="00005564" w:rsidRPr="00005564" w:rsidRDefault="00005564" w:rsidP="002B1BBF">
      <w:pPr>
        <w:pStyle w:val="FootnoteText"/>
        <w:ind w:left="709" w:hanging="709"/>
        <w:rPr>
          <w:lang w:val="en-GB"/>
        </w:rPr>
      </w:pPr>
      <w:r>
        <w:rPr>
          <w:rStyle w:val="FootnoteReference"/>
        </w:rPr>
        <w:footnoteRef/>
      </w:r>
      <w:r w:rsidR="009F5C86">
        <w:rPr>
          <w:lang w:val="en-GB"/>
        </w:rPr>
        <w:t>.</w:t>
      </w:r>
      <w:r w:rsidR="003D426C" w:rsidRPr="003D426C">
        <w:rPr>
          <w:lang w:val="en-GB"/>
        </w:rPr>
        <w:t xml:space="preserve"> </w:t>
      </w:r>
      <w:r w:rsidR="003D426C">
        <w:rPr>
          <w:lang w:val="en-GB"/>
        </w:rPr>
        <w:t>Cheney C.R.</w:t>
      </w:r>
      <w:r w:rsidR="009F5C86" w:rsidRPr="009F5C86">
        <w:rPr>
          <w:lang w:val="en-GB"/>
        </w:rPr>
        <w:t xml:space="preserve"> </w:t>
      </w:r>
      <w:proofErr w:type="gramStart"/>
      <w:r w:rsidR="009F5C86">
        <w:rPr>
          <w:lang w:val="en-GB"/>
        </w:rPr>
        <w:t xml:space="preserve">Ed  </w:t>
      </w:r>
      <w:r w:rsidRPr="009F5C86">
        <w:rPr>
          <w:i/>
          <w:lang w:val="en-GB"/>
        </w:rPr>
        <w:t>A</w:t>
      </w:r>
      <w:proofErr w:type="gramEnd"/>
      <w:r w:rsidRPr="009F5C86">
        <w:rPr>
          <w:i/>
          <w:lang w:val="en-GB"/>
        </w:rPr>
        <w:t xml:space="preserve"> Handbook Of </w:t>
      </w:r>
      <w:r w:rsidR="009F5C86" w:rsidRPr="009F5C86">
        <w:rPr>
          <w:i/>
          <w:lang w:val="en-GB"/>
        </w:rPr>
        <w:t xml:space="preserve"> </w:t>
      </w:r>
      <w:r w:rsidRPr="009F5C86">
        <w:rPr>
          <w:i/>
          <w:lang w:val="en-GB"/>
        </w:rPr>
        <w:t>Dates For Students of British History</w:t>
      </w:r>
      <w:r>
        <w:rPr>
          <w:lang w:val="en-GB"/>
        </w:rPr>
        <w:t xml:space="preserve">, Cambridge University Press Revised Edition </w:t>
      </w:r>
      <w:r w:rsidR="00337868">
        <w:rPr>
          <w:lang w:val="en-GB"/>
        </w:rPr>
        <w:t>2000,</w:t>
      </w:r>
      <w:r>
        <w:rPr>
          <w:lang w:val="en-GB"/>
        </w:rPr>
        <w:t xml:space="preserve"> revised by Michael Jones p.35. </w:t>
      </w:r>
    </w:p>
  </w:footnote>
  <w:footnote w:id="2">
    <w:p w:rsidR="0048593F" w:rsidRPr="0048593F" w:rsidRDefault="0048593F">
      <w:pPr>
        <w:pStyle w:val="FootnoteText"/>
        <w:rPr>
          <w:lang w:val="en-GB"/>
        </w:rPr>
      </w:pPr>
      <w:r>
        <w:rPr>
          <w:rStyle w:val="FootnoteReference"/>
        </w:rPr>
        <w:footnoteRef/>
      </w:r>
      <w:r>
        <w:t xml:space="preserve"> </w:t>
      </w:r>
      <w:r>
        <w:rPr>
          <w:lang w:val="en-GB"/>
        </w:rPr>
        <w:t>Ibid. P.78.</w:t>
      </w:r>
    </w:p>
  </w:footnote>
  <w:footnote w:id="3">
    <w:p w:rsidR="00A5267D" w:rsidRPr="00A5267D" w:rsidRDefault="00A5267D">
      <w:pPr>
        <w:pStyle w:val="FootnoteText"/>
        <w:rPr>
          <w:lang w:val="en-GB"/>
        </w:rPr>
      </w:pPr>
      <w:r>
        <w:rPr>
          <w:rStyle w:val="FootnoteReference"/>
        </w:rPr>
        <w:footnoteRef/>
      </w:r>
      <w:r>
        <w:t xml:space="preserve"> </w:t>
      </w:r>
      <w:r>
        <w:rPr>
          <w:lang w:val="en-GB"/>
        </w:rPr>
        <w:t>Ibid. P.229.</w:t>
      </w:r>
    </w:p>
  </w:footnote>
  <w:footnote w:id="4">
    <w:p w:rsidR="00A5267D" w:rsidRPr="00A5267D" w:rsidRDefault="00A5267D">
      <w:pPr>
        <w:pStyle w:val="FootnoteText"/>
        <w:rPr>
          <w:lang w:val="en-GB"/>
        </w:rPr>
      </w:pPr>
      <w:r>
        <w:rPr>
          <w:rStyle w:val="FootnoteReference"/>
        </w:rPr>
        <w:footnoteRef/>
      </w:r>
      <w:r>
        <w:t xml:space="preserve"> </w:t>
      </w:r>
      <w:r>
        <w:rPr>
          <w:lang w:val="en-GB"/>
        </w:rPr>
        <w:t>Ibid. P.195.</w:t>
      </w:r>
    </w:p>
  </w:footnote>
  <w:footnote w:id="5">
    <w:p w:rsidR="008C5E30" w:rsidRPr="008C5E30" w:rsidRDefault="008C5E30" w:rsidP="002B1BBF">
      <w:pPr>
        <w:pStyle w:val="FootnoteText"/>
        <w:ind w:left="709" w:hanging="709"/>
        <w:rPr>
          <w:lang w:val="en-GB"/>
        </w:rPr>
      </w:pPr>
      <w:r>
        <w:rPr>
          <w:rStyle w:val="FootnoteReference"/>
        </w:rPr>
        <w:footnoteRef/>
      </w:r>
      <w:r>
        <w:t xml:space="preserve"> </w:t>
      </w:r>
      <w:r w:rsidR="009F5C86">
        <w:rPr>
          <w:lang w:val="en-GB"/>
        </w:rPr>
        <w:t>E B Pryde, D E Greenway, S Porter  I Roy</w:t>
      </w:r>
      <w:r w:rsidR="009F5C86" w:rsidRPr="009F5C86">
        <w:rPr>
          <w:lang w:val="en-GB"/>
        </w:rPr>
        <w:t xml:space="preserve"> </w:t>
      </w:r>
      <w:r w:rsidR="009F5C86">
        <w:rPr>
          <w:lang w:val="en-GB"/>
        </w:rPr>
        <w:t xml:space="preserve"> Ed.</w:t>
      </w:r>
      <w:r w:rsidR="009F5C86" w:rsidRPr="009F5C86">
        <w:rPr>
          <w:i/>
          <w:lang w:val="en-GB"/>
        </w:rPr>
        <w:t xml:space="preserve"> </w:t>
      </w:r>
      <w:r w:rsidRPr="009F5C86">
        <w:rPr>
          <w:i/>
          <w:lang w:val="en-GB"/>
        </w:rPr>
        <w:t>Handbook Of British Chronology</w:t>
      </w:r>
      <w:r>
        <w:rPr>
          <w:lang w:val="en-GB"/>
        </w:rPr>
        <w:t>, Cambridge University Press, 3</w:t>
      </w:r>
      <w:r w:rsidRPr="008C5E30">
        <w:rPr>
          <w:vertAlign w:val="superscript"/>
          <w:lang w:val="en-GB"/>
        </w:rPr>
        <w:t>rd</w:t>
      </w:r>
      <w:r w:rsidR="009F5C86">
        <w:rPr>
          <w:lang w:val="en-GB"/>
        </w:rPr>
        <w:t xml:space="preserve"> Edition 2003 </w:t>
      </w:r>
      <w:r w:rsidR="00815F18">
        <w:rPr>
          <w:lang w:val="en-GB"/>
        </w:rPr>
        <w:t>P 295.</w:t>
      </w:r>
    </w:p>
  </w:footnote>
  <w:footnote w:id="6">
    <w:p w:rsidR="00815F18" w:rsidRPr="00815F18" w:rsidRDefault="00815F18">
      <w:pPr>
        <w:pStyle w:val="FootnoteText"/>
        <w:rPr>
          <w:lang w:val="en-GB"/>
        </w:rPr>
      </w:pPr>
      <w:r>
        <w:rPr>
          <w:rStyle w:val="FootnoteReference"/>
        </w:rPr>
        <w:footnoteRef/>
      </w:r>
      <w:r>
        <w:t xml:space="preserve"> </w:t>
      </w:r>
      <w:r w:rsidR="009F5C86">
        <w:rPr>
          <w:lang w:val="en-GB"/>
        </w:rPr>
        <w:t xml:space="preserve">Cheney C.R </w:t>
      </w:r>
      <w:r>
        <w:rPr>
          <w:lang w:val="en-GB"/>
        </w:rPr>
        <w:t xml:space="preserve">A Handbook of </w:t>
      </w:r>
      <w:r w:rsidR="009F5C86">
        <w:rPr>
          <w:lang w:val="en-GB"/>
        </w:rPr>
        <w:t xml:space="preserve"> </w:t>
      </w:r>
      <w:r>
        <w:rPr>
          <w:lang w:val="en-GB"/>
        </w:rPr>
        <w:t>Dates. P. 78.</w:t>
      </w:r>
    </w:p>
  </w:footnote>
  <w:footnote w:id="7">
    <w:p w:rsidR="00CB5C41" w:rsidRPr="00CB5C41" w:rsidRDefault="00CB5C41" w:rsidP="002B1BBF">
      <w:pPr>
        <w:pStyle w:val="FootnoteText"/>
        <w:ind w:left="709" w:hanging="709"/>
        <w:rPr>
          <w:lang w:val="en-GB"/>
        </w:rPr>
      </w:pPr>
      <w:r>
        <w:rPr>
          <w:rStyle w:val="FootnoteReference"/>
        </w:rPr>
        <w:footnoteRef/>
      </w:r>
      <w:r>
        <w:t xml:space="preserve"> </w:t>
      </w:r>
      <w:r>
        <w:rPr>
          <w:lang w:val="en-GB"/>
        </w:rPr>
        <w:t xml:space="preserve">British History Online, Bishops of Ely. </w:t>
      </w:r>
      <w:hyperlink r:id="rId1" w:history="1">
        <w:r w:rsidRPr="00D7391E">
          <w:rPr>
            <w:rStyle w:val="Hyperlink"/>
            <w:lang w:val="en-GB"/>
          </w:rPr>
          <w:t>www.british-history.ac.uk/fasti-ecclesiae/1300-1541/vol4/pp13-16</w:t>
        </w:r>
      </w:hyperlink>
      <w:r>
        <w:rPr>
          <w:lang w:val="en-GB"/>
        </w:rPr>
        <w:t xml:space="preserve"> (accessed 11th February 2020</w:t>
      </w:r>
      <w:r w:rsidR="00820F79">
        <w:rPr>
          <w:lang w:val="en-GB"/>
        </w:rPr>
        <w:t>)</w:t>
      </w:r>
      <w:r>
        <w:rPr>
          <w:lang w:val="en-GB"/>
        </w:rPr>
        <w:t>.</w:t>
      </w:r>
    </w:p>
  </w:footnote>
  <w:footnote w:id="8">
    <w:p w:rsidR="00820F79" w:rsidRPr="00820F79" w:rsidRDefault="00820F79">
      <w:pPr>
        <w:pStyle w:val="FootnoteText"/>
        <w:rPr>
          <w:lang w:val="en-GB"/>
        </w:rPr>
      </w:pPr>
      <w:r>
        <w:rPr>
          <w:rStyle w:val="FootnoteReference"/>
        </w:rPr>
        <w:footnoteRef/>
      </w:r>
      <w:r>
        <w:t xml:space="preserve"> </w:t>
      </w:r>
      <w:r>
        <w:rPr>
          <w:lang w:val="en-GB"/>
        </w:rPr>
        <w:t>C</w:t>
      </w:r>
      <w:r w:rsidR="009F5C86">
        <w:rPr>
          <w:lang w:val="en-GB"/>
        </w:rPr>
        <w:t xml:space="preserve">.R. Cheney </w:t>
      </w:r>
      <w:r w:rsidR="009F5C86">
        <w:rPr>
          <w:i/>
          <w:lang w:val="en-GB"/>
        </w:rPr>
        <w:t xml:space="preserve">A Handbook of Dates </w:t>
      </w:r>
      <w:r w:rsidR="002D1D93">
        <w:rPr>
          <w:lang w:val="en-GB"/>
        </w:rPr>
        <w:t>p</w:t>
      </w:r>
      <w:r>
        <w:rPr>
          <w:lang w:val="en-GB"/>
        </w:rPr>
        <w:t xml:space="preserve"> 34.</w:t>
      </w:r>
    </w:p>
  </w:footnote>
  <w:footnote w:id="9">
    <w:p w:rsidR="00DD128E" w:rsidRPr="00DD128E" w:rsidRDefault="00DD128E">
      <w:pPr>
        <w:pStyle w:val="FootnoteText"/>
        <w:rPr>
          <w:lang w:val="en-GB"/>
        </w:rPr>
      </w:pPr>
      <w:r>
        <w:rPr>
          <w:rStyle w:val="FootnoteReference"/>
        </w:rPr>
        <w:footnoteRef/>
      </w:r>
      <w:r>
        <w:t xml:space="preserve"> </w:t>
      </w:r>
      <w:r>
        <w:rPr>
          <w:lang w:val="en-GB"/>
        </w:rPr>
        <w:t>Ibid.P. 34.</w:t>
      </w:r>
    </w:p>
  </w:footnote>
  <w:footnote w:id="10">
    <w:p w:rsidR="00DD128E" w:rsidRPr="00DD128E" w:rsidRDefault="00DD128E">
      <w:pPr>
        <w:pStyle w:val="FootnoteText"/>
        <w:rPr>
          <w:lang w:val="en-GB"/>
        </w:rPr>
      </w:pPr>
      <w:r>
        <w:rPr>
          <w:rStyle w:val="FootnoteReference"/>
        </w:rPr>
        <w:footnoteRef/>
      </w:r>
      <w:r>
        <w:t xml:space="preserve"> </w:t>
      </w:r>
      <w:r>
        <w:rPr>
          <w:lang w:val="en-GB"/>
        </w:rPr>
        <w:t>Ibid. P. 196.</w:t>
      </w:r>
    </w:p>
  </w:footnote>
  <w:footnote w:id="11">
    <w:p w:rsidR="002D1D93" w:rsidRPr="002D1D93" w:rsidRDefault="002D1D93">
      <w:pPr>
        <w:pStyle w:val="FootnoteText"/>
        <w:rPr>
          <w:lang w:val="en-GB"/>
        </w:rPr>
      </w:pPr>
      <w:r>
        <w:rPr>
          <w:rStyle w:val="FootnoteReference"/>
        </w:rPr>
        <w:footnoteRef/>
      </w:r>
      <w:r>
        <w:t xml:space="preserve"> Ibid </w:t>
      </w:r>
      <w:r w:rsidR="009F5C86">
        <w:t xml:space="preserve"> </w:t>
      </w:r>
      <w:r w:rsidR="009F5C86">
        <w:rPr>
          <w:lang w:val="en-GB"/>
        </w:rPr>
        <w:t>P.</w:t>
      </w:r>
      <w:r>
        <w:rPr>
          <w:lang w:val="en-GB"/>
        </w:rPr>
        <w:t>32.</w:t>
      </w:r>
    </w:p>
  </w:footnote>
  <w:footnote w:id="12">
    <w:p w:rsidR="006F2AD9" w:rsidRPr="00233BF9" w:rsidRDefault="006F2AD9" w:rsidP="006F2AD9">
      <w:pPr>
        <w:pStyle w:val="FootnoteText"/>
        <w:rPr>
          <w:lang w:val="en-GB"/>
        </w:rPr>
      </w:pPr>
      <w:r>
        <w:rPr>
          <w:rStyle w:val="FootnoteReference"/>
        </w:rPr>
        <w:footnoteRef/>
      </w:r>
      <w:r>
        <w:t xml:space="preserve"> Ibid </w:t>
      </w:r>
      <w:r w:rsidRPr="009F5C86">
        <w:rPr>
          <w:i/>
          <w:lang w:val="en-GB"/>
        </w:rPr>
        <w:t>Handbook Of British Chronology</w:t>
      </w:r>
      <w:r>
        <w:rPr>
          <w:lang w:val="en-GB"/>
        </w:rPr>
        <w:t xml:space="preserve"> p55.</w:t>
      </w:r>
    </w:p>
  </w:footnote>
  <w:footnote w:id="13">
    <w:p w:rsidR="00146965" w:rsidRPr="00146965" w:rsidRDefault="00146965" w:rsidP="00337868">
      <w:pPr>
        <w:pStyle w:val="FootnoteText"/>
        <w:ind w:left="1276" w:hanging="1276"/>
        <w:rPr>
          <w:lang w:val="en-GB"/>
        </w:rPr>
      </w:pPr>
      <w:r>
        <w:rPr>
          <w:rStyle w:val="FootnoteReference"/>
        </w:rPr>
        <w:footnoteRef/>
      </w:r>
      <w:r>
        <w:t xml:space="preserve"> </w:t>
      </w:r>
      <w:r w:rsidR="00337868">
        <w:t xml:space="preserve">Green, Judith A. </w:t>
      </w:r>
      <w:r w:rsidR="00337868" w:rsidRPr="00337868">
        <w:rPr>
          <w:i/>
        </w:rPr>
        <w:t>Ridel, Geoffrey (d. 1120), justice</w:t>
      </w:r>
      <w:r w:rsidR="00337868">
        <w:t>. </w:t>
      </w:r>
      <w:r w:rsidR="00337868">
        <w:rPr>
          <w:u w:val="single"/>
        </w:rPr>
        <w:t>Oxford Dictionary of National Biography</w:t>
      </w:r>
      <w:r w:rsidR="00337868">
        <w:t>.  May 24, 2008. Oxford University Press. Date of access 19 May. 2020, &lt;https://www.oxforddnb.com/view/10.1093/ref:odnb/9780198614128.001.0001/odnb-9780198614128-e-23617&gt;</w:t>
      </w:r>
    </w:p>
  </w:footnote>
  <w:footnote w:id="14">
    <w:p w:rsidR="00337868" w:rsidRPr="00337868" w:rsidRDefault="00337868" w:rsidP="00337868">
      <w:pPr>
        <w:pStyle w:val="FootnoteText"/>
        <w:ind w:left="1276" w:hanging="1276"/>
        <w:rPr>
          <w:lang w:val="en-GB"/>
        </w:rPr>
      </w:pPr>
      <w:r>
        <w:rPr>
          <w:rStyle w:val="FootnoteReference"/>
        </w:rPr>
        <w:footnoteRef/>
      </w:r>
      <w:r>
        <w:t xml:space="preserve"> Ibid Green J </w:t>
      </w:r>
      <w:r>
        <w:rPr>
          <w:u w:val="single"/>
        </w:rPr>
        <w:t>Oxford Dictionary of National Biography</w:t>
      </w:r>
    </w:p>
  </w:footnote>
  <w:footnote w:id="15">
    <w:p w:rsidR="007802C8" w:rsidRPr="007802C8" w:rsidRDefault="007802C8" w:rsidP="009F5C86">
      <w:pPr>
        <w:pStyle w:val="FootnoteText"/>
        <w:ind w:left="1134" w:hanging="1134"/>
        <w:rPr>
          <w:lang w:val="en-GB"/>
        </w:rPr>
      </w:pPr>
      <w:r>
        <w:rPr>
          <w:rStyle w:val="FootnoteReference"/>
        </w:rPr>
        <w:footnoteRef/>
      </w:r>
      <w:r>
        <w:t xml:space="preserve"> </w:t>
      </w:r>
      <w:r w:rsidR="009F5C86">
        <w:t xml:space="preserve">Hollister C. Frost, A,, editor. </w:t>
      </w:r>
      <w:r w:rsidR="009F5C86" w:rsidRPr="009F5C86">
        <w:rPr>
          <w:i/>
        </w:rPr>
        <w:t>THE LAST BATTLES.</w:t>
      </w:r>
      <w:r w:rsidRPr="009F5C86">
        <w:rPr>
          <w:i/>
        </w:rPr>
        <w:t xml:space="preserve"> </w:t>
      </w:r>
      <w:r w:rsidRPr="009F5C86">
        <w:rPr>
          <w:i/>
          <w:iCs/>
        </w:rPr>
        <w:t>Henry I</w:t>
      </w:r>
      <w:r w:rsidRPr="009F5C86">
        <w:rPr>
          <w:i/>
        </w:rPr>
        <w:t>,</w:t>
      </w:r>
      <w:r>
        <w:t xml:space="preserve"> by, Yale University Press, 2001, pp. 280–326. </w:t>
      </w:r>
      <w:r>
        <w:rPr>
          <w:i/>
          <w:iCs/>
        </w:rPr>
        <w:t>JSTOR</w:t>
      </w:r>
      <w:r>
        <w:t>, www.jstor.org/stable/j.ctt1bh4cv9.14. Accessed 17 May 2020. P294.</w:t>
      </w:r>
    </w:p>
  </w:footnote>
  <w:footnote w:id="16">
    <w:p w:rsidR="006D30CC" w:rsidRPr="006D30CC" w:rsidRDefault="00F87C91" w:rsidP="006D30CC">
      <w:pPr>
        <w:pStyle w:val="FootnoteText"/>
        <w:ind w:left="1134" w:hanging="1134"/>
      </w:pPr>
      <w:r>
        <w:rPr>
          <w:rStyle w:val="FootnoteReference"/>
        </w:rPr>
        <w:footnoteRef/>
      </w:r>
      <w:r w:rsidR="002B1BBF">
        <w:t xml:space="preserve"> Carpenter, David X. </w:t>
      </w:r>
      <w:r w:rsidRPr="002B1BBF">
        <w:rPr>
          <w:i/>
        </w:rPr>
        <w:t>The Marriage of Richard Basset: An Undetected Forgery in the Name of Henry I</w:t>
      </w:r>
      <w:r w:rsidR="002B1BBF">
        <w:t>.</w:t>
      </w:r>
      <w:r>
        <w:t xml:space="preserve"> </w:t>
      </w:r>
      <w:r>
        <w:rPr>
          <w:i/>
          <w:iCs/>
        </w:rPr>
        <w:t>Historical Research</w:t>
      </w:r>
      <w:r>
        <w:t xml:space="preserve">, vol. 91, no. 252, May 2018, pp. 399–406. </w:t>
      </w:r>
      <w:proofErr w:type="spellStart"/>
      <w:proofErr w:type="gramStart"/>
      <w:r>
        <w:rPr>
          <w:i/>
          <w:iCs/>
        </w:rPr>
        <w:t>EBSCOhost</w:t>
      </w:r>
      <w:proofErr w:type="spellEnd"/>
      <w:r>
        <w:t>, doi:10.1111/1468-2281.12227.</w:t>
      </w:r>
      <w:proofErr w:type="gramEnd"/>
      <w:r w:rsidR="006D30CC">
        <w:t xml:space="preserve">  </w:t>
      </w:r>
      <w:proofErr w:type="spellStart"/>
      <w:r w:rsidR="006D30CC">
        <w:t>Accessd</w:t>
      </w:r>
      <w:proofErr w:type="spellEnd"/>
      <w:r w:rsidR="006D30CC">
        <w:t xml:space="preserve"> 18</w:t>
      </w:r>
      <w:r w:rsidR="006D30CC" w:rsidRPr="006D30CC">
        <w:rPr>
          <w:vertAlign w:val="superscript"/>
        </w:rPr>
        <w:t>th</w:t>
      </w:r>
      <w:r w:rsidR="006D30CC">
        <w:t xml:space="preserve"> May 2020.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15754A"/>
    <w:multiLevelType w:val="hybridMultilevel"/>
    <w:tmpl w:val="E840860A"/>
    <w:lvl w:ilvl="0" w:tplc="C36ECE0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05564"/>
    <w:rsid w:val="00005564"/>
    <w:rsid w:val="0013792E"/>
    <w:rsid w:val="00146965"/>
    <w:rsid w:val="00233BF9"/>
    <w:rsid w:val="002B1BBF"/>
    <w:rsid w:val="002D1D93"/>
    <w:rsid w:val="002F3565"/>
    <w:rsid w:val="00337868"/>
    <w:rsid w:val="003D426C"/>
    <w:rsid w:val="004419C7"/>
    <w:rsid w:val="0048593F"/>
    <w:rsid w:val="00490220"/>
    <w:rsid w:val="004E0A5C"/>
    <w:rsid w:val="00545733"/>
    <w:rsid w:val="0057358F"/>
    <w:rsid w:val="005B1146"/>
    <w:rsid w:val="00603D59"/>
    <w:rsid w:val="00670AC2"/>
    <w:rsid w:val="006D30CC"/>
    <w:rsid w:val="006F2AD9"/>
    <w:rsid w:val="00751926"/>
    <w:rsid w:val="007666F3"/>
    <w:rsid w:val="007802C8"/>
    <w:rsid w:val="007A5D02"/>
    <w:rsid w:val="00815F18"/>
    <w:rsid w:val="00820F79"/>
    <w:rsid w:val="008340DB"/>
    <w:rsid w:val="008C5E30"/>
    <w:rsid w:val="009F5C86"/>
    <w:rsid w:val="00A5267D"/>
    <w:rsid w:val="00AB69B6"/>
    <w:rsid w:val="00CB5C41"/>
    <w:rsid w:val="00D11CB5"/>
    <w:rsid w:val="00D26868"/>
    <w:rsid w:val="00D94E9F"/>
    <w:rsid w:val="00DB0276"/>
    <w:rsid w:val="00DD128E"/>
    <w:rsid w:val="00E2259A"/>
    <w:rsid w:val="00F87C9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564"/>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paragraph" w:styleId="Heading3">
    <w:name w:val="heading 3"/>
    <w:basedOn w:val="Normal"/>
    <w:link w:val="Heading3Char"/>
    <w:qFormat/>
    <w:rsid w:val="00DB0276"/>
    <w:pPr>
      <w:keepNext/>
      <w:widowControl/>
      <w:autoSpaceDE/>
      <w:autoSpaceDN/>
      <w:adjustRightInd/>
      <w:ind w:left="720"/>
      <w:jc w:val="both"/>
      <w:outlineLvl w:val="2"/>
    </w:pPr>
    <w:rPr>
      <w:rFonts w:ascii="Tahoma" w:eastAsia="SimSun" w:hAnsi="Tahoma" w:cs="Tahoma"/>
      <w:b/>
      <w:bCs/>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5564"/>
    <w:pPr>
      <w:widowControl/>
      <w:autoSpaceDE/>
      <w:autoSpaceDN/>
      <w:adjustRightInd/>
      <w:spacing w:after="200" w:line="276" w:lineRule="auto"/>
      <w:ind w:left="720"/>
      <w:contextualSpacing/>
    </w:pPr>
    <w:rPr>
      <w:rFonts w:ascii="Calibri" w:eastAsia="Calibri" w:hAnsi="Calibri" w:cs="Arial"/>
      <w:sz w:val="22"/>
      <w:szCs w:val="22"/>
      <w:lang w:val="en-GB"/>
    </w:rPr>
  </w:style>
  <w:style w:type="paragraph" w:styleId="FootnoteText">
    <w:name w:val="footnote text"/>
    <w:basedOn w:val="Normal"/>
    <w:link w:val="FootnoteTextChar"/>
    <w:uiPriority w:val="99"/>
    <w:semiHidden/>
    <w:unhideWhenUsed/>
    <w:rsid w:val="00005564"/>
  </w:style>
  <w:style w:type="character" w:customStyle="1" w:styleId="FootnoteTextChar">
    <w:name w:val="Footnote Text Char"/>
    <w:basedOn w:val="DefaultParagraphFont"/>
    <w:link w:val="FootnoteText"/>
    <w:uiPriority w:val="99"/>
    <w:semiHidden/>
    <w:rsid w:val="00005564"/>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005564"/>
    <w:rPr>
      <w:vertAlign w:val="superscript"/>
    </w:rPr>
  </w:style>
  <w:style w:type="character" w:styleId="Hyperlink">
    <w:name w:val="Hyperlink"/>
    <w:basedOn w:val="DefaultParagraphFont"/>
    <w:uiPriority w:val="99"/>
    <w:unhideWhenUsed/>
    <w:rsid w:val="00CB5C41"/>
    <w:rPr>
      <w:color w:val="0000FF" w:themeColor="hyperlink"/>
      <w:u w:val="single"/>
    </w:rPr>
  </w:style>
  <w:style w:type="character" w:customStyle="1" w:styleId="Heading3Char">
    <w:name w:val="Heading 3 Char"/>
    <w:basedOn w:val="DefaultParagraphFont"/>
    <w:link w:val="Heading3"/>
    <w:rsid w:val="00DB0276"/>
    <w:rPr>
      <w:rFonts w:ascii="Tahoma" w:eastAsia="SimSun" w:hAnsi="Tahoma" w:cs="Tahoma"/>
      <w:b/>
      <w:bCs/>
      <w:sz w:val="20"/>
      <w:szCs w:val="20"/>
      <w:lang w:eastAsia="zh-CN"/>
    </w:rPr>
  </w:style>
  <w:style w:type="paragraph" w:styleId="NormalWeb">
    <w:name w:val="Normal (Web)"/>
    <w:basedOn w:val="Normal"/>
    <w:rsid w:val="00DB0276"/>
    <w:pPr>
      <w:widowControl/>
      <w:autoSpaceDE/>
      <w:autoSpaceDN/>
      <w:adjustRightInd/>
      <w:spacing w:before="100" w:beforeAutospacing="1" w:after="100" w:afterAutospacing="1"/>
    </w:pPr>
    <w:rPr>
      <w:rFonts w:ascii="Georgia" w:eastAsia="SimSun" w:hAnsi="Georgia"/>
      <w:color w:val="000000"/>
      <w:sz w:val="21"/>
      <w:szCs w:val="21"/>
      <w:lang w:val="en-GB" w:eastAsia="zh-CN"/>
    </w:rPr>
  </w:style>
  <w:style w:type="paragraph" w:styleId="BalloonText">
    <w:name w:val="Balloon Text"/>
    <w:basedOn w:val="Normal"/>
    <w:link w:val="BalloonTextChar"/>
    <w:uiPriority w:val="99"/>
    <w:semiHidden/>
    <w:unhideWhenUsed/>
    <w:rsid w:val="00DB0276"/>
    <w:rPr>
      <w:rFonts w:ascii="Tahoma" w:hAnsi="Tahoma" w:cs="Tahoma"/>
      <w:sz w:val="16"/>
      <w:szCs w:val="16"/>
    </w:rPr>
  </w:style>
  <w:style w:type="character" w:customStyle="1" w:styleId="BalloonTextChar">
    <w:name w:val="Balloon Text Char"/>
    <w:basedOn w:val="DefaultParagraphFont"/>
    <w:link w:val="BalloonText"/>
    <w:uiPriority w:val="99"/>
    <w:semiHidden/>
    <w:rsid w:val="00DB0276"/>
    <w:rPr>
      <w:rFonts w:ascii="Tahoma" w:eastAsia="Times New Roman"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british-history.ac.uk/fasti-ecclesiae/1300-1541/vol4/pp13-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B77B6D-A212-4D1A-ACFD-296E82B7D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1051</Words>
  <Characters>5995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2020-05-20T20:26:00Z</dcterms:created>
  <dcterms:modified xsi:type="dcterms:W3CDTF">2020-05-20T20:26:00Z</dcterms:modified>
</cp:coreProperties>
</file>