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BBD46" w14:textId="77777777" w:rsidR="00080554" w:rsidRDefault="00080554" w:rsidP="002C56CC">
      <w:pPr>
        <w:jc w:val="center"/>
        <w:rPr>
          <w:b/>
          <w:sz w:val="28"/>
          <w:szCs w:val="28"/>
        </w:rPr>
      </w:pPr>
      <w:r>
        <w:rPr>
          <w:b/>
          <w:sz w:val="28"/>
          <w:szCs w:val="28"/>
        </w:rPr>
        <w:t>Module Code: BMIH6007</w:t>
      </w:r>
    </w:p>
    <w:p w14:paraId="781912D9" w14:textId="1DDB32C5" w:rsidR="00080554" w:rsidRDefault="00080554" w:rsidP="002C56CC">
      <w:pPr>
        <w:jc w:val="center"/>
        <w:rPr>
          <w:b/>
          <w:sz w:val="28"/>
          <w:szCs w:val="28"/>
        </w:rPr>
      </w:pPr>
      <w:r>
        <w:rPr>
          <w:b/>
          <w:sz w:val="28"/>
          <w:szCs w:val="28"/>
        </w:rPr>
        <w:t>Module Title: International Meetings Management</w:t>
      </w:r>
    </w:p>
    <w:p w14:paraId="74F508BD" w14:textId="5FDC1334" w:rsidR="00080554" w:rsidRDefault="00080554" w:rsidP="002C56CC">
      <w:pPr>
        <w:jc w:val="center"/>
        <w:rPr>
          <w:b/>
          <w:color w:val="000000"/>
          <w:sz w:val="28"/>
          <w:szCs w:val="28"/>
        </w:rPr>
      </w:pPr>
      <w:r>
        <w:rPr>
          <w:b/>
          <w:color w:val="000000"/>
          <w:sz w:val="28"/>
          <w:szCs w:val="28"/>
        </w:rPr>
        <w:t xml:space="preserve">Assignment Title: </w:t>
      </w:r>
      <w:r w:rsidR="00476B06" w:rsidRPr="00476B06">
        <w:rPr>
          <w:b/>
          <w:color w:val="000000"/>
          <w:sz w:val="28"/>
          <w:szCs w:val="28"/>
        </w:rPr>
        <w:t>Planning and Delivering an International Meeting/Event.</w:t>
      </w:r>
    </w:p>
    <w:p w14:paraId="775D28E0" w14:textId="6B635889" w:rsidR="00080554" w:rsidRDefault="00080554" w:rsidP="002C56CC">
      <w:pPr>
        <w:jc w:val="center"/>
        <w:rPr>
          <w:b/>
          <w:color w:val="000000"/>
          <w:sz w:val="28"/>
          <w:szCs w:val="28"/>
        </w:rPr>
      </w:pPr>
      <w:r>
        <w:rPr>
          <w:b/>
          <w:color w:val="000000"/>
          <w:sz w:val="28"/>
          <w:szCs w:val="28"/>
        </w:rPr>
        <w:t>Lecturer’s Name: Kathryn Roberts</w:t>
      </w:r>
    </w:p>
    <w:p w14:paraId="4BF62112" w14:textId="636F92DD" w:rsidR="00080554" w:rsidRDefault="00080554" w:rsidP="002C56CC">
      <w:pPr>
        <w:jc w:val="center"/>
        <w:rPr>
          <w:b/>
          <w:sz w:val="28"/>
          <w:szCs w:val="28"/>
        </w:rPr>
      </w:pPr>
      <w:r>
        <w:rPr>
          <w:b/>
          <w:sz w:val="28"/>
          <w:szCs w:val="28"/>
        </w:rPr>
        <w:t>Student Name: Klaudia Modrzejewsk</w:t>
      </w:r>
      <w:r w:rsidR="00195BB0">
        <w:rPr>
          <w:b/>
          <w:sz w:val="28"/>
          <w:szCs w:val="28"/>
        </w:rPr>
        <w:t>a</w:t>
      </w:r>
    </w:p>
    <w:p w14:paraId="4EFCBEA9" w14:textId="0D8E71C6" w:rsidR="00080554" w:rsidRDefault="00080554" w:rsidP="002C56CC">
      <w:pPr>
        <w:jc w:val="center"/>
        <w:rPr>
          <w:b/>
          <w:sz w:val="28"/>
          <w:szCs w:val="28"/>
        </w:rPr>
      </w:pPr>
      <w:r>
        <w:rPr>
          <w:b/>
          <w:sz w:val="28"/>
          <w:szCs w:val="28"/>
        </w:rPr>
        <w:t>Student Number:2243846</w:t>
      </w:r>
    </w:p>
    <w:p w14:paraId="02FD0397" w14:textId="77777777" w:rsidR="00080554" w:rsidRDefault="00080554" w:rsidP="00080554">
      <w:pPr>
        <w:rPr>
          <w:b/>
          <w:sz w:val="28"/>
          <w:szCs w:val="28"/>
        </w:rPr>
      </w:pPr>
    </w:p>
    <w:p w14:paraId="7560F037" w14:textId="512B3E2C" w:rsidR="00080554" w:rsidRPr="00262D0A" w:rsidRDefault="00080554" w:rsidP="00080554">
      <w:pPr>
        <w:jc w:val="center"/>
        <w:rPr>
          <w:b/>
          <w:noProof/>
        </w:rPr>
      </w:pPr>
      <w:r w:rsidRPr="00262D0A">
        <w:rPr>
          <w:b/>
          <w:noProof/>
        </w:rPr>
        <w:t>AI guidance acknowledgement</w:t>
      </w:r>
    </w:p>
    <w:p w14:paraId="22EC5EF9" w14:textId="77777777" w:rsidR="00080554" w:rsidRPr="006970F4" w:rsidRDefault="00080554" w:rsidP="00080554">
      <w:pPr>
        <w:spacing w:after="160"/>
        <w:jc w:val="center"/>
        <w:rPr>
          <w:b/>
          <w:noProof/>
        </w:rPr>
      </w:pPr>
      <w:r w:rsidRPr="00262D0A">
        <w:rPr>
          <w:b/>
          <w:noProof/>
        </w:rPr>
        <w:t>I confirm that I have not presented any AI-generated text as my own work. I confirm I have copies of my drafts, notes, and other resources I used before, and after the use of AI tools which I may be asked to provide in evidence</w:t>
      </w:r>
    </w:p>
    <w:p w14:paraId="530919A8" w14:textId="61044CFF" w:rsidR="00080554" w:rsidRDefault="00080554" w:rsidP="00080554">
      <w:pPr>
        <w:spacing w:after="160"/>
        <w:jc w:val="center"/>
        <w:rPr>
          <w:b/>
          <w:color w:val="000000"/>
          <w:sz w:val="28"/>
          <w:szCs w:val="28"/>
        </w:rPr>
      </w:pPr>
    </w:p>
    <w:p w14:paraId="3371318F" w14:textId="77777777" w:rsidR="00080554" w:rsidRDefault="00080554" w:rsidP="00080554">
      <w:pPr>
        <w:spacing w:after="160"/>
        <w:jc w:val="center"/>
        <w:rPr>
          <w:b/>
          <w:color w:val="000000"/>
          <w:sz w:val="28"/>
          <w:szCs w:val="28"/>
        </w:rPr>
      </w:pPr>
    </w:p>
    <w:p w14:paraId="111E5C18" w14:textId="77777777" w:rsidR="00080554" w:rsidRDefault="00080554" w:rsidP="00080554">
      <w:pPr>
        <w:spacing w:after="160"/>
        <w:jc w:val="center"/>
        <w:rPr>
          <w:b/>
          <w:color w:val="000000"/>
          <w:sz w:val="28"/>
          <w:szCs w:val="28"/>
        </w:rPr>
      </w:pPr>
    </w:p>
    <w:p w14:paraId="7BABFD96" w14:textId="77777777" w:rsidR="00C93A66" w:rsidRDefault="00C93A66" w:rsidP="00080554">
      <w:pPr>
        <w:spacing w:after="160"/>
        <w:jc w:val="center"/>
        <w:rPr>
          <w:b/>
          <w:color w:val="000000"/>
          <w:sz w:val="28"/>
          <w:szCs w:val="28"/>
        </w:rPr>
      </w:pPr>
    </w:p>
    <w:p w14:paraId="1204F4E6" w14:textId="77777777" w:rsidR="00C93A66" w:rsidRDefault="00C93A66" w:rsidP="00080554">
      <w:pPr>
        <w:spacing w:after="160"/>
        <w:jc w:val="center"/>
        <w:rPr>
          <w:b/>
          <w:color w:val="000000"/>
          <w:sz w:val="28"/>
          <w:szCs w:val="28"/>
        </w:rPr>
      </w:pPr>
    </w:p>
    <w:p w14:paraId="541BE8C7" w14:textId="77777777" w:rsidR="00C93A66" w:rsidRDefault="00C93A66" w:rsidP="00080554">
      <w:pPr>
        <w:spacing w:after="160"/>
        <w:jc w:val="center"/>
        <w:rPr>
          <w:b/>
          <w:color w:val="000000"/>
          <w:sz w:val="28"/>
          <w:szCs w:val="28"/>
        </w:rPr>
      </w:pPr>
    </w:p>
    <w:p w14:paraId="0CE0DBCB" w14:textId="77777777" w:rsidR="00C93A66" w:rsidRDefault="00C93A66" w:rsidP="00080554">
      <w:pPr>
        <w:spacing w:after="160"/>
        <w:jc w:val="center"/>
        <w:rPr>
          <w:b/>
          <w:color w:val="000000"/>
          <w:sz w:val="28"/>
          <w:szCs w:val="28"/>
        </w:rPr>
      </w:pPr>
    </w:p>
    <w:p w14:paraId="62ABBCDA" w14:textId="77777777" w:rsidR="00C93A66" w:rsidRDefault="00C93A66" w:rsidP="00080554">
      <w:pPr>
        <w:spacing w:after="160"/>
        <w:jc w:val="center"/>
        <w:rPr>
          <w:b/>
          <w:color w:val="000000"/>
          <w:sz w:val="28"/>
          <w:szCs w:val="28"/>
        </w:rPr>
      </w:pPr>
    </w:p>
    <w:p w14:paraId="46EECA4A" w14:textId="77777777" w:rsidR="00C93A66" w:rsidRDefault="00C93A66" w:rsidP="00080554">
      <w:pPr>
        <w:spacing w:after="160"/>
        <w:jc w:val="center"/>
        <w:rPr>
          <w:b/>
          <w:color w:val="000000"/>
          <w:sz w:val="28"/>
          <w:szCs w:val="28"/>
        </w:rPr>
      </w:pPr>
    </w:p>
    <w:p w14:paraId="3380D039" w14:textId="77777777" w:rsidR="00C93A66" w:rsidRDefault="00C93A66" w:rsidP="00080554">
      <w:pPr>
        <w:spacing w:after="160"/>
        <w:jc w:val="center"/>
        <w:rPr>
          <w:b/>
          <w:color w:val="000000"/>
          <w:sz w:val="28"/>
          <w:szCs w:val="28"/>
        </w:rPr>
      </w:pPr>
    </w:p>
    <w:p w14:paraId="5924A883" w14:textId="77777777" w:rsidR="00C93A66" w:rsidRDefault="00C93A66" w:rsidP="00080554">
      <w:pPr>
        <w:spacing w:after="160"/>
        <w:jc w:val="center"/>
        <w:rPr>
          <w:b/>
          <w:color w:val="000000"/>
          <w:sz w:val="28"/>
          <w:szCs w:val="28"/>
        </w:rPr>
      </w:pPr>
    </w:p>
    <w:p w14:paraId="2FDECEE8" w14:textId="77777777" w:rsidR="00C93A66" w:rsidRDefault="00C93A66" w:rsidP="00080554">
      <w:pPr>
        <w:spacing w:after="160"/>
        <w:jc w:val="center"/>
        <w:rPr>
          <w:b/>
          <w:color w:val="000000"/>
          <w:sz w:val="28"/>
          <w:szCs w:val="28"/>
        </w:rPr>
      </w:pPr>
    </w:p>
    <w:p w14:paraId="52871E8E" w14:textId="77777777" w:rsidR="00C93A66" w:rsidRDefault="00C93A66" w:rsidP="00080554">
      <w:pPr>
        <w:spacing w:after="160"/>
        <w:jc w:val="center"/>
        <w:rPr>
          <w:b/>
          <w:color w:val="000000"/>
          <w:sz w:val="28"/>
          <w:szCs w:val="28"/>
        </w:rPr>
      </w:pPr>
    </w:p>
    <w:p w14:paraId="40F1C21C" w14:textId="77777777" w:rsidR="00C93A66" w:rsidRDefault="00C93A66" w:rsidP="00C93A66">
      <w:pPr>
        <w:keepNext/>
        <w:keepLines/>
        <w:pBdr>
          <w:top w:val="nil"/>
          <w:left w:val="nil"/>
          <w:bottom w:val="nil"/>
          <w:right w:val="nil"/>
          <w:between w:val="nil"/>
        </w:pBdr>
        <w:tabs>
          <w:tab w:val="left" w:pos="3495"/>
          <w:tab w:val="center" w:pos="4680"/>
        </w:tabs>
        <w:spacing w:before="480"/>
        <w:jc w:val="left"/>
        <w:rPr>
          <w:b/>
          <w:color w:val="000000"/>
        </w:rPr>
      </w:pPr>
      <w:r>
        <w:rPr>
          <w:b/>
          <w:color w:val="000000"/>
        </w:rPr>
        <w:lastRenderedPageBreak/>
        <w:tab/>
      </w:r>
      <w:r>
        <w:rPr>
          <w:b/>
          <w:color w:val="000000"/>
        </w:rPr>
        <w:tab/>
        <w:t>Table of Contents</w:t>
      </w:r>
    </w:p>
    <w:sdt>
      <w:sdtPr>
        <w:id w:val="-376931088"/>
        <w:docPartObj>
          <w:docPartGallery w:val="Table of Contents"/>
          <w:docPartUnique/>
        </w:docPartObj>
      </w:sdtPr>
      <w:sdtContent>
        <w:p w14:paraId="4A902D05" w14:textId="076381E0" w:rsidR="00C93A66" w:rsidRDefault="00C93A66">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200481406" w:history="1">
            <w:r w:rsidRPr="00BD73CE">
              <w:rPr>
                <w:rStyle w:val="Hyperlink"/>
                <w:noProof/>
              </w:rPr>
              <w:t>1. Introduction</w:t>
            </w:r>
            <w:r>
              <w:rPr>
                <w:noProof/>
                <w:webHidden/>
              </w:rPr>
              <w:tab/>
            </w:r>
            <w:r>
              <w:rPr>
                <w:noProof/>
                <w:webHidden/>
              </w:rPr>
              <w:fldChar w:fldCharType="begin"/>
            </w:r>
            <w:r>
              <w:rPr>
                <w:noProof/>
                <w:webHidden/>
              </w:rPr>
              <w:instrText xml:space="preserve"> PAGEREF _Toc200481406 \h </w:instrText>
            </w:r>
            <w:r>
              <w:rPr>
                <w:noProof/>
                <w:webHidden/>
              </w:rPr>
            </w:r>
            <w:r>
              <w:rPr>
                <w:noProof/>
                <w:webHidden/>
              </w:rPr>
              <w:fldChar w:fldCharType="separate"/>
            </w:r>
            <w:r w:rsidR="00E07817">
              <w:rPr>
                <w:noProof/>
                <w:webHidden/>
              </w:rPr>
              <w:t>3</w:t>
            </w:r>
            <w:r>
              <w:rPr>
                <w:noProof/>
                <w:webHidden/>
              </w:rPr>
              <w:fldChar w:fldCharType="end"/>
            </w:r>
          </w:hyperlink>
        </w:p>
        <w:p w14:paraId="181BE924" w14:textId="5B77399B" w:rsidR="00C93A66" w:rsidRDefault="00C93A6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0481407" w:history="1">
            <w:r w:rsidRPr="00BD73CE">
              <w:rPr>
                <w:rStyle w:val="Hyperlink"/>
                <w:noProof/>
              </w:rPr>
              <w:t>2. Analysis</w:t>
            </w:r>
            <w:r>
              <w:rPr>
                <w:noProof/>
                <w:webHidden/>
              </w:rPr>
              <w:tab/>
            </w:r>
            <w:r>
              <w:rPr>
                <w:noProof/>
                <w:webHidden/>
              </w:rPr>
              <w:fldChar w:fldCharType="begin"/>
            </w:r>
            <w:r>
              <w:rPr>
                <w:noProof/>
                <w:webHidden/>
              </w:rPr>
              <w:instrText xml:space="preserve"> PAGEREF _Toc200481407 \h </w:instrText>
            </w:r>
            <w:r>
              <w:rPr>
                <w:noProof/>
                <w:webHidden/>
              </w:rPr>
            </w:r>
            <w:r>
              <w:rPr>
                <w:noProof/>
                <w:webHidden/>
              </w:rPr>
              <w:fldChar w:fldCharType="separate"/>
            </w:r>
            <w:r w:rsidR="00E07817">
              <w:rPr>
                <w:noProof/>
                <w:webHidden/>
              </w:rPr>
              <w:t>4</w:t>
            </w:r>
            <w:r>
              <w:rPr>
                <w:noProof/>
                <w:webHidden/>
              </w:rPr>
              <w:fldChar w:fldCharType="end"/>
            </w:r>
          </w:hyperlink>
        </w:p>
        <w:p w14:paraId="01CBD922" w14:textId="3348D544"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08" w:history="1">
            <w:r w:rsidRPr="00BD73CE">
              <w:rPr>
                <w:rStyle w:val="Hyperlink"/>
                <w:noProof/>
              </w:rPr>
              <w:t>2.1 Event Cycle</w:t>
            </w:r>
            <w:r>
              <w:rPr>
                <w:noProof/>
                <w:webHidden/>
              </w:rPr>
              <w:tab/>
            </w:r>
            <w:r>
              <w:rPr>
                <w:noProof/>
                <w:webHidden/>
              </w:rPr>
              <w:fldChar w:fldCharType="begin"/>
            </w:r>
            <w:r>
              <w:rPr>
                <w:noProof/>
                <w:webHidden/>
              </w:rPr>
              <w:instrText xml:space="preserve"> PAGEREF _Toc200481408 \h </w:instrText>
            </w:r>
            <w:r>
              <w:rPr>
                <w:noProof/>
                <w:webHidden/>
              </w:rPr>
            </w:r>
            <w:r>
              <w:rPr>
                <w:noProof/>
                <w:webHidden/>
              </w:rPr>
              <w:fldChar w:fldCharType="separate"/>
            </w:r>
            <w:r w:rsidR="00E07817">
              <w:rPr>
                <w:noProof/>
                <w:webHidden/>
              </w:rPr>
              <w:t>4</w:t>
            </w:r>
            <w:r>
              <w:rPr>
                <w:noProof/>
                <w:webHidden/>
              </w:rPr>
              <w:fldChar w:fldCharType="end"/>
            </w:r>
          </w:hyperlink>
        </w:p>
        <w:p w14:paraId="045592AB" w14:textId="4F41E9A3"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09" w:history="1">
            <w:r w:rsidRPr="00BD73CE">
              <w:rPr>
                <w:rStyle w:val="Hyperlink"/>
                <w:noProof/>
              </w:rPr>
              <w:t>2.2 Event concept</w:t>
            </w:r>
            <w:r>
              <w:rPr>
                <w:noProof/>
                <w:webHidden/>
              </w:rPr>
              <w:tab/>
            </w:r>
            <w:r>
              <w:rPr>
                <w:noProof/>
                <w:webHidden/>
              </w:rPr>
              <w:fldChar w:fldCharType="begin"/>
            </w:r>
            <w:r>
              <w:rPr>
                <w:noProof/>
                <w:webHidden/>
              </w:rPr>
              <w:instrText xml:space="preserve"> PAGEREF _Toc200481409 \h </w:instrText>
            </w:r>
            <w:r>
              <w:rPr>
                <w:noProof/>
                <w:webHidden/>
              </w:rPr>
            </w:r>
            <w:r>
              <w:rPr>
                <w:noProof/>
                <w:webHidden/>
              </w:rPr>
              <w:fldChar w:fldCharType="separate"/>
            </w:r>
            <w:r w:rsidR="00E07817">
              <w:rPr>
                <w:noProof/>
                <w:webHidden/>
              </w:rPr>
              <w:t>6</w:t>
            </w:r>
            <w:r>
              <w:rPr>
                <w:noProof/>
                <w:webHidden/>
              </w:rPr>
              <w:fldChar w:fldCharType="end"/>
            </w:r>
          </w:hyperlink>
        </w:p>
        <w:p w14:paraId="61E86F21" w14:textId="3C869423"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10" w:history="1">
            <w:r w:rsidRPr="00BD73CE">
              <w:rPr>
                <w:rStyle w:val="Hyperlink"/>
                <w:noProof/>
              </w:rPr>
              <w:t>2.3 Aims and objectives of the event</w:t>
            </w:r>
            <w:r>
              <w:rPr>
                <w:noProof/>
                <w:webHidden/>
              </w:rPr>
              <w:tab/>
            </w:r>
            <w:r>
              <w:rPr>
                <w:noProof/>
                <w:webHidden/>
              </w:rPr>
              <w:fldChar w:fldCharType="begin"/>
            </w:r>
            <w:r>
              <w:rPr>
                <w:noProof/>
                <w:webHidden/>
              </w:rPr>
              <w:instrText xml:space="preserve"> PAGEREF _Toc200481410 \h </w:instrText>
            </w:r>
            <w:r>
              <w:rPr>
                <w:noProof/>
                <w:webHidden/>
              </w:rPr>
            </w:r>
            <w:r>
              <w:rPr>
                <w:noProof/>
                <w:webHidden/>
              </w:rPr>
              <w:fldChar w:fldCharType="separate"/>
            </w:r>
            <w:r w:rsidR="00E07817">
              <w:rPr>
                <w:noProof/>
                <w:webHidden/>
              </w:rPr>
              <w:t>7</w:t>
            </w:r>
            <w:r>
              <w:rPr>
                <w:noProof/>
                <w:webHidden/>
              </w:rPr>
              <w:fldChar w:fldCharType="end"/>
            </w:r>
          </w:hyperlink>
        </w:p>
        <w:p w14:paraId="2CFC40FD" w14:textId="6A6FE512" w:rsidR="00C93A66" w:rsidRDefault="00C93A6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0481411" w:history="1">
            <w:r w:rsidRPr="00BD73CE">
              <w:rPr>
                <w:rStyle w:val="Hyperlink"/>
                <w:noProof/>
              </w:rPr>
              <w:t>2.3.1 Aim</w:t>
            </w:r>
            <w:r>
              <w:rPr>
                <w:noProof/>
                <w:webHidden/>
              </w:rPr>
              <w:tab/>
            </w:r>
            <w:r>
              <w:rPr>
                <w:noProof/>
                <w:webHidden/>
              </w:rPr>
              <w:fldChar w:fldCharType="begin"/>
            </w:r>
            <w:r>
              <w:rPr>
                <w:noProof/>
                <w:webHidden/>
              </w:rPr>
              <w:instrText xml:space="preserve"> PAGEREF _Toc200481411 \h </w:instrText>
            </w:r>
            <w:r>
              <w:rPr>
                <w:noProof/>
                <w:webHidden/>
              </w:rPr>
            </w:r>
            <w:r>
              <w:rPr>
                <w:noProof/>
                <w:webHidden/>
              </w:rPr>
              <w:fldChar w:fldCharType="separate"/>
            </w:r>
            <w:r w:rsidR="00E07817">
              <w:rPr>
                <w:noProof/>
                <w:webHidden/>
              </w:rPr>
              <w:t>7</w:t>
            </w:r>
            <w:r>
              <w:rPr>
                <w:noProof/>
                <w:webHidden/>
              </w:rPr>
              <w:fldChar w:fldCharType="end"/>
            </w:r>
          </w:hyperlink>
        </w:p>
        <w:p w14:paraId="6455E5B3" w14:textId="49D6687E" w:rsidR="00C93A66" w:rsidRDefault="00C93A6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0481412" w:history="1">
            <w:r w:rsidRPr="00BD73CE">
              <w:rPr>
                <w:rStyle w:val="Hyperlink"/>
                <w:noProof/>
              </w:rPr>
              <w:t>2.2.3 SMART Objectives</w:t>
            </w:r>
            <w:r>
              <w:rPr>
                <w:noProof/>
                <w:webHidden/>
              </w:rPr>
              <w:tab/>
            </w:r>
            <w:r>
              <w:rPr>
                <w:noProof/>
                <w:webHidden/>
              </w:rPr>
              <w:fldChar w:fldCharType="begin"/>
            </w:r>
            <w:r>
              <w:rPr>
                <w:noProof/>
                <w:webHidden/>
              </w:rPr>
              <w:instrText xml:space="preserve"> PAGEREF _Toc200481412 \h </w:instrText>
            </w:r>
            <w:r>
              <w:rPr>
                <w:noProof/>
                <w:webHidden/>
              </w:rPr>
            </w:r>
            <w:r>
              <w:rPr>
                <w:noProof/>
                <w:webHidden/>
              </w:rPr>
              <w:fldChar w:fldCharType="separate"/>
            </w:r>
            <w:r w:rsidR="00E07817">
              <w:rPr>
                <w:noProof/>
                <w:webHidden/>
              </w:rPr>
              <w:t>7</w:t>
            </w:r>
            <w:r>
              <w:rPr>
                <w:noProof/>
                <w:webHidden/>
              </w:rPr>
              <w:fldChar w:fldCharType="end"/>
            </w:r>
          </w:hyperlink>
        </w:p>
        <w:p w14:paraId="4E5A0248" w14:textId="08C9217C"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13" w:history="1">
            <w:r w:rsidRPr="00BD73CE">
              <w:rPr>
                <w:rStyle w:val="Hyperlink"/>
                <w:noProof/>
              </w:rPr>
              <w:t>2.4 Event management</w:t>
            </w:r>
            <w:r>
              <w:rPr>
                <w:noProof/>
                <w:webHidden/>
              </w:rPr>
              <w:tab/>
            </w:r>
            <w:r>
              <w:rPr>
                <w:noProof/>
                <w:webHidden/>
              </w:rPr>
              <w:fldChar w:fldCharType="begin"/>
            </w:r>
            <w:r>
              <w:rPr>
                <w:noProof/>
                <w:webHidden/>
              </w:rPr>
              <w:instrText xml:space="preserve"> PAGEREF _Toc200481413 \h </w:instrText>
            </w:r>
            <w:r>
              <w:rPr>
                <w:noProof/>
                <w:webHidden/>
              </w:rPr>
            </w:r>
            <w:r>
              <w:rPr>
                <w:noProof/>
                <w:webHidden/>
              </w:rPr>
              <w:fldChar w:fldCharType="separate"/>
            </w:r>
            <w:r w:rsidR="00E07817">
              <w:rPr>
                <w:noProof/>
                <w:webHidden/>
              </w:rPr>
              <w:t>9</w:t>
            </w:r>
            <w:r>
              <w:rPr>
                <w:noProof/>
                <w:webHidden/>
              </w:rPr>
              <w:fldChar w:fldCharType="end"/>
            </w:r>
          </w:hyperlink>
        </w:p>
        <w:p w14:paraId="6E166077" w14:textId="1D72EBF9"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14" w:history="1">
            <w:r w:rsidRPr="00BD73CE">
              <w:rPr>
                <w:rStyle w:val="Hyperlink"/>
                <w:noProof/>
              </w:rPr>
              <w:t>2.5 Event Budget</w:t>
            </w:r>
            <w:r>
              <w:rPr>
                <w:noProof/>
                <w:webHidden/>
              </w:rPr>
              <w:tab/>
            </w:r>
            <w:r>
              <w:rPr>
                <w:noProof/>
                <w:webHidden/>
              </w:rPr>
              <w:fldChar w:fldCharType="begin"/>
            </w:r>
            <w:r>
              <w:rPr>
                <w:noProof/>
                <w:webHidden/>
              </w:rPr>
              <w:instrText xml:space="preserve"> PAGEREF _Toc200481414 \h </w:instrText>
            </w:r>
            <w:r>
              <w:rPr>
                <w:noProof/>
                <w:webHidden/>
              </w:rPr>
            </w:r>
            <w:r>
              <w:rPr>
                <w:noProof/>
                <w:webHidden/>
              </w:rPr>
              <w:fldChar w:fldCharType="separate"/>
            </w:r>
            <w:r w:rsidR="00E07817">
              <w:rPr>
                <w:noProof/>
                <w:webHidden/>
              </w:rPr>
              <w:t>10</w:t>
            </w:r>
            <w:r>
              <w:rPr>
                <w:noProof/>
                <w:webHidden/>
              </w:rPr>
              <w:fldChar w:fldCharType="end"/>
            </w:r>
          </w:hyperlink>
        </w:p>
        <w:p w14:paraId="6B7FAD0A" w14:textId="379AD910" w:rsidR="00C93A66" w:rsidRDefault="00C93A6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0481415" w:history="1">
            <w:r w:rsidRPr="00BD73CE">
              <w:rPr>
                <w:rStyle w:val="Hyperlink"/>
                <w:noProof/>
              </w:rPr>
              <w:t>2.5.1 Income and Expenditure</w:t>
            </w:r>
            <w:r>
              <w:rPr>
                <w:noProof/>
                <w:webHidden/>
              </w:rPr>
              <w:tab/>
            </w:r>
            <w:r>
              <w:rPr>
                <w:noProof/>
                <w:webHidden/>
              </w:rPr>
              <w:fldChar w:fldCharType="begin"/>
            </w:r>
            <w:r>
              <w:rPr>
                <w:noProof/>
                <w:webHidden/>
              </w:rPr>
              <w:instrText xml:space="preserve"> PAGEREF _Toc200481415 \h </w:instrText>
            </w:r>
            <w:r>
              <w:rPr>
                <w:noProof/>
                <w:webHidden/>
              </w:rPr>
            </w:r>
            <w:r>
              <w:rPr>
                <w:noProof/>
                <w:webHidden/>
              </w:rPr>
              <w:fldChar w:fldCharType="separate"/>
            </w:r>
            <w:r w:rsidR="00E07817">
              <w:rPr>
                <w:noProof/>
                <w:webHidden/>
              </w:rPr>
              <w:t>10</w:t>
            </w:r>
            <w:r>
              <w:rPr>
                <w:noProof/>
                <w:webHidden/>
              </w:rPr>
              <w:fldChar w:fldCharType="end"/>
            </w:r>
          </w:hyperlink>
        </w:p>
        <w:p w14:paraId="1C1E438F" w14:textId="1243B9D4" w:rsidR="00C93A66" w:rsidRDefault="00C93A6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0481416" w:history="1">
            <w:r w:rsidRPr="00BD73CE">
              <w:rPr>
                <w:rStyle w:val="Hyperlink"/>
                <w:noProof/>
              </w:rPr>
              <w:t>2.5.2 Cost assessment</w:t>
            </w:r>
            <w:r>
              <w:rPr>
                <w:noProof/>
                <w:webHidden/>
              </w:rPr>
              <w:tab/>
            </w:r>
            <w:r>
              <w:rPr>
                <w:noProof/>
                <w:webHidden/>
              </w:rPr>
              <w:fldChar w:fldCharType="begin"/>
            </w:r>
            <w:r>
              <w:rPr>
                <w:noProof/>
                <w:webHidden/>
              </w:rPr>
              <w:instrText xml:space="preserve"> PAGEREF _Toc200481416 \h </w:instrText>
            </w:r>
            <w:r>
              <w:rPr>
                <w:noProof/>
                <w:webHidden/>
              </w:rPr>
            </w:r>
            <w:r>
              <w:rPr>
                <w:noProof/>
                <w:webHidden/>
              </w:rPr>
              <w:fldChar w:fldCharType="separate"/>
            </w:r>
            <w:r w:rsidR="00E07817">
              <w:rPr>
                <w:noProof/>
                <w:webHidden/>
              </w:rPr>
              <w:t>11</w:t>
            </w:r>
            <w:r>
              <w:rPr>
                <w:noProof/>
                <w:webHidden/>
              </w:rPr>
              <w:fldChar w:fldCharType="end"/>
            </w:r>
          </w:hyperlink>
        </w:p>
        <w:p w14:paraId="50128038" w14:textId="749BACA1" w:rsidR="00C93A66" w:rsidRDefault="00C93A6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0481417" w:history="1">
            <w:r w:rsidRPr="00BD73CE">
              <w:rPr>
                <w:rStyle w:val="Hyperlink"/>
                <w:noProof/>
              </w:rPr>
              <w:t>2.5.3 Funding sources and income generation</w:t>
            </w:r>
            <w:r>
              <w:rPr>
                <w:noProof/>
                <w:webHidden/>
              </w:rPr>
              <w:tab/>
            </w:r>
            <w:r>
              <w:rPr>
                <w:noProof/>
                <w:webHidden/>
              </w:rPr>
              <w:fldChar w:fldCharType="begin"/>
            </w:r>
            <w:r>
              <w:rPr>
                <w:noProof/>
                <w:webHidden/>
              </w:rPr>
              <w:instrText xml:space="preserve"> PAGEREF _Toc200481417 \h </w:instrText>
            </w:r>
            <w:r>
              <w:rPr>
                <w:noProof/>
                <w:webHidden/>
              </w:rPr>
            </w:r>
            <w:r>
              <w:rPr>
                <w:noProof/>
                <w:webHidden/>
              </w:rPr>
              <w:fldChar w:fldCharType="separate"/>
            </w:r>
            <w:r w:rsidR="00E07817">
              <w:rPr>
                <w:noProof/>
                <w:webHidden/>
              </w:rPr>
              <w:t>12</w:t>
            </w:r>
            <w:r>
              <w:rPr>
                <w:noProof/>
                <w:webHidden/>
              </w:rPr>
              <w:fldChar w:fldCharType="end"/>
            </w:r>
          </w:hyperlink>
        </w:p>
        <w:p w14:paraId="70CDB1D1" w14:textId="48162104"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18" w:history="1">
            <w:r w:rsidRPr="00BD73CE">
              <w:rPr>
                <w:rStyle w:val="Hyperlink"/>
                <w:noProof/>
              </w:rPr>
              <w:t>2.6 Industry trends and impacts</w:t>
            </w:r>
            <w:r>
              <w:rPr>
                <w:noProof/>
                <w:webHidden/>
              </w:rPr>
              <w:tab/>
            </w:r>
            <w:r>
              <w:rPr>
                <w:noProof/>
                <w:webHidden/>
              </w:rPr>
              <w:fldChar w:fldCharType="begin"/>
            </w:r>
            <w:r>
              <w:rPr>
                <w:noProof/>
                <w:webHidden/>
              </w:rPr>
              <w:instrText xml:space="preserve"> PAGEREF _Toc200481418 \h </w:instrText>
            </w:r>
            <w:r>
              <w:rPr>
                <w:noProof/>
                <w:webHidden/>
              </w:rPr>
            </w:r>
            <w:r>
              <w:rPr>
                <w:noProof/>
                <w:webHidden/>
              </w:rPr>
              <w:fldChar w:fldCharType="separate"/>
            </w:r>
            <w:r w:rsidR="00E07817">
              <w:rPr>
                <w:noProof/>
                <w:webHidden/>
              </w:rPr>
              <w:t>13</w:t>
            </w:r>
            <w:r>
              <w:rPr>
                <w:noProof/>
                <w:webHidden/>
              </w:rPr>
              <w:fldChar w:fldCharType="end"/>
            </w:r>
          </w:hyperlink>
        </w:p>
        <w:p w14:paraId="1E2B9816" w14:textId="7E1FCF86" w:rsidR="00C93A66" w:rsidRDefault="00C93A6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0481419" w:history="1">
            <w:r w:rsidRPr="00BD73CE">
              <w:rPr>
                <w:rStyle w:val="Hyperlink"/>
                <w:noProof/>
              </w:rPr>
              <w:t>2.7 Situational and Cultural Considerations</w:t>
            </w:r>
            <w:r>
              <w:rPr>
                <w:noProof/>
                <w:webHidden/>
              </w:rPr>
              <w:tab/>
            </w:r>
            <w:r>
              <w:rPr>
                <w:noProof/>
                <w:webHidden/>
              </w:rPr>
              <w:fldChar w:fldCharType="begin"/>
            </w:r>
            <w:r>
              <w:rPr>
                <w:noProof/>
                <w:webHidden/>
              </w:rPr>
              <w:instrText xml:space="preserve"> PAGEREF _Toc200481419 \h </w:instrText>
            </w:r>
            <w:r>
              <w:rPr>
                <w:noProof/>
                <w:webHidden/>
              </w:rPr>
            </w:r>
            <w:r>
              <w:rPr>
                <w:noProof/>
                <w:webHidden/>
              </w:rPr>
              <w:fldChar w:fldCharType="separate"/>
            </w:r>
            <w:r w:rsidR="00E07817">
              <w:rPr>
                <w:noProof/>
                <w:webHidden/>
              </w:rPr>
              <w:t>14</w:t>
            </w:r>
            <w:r>
              <w:rPr>
                <w:noProof/>
                <w:webHidden/>
              </w:rPr>
              <w:fldChar w:fldCharType="end"/>
            </w:r>
          </w:hyperlink>
        </w:p>
        <w:p w14:paraId="097652E5" w14:textId="54254D31" w:rsidR="00C93A66" w:rsidRDefault="00C93A6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0481420" w:history="1">
            <w:r w:rsidRPr="00BD73CE">
              <w:rPr>
                <w:rStyle w:val="Hyperlink"/>
                <w:noProof/>
              </w:rPr>
              <w:t>3. Conclusion</w:t>
            </w:r>
            <w:r>
              <w:rPr>
                <w:noProof/>
                <w:webHidden/>
              </w:rPr>
              <w:tab/>
            </w:r>
            <w:r>
              <w:rPr>
                <w:noProof/>
                <w:webHidden/>
              </w:rPr>
              <w:fldChar w:fldCharType="begin"/>
            </w:r>
            <w:r>
              <w:rPr>
                <w:noProof/>
                <w:webHidden/>
              </w:rPr>
              <w:instrText xml:space="preserve"> PAGEREF _Toc200481420 \h </w:instrText>
            </w:r>
            <w:r>
              <w:rPr>
                <w:noProof/>
                <w:webHidden/>
              </w:rPr>
            </w:r>
            <w:r>
              <w:rPr>
                <w:noProof/>
                <w:webHidden/>
              </w:rPr>
              <w:fldChar w:fldCharType="separate"/>
            </w:r>
            <w:r w:rsidR="00E07817">
              <w:rPr>
                <w:noProof/>
                <w:webHidden/>
              </w:rPr>
              <w:t>14</w:t>
            </w:r>
            <w:r>
              <w:rPr>
                <w:noProof/>
                <w:webHidden/>
              </w:rPr>
              <w:fldChar w:fldCharType="end"/>
            </w:r>
          </w:hyperlink>
        </w:p>
        <w:p w14:paraId="1B56D8EF" w14:textId="02F7184F" w:rsidR="00C93A66" w:rsidRDefault="00C93A6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0481421" w:history="1">
            <w:r w:rsidRPr="00BD73CE">
              <w:rPr>
                <w:rStyle w:val="Hyperlink"/>
                <w:noProof/>
              </w:rPr>
              <w:t>References</w:t>
            </w:r>
            <w:r>
              <w:rPr>
                <w:noProof/>
                <w:webHidden/>
              </w:rPr>
              <w:tab/>
            </w:r>
            <w:r>
              <w:rPr>
                <w:noProof/>
                <w:webHidden/>
              </w:rPr>
              <w:fldChar w:fldCharType="begin"/>
            </w:r>
            <w:r>
              <w:rPr>
                <w:noProof/>
                <w:webHidden/>
              </w:rPr>
              <w:instrText xml:space="preserve"> PAGEREF _Toc200481421 \h </w:instrText>
            </w:r>
            <w:r>
              <w:rPr>
                <w:noProof/>
                <w:webHidden/>
              </w:rPr>
            </w:r>
            <w:r>
              <w:rPr>
                <w:noProof/>
                <w:webHidden/>
              </w:rPr>
              <w:fldChar w:fldCharType="separate"/>
            </w:r>
            <w:r w:rsidR="00E07817">
              <w:rPr>
                <w:noProof/>
                <w:webHidden/>
              </w:rPr>
              <w:t>15</w:t>
            </w:r>
            <w:r>
              <w:rPr>
                <w:noProof/>
                <w:webHidden/>
              </w:rPr>
              <w:fldChar w:fldCharType="end"/>
            </w:r>
          </w:hyperlink>
        </w:p>
        <w:p w14:paraId="265C8CC0" w14:textId="6DCD1613" w:rsidR="007E56E4" w:rsidRDefault="00C93A66" w:rsidP="00C93A66">
          <w:pPr>
            <w:spacing w:after="160"/>
            <w:jc w:val="center"/>
            <w:rPr>
              <w:b/>
              <w:color w:val="000000"/>
              <w:sz w:val="28"/>
              <w:szCs w:val="28"/>
            </w:rPr>
          </w:pPr>
          <w:r>
            <w:fldChar w:fldCharType="end"/>
          </w:r>
        </w:p>
      </w:sdtContent>
    </w:sdt>
    <w:p w14:paraId="0BEAECA7" w14:textId="77777777" w:rsidR="007E56E4" w:rsidRDefault="007E56E4" w:rsidP="00080554">
      <w:pPr>
        <w:spacing w:after="160"/>
        <w:jc w:val="center"/>
        <w:rPr>
          <w:b/>
          <w:color w:val="000000"/>
          <w:sz w:val="28"/>
          <w:szCs w:val="28"/>
        </w:rPr>
      </w:pPr>
    </w:p>
    <w:p w14:paraId="725FAC1C" w14:textId="77777777" w:rsidR="007E56E4" w:rsidRDefault="007E56E4" w:rsidP="00080554">
      <w:pPr>
        <w:spacing w:after="160"/>
        <w:jc w:val="center"/>
        <w:rPr>
          <w:b/>
          <w:color w:val="000000"/>
          <w:sz w:val="28"/>
          <w:szCs w:val="28"/>
        </w:rPr>
      </w:pPr>
    </w:p>
    <w:p w14:paraId="3E28C9EB" w14:textId="77777777" w:rsidR="007E56E4" w:rsidRDefault="007E56E4" w:rsidP="00080554">
      <w:pPr>
        <w:spacing w:after="160"/>
        <w:jc w:val="center"/>
        <w:rPr>
          <w:b/>
          <w:color w:val="000000"/>
          <w:sz w:val="28"/>
          <w:szCs w:val="28"/>
        </w:rPr>
      </w:pPr>
    </w:p>
    <w:p w14:paraId="00703C4D" w14:textId="77777777" w:rsidR="007E56E4" w:rsidRDefault="007E56E4" w:rsidP="00080554">
      <w:pPr>
        <w:spacing w:after="160"/>
        <w:jc w:val="center"/>
        <w:rPr>
          <w:b/>
          <w:color w:val="000000"/>
          <w:sz w:val="28"/>
          <w:szCs w:val="28"/>
        </w:rPr>
      </w:pPr>
    </w:p>
    <w:p w14:paraId="03937BE5" w14:textId="77777777" w:rsidR="007E56E4" w:rsidRDefault="007E56E4" w:rsidP="00080554">
      <w:pPr>
        <w:spacing w:after="160"/>
        <w:jc w:val="center"/>
        <w:rPr>
          <w:b/>
          <w:color w:val="000000"/>
          <w:sz w:val="28"/>
          <w:szCs w:val="28"/>
        </w:rPr>
      </w:pPr>
    </w:p>
    <w:p w14:paraId="6C30EFFF" w14:textId="77777777" w:rsidR="007E56E4" w:rsidRDefault="007E56E4" w:rsidP="00080554">
      <w:pPr>
        <w:spacing w:after="160"/>
        <w:jc w:val="center"/>
        <w:rPr>
          <w:b/>
          <w:color w:val="000000"/>
          <w:sz w:val="28"/>
          <w:szCs w:val="28"/>
        </w:rPr>
      </w:pPr>
    </w:p>
    <w:p w14:paraId="78D8A3CD" w14:textId="77777777" w:rsidR="007E56E4" w:rsidRDefault="007E56E4" w:rsidP="00080554">
      <w:pPr>
        <w:spacing w:after="160"/>
        <w:jc w:val="center"/>
        <w:rPr>
          <w:b/>
          <w:color w:val="000000"/>
          <w:sz w:val="28"/>
          <w:szCs w:val="28"/>
        </w:rPr>
      </w:pPr>
    </w:p>
    <w:p w14:paraId="5929F1EC" w14:textId="77777777" w:rsidR="00080554" w:rsidRDefault="00080554" w:rsidP="00080554">
      <w:pPr>
        <w:spacing w:after="160"/>
        <w:jc w:val="center"/>
        <w:rPr>
          <w:b/>
          <w:color w:val="000000"/>
          <w:sz w:val="28"/>
          <w:szCs w:val="28"/>
        </w:rPr>
      </w:pPr>
    </w:p>
    <w:p w14:paraId="6DC874C2" w14:textId="77777777" w:rsidR="00080554" w:rsidRDefault="00080554" w:rsidP="00080554">
      <w:pPr>
        <w:spacing w:after="160"/>
        <w:jc w:val="center"/>
        <w:rPr>
          <w:b/>
          <w:color w:val="000000"/>
          <w:sz w:val="28"/>
          <w:szCs w:val="28"/>
        </w:rPr>
      </w:pPr>
    </w:p>
    <w:p w14:paraId="74C64D54" w14:textId="77777777" w:rsidR="00080554" w:rsidRDefault="00080554" w:rsidP="00080554">
      <w:pPr>
        <w:pStyle w:val="Heading1"/>
        <w:rPr>
          <w:color w:val="auto"/>
        </w:rPr>
      </w:pPr>
      <w:bookmarkStart w:id="0" w:name="_heading=h.r6nq1kt32ttd"/>
      <w:bookmarkStart w:id="1" w:name="_Toc200481406"/>
      <w:bookmarkEnd w:id="0"/>
      <w:r>
        <w:rPr>
          <w:color w:val="000000"/>
        </w:rPr>
        <w:t>1. Introduction</w:t>
      </w:r>
      <w:bookmarkEnd w:id="1"/>
    </w:p>
    <w:p w14:paraId="76919795" w14:textId="72CB41E4" w:rsidR="00080554" w:rsidRDefault="00080554" w:rsidP="00080554">
      <w:pPr>
        <w:rPr>
          <w:color w:val="000000"/>
        </w:rPr>
      </w:pPr>
      <w:r>
        <w:rPr>
          <w:color w:val="000000"/>
        </w:rPr>
        <w:t xml:space="preserve">“Year of </w:t>
      </w:r>
      <w:proofErr w:type="spellStart"/>
      <w:r>
        <w:rPr>
          <w:color w:val="000000"/>
        </w:rPr>
        <w:t>Croeso</w:t>
      </w:r>
      <w:proofErr w:type="spellEnd"/>
      <w:r>
        <w:rPr>
          <w:color w:val="000000"/>
        </w:rPr>
        <w:t>” is a warm Welsh celebration in 2025 that comes as a campaign based on feedback and market insights by highlighting the language, culture, attraction and heritage to share unique experiences of Welsh with the world (</w:t>
      </w:r>
      <w:proofErr w:type="spellStart"/>
      <w:r>
        <w:rPr>
          <w:color w:val="000000"/>
        </w:rPr>
        <w:t>TravelTrade</w:t>
      </w:r>
      <w:proofErr w:type="spellEnd"/>
      <w:r>
        <w:rPr>
          <w:color w:val="000000"/>
        </w:rPr>
        <w:t xml:space="preserve">, 2025). The actual selection of the theme is based on the audience planning, market insight and most importantly, industry and stakeholders' feedback from the past years. Based on this theme, "Hwyl and Heritage: A Welsh Welcome through Dogs &amp; Horses” will be a unique festival, along with 3-days festival to celebrate the Year of </w:t>
      </w:r>
      <w:proofErr w:type="spellStart"/>
      <w:r>
        <w:rPr>
          <w:color w:val="000000"/>
        </w:rPr>
        <w:t>Croeso</w:t>
      </w:r>
      <w:proofErr w:type="spellEnd"/>
      <w:r>
        <w:rPr>
          <w:color w:val="000000"/>
        </w:rPr>
        <w:t xml:space="preserve"> 2025 by discovering the Welsh hospitality, countryside traditions and rural cultur</w:t>
      </w:r>
      <w:r w:rsidR="00A00B9C">
        <w:rPr>
          <w:color w:val="000000"/>
        </w:rPr>
        <w:t xml:space="preserve">es. </w:t>
      </w:r>
    </w:p>
    <w:p w14:paraId="1CEFAC3C" w14:textId="77777777" w:rsidR="00BE4E50" w:rsidRDefault="00BE4E50" w:rsidP="00080554">
      <w:pPr>
        <w:rPr>
          <w:color w:val="000000"/>
        </w:rPr>
      </w:pPr>
    </w:p>
    <w:p w14:paraId="4A7129F0" w14:textId="1B129716" w:rsidR="00080554" w:rsidRDefault="00080554" w:rsidP="00080554">
      <w:pPr>
        <w:jc w:val="center"/>
        <w:rPr>
          <w:color w:val="000000"/>
        </w:rPr>
      </w:pPr>
      <w:r>
        <w:rPr>
          <w:noProof/>
          <w:color w:val="000000"/>
        </w:rPr>
        <w:drawing>
          <wp:inline distT="0" distB="0" distL="0" distR="0" wp14:anchorId="33CB934D" wp14:editId="4689446B">
            <wp:extent cx="4400550" cy="3295650"/>
            <wp:effectExtent l="0" t="0" r="0" b="0"/>
            <wp:docPr id="1069773439" name="Picture 7" descr="https://lh7-rt.googleusercontent.com/docsz/AD_4nXdXOCBfm14e153bUY4PJ1mPi9fwOT8Uqn6VFHVaoVOS1AtFSENxTbM3Djnz-mqMRDDzJLxCnDjLiry08iPG_jLxUHYmFMT80djHyOpLk-XOJD_QQwp6Mx23D6ZBzhzLJR4XOV-Z?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descr="https://lh7-rt.googleusercontent.com/docsz/AD_4nXdXOCBfm14e153bUY4PJ1mPi9fwOT8Uqn6VFHVaoVOS1AtFSENxTbM3Djnz-mqMRDDzJLxCnDjLiry08iPG_jLxUHYmFMT80djHyOpLk-XOJD_QQwp6Mx23D6ZBzhzLJR4XOV-Z?key=KijazhmnIzc9uuiT8JgsyQ"/>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00550" cy="3295650"/>
                    </a:xfrm>
                    <a:prstGeom prst="rect">
                      <a:avLst/>
                    </a:prstGeom>
                    <a:noFill/>
                    <a:ln>
                      <a:noFill/>
                    </a:ln>
                  </pic:spPr>
                </pic:pic>
              </a:graphicData>
            </a:graphic>
          </wp:inline>
        </w:drawing>
      </w:r>
    </w:p>
    <w:p w14:paraId="7262AAEF" w14:textId="77777777" w:rsidR="00080554" w:rsidRDefault="00080554" w:rsidP="00080554">
      <w:pPr>
        <w:jc w:val="center"/>
        <w:rPr>
          <w:color w:val="000000"/>
        </w:rPr>
      </w:pPr>
      <w:r>
        <w:rPr>
          <w:b/>
          <w:color w:val="000000"/>
        </w:rPr>
        <w:t>Figure 1: David Broome Event Centre</w:t>
      </w:r>
    </w:p>
    <w:p w14:paraId="4E448F5B" w14:textId="77777777" w:rsidR="00080554" w:rsidRDefault="00080554" w:rsidP="00080554">
      <w:pPr>
        <w:jc w:val="center"/>
        <w:rPr>
          <w:color w:val="000000"/>
        </w:rPr>
      </w:pPr>
      <w:r>
        <w:rPr>
          <w:color w:val="000000"/>
        </w:rPr>
        <w:t>(Source: Visit Wales, 2025)</w:t>
      </w:r>
    </w:p>
    <w:p w14:paraId="373C6BB4" w14:textId="77777777" w:rsidR="00080554" w:rsidRDefault="00080554" w:rsidP="00080554">
      <w:pPr>
        <w:rPr>
          <w:color w:val="000000"/>
        </w:rPr>
      </w:pPr>
      <w:r>
        <w:rPr>
          <w:color w:val="000000"/>
        </w:rPr>
        <w:t xml:space="preserve">This event will be held in the renowned David Broome Event Centre, which is the busiest premier Equestrian Centre in Wales, covering nearly 100 acres (Visit Wales, 2025). This centre also has an experienced team to ensure all the discipline and manners to maintain all the different events efficiently and smoothly. By targeting the dogs and horses’ enthusiasts, its thematic alignment and timing also maintains a direct relation with the initiative of Year of </w:t>
      </w:r>
      <w:proofErr w:type="spellStart"/>
      <w:r>
        <w:rPr>
          <w:color w:val="000000"/>
        </w:rPr>
        <w:lastRenderedPageBreak/>
        <w:t>Croeso</w:t>
      </w:r>
      <w:proofErr w:type="spellEnd"/>
      <w:r>
        <w:rPr>
          <w:color w:val="000000"/>
        </w:rPr>
        <w:t xml:space="preserve"> to support Wales's strategic focus by creating an emotional and cultural immersion experience for the audiences. This report will analyse the event along with </w:t>
      </w:r>
      <w:proofErr w:type="spellStart"/>
      <w:r>
        <w:rPr>
          <w:color w:val="000000"/>
        </w:rPr>
        <w:t>otis</w:t>
      </w:r>
      <w:proofErr w:type="spellEnd"/>
      <w:r>
        <w:rPr>
          <w:color w:val="000000"/>
        </w:rPr>
        <w:t xml:space="preserve"> concepts, aims, objectives and management that help to prepare a clear budget for the event. In this way, it will also make a clear understanding about the impact of this event on the industry and analyse situational and cultural considerations based on this event. </w:t>
      </w:r>
    </w:p>
    <w:p w14:paraId="23FCA379" w14:textId="77777777" w:rsidR="00080554" w:rsidRDefault="00080554" w:rsidP="00080554">
      <w:pPr>
        <w:pStyle w:val="Heading1"/>
        <w:rPr>
          <w:color w:val="auto"/>
        </w:rPr>
      </w:pPr>
      <w:bookmarkStart w:id="2" w:name="_Toc200481407"/>
      <w:r>
        <w:rPr>
          <w:color w:val="000000"/>
        </w:rPr>
        <w:t>2. Analysis</w:t>
      </w:r>
      <w:bookmarkEnd w:id="2"/>
    </w:p>
    <w:p w14:paraId="2E180C96" w14:textId="77777777" w:rsidR="00080554" w:rsidRDefault="00080554" w:rsidP="00080554">
      <w:pPr>
        <w:pStyle w:val="Heading2"/>
      </w:pPr>
      <w:bookmarkStart w:id="3" w:name="_Toc200481408"/>
      <w:r>
        <w:rPr>
          <w:color w:val="000000"/>
        </w:rPr>
        <w:t>2.1 Event Cycle</w:t>
      </w:r>
      <w:bookmarkEnd w:id="3"/>
    </w:p>
    <w:p w14:paraId="6BA78FBC" w14:textId="77777777" w:rsidR="00080554" w:rsidRDefault="00080554" w:rsidP="00080554">
      <w:pPr>
        <w:rPr>
          <w:color w:val="000000"/>
        </w:rPr>
      </w:pPr>
      <w:r>
        <w:rPr>
          <w:color w:val="000000"/>
        </w:rPr>
        <w:t xml:space="preserve">The event planning cycle is an effective process of planning, organising and executing a plan according to the event's purpose by managing a wide gathering to deliver a seamless experience to the audiences (Doodle, 2025). It also makes the overall event experience more engaging as per the theme “Year of </w:t>
      </w:r>
      <w:proofErr w:type="spellStart"/>
      <w:r>
        <w:rPr>
          <w:color w:val="000000"/>
        </w:rPr>
        <w:t>Croeso</w:t>
      </w:r>
      <w:proofErr w:type="spellEnd"/>
      <w:r>
        <w:rPr>
          <w:color w:val="000000"/>
        </w:rPr>
        <w:t>” and helps to capture the essence of "Hwyl and Heritage: A Welsh Welcome through Dogs &amp; Horses”. In this regard, this event cycle has some different stages such as ideation, planning, implementation, event delivery, and post-event evaluation. </w:t>
      </w:r>
    </w:p>
    <w:p w14:paraId="164216CF" w14:textId="326A7B59" w:rsidR="00080554" w:rsidRDefault="00080554" w:rsidP="00080554">
      <w:pPr>
        <w:jc w:val="center"/>
        <w:rPr>
          <w:color w:val="000000"/>
        </w:rPr>
      </w:pPr>
      <w:r>
        <w:rPr>
          <w:noProof/>
          <w:color w:val="000000"/>
        </w:rPr>
        <w:drawing>
          <wp:inline distT="0" distB="0" distL="0" distR="0" wp14:anchorId="23DEB9CE" wp14:editId="33B1432A">
            <wp:extent cx="3067050" cy="2924175"/>
            <wp:effectExtent l="0" t="0" r="0" b="9525"/>
            <wp:docPr id="1329484881" name="Picture 6" descr="https://lh7-rt.googleusercontent.com/docsz/AD_4nXemb4ewpMDvEFOabVB-84DBZ7LkDKYMLw5XKzXYMHEQZr7kFuPiT5IAMZgY6orCSItrjBrym3_9sy3Gi8njWc3n-V1CV8M-oogsqQETKGDQ380gS5ruiO4x5W5fDv21vk8ptNpv6g?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https://lh7-rt.googleusercontent.com/docsz/AD_4nXemb4ewpMDvEFOabVB-84DBZ7LkDKYMLw5XKzXYMHEQZr7kFuPiT5IAMZgY6orCSItrjBrym3_9sy3Gi8njWc3n-V1CV8M-oogsqQETKGDQ380gS5ruiO4x5W5fDv21vk8ptNpv6g?key=KijazhmnIzc9uuiT8JgsyQ"/>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67050" cy="2924175"/>
                    </a:xfrm>
                    <a:prstGeom prst="rect">
                      <a:avLst/>
                    </a:prstGeom>
                    <a:noFill/>
                    <a:ln>
                      <a:noFill/>
                    </a:ln>
                  </pic:spPr>
                </pic:pic>
              </a:graphicData>
            </a:graphic>
          </wp:inline>
        </w:drawing>
      </w:r>
    </w:p>
    <w:p w14:paraId="0071D241" w14:textId="77777777" w:rsidR="00080554" w:rsidRDefault="00080554" w:rsidP="00080554">
      <w:pPr>
        <w:jc w:val="center"/>
        <w:rPr>
          <w:color w:val="000000"/>
        </w:rPr>
      </w:pPr>
      <w:r>
        <w:rPr>
          <w:b/>
          <w:color w:val="000000"/>
        </w:rPr>
        <w:t>Figure 2: Event Cycle</w:t>
      </w:r>
    </w:p>
    <w:p w14:paraId="299BACEE" w14:textId="77777777" w:rsidR="00080554" w:rsidRDefault="00080554" w:rsidP="00080554">
      <w:pPr>
        <w:jc w:val="center"/>
        <w:rPr>
          <w:color w:val="000000"/>
        </w:rPr>
      </w:pPr>
      <w:r>
        <w:rPr>
          <w:color w:val="000000"/>
        </w:rPr>
        <w:t>(Source: Self-developed)</w:t>
      </w:r>
    </w:p>
    <w:p w14:paraId="5445EB78" w14:textId="77777777" w:rsidR="00080554" w:rsidRDefault="00080554" w:rsidP="00080554">
      <w:pPr>
        <w:rPr>
          <w:color w:val="000000"/>
        </w:rPr>
      </w:pPr>
      <w:r>
        <w:rPr>
          <w:b/>
          <w:color w:val="000000"/>
        </w:rPr>
        <w:t>Ideation</w:t>
      </w:r>
      <w:r>
        <w:rPr>
          <w:color w:val="000000"/>
        </w:rPr>
        <w:t> </w:t>
      </w:r>
    </w:p>
    <w:p w14:paraId="19674B1A" w14:textId="77777777" w:rsidR="00080554" w:rsidRDefault="00080554" w:rsidP="00080554">
      <w:pPr>
        <w:rPr>
          <w:color w:val="000000"/>
        </w:rPr>
      </w:pPr>
      <w:r>
        <w:rPr>
          <w:color w:val="000000"/>
        </w:rPr>
        <w:t xml:space="preserve">Ideation comes as an effective process in the event cycle by generating clear perspectives about the possible ideas that help to narrow down all the criteria according to the events. It implements more creative ideas to develop the effectiveness of the event by delivering unique experiences to audiences (Dovetail, 2023). According to the event of Hwyl and Heritage: A </w:t>
      </w:r>
      <w:r>
        <w:rPr>
          <w:color w:val="000000"/>
        </w:rPr>
        <w:lastRenderedPageBreak/>
        <w:t xml:space="preserve">Welsh Welcome through Dogs &amp; Horses, it is directly rooted in the national campaign of Year of </w:t>
      </w:r>
      <w:proofErr w:type="spellStart"/>
      <w:r>
        <w:rPr>
          <w:color w:val="000000"/>
        </w:rPr>
        <w:t>Croeso</w:t>
      </w:r>
      <w:proofErr w:type="spellEnd"/>
      <w:r>
        <w:rPr>
          <w:color w:val="000000"/>
        </w:rPr>
        <w:t xml:space="preserve"> to introduce Wales across the world by highlighting the tradition, heritage, community and language. It also helps to reflect the efforts to represent figs and horses by symbolising the rural heritage of Wales. </w:t>
      </w:r>
    </w:p>
    <w:p w14:paraId="2AB8E0D7" w14:textId="77777777" w:rsidR="00080554" w:rsidRDefault="00080554" w:rsidP="00080554">
      <w:pPr>
        <w:rPr>
          <w:color w:val="000000"/>
        </w:rPr>
      </w:pPr>
      <w:r>
        <w:rPr>
          <w:b/>
          <w:color w:val="000000"/>
        </w:rPr>
        <w:t>Planning</w:t>
      </w:r>
    </w:p>
    <w:p w14:paraId="11965B05" w14:textId="77777777" w:rsidR="00080554" w:rsidRDefault="00080554" w:rsidP="00080554">
      <w:pPr>
        <w:rPr>
          <w:color w:val="000000"/>
        </w:rPr>
      </w:pPr>
      <w:r>
        <w:rPr>
          <w:color w:val="000000"/>
        </w:rPr>
        <w:t>Event planning is another essential stage of the event cycle, by managing all the important elements of the events and reducing the stress by tasking all the tasks more efficiently and systematically, which helps to boost engagement and marketing strategies (Norman, 2023). This effective stage also maintains a direct involvement in budgeting, risk management and stakeholder coordination. In this regard of the event, it is most important to coordinate with David Broome Event Centre to offer a unique experience to audiences through its indoor and outdoor areas, ample parking and equestrian facilities to highlight the heritage and tradition of Wales and give full enjoyment to people. </w:t>
      </w:r>
    </w:p>
    <w:p w14:paraId="502E8A29" w14:textId="77777777" w:rsidR="00080554" w:rsidRDefault="00080554" w:rsidP="00080554">
      <w:pPr>
        <w:rPr>
          <w:color w:val="000000"/>
        </w:rPr>
      </w:pPr>
      <w:r>
        <w:rPr>
          <w:b/>
          <w:color w:val="000000"/>
        </w:rPr>
        <w:t>Implementation</w:t>
      </w:r>
    </w:p>
    <w:p w14:paraId="24771B57" w14:textId="77777777" w:rsidR="00080554" w:rsidRDefault="00080554" w:rsidP="00080554">
      <w:pPr>
        <w:rPr>
          <w:color w:val="000000"/>
        </w:rPr>
      </w:pPr>
      <w:r>
        <w:rPr>
          <w:color w:val="000000"/>
        </w:rPr>
        <w:t>Implementation comes as an effective process that helps to maintain strategic management and ensure possible movement according to plan to achieve great success as per the set goals. As per the Principal-agent theory, it builds strategic relations along with all the facts of the project and provides proper guidance to execute the plan to make a beneficial impact (‌Meredith et al., 2017). According to this process in this event, it is most important to make effective marketing by including different international animal communities, local partnerships and influencers for cultural tourists and local advertising to encourage local audiences. </w:t>
      </w:r>
    </w:p>
    <w:p w14:paraId="0860A749" w14:textId="77777777" w:rsidR="00080554" w:rsidRDefault="00080554" w:rsidP="00080554">
      <w:pPr>
        <w:rPr>
          <w:color w:val="000000"/>
        </w:rPr>
      </w:pPr>
      <w:r>
        <w:rPr>
          <w:b/>
          <w:color w:val="000000"/>
        </w:rPr>
        <w:t>Event delivery</w:t>
      </w:r>
    </w:p>
    <w:p w14:paraId="7EFE445A" w14:textId="77777777" w:rsidR="00080554" w:rsidRDefault="00080554" w:rsidP="00080554">
      <w:pPr>
        <w:rPr>
          <w:color w:val="000000"/>
        </w:rPr>
      </w:pPr>
      <w:r>
        <w:rPr>
          <w:color w:val="000000"/>
        </w:rPr>
        <w:t xml:space="preserve">Event delivery is also another critical factor for the event cycle that helps to maintain all the processes more systematically such as observation, evaluation and recording to enhance further development (Getz and Page, 2019). It also helps to evaluate audience perception of their experience </w:t>
      </w:r>
      <w:proofErr w:type="gramStart"/>
      <w:r>
        <w:rPr>
          <w:color w:val="000000"/>
        </w:rPr>
        <w:t>and also</w:t>
      </w:r>
      <w:proofErr w:type="gramEnd"/>
      <w:r>
        <w:rPr>
          <w:color w:val="000000"/>
        </w:rPr>
        <w:t xml:space="preserve"> </w:t>
      </w:r>
      <w:proofErr w:type="spellStart"/>
      <w:r>
        <w:rPr>
          <w:color w:val="000000"/>
        </w:rPr>
        <w:t>mahaing</w:t>
      </w:r>
      <w:proofErr w:type="spellEnd"/>
      <w:r>
        <w:rPr>
          <w:color w:val="000000"/>
        </w:rPr>
        <w:t xml:space="preserve"> all tasks on time to deliver a unique experience through the event. Regarding this event, this process also helps to execute all the tasks more seamlessly by balancing all the protocols that help to enhance the heritage and cultural values of Wales. </w:t>
      </w:r>
    </w:p>
    <w:p w14:paraId="7B9130AB" w14:textId="77777777" w:rsidR="00080554" w:rsidRDefault="00080554" w:rsidP="00080554">
      <w:pPr>
        <w:rPr>
          <w:color w:val="000000"/>
        </w:rPr>
      </w:pPr>
      <w:r>
        <w:rPr>
          <w:b/>
          <w:color w:val="000000"/>
        </w:rPr>
        <w:t>Post-event evaluation</w:t>
      </w:r>
    </w:p>
    <w:p w14:paraId="0C05199E" w14:textId="77777777" w:rsidR="00080554" w:rsidRDefault="00080554" w:rsidP="00080554">
      <w:r>
        <w:rPr>
          <w:color w:val="000000"/>
        </w:rPr>
        <w:t>Post-event is most important to analyse the success of the event, which also helps to evaluate the performance, overall experience and areas that need further improvements to prepare next events more seamlessly (</w:t>
      </w:r>
      <w:proofErr w:type="spellStart"/>
      <w:r>
        <w:rPr>
          <w:color w:val="000000"/>
        </w:rPr>
        <w:t>Secutix</w:t>
      </w:r>
      <w:proofErr w:type="spellEnd"/>
      <w:r>
        <w:rPr>
          <w:color w:val="000000"/>
        </w:rPr>
        <w:t xml:space="preserve">, 2024). This process also helps to measure the success as per the objective of any project or event and its different impact on different external factors that help to make effective decisions by making more improvements in the future (Fox </w:t>
      </w:r>
      <w:r>
        <w:rPr>
          <w:i/>
          <w:color w:val="000000"/>
        </w:rPr>
        <w:t xml:space="preserve">et al., </w:t>
      </w:r>
      <w:r>
        <w:rPr>
          <w:color w:val="000000"/>
        </w:rPr>
        <w:t xml:space="preserve">2014). </w:t>
      </w:r>
      <w:r>
        <w:rPr>
          <w:color w:val="000000"/>
        </w:rPr>
        <w:lastRenderedPageBreak/>
        <w:t xml:space="preserve">Regarding this event, Hwyl and Heritage: A Welsh Welcome through Dogs &amp; Horses, it is most important to evaluate the overall attendance number, economic impact, social and cultural impact and media engagement that helps to outline the event's success criteria </w:t>
      </w:r>
      <w:proofErr w:type="gramStart"/>
      <w:r>
        <w:rPr>
          <w:color w:val="000000"/>
        </w:rPr>
        <w:t>and also</w:t>
      </w:r>
      <w:proofErr w:type="gramEnd"/>
      <w:r>
        <w:rPr>
          <w:color w:val="000000"/>
        </w:rPr>
        <w:t xml:space="preserve"> all those areas that need more improvements.</w:t>
      </w:r>
    </w:p>
    <w:p w14:paraId="3AB481DD" w14:textId="77777777" w:rsidR="00080554" w:rsidRDefault="00080554" w:rsidP="00080554">
      <w:pPr>
        <w:pStyle w:val="Heading2"/>
        <w:rPr>
          <w:i/>
          <w:sz w:val="24"/>
          <w:szCs w:val="24"/>
        </w:rPr>
      </w:pPr>
      <w:bookmarkStart w:id="4" w:name="_Toc200481409"/>
      <w:r>
        <w:t>2.2 Event concept</w:t>
      </w:r>
      <w:bookmarkEnd w:id="4"/>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80554" w14:paraId="6A30E3A2" w14:textId="77777777" w:rsidTr="00080554">
        <w:tc>
          <w:tcPr>
            <w:tcW w:w="1872"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hideMark/>
          </w:tcPr>
          <w:p w14:paraId="39E6CF5B" w14:textId="77777777" w:rsidR="00080554" w:rsidRDefault="00080554">
            <w:pPr>
              <w:widowControl w:val="0"/>
              <w:jc w:val="center"/>
              <w:rPr>
                <w:b/>
                <w:i/>
              </w:rPr>
            </w:pPr>
            <w:r>
              <w:rPr>
                <w:b/>
                <w:i/>
              </w:rPr>
              <w:t xml:space="preserve">Days of the events </w:t>
            </w:r>
          </w:p>
        </w:tc>
        <w:tc>
          <w:tcPr>
            <w:tcW w:w="1872"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hideMark/>
          </w:tcPr>
          <w:p w14:paraId="66ADA841" w14:textId="77777777" w:rsidR="00080554" w:rsidRDefault="00080554">
            <w:pPr>
              <w:widowControl w:val="0"/>
              <w:jc w:val="center"/>
              <w:rPr>
                <w:b/>
                <w:i/>
              </w:rPr>
            </w:pPr>
            <w:r>
              <w:rPr>
                <w:b/>
                <w:i/>
              </w:rPr>
              <w:t>Experience in Shift 1</w:t>
            </w:r>
          </w:p>
          <w:p w14:paraId="2F1CA96B" w14:textId="77777777" w:rsidR="00080554" w:rsidRDefault="00080554">
            <w:pPr>
              <w:widowControl w:val="0"/>
              <w:jc w:val="center"/>
              <w:rPr>
                <w:b/>
                <w:i/>
              </w:rPr>
            </w:pPr>
            <w:r>
              <w:rPr>
                <w:b/>
                <w:i/>
              </w:rPr>
              <w:t>(8 AM- 10 AM)</w:t>
            </w:r>
          </w:p>
        </w:tc>
        <w:tc>
          <w:tcPr>
            <w:tcW w:w="1872"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hideMark/>
          </w:tcPr>
          <w:p w14:paraId="799C459C" w14:textId="77777777" w:rsidR="00080554" w:rsidRDefault="00080554">
            <w:pPr>
              <w:widowControl w:val="0"/>
              <w:jc w:val="center"/>
              <w:rPr>
                <w:b/>
                <w:i/>
              </w:rPr>
            </w:pPr>
            <w:r>
              <w:rPr>
                <w:b/>
                <w:i/>
              </w:rPr>
              <w:t>Experience in Shift 2</w:t>
            </w:r>
          </w:p>
          <w:p w14:paraId="7B276668" w14:textId="77777777" w:rsidR="00080554" w:rsidRDefault="00080554">
            <w:pPr>
              <w:widowControl w:val="0"/>
              <w:jc w:val="center"/>
              <w:rPr>
                <w:b/>
                <w:i/>
              </w:rPr>
            </w:pPr>
            <w:r>
              <w:rPr>
                <w:b/>
                <w:i/>
              </w:rPr>
              <w:t>(10.30 AM-12.30 PM)</w:t>
            </w:r>
          </w:p>
        </w:tc>
        <w:tc>
          <w:tcPr>
            <w:tcW w:w="1872"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hideMark/>
          </w:tcPr>
          <w:p w14:paraId="3190A3FC" w14:textId="77777777" w:rsidR="00080554" w:rsidRDefault="00080554">
            <w:pPr>
              <w:widowControl w:val="0"/>
              <w:jc w:val="center"/>
              <w:rPr>
                <w:b/>
                <w:i/>
              </w:rPr>
            </w:pPr>
            <w:r>
              <w:rPr>
                <w:b/>
                <w:i/>
              </w:rPr>
              <w:t>Experience in Shift 3</w:t>
            </w:r>
          </w:p>
          <w:p w14:paraId="14EFCC4C" w14:textId="77777777" w:rsidR="00080554" w:rsidRDefault="00080554">
            <w:pPr>
              <w:widowControl w:val="0"/>
              <w:jc w:val="center"/>
              <w:rPr>
                <w:b/>
                <w:i/>
              </w:rPr>
            </w:pPr>
            <w:r>
              <w:rPr>
                <w:b/>
                <w:i/>
              </w:rPr>
              <w:t>(1 PM -5 PM)</w:t>
            </w:r>
          </w:p>
        </w:tc>
        <w:tc>
          <w:tcPr>
            <w:tcW w:w="1872"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hideMark/>
          </w:tcPr>
          <w:p w14:paraId="4E7D399A" w14:textId="77777777" w:rsidR="00080554" w:rsidRDefault="00080554">
            <w:pPr>
              <w:widowControl w:val="0"/>
              <w:jc w:val="center"/>
              <w:rPr>
                <w:b/>
                <w:i/>
              </w:rPr>
            </w:pPr>
            <w:r>
              <w:rPr>
                <w:b/>
                <w:i/>
              </w:rPr>
              <w:t>Experience in Shift 4</w:t>
            </w:r>
          </w:p>
          <w:p w14:paraId="3517B96A" w14:textId="77777777" w:rsidR="00080554" w:rsidRDefault="00080554">
            <w:pPr>
              <w:widowControl w:val="0"/>
              <w:jc w:val="center"/>
              <w:rPr>
                <w:b/>
                <w:i/>
              </w:rPr>
            </w:pPr>
            <w:r>
              <w:rPr>
                <w:b/>
                <w:i/>
              </w:rPr>
              <w:t>(6 PM-8 PM)</w:t>
            </w:r>
          </w:p>
        </w:tc>
      </w:tr>
      <w:tr w:rsidR="00080554" w14:paraId="28B32E27" w14:textId="77777777" w:rsidTr="00080554">
        <w:tc>
          <w:tcPr>
            <w:tcW w:w="1872" w:type="dxa"/>
            <w:tcBorders>
              <w:top w:val="single" w:sz="12" w:space="0" w:color="000000"/>
              <w:left w:val="single" w:sz="12" w:space="0" w:color="000000"/>
              <w:bottom w:val="single" w:sz="12" w:space="0" w:color="000000"/>
              <w:right w:val="single" w:sz="12" w:space="0" w:color="000000"/>
            </w:tcBorders>
            <w:shd w:val="clear" w:color="auto" w:fill="D9D9D9"/>
            <w:tcMar>
              <w:top w:w="100" w:type="dxa"/>
              <w:left w:w="100" w:type="dxa"/>
              <w:bottom w:w="100" w:type="dxa"/>
              <w:right w:w="100" w:type="dxa"/>
            </w:tcMar>
            <w:hideMark/>
          </w:tcPr>
          <w:p w14:paraId="7099ACAB" w14:textId="77777777" w:rsidR="00080554" w:rsidRDefault="00080554">
            <w:pPr>
              <w:widowControl w:val="0"/>
              <w:jc w:val="center"/>
              <w:rPr>
                <w:b/>
                <w:i/>
              </w:rPr>
            </w:pPr>
            <w:r>
              <w:rPr>
                <w:b/>
                <w:i/>
              </w:rPr>
              <w:t>Day 1</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52820EC3" w14:textId="77777777" w:rsidR="00080554" w:rsidRDefault="00080554">
            <w:pPr>
              <w:widowControl w:val="0"/>
            </w:pPr>
            <w:r>
              <w:t>Welcoming the visitors, there will be traditional “Welsh playing” and “refreshments”. A ceremonial opening with a male voice choir and guest speakers will feature in the beginning.</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hideMark/>
          </w:tcPr>
          <w:p w14:paraId="627D2561" w14:textId="77777777" w:rsidR="00080554" w:rsidRDefault="00080554">
            <w:pPr>
              <w:widowControl w:val="0"/>
            </w:pPr>
            <w:r>
              <w:t>Guests will see a world class “Border Collie” herding demonstration by international handlers.</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760FF292" w14:textId="77777777" w:rsidR="00080554" w:rsidRDefault="00080554">
            <w:pPr>
              <w:widowControl w:val="0"/>
            </w:pPr>
            <w:r>
              <w:t>There will be a grand equine parade that will include “Welsh cobs” and “ponies” and “educational commentary”.</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hideMark/>
          </w:tcPr>
          <w:p w14:paraId="5CD9C04D" w14:textId="77777777" w:rsidR="00080554" w:rsidRDefault="00080554">
            <w:pPr>
              <w:widowControl w:val="0"/>
            </w:pPr>
            <w:r>
              <w:t>The day will end in a colourful manner through various cultural performances, such as, the “traditional Welsh dance” and “folk music”.</w:t>
            </w:r>
          </w:p>
        </w:tc>
      </w:tr>
      <w:tr w:rsidR="00080554" w14:paraId="69F66D13" w14:textId="77777777" w:rsidTr="00080554">
        <w:tc>
          <w:tcPr>
            <w:tcW w:w="1872" w:type="dxa"/>
            <w:tcBorders>
              <w:top w:val="single" w:sz="12" w:space="0" w:color="000000"/>
              <w:left w:val="single" w:sz="12" w:space="0" w:color="000000"/>
              <w:bottom w:val="single" w:sz="12" w:space="0" w:color="000000"/>
              <w:right w:val="single" w:sz="12" w:space="0" w:color="000000"/>
            </w:tcBorders>
            <w:shd w:val="clear" w:color="auto" w:fill="D9D9D9"/>
            <w:tcMar>
              <w:top w:w="100" w:type="dxa"/>
              <w:left w:w="100" w:type="dxa"/>
              <w:bottom w:w="100" w:type="dxa"/>
              <w:right w:w="100" w:type="dxa"/>
            </w:tcMar>
            <w:hideMark/>
          </w:tcPr>
          <w:p w14:paraId="7CFE6262" w14:textId="77777777" w:rsidR="00080554" w:rsidRDefault="00080554">
            <w:pPr>
              <w:widowControl w:val="0"/>
              <w:jc w:val="center"/>
              <w:rPr>
                <w:b/>
                <w:i/>
              </w:rPr>
            </w:pPr>
            <w:r>
              <w:rPr>
                <w:b/>
                <w:i/>
              </w:rPr>
              <w:t>Day 2</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46115019" w14:textId="77777777" w:rsidR="00080554" w:rsidRDefault="00080554">
            <w:pPr>
              <w:widowControl w:val="0"/>
            </w:pPr>
            <w:r>
              <w:t xml:space="preserve">Attendees will learn about guided “meet the animals” tours, where attendees will communicate with </w:t>
            </w:r>
            <w:r>
              <w:lastRenderedPageBreak/>
              <w:t>“sheepdogs” and “local horses”.</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hideMark/>
          </w:tcPr>
          <w:p w14:paraId="213AAAB9" w14:textId="77777777" w:rsidR="00080554" w:rsidRDefault="00080554">
            <w:pPr>
              <w:widowControl w:val="0"/>
            </w:pPr>
            <w:r>
              <w:lastRenderedPageBreak/>
              <w:t xml:space="preserve">A food adventure will be held, where the chefs will be showing iconic “Welsh dishes” such as “cawl” and “bara </w:t>
            </w:r>
            <w:proofErr w:type="spellStart"/>
            <w:r>
              <w:t>brith</w:t>
            </w:r>
            <w:proofErr w:type="spellEnd"/>
            <w:r>
              <w:t>”.</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62B4344D" w14:textId="77777777" w:rsidR="00080554" w:rsidRDefault="00080554">
            <w:pPr>
              <w:widowControl w:val="0"/>
            </w:pPr>
            <w:r>
              <w:t>Workshops of crafts by hand will give the opportunity to try weaving, to make “pottery” and learn simple words in Welsh.</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hideMark/>
          </w:tcPr>
          <w:p w14:paraId="3647578C" w14:textId="77777777" w:rsidR="00080554" w:rsidRDefault="00080554">
            <w:pPr>
              <w:widowControl w:val="0"/>
            </w:pPr>
            <w:r>
              <w:t xml:space="preserve">An “outdoor cinema” (open-air cinema) will show a “Welsh Documentary” </w:t>
            </w:r>
            <w:proofErr w:type="gramStart"/>
            <w:r>
              <w:t>on the subject of rural</w:t>
            </w:r>
            <w:proofErr w:type="gramEnd"/>
            <w:r>
              <w:t xml:space="preserve"> life and dog heritage.</w:t>
            </w:r>
          </w:p>
        </w:tc>
      </w:tr>
      <w:tr w:rsidR="00080554" w14:paraId="58FDCFA6" w14:textId="77777777" w:rsidTr="00080554">
        <w:tc>
          <w:tcPr>
            <w:tcW w:w="1872" w:type="dxa"/>
            <w:tcBorders>
              <w:top w:val="single" w:sz="12" w:space="0" w:color="000000"/>
              <w:left w:val="single" w:sz="12" w:space="0" w:color="000000"/>
              <w:bottom w:val="single" w:sz="12" w:space="0" w:color="000000"/>
              <w:right w:val="single" w:sz="12" w:space="0" w:color="000000"/>
            </w:tcBorders>
            <w:shd w:val="clear" w:color="auto" w:fill="D9D9D9"/>
            <w:tcMar>
              <w:top w:w="100" w:type="dxa"/>
              <w:left w:w="100" w:type="dxa"/>
              <w:bottom w:w="100" w:type="dxa"/>
              <w:right w:w="100" w:type="dxa"/>
            </w:tcMar>
            <w:hideMark/>
          </w:tcPr>
          <w:p w14:paraId="2DC35C3A" w14:textId="77777777" w:rsidR="00080554" w:rsidRDefault="00080554">
            <w:pPr>
              <w:widowControl w:val="0"/>
              <w:jc w:val="center"/>
              <w:rPr>
                <w:b/>
                <w:i/>
              </w:rPr>
            </w:pPr>
            <w:r>
              <w:rPr>
                <w:b/>
                <w:i/>
              </w:rPr>
              <w:t>Day 3</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3AB5ED3F" w14:textId="77777777" w:rsidR="00080554" w:rsidRDefault="00080554">
            <w:pPr>
              <w:widowControl w:val="0"/>
            </w:pPr>
            <w:r>
              <w:t>The day will start with a peaceful countryside dog-walk and mindfulness stroll over the Gwent Levels trails.</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hideMark/>
          </w:tcPr>
          <w:p w14:paraId="705B4AFF" w14:textId="77777777" w:rsidR="00080554" w:rsidRDefault="00080554">
            <w:pPr>
              <w:widowControl w:val="0"/>
            </w:pPr>
            <w:r>
              <w:t>There will be equestrian agility and dressage performances to prove the flexibility of Welsh horses.</w:t>
            </w:r>
          </w:p>
        </w:tc>
        <w:tc>
          <w:tcPr>
            <w:tcW w:w="1872" w:type="dxa"/>
            <w:tcBorders>
              <w:top w:val="single" w:sz="12" w:space="0" w:color="000000"/>
              <w:left w:val="single" w:sz="12" w:space="0" w:color="000000"/>
              <w:bottom w:val="single" w:sz="12" w:space="0" w:color="000000"/>
              <w:right w:val="single" w:sz="12" w:space="0" w:color="000000"/>
            </w:tcBorders>
            <w:shd w:val="clear" w:color="auto" w:fill="EFEFEF"/>
            <w:tcMar>
              <w:top w:w="100" w:type="dxa"/>
              <w:left w:w="100" w:type="dxa"/>
              <w:bottom w:w="100" w:type="dxa"/>
              <w:right w:w="100" w:type="dxa"/>
            </w:tcMar>
            <w:hideMark/>
          </w:tcPr>
          <w:p w14:paraId="795912EB" w14:textId="77777777" w:rsidR="00080554" w:rsidRDefault="00080554">
            <w:pPr>
              <w:widowControl w:val="0"/>
            </w:pPr>
            <w:r>
              <w:t>A “Pet &amp; Heritage Show” will include some demonstrations from visitor’s dogs, a costume contest, and educational rural talks.</w:t>
            </w:r>
          </w:p>
        </w:tc>
        <w:tc>
          <w:tcPr>
            <w:tcW w:w="1872" w:type="dxa"/>
            <w:tcBorders>
              <w:top w:val="single" w:sz="12" w:space="0" w:color="000000"/>
              <w:left w:val="single" w:sz="12" w:space="0" w:color="000000"/>
              <w:bottom w:val="single" w:sz="12" w:space="0" w:color="000000"/>
              <w:right w:val="single" w:sz="12" w:space="0" w:color="000000"/>
            </w:tcBorders>
            <w:shd w:val="clear" w:color="auto" w:fill="D0E0E3"/>
            <w:tcMar>
              <w:top w:w="100" w:type="dxa"/>
              <w:left w:w="100" w:type="dxa"/>
              <w:bottom w:w="100" w:type="dxa"/>
              <w:right w:w="100" w:type="dxa"/>
            </w:tcMar>
          </w:tcPr>
          <w:p w14:paraId="6937ABFE" w14:textId="77777777" w:rsidR="00080554" w:rsidRDefault="00080554">
            <w:pPr>
              <w:widowControl w:val="0"/>
            </w:pPr>
            <w:r>
              <w:t>The festival will end with “Hwyl Finale’ concert” with the harpists, “bilingual poetry” and “fireworks”.</w:t>
            </w:r>
          </w:p>
          <w:p w14:paraId="17CE1B66" w14:textId="77777777" w:rsidR="00080554" w:rsidRDefault="00080554">
            <w:pPr>
              <w:widowControl w:val="0"/>
            </w:pPr>
          </w:p>
        </w:tc>
      </w:tr>
    </w:tbl>
    <w:p w14:paraId="1C140AF8" w14:textId="77777777" w:rsidR="00080554" w:rsidRDefault="00080554" w:rsidP="00080554">
      <w:pPr>
        <w:jc w:val="center"/>
        <w:rPr>
          <w:b/>
        </w:rPr>
      </w:pPr>
      <w:r>
        <w:rPr>
          <w:b/>
        </w:rPr>
        <w:t xml:space="preserve">Table 1: Itinerary of events for the visitors </w:t>
      </w:r>
    </w:p>
    <w:p w14:paraId="47F582A4" w14:textId="77777777" w:rsidR="00080554" w:rsidRDefault="00080554" w:rsidP="00080554">
      <w:pPr>
        <w:jc w:val="center"/>
      </w:pPr>
      <w:r>
        <w:t>(Source: Self-developed)</w:t>
      </w:r>
    </w:p>
    <w:p w14:paraId="30A1B069" w14:textId="77777777" w:rsidR="00080554" w:rsidRDefault="00080554" w:rsidP="00080554">
      <w:pPr>
        <w:pStyle w:val="Heading2"/>
      </w:pPr>
      <w:bookmarkStart w:id="5" w:name="_Toc200481410"/>
      <w:r>
        <w:t>2.3 Aims and objectives of the event</w:t>
      </w:r>
      <w:bookmarkEnd w:id="5"/>
    </w:p>
    <w:p w14:paraId="45F97606" w14:textId="77777777" w:rsidR="00080554" w:rsidRDefault="00080554" w:rsidP="00080554">
      <w:pPr>
        <w:pStyle w:val="Heading3"/>
      </w:pPr>
      <w:bookmarkStart w:id="6" w:name="_Toc200481411"/>
      <w:r>
        <w:t>2.3.1 Aim</w:t>
      </w:r>
      <w:bookmarkEnd w:id="6"/>
      <w:r>
        <w:t xml:space="preserve"> </w:t>
      </w:r>
    </w:p>
    <w:p w14:paraId="0E31A1C5" w14:textId="77777777" w:rsidR="00080554" w:rsidRDefault="00080554" w:rsidP="00080554">
      <w:r>
        <w:t>It has been asserted that the “primary objective” of the proposed event is to offer attendees an enjoyable experience related to the “vibrant rural community” and lifestyle of “Wales”.</w:t>
      </w:r>
    </w:p>
    <w:p w14:paraId="2117B106" w14:textId="77777777" w:rsidR="00080554" w:rsidRDefault="00080554" w:rsidP="00080554">
      <w:pPr>
        <w:pStyle w:val="Heading3"/>
      </w:pPr>
      <w:bookmarkStart w:id="7" w:name="_Toc200481412"/>
      <w:r>
        <w:t>2.2.3 SMART Objectives</w:t>
      </w:r>
      <w:bookmarkEnd w:id="7"/>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080554" w14:paraId="08C18FBE" w14:textId="77777777" w:rsidTr="00080554">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24EEFE56" w14:textId="77777777" w:rsidR="00080554" w:rsidRDefault="00080554">
            <w:pPr>
              <w:widowControl w:val="0"/>
              <w:rPr>
                <w:b/>
                <w:i/>
              </w:rPr>
            </w:pPr>
            <w:r>
              <w:rPr>
                <w:b/>
                <w:i/>
              </w:rPr>
              <w:t xml:space="preserve">Objectives </w:t>
            </w:r>
          </w:p>
        </w:tc>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7F9FE3D5" w14:textId="77777777" w:rsidR="00080554" w:rsidRDefault="00080554">
            <w:pPr>
              <w:widowControl w:val="0"/>
              <w:rPr>
                <w:b/>
                <w:i/>
              </w:rPr>
            </w:pPr>
            <w:r>
              <w:rPr>
                <w:b/>
                <w:i/>
              </w:rPr>
              <w:t xml:space="preserve">Specific </w:t>
            </w:r>
          </w:p>
        </w:tc>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33F4643B" w14:textId="77777777" w:rsidR="00080554" w:rsidRDefault="00080554">
            <w:pPr>
              <w:widowControl w:val="0"/>
              <w:rPr>
                <w:b/>
                <w:i/>
              </w:rPr>
            </w:pPr>
            <w:r>
              <w:rPr>
                <w:b/>
                <w:i/>
              </w:rPr>
              <w:t xml:space="preserve">Measurable </w:t>
            </w:r>
          </w:p>
        </w:tc>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41B5FD08" w14:textId="77777777" w:rsidR="00080554" w:rsidRDefault="00080554">
            <w:pPr>
              <w:widowControl w:val="0"/>
              <w:rPr>
                <w:b/>
                <w:i/>
              </w:rPr>
            </w:pPr>
            <w:r>
              <w:rPr>
                <w:b/>
                <w:i/>
              </w:rPr>
              <w:t xml:space="preserve">Attainable </w:t>
            </w:r>
          </w:p>
        </w:tc>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7DB8EE53" w14:textId="77777777" w:rsidR="00080554" w:rsidRDefault="00080554">
            <w:pPr>
              <w:widowControl w:val="0"/>
              <w:rPr>
                <w:b/>
                <w:i/>
              </w:rPr>
            </w:pPr>
            <w:r>
              <w:rPr>
                <w:b/>
                <w:i/>
              </w:rPr>
              <w:t xml:space="preserve">Relevant </w:t>
            </w:r>
          </w:p>
        </w:tc>
        <w:tc>
          <w:tcPr>
            <w:tcW w:w="156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hideMark/>
          </w:tcPr>
          <w:p w14:paraId="3A9BDEDD" w14:textId="77777777" w:rsidR="00080554" w:rsidRDefault="00080554">
            <w:pPr>
              <w:widowControl w:val="0"/>
              <w:rPr>
                <w:b/>
                <w:i/>
              </w:rPr>
            </w:pPr>
            <w:r>
              <w:rPr>
                <w:b/>
                <w:i/>
              </w:rPr>
              <w:t xml:space="preserve">Time-bound </w:t>
            </w:r>
          </w:p>
        </w:tc>
      </w:tr>
      <w:tr w:rsidR="00080554" w14:paraId="35DC54DF" w14:textId="77777777" w:rsidTr="00080554">
        <w:tc>
          <w:tcPr>
            <w:tcW w:w="1560" w:type="dxa"/>
            <w:tcBorders>
              <w:top w:val="single" w:sz="12" w:space="0" w:color="000000"/>
              <w:left w:val="single" w:sz="12" w:space="0" w:color="000000"/>
              <w:bottom w:val="single" w:sz="12" w:space="0" w:color="000000"/>
              <w:right w:val="single" w:sz="12" w:space="0" w:color="000000"/>
            </w:tcBorders>
            <w:shd w:val="clear" w:color="auto" w:fill="93C47D"/>
            <w:tcMar>
              <w:top w:w="100" w:type="dxa"/>
              <w:left w:w="100" w:type="dxa"/>
              <w:bottom w:w="100" w:type="dxa"/>
              <w:right w:w="100" w:type="dxa"/>
            </w:tcMar>
            <w:hideMark/>
          </w:tcPr>
          <w:p w14:paraId="04B41C22" w14:textId="77777777" w:rsidR="00080554" w:rsidRDefault="00080554">
            <w:pPr>
              <w:widowControl w:val="0"/>
              <w:jc w:val="center"/>
              <w:rPr>
                <w:b/>
                <w:i/>
              </w:rPr>
            </w:pPr>
            <w:r>
              <w:rPr>
                <w:b/>
                <w:i/>
              </w:rPr>
              <w:t>Objective 1</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0CA7E8FF" w14:textId="77777777" w:rsidR="00080554" w:rsidRDefault="00080554">
            <w:pPr>
              <w:widowControl w:val="0"/>
            </w:pPr>
            <w:r>
              <w:t xml:space="preserve">To increase international and domestic participation through a cultural identity of Wales through </w:t>
            </w:r>
            <w:r>
              <w:lastRenderedPageBreak/>
              <w:t xml:space="preserve">creative </w:t>
            </w:r>
            <w:proofErr w:type="gramStart"/>
            <w:r>
              <w:t>story-telling</w:t>
            </w:r>
            <w:proofErr w:type="gramEnd"/>
            <w:r>
              <w:t xml:space="preserve"> specifically being concerned with dogs and horses as national rural images.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20A22B4C" w14:textId="77777777" w:rsidR="00080554" w:rsidRDefault="00080554">
            <w:pPr>
              <w:widowControl w:val="0"/>
            </w:pPr>
            <w:r>
              <w:lastRenderedPageBreak/>
              <w:t xml:space="preserve">Reach a 30 per cent gain in digital outreach for “social media networks” and “official websites”, where data is </w:t>
            </w:r>
            <w:r>
              <w:lastRenderedPageBreak/>
              <w:t>collected through “Google Analytics”, “Meta Insights”, and “campaign-dedicated tracking methods”.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0863BFFB" w14:textId="77777777" w:rsidR="00080554" w:rsidRDefault="00080554">
            <w:pPr>
              <w:widowControl w:val="0"/>
            </w:pPr>
            <w:r>
              <w:lastRenderedPageBreak/>
              <w:t xml:space="preserve">If high quality “bilingual promotional material” is developed, targeted ad campaigns are put in place and </w:t>
            </w:r>
            <w:r>
              <w:lastRenderedPageBreak/>
              <w:t>“real-time stories” from the venue are shared by influencers, the engagement targets would provide realistic and attainable goals.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75C8AA97" w14:textId="77777777" w:rsidR="00080554" w:rsidRDefault="00080554">
            <w:pPr>
              <w:widowControl w:val="0"/>
            </w:pPr>
            <w:r>
              <w:lastRenderedPageBreak/>
              <w:t xml:space="preserve">It is directly linked to the event’s mission of bringing the “Welsh heritage” to the world and selling </w:t>
            </w:r>
            <w:r>
              <w:lastRenderedPageBreak/>
              <w:t>“Wales” as a cultured and open country for the experiencing and sharing of culture.</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2E455BB7" w14:textId="77777777" w:rsidR="00080554" w:rsidRDefault="00080554">
            <w:pPr>
              <w:widowControl w:val="0"/>
            </w:pPr>
            <w:r>
              <w:lastRenderedPageBreak/>
              <w:t>Among the first 10 days since the official launch of the online campaign for the event.</w:t>
            </w:r>
          </w:p>
        </w:tc>
      </w:tr>
      <w:tr w:rsidR="00080554" w14:paraId="52920E00" w14:textId="77777777" w:rsidTr="00080554">
        <w:tc>
          <w:tcPr>
            <w:tcW w:w="1560" w:type="dxa"/>
            <w:tcBorders>
              <w:top w:val="single" w:sz="12" w:space="0" w:color="000000"/>
              <w:left w:val="single" w:sz="12" w:space="0" w:color="000000"/>
              <w:bottom w:val="single" w:sz="12" w:space="0" w:color="000000"/>
              <w:right w:val="single" w:sz="12" w:space="0" w:color="000000"/>
            </w:tcBorders>
            <w:shd w:val="clear" w:color="auto" w:fill="93C47D"/>
            <w:tcMar>
              <w:top w:w="100" w:type="dxa"/>
              <w:left w:w="100" w:type="dxa"/>
              <w:bottom w:w="100" w:type="dxa"/>
              <w:right w:w="100" w:type="dxa"/>
            </w:tcMar>
            <w:hideMark/>
          </w:tcPr>
          <w:p w14:paraId="60B0BD3C" w14:textId="77777777" w:rsidR="00080554" w:rsidRDefault="00080554">
            <w:pPr>
              <w:widowControl w:val="0"/>
              <w:jc w:val="center"/>
              <w:rPr>
                <w:b/>
                <w:i/>
              </w:rPr>
            </w:pPr>
            <w:r>
              <w:rPr>
                <w:b/>
                <w:i/>
              </w:rPr>
              <w:t>Objective 2</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775898E9" w14:textId="77777777" w:rsidR="00080554" w:rsidRDefault="00080554">
            <w:pPr>
              <w:widowControl w:val="0"/>
            </w:pPr>
            <w:r>
              <w:t>To encourage on-site visitor engagement through enhanced active participation in interactive cultural pursuits such as dog handling demonstrations, horse grooming, traditional crafts, and Welsh language classes.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1CEF14FD" w14:textId="77777777" w:rsidR="00080554" w:rsidRDefault="00080554">
            <w:pPr>
              <w:widowControl w:val="0"/>
            </w:pPr>
            <w:r>
              <w:t>A minimum of 250 registered daily workshop attendees, with the data being tracked through event app check-in, QR code scanning, and manual registration.</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1B04E895" w14:textId="77777777" w:rsidR="00080554" w:rsidRDefault="00080554">
            <w:pPr>
              <w:widowControl w:val="0"/>
            </w:pPr>
            <w:r>
              <w:t>Offering advance registration, early-bird discounts, workshop certificates, and gift products for participants will enhance realistic participation targets.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265B5839" w14:textId="77777777" w:rsidR="00080554" w:rsidRDefault="00080554">
            <w:pPr>
              <w:widowControl w:val="0"/>
            </w:pPr>
            <w:r>
              <w:t>Such workshops enable valuable contact with Welsh culture, thus enriching the visitor experience and encouraging return visits.</w:t>
            </w:r>
          </w:p>
        </w:tc>
        <w:tc>
          <w:tcPr>
            <w:tcW w:w="156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hideMark/>
          </w:tcPr>
          <w:p w14:paraId="1954501C" w14:textId="77777777" w:rsidR="00080554" w:rsidRDefault="00080554">
            <w:pPr>
              <w:widowControl w:val="0"/>
            </w:pPr>
            <w:r>
              <w:t>The goal is to be achieved on Day 3 of the tournament.</w:t>
            </w:r>
          </w:p>
        </w:tc>
      </w:tr>
    </w:tbl>
    <w:p w14:paraId="482FE8F2" w14:textId="77777777" w:rsidR="00080554" w:rsidRDefault="00080554" w:rsidP="00080554">
      <w:pPr>
        <w:jc w:val="center"/>
        <w:rPr>
          <w:b/>
        </w:rPr>
      </w:pPr>
      <w:r>
        <w:rPr>
          <w:b/>
        </w:rPr>
        <w:lastRenderedPageBreak/>
        <w:t xml:space="preserve">Table 2: SMART Objectives </w:t>
      </w:r>
    </w:p>
    <w:p w14:paraId="710868AC" w14:textId="77777777" w:rsidR="00080554" w:rsidRDefault="00080554" w:rsidP="00080554">
      <w:pPr>
        <w:jc w:val="center"/>
      </w:pPr>
      <w:r>
        <w:t>(Source: Self-developed)</w:t>
      </w:r>
    </w:p>
    <w:p w14:paraId="6AA489BD" w14:textId="77777777" w:rsidR="00080554" w:rsidRDefault="00080554" w:rsidP="00080554">
      <w:pPr>
        <w:pStyle w:val="Heading2"/>
        <w:rPr>
          <w:color w:val="000000"/>
        </w:rPr>
      </w:pPr>
      <w:bookmarkStart w:id="8" w:name="_Toc200481413"/>
      <w:r>
        <w:rPr>
          <w:color w:val="000000"/>
        </w:rPr>
        <w:t>2.4 Event management</w:t>
      </w:r>
      <w:bookmarkEnd w:id="8"/>
    </w:p>
    <w:p w14:paraId="45451038" w14:textId="77777777" w:rsidR="00080554" w:rsidRDefault="00080554" w:rsidP="00080554">
      <w:pPr>
        <w:rPr>
          <w:color w:val="000000"/>
        </w:rPr>
      </w:pPr>
      <w:r>
        <w:rPr>
          <w:color w:val="000000"/>
        </w:rPr>
        <w:t>To ensure successful planning and delivery of the introduced program, marketing, operational and planning domains are required to showcase their skills effectively. </w:t>
      </w:r>
    </w:p>
    <w:p w14:paraId="058C1827" w14:textId="77777777" w:rsidR="00080554" w:rsidRDefault="00080554" w:rsidP="00080554">
      <w:pPr>
        <w:rPr>
          <w:color w:val="000000"/>
        </w:rPr>
      </w:pPr>
      <w:r>
        <w:rPr>
          <w:b/>
          <w:color w:val="000000"/>
        </w:rPr>
        <w:t>Operational activities and skills </w:t>
      </w:r>
    </w:p>
    <w:p w14:paraId="6A87418B" w14:textId="77777777" w:rsidR="00080554" w:rsidRDefault="00080554" w:rsidP="00080554">
      <w:pPr>
        <w:rPr>
          <w:color w:val="000000"/>
        </w:rPr>
      </w:pPr>
      <w:r>
        <w:rPr>
          <w:color w:val="000000"/>
        </w:rPr>
        <w:t>Venue and logistics management is significantly important to increase the satisfaction of the guests (Melly et al., 2023). In this regard, the organisers are required to demonstrate specific skills such as crowd control, spatial planning, scheduling and safety regulations. Moreover, the logistics personnel will also be required to coordinate sanitation facilities, stabling, accessibility features and activity zones. Apart from that, the event managers are also required to have significant knowledge of emergency planning, safety protocols and first aid coordination. To maintain animal welfare, veterinary support is also necessary. Strong HR and leadership skills will be helpful in recruiting and managing volunteers.</w:t>
      </w:r>
    </w:p>
    <w:p w14:paraId="61EA663C" w14:textId="77777777" w:rsidR="00080554" w:rsidRDefault="00080554" w:rsidP="00080554">
      <w:pPr>
        <w:rPr>
          <w:color w:val="000000"/>
        </w:rPr>
      </w:pPr>
      <w:r>
        <w:rPr>
          <w:b/>
          <w:color w:val="000000"/>
        </w:rPr>
        <w:t>Planning activities and skills</w:t>
      </w:r>
    </w:p>
    <w:p w14:paraId="7860E57C" w14:textId="77777777" w:rsidR="00080554" w:rsidRDefault="00080554" w:rsidP="00080554">
      <w:pPr>
        <w:rPr>
          <w:color w:val="000000"/>
        </w:rPr>
      </w:pPr>
      <w:r>
        <w:rPr>
          <w:color w:val="000000"/>
        </w:rPr>
        <w:t>Strategic planning is necessary for this event to design a comprehensive three-day itinerary with horse and dog shows. In this regard, a proper understanding of the event cycle and compliance requirements is important (Kitchen, 2024). The planners must also have strong negotiation and communication skills to navigate objections from high-power stakeholders such as animal welfare organisations, local authorities and Welsh cultural groups. Through this, obtaining ethical approvals will be streamlined. Finances must also be managed effectively to ensure appropriate allocation and management of resources. </w:t>
      </w:r>
    </w:p>
    <w:p w14:paraId="3850B025" w14:textId="77777777" w:rsidR="00080554" w:rsidRDefault="00080554" w:rsidP="00080554">
      <w:pPr>
        <w:rPr>
          <w:color w:val="000000"/>
        </w:rPr>
      </w:pPr>
      <w:r>
        <w:rPr>
          <w:b/>
          <w:color w:val="000000"/>
        </w:rPr>
        <w:t>Marketing activities and skills</w:t>
      </w:r>
    </w:p>
    <w:p w14:paraId="0A825D14" w14:textId="77777777" w:rsidR="00080554" w:rsidRDefault="00080554" w:rsidP="00080554">
      <w:pPr>
        <w:rPr>
          <w:color w:val="000000"/>
        </w:rPr>
      </w:pPr>
      <w:r>
        <w:rPr>
          <w:color w:val="000000"/>
        </w:rPr>
        <w:t xml:space="preserve">Marketing professionals for this event are required to develop a campaign that aligns perfectly with the theme of ‘Year of </w:t>
      </w:r>
      <w:proofErr w:type="spellStart"/>
      <w:r>
        <w:rPr>
          <w:color w:val="000000"/>
        </w:rPr>
        <w:t>Croeso</w:t>
      </w:r>
      <w:proofErr w:type="spellEnd"/>
      <w:r>
        <w:rPr>
          <w:color w:val="000000"/>
        </w:rPr>
        <w:t>’. They must highlight the Unique Identity of Welsh, along with constantly demonstrating skills such as visual design and storytelling. In this regard, digital and social media platforms have a significant scope of increasing the reach of campaign messages to the targeted audience (Shaheen, 2025). Strong expertise in content creation will help to attract pet and cultural tourism audiences. Moreover, to generate buzz along with ensuring strong local engagement, community outreach, and media liaison will be beneficial. </w:t>
      </w:r>
    </w:p>
    <w:p w14:paraId="46396F61" w14:textId="77777777" w:rsidR="00080554" w:rsidRDefault="00080554" w:rsidP="00080554">
      <w:pPr>
        <w:pStyle w:val="Heading2"/>
        <w:rPr>
          <w:color w:val="000000"/>
        </w:rPr>
      </w:pPr>
      <w:bookmarkStart w:id="9" w:name="_Toc200481414"/>
      <w:r>
        <w:rPr>
          <w:color w:val="000000"/>
        </w:rPr>
        <w:lastRenderedPageBreak/>
        <w:t>2.5 Event Budget</w:t>
      </w:r>
      <w:bookmarkEnd w:id="9"/>
    </w:p>
    <w:p w14:paraId="2472AF09" w14:textId="77777777" w:rsidR="00080554" w:rsidRDefault="00080554" w:rsidP="00080554">
      <w:pPr>
        <w:pStyle w:val="Heading3"/>
        <w:rPr>
          <w:color w:val="000000"/>
        </w:rPr>
      </w:pPr>
      <w:bookmarkStart w:id="10" w:name="_Toc200481415"/>
      <w:r>
        <w:rPr>
          <w:color w:val="000000"/>
        </w:rPr>
        <w:t>2.5.1 Income and Expenditure</w:t>
      </w:r>
      <w:bookmarkEnd w:id="10"/>
    </w:p>
    <w:p w14:paraId="5EB1BB18" w14:textId="7865F316" w:rsidR="00080554" w:rsidRDefault="00080554" w:rsidP="00080554">
      <w:pPr>
        <w:jc w:val="center"/>
        <w:rPr>
          <w:color w:val="000000"/>
        </w:rPr>
      </w:pPr>
      <w:r>
        <w:rPr>
          <w:noProof/>
          <w:color w:val="000000"/>
        </w:rPr>
        <w:drawing>
          <wp:inline distT="0" distB="0" distL="0" distR="0" wp14:anchorId="328ADC98" wp14:editId="4E6E4BFC">
            <wp:extent cx="3533775" cy="4629150"/>
            <wp:effectExtent l="0" t="0" r="9525" b="0"/>
            <wp:docPr id="1549864688" name="Picture 5" descr="https://lh7-rt.googleusercontent.com/docsz/AD_4nXfVTajrbAMG3r83gwYhyMWbazVzeezs_C_Yd6HF-Wyy4Z_m2BjxKQNNERmFCjCBqG2VkHuS5jvsKez3HnaILpU2sjg2TgQpJ33sP0Z6Ebyw-RdNEWS3FduCvkmJoZ7zSAuC_Dfi?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descr="https://lh7-rt.googleusercontent.com/docsz/AD_4nXfVTajrbAMG3r83gwYhyMWbazVzeezs_C_Yd6HF-Wyy4Z_m2BjxKQNNERmFCjCBqG2VkHuS5jvsKez3HnaILpU2sjg2TgQpJ33sP0Z6Ebyw-RdNEWS3FduCvkmJoZ7zSAuC_Dfi?key=KijazhmnIzc9uuiT8JgsyQ"/>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3775" cy="4629150"/>
                    </a:xfrm>
                    <a:prstGeom prst="rect">
                      <a:avLst/>
                    </a:prstGeom>
                    <a:noFill/>
                    <a:ln>
                      <a:noFill/>
                    </a:ln>
                  </pic:spPr>
                </pic:pic>
              </a:graphicData>
            </a:graphic>
          </wp:inline>
        </w:drawing>
      </w:r>
    </w:p>
    <w:p w14:paraId="636364DA" w14:textId="77777777" w:rsidR="00080554" w:rsidRDefault="00080554" w:rsidP="00080554">
      <w:pPr>
        <w:jc w:val="center"/>
        <w:rPr>
          <w:color w:val="000000"/>
        </w:rPr>
      </w:pPr>
      <w:r>
        <w:rPr>
          <w:b/>
          <w:color w:val="000000"/>
        </w:rPr>
        <w:t>Table 3: Projection Income and Expense</w:t>
      </w:r>
    </w:p>
    <w:p w14:paraId="7720F6ED" w14:textId="77777777" w:rsidR="00080554" w:rsidRDefault="00080554" w:rsidP="00080554">
      <w:pPr>
        <w:jc w:val="center"/>
        <w:rPr>
          <w:color w:val="000000"/>
        </w:rPr>
      </w:pPr>
      <w:r>
        <w:rPr>
          <w:color w:val="000000"/>
        </w:rPr>
        <w:t>(Source: Self-developed)</w:t>
      </w:r>
    </w:p>
    <w:p w14:paraId="46ADEC57" w14:textId="77777777" w:rsidR="00080554" w:rsidRDefault="00080554" w:rsidP="00080554">
      <w:pPr>
        <w:rPr>
          <w:color w:val="000000"/>
        </w:rPr>
      </w:pPr>
      <w:r>
        <w:rPr>
          <w:color w:val="000000"/>
        </w:rPr>
        <w:t xml:space="preserve">Effective budgeting for an event is necessary to optimise the use of resources along with maintaining profitability (O’Toole, 2011). The projected budget for the “Hwyl and Heritage” event is estimated to be around £10,357,200. In this regard, a maximum portion of the income will be generated from selling tickets to both adults and children. The ticket sales have been divided into two categories. From the “any one day” category of adult ticket sales is expected to be around £3,477,600. Moreover, the revenue from tickets sold by two children in this category will be £2,189,600. On the other hand, day-specific passes will also be available, in which the children and adult ticket sales are expected to be around £276000 and £414000 respectively. Apart from this, the other sources of income include donations, sponsorships and vendor and investment-related activities. Moreover, the total estimated expenditure is £4150000. This includes staffing, marketing, infrastructure, utilities, security and contingency </w:t>
      </w:r>
      <w:r>
        <w:rPr>
          <w:color w:val="000000"/>
        </w:rPr>
        <w:lastRenderedPageBreak/>
        <w:t>needs. Considering these aspects, the projected net profit from the event is £6207200 margin of 60%. This will create an opportunity to reinvest the profit in future events. </w:t>
      </w:r>
    </w:p>
    <w:p w14:paraId="1950A464" w14:textId="77777777" w:rsidR="00080554" w:rsidRDefault="00080554" w:rsidP="00080554">
      <w:pPr>
        <w:pStyle w:val="Heading3"/>
        <w:rPr>
          <w:color w:val="000000"/>
        </w:rPr>
      </w:pPr>
      <w:bookmarkStart w:id="11" w:name="_Toc200481416"/>
      <w:r>
        <w:rPr>
          <w:color w:val="000000"/>
        </w:rPr>
        <w:t>2.5.2 Cost assessment</w:t>
      </w:r>
      <w:bookmarkEnd w:id="11"/>
    </w:p>
    <w:p w14:paraId="45BF618D" w14:textId="21EFBD5C" w:rsidR="00080554" w:rsidRDefault="00080554" w:rsidP="00080554">
      <w:pPr>
        <w:jc w:val="center"/>
        <w:rPr>
          <w:color w:val="000000"/>
        </w:rPr>
      </w:pPr>
      <w:r>
        <w:rPr>
          <w:noProof/>
          <w:color w:val="000000"/>
        </w:rPr>
        <w:drawing>
          <wp:inline distT="0" distB="0" distL="0" distR="0" wp14:anchorId="143D7502" wp14:editId="2B8B8165">
            <wp:extent cx="3905250" cy="2466975"/>
            <wp:effectExtent l="0" t="0" r="0" b="9525"/>
            <wp:docPr id="1918446516" name="Picture 4" descr="https://lh7-rt.googleusercontent.com/docsz/AD_4nXdUwF2Q7pioAwsHf93F3cyvy-FeBy2Qz-wyv6s3Ktkv5HRWmk2gNFoUoFW49tHN3b2-6QGNnnF1J2M8Oyr6WW854GEsmg3ZJQo58OZkgx80bSV5qUFybWt5MVTM2Te3_EGa46Xwcg?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descr="https://lh7-rt.googleusercontent.com/docsz/AD_4nXdUwF2Q7pioAwsHf93F3cyvy-FeBy2Qz-wyv6s3Ktkv5HRWmk2gNFoUoFW49tHN3b2-6QGNnnF1J2M8Oyr6WW854GEsmg3ZJQo58OZkgx80bSV5qUFybWt5MVTM2Te3_EGa46Xwcg?key=KijazhmnIzc9uuiT8Jgsy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5250" cy="2466975"/>
                    </a:xfrm>
                    <a:prstGeom prst="rect">
                      <a:avLst/>
                    </a:prstGeom>
                    <a:noFill/>
                    <a:ln>
                      <a:noFill/>
                    </a:ln>
                  </pic:spPr>
                </pic:pic>
              </a:graphicData>
            </a:graphic>
          </wp:inline>
        </w:drawing>
      </w:r>
    </w:p>
    <w:p w14:paraId="5A0E342A" w14:textId="77777777" w:rsidR="00080554" w:rsidRDefault="00080554" w:rsidP="00080554">
      <w:pPr>
        <w:jc w:val="center"/>
        <w:rPr>
          <w:color w:val="000000"/>
        </w:rPr>
      </w:pPr>
      <w:r>
        <w:rPr>
          <w:b/>
          <w:color w:val="000000"/>
        </w:rPr>
        <w:t>Figure 3: Expenses</w:t>
      </w:r>
    </w:p>
    <w:p w14:paraId="6DF41635" w14:textId="77777777" w:rsidR="00080554" w:rsidRDefault="00080554" w:rsidP="00080554">
      <w:pPr>
        <w:jc w:val="center"/>
        <w:rPr>
          <w:color w:val="000000"/>
        </w:rPr>
      </w:pPr>
      <w:r>
        <w:rPr>
          <w:color w:val="000000"/>
        </w:rPr>
        <w:t>(Source: Self-developed)</w:t>
      </w:r>
    </w:p>
    <w:p w14:paraId="4804DF1F" w14:textId="0A371AF4" w:rsidR="00080554" w:rsidRDefault="00080554" w:rsidP="00080554">
      <w:pPr>
        <w:rPr>
          <w:color w:val="000000"/>
        </w:rPr>
      </w:pPr>
      <w:r>
        <w:rPr>
          <w:color w:val="000000"/>
        </w:rPr>
        <w:t>Operational excellence and safety of the guests have been prioritised in the budget. Moreover, unnecessary expenditure has been controlled, which is important to avoid wastage of resources (Rogers and Wynn-Moylan, 2022). In this regard, staff and administrative overhead accounts for the highest cost category, which is £1.25M. This reflects that the event is significantly dependent on skilled personnel who have expertise in handling animals and ensuring the security of guests. The infrastructure cost is also around 24% of the total budget, which will cover temporary structures, fencing, stabling and sanitation. On the other hand, the marketing expenditure is £700,000, which is necessary to attract both national and international visitors. Financial resources have also been reasonably allocated to other areas such as security and miscellaneous to complete the whole event effectively</w:t>
      </w:r>
      <w:r w:rsidR="00A34403">
        <w:rPr>
          <w:color w:val="000000"/>
        </w:rPr>
        <w:t>.</w:t>
      </w:r>
    </w:p>
    <w:p w14:paraId="7DF08971" w14:textId="77777777" w:rsidR="00080554" w:rsidRDefault="00080554" w:rsidP="00080554">
      <w:pPr>
        <w:pStyle w:val="Heading3"/>
        <w:rPr>
          <w:color w:val="000000"/>
        </w:rPr>
      </w:pPr>
      <w:bookmarkStart w:id="12" w:name="_Toc200481417"/>
      <w:r>
        <w:rPr>
          <w:color w:val="000000"/>
        </w:rPr>
        <w:lastRenderedPageBreak/>
        <w:t>2.5.3 Funding sources and income generation</w:t>
      </w:r>
      <w:bookmarkEnd w:id="12"/>
    </w:p>
    <w:p w14:paraId="0FD5A472" w14:textId="69082B0A" w:rsidR="00080554" w:rsidRDefault="00080554" w:rsidP="00080554">
      <w:pPr>
        <w:jc w:val="center"/>
        <w:rPr>
          <w:color w:val="000000"/>
        </w:rPr>
      </w:pPr>
      <w:r>
        <w:rPr>
          <w:noProof/>
          <w:color w:val="000000"/>
        </w:rPr>
        <w:drawing>
          <wp:inline distT="0" distB="0" distL="0" distR="0" wp14:anchorId="14BE93A3" wp14:editId="7FF805EC">
            <wp:extent cx="4076700" cy="2581275"/>
            <wp:effectExtent l="0" t="0" r="0" b="9525"/>
            <wp:docPr id="502675299" name="Picture 3" descr="https://lh7-rt.googleusercontent.com/docsz/AD_4nXfxYkbOPsrT4goCPUtlbvlT8bGg3bCLGbHYntVuQVMa6LYmE42GRD58Xuopu9BCjrgPDN7DSP2gDv7DlF7hdS7is_mJE6MTy8M8tXj1bGQ4vJV07NcgEBm-_eaSd7Zgo2dAmJEd?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descr="https://lh7-rt.googleusercontent.com/docsz/AD_4nXfxYkbOPsrT4goCPUtlbvlT8bGg3bCLGbHYntVuQVMa6LYmE42GRD58Xuopu9BCjrgPDN7DSP2gDv7DlF7hdS7is_mJE6MTy8M8tXj1bGQ4vJV07NcgEBm-_eaSd7Zgo2dAmJEd?key=KijazhmnIzc9uuiT8Jgsy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6700" cy="2581275"/>
                    </a:xfrm>
                    <a:prstGeom prst="rect">
                      <a:avLst/>
                    </a:prstGeom>
                    <a:noFill/>
                    <a:ln>
                      <a:noFill/>
                    </a:ln>
                  </pic:spPr>
                </pic:pic>
              </a:graphicData>
            </a:graphic>
          </wp:inline>
        </w:drawing>
      </w:r>
    </w:p>
    <w:p w14:paraId="12126E93" w14:textId="77777777" w:rsidR="00080554" w:rsidRDefault="00080554" w:rsidP="00080554">
      <w:pPr>
        <w:jc w:val="center"/>
        <w:rPr>
          <w:color w:val="000000"/>
        </w:rPr>
      </w:pPr>
      <w:r>
        <w:rPr>
          <w:b/>
          <w:color w:val="000000"/>
        </w:rPr>
        <w:t>Figure 4: Income Sources</w:t>
      </w:r>
    </w:p>
    <w:p w14:paraId="6828C9FA" w14:textId="77777777" w:rsidR="00080554" w:rsidRDefault="00080554" w:rsidP="00080554">
      <w:pPr>
        <w:jc w:val="center"/>
        <w:rPr>
          <w:color w:val="000000"/>
        </w:rPr>
      </w:pPr>
      <w:r>
        <w:rPr>
          <w:color w:val="000000"/>
        </w:rPr>
        <w:t>(Source: Self-developed)</w:t>
      </w:r>
    </w:p>
    <w:p w14:paraId="7FD96E15" w14:textId="59C0C8B1" w:rsidR="00080554" w:rsidRDefault="00080554" w:rsidP="00080554">
      <w:pPr>
        <w:jc w:val="center"/>
        <w:rPr>
          <w:color w:val="000000"/>
        </w:rPr>
      </w:pPr>
      <w:r>
        <w:rPr>
          <w:noProof/>
          <w:color w:val="000000"/>
        </w:rPr>
        <w:drawing>
          <wp:inline distT="0" distB="0" distL="0" distR="0" wp14:anchorId="6E3299BF" wp14:editId="052AE5DB">
            <wp:extent cx="2705100" cy="2333625"/>
            <wp:effectExtent l="0" t="0" r="0" b="9525"/>
            <wp:docPr id="1741121683" name="Picture 2" descr="https://lh7-rt.googleusercontent.com/docsz/AD_4nXffFRsFuGjq1W-6eHIIN7TnO00ARYEHDjVfBuVfcF0RgtlU1K2-ghDHo5YhnEZPnutadYX2MtaJtgaldxj2XYn4Kso-uqhkcjzf3Xk1SzaQm7GPkOBYs9prZaqsG041hk7-loJZ?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https://lh7-rt.googleusercontent.com/docsz/AD_4nXffFRsFuGjq1W-6eHIIN7TnO00ARYEHDjVfBuVfcF0RgtlU1K2-ghDHo5YhnEZPnutadYX2MtaJtgaldxj2XYn4Kso-uqhkcjzf3Xk1SzaQm7GPkOBYs9prZaqsG041hk7-loJZ?key=KijazhmnIzc9uuiT8Jgsy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100" cy="2333625"/>
                    </a:xfrm>
                    <a:prstGeom prst="rect">
                      <a:avLst/>
                    </a:prstGeom>
                    <a:noFill/>
                    <a:ln>
                      <a:noFill/>
                    </a:ln>
                  </pic:spPr>
                </pic:pic>
              </a:graphicData>
            </a:graphic>
          </wp:inline>
        </w:drawing>
      </w:r>
    </w:p>
    <w:p w14:paraId="53611BE8" w14:textId="77777777" w:rsidR="00080554" w:rsidRDefault="00080554" w:rsidP="00080554">
      <w:pPr>
        <w:jc w:val="center"/>
        <w:rPr>
          <w:color w:val="000000"/>
        </w:rPr>
      </w:pPr>
      <w:r>
        <w:rPr>
          <w:b/>
          <w:color w:val="000000"/>
        </w:rPr>
        <w:t>Table 4: Ticket Sale Breakdown</w:t>
      </w:r>
    </w:p>
    <w:p w14:paraId="4F786BEC" w14:textId="77777777" w:rsidR="00080554" w:rsidRDefault="00080554" w:rsidP="00080554">
      <w:pPr>
        <w:jc w:val="center"/>
        <w:rPr>
          <w:color w:val="000000"/>
        </w:rPr>
      </w:pPr>
      <w:r>
        <w:rPr>
          <w:color w:val="000000"/>
        </w:rPr>
        <w:t>(Source: Self-developed)</w:t>
      </w:r>
    </w:p>
    <w:p w14:paraId="59D11200" w14:textId="77777777" w:rsidR="00080554" w:rsidRDefault="00080554" w:rsidP="00080554">
      <w:pPr>
        <w:rPr>
          <w:color w:val="000000"/>
        </w:rPr>
      </w:pPr>
    </w:p>
    <w:p w14:paraId="44AC7EF7" w14:textId="1137154A" w:rsidR="00080554" w:rsidRDefault="00080554" w:rsidP="00080554">
      <w:pPr>
        <w:jc w:val="center"/>
        <w:rPr>
          <w:color w:val="000000"/>
        </w:rPr>
      </w:pPr>
      <w:r>
        <w:rPr>
          <w:noProof/>
          <w:color w:val="000000"/>
        </w:rPr>
        <w:lastRenderedPageBreak/>
        <w:drawing>
          <wp:inline distT="0" distB="0" distL="0" distR="0" wp14:anchorId="264123CF" wp14:editId="63D22DE2">
            <wp:extent cx="3781425" cy="2447925"/>
            <wp:effectExtent l="0" t="0" r="9525" b="9525"/>
            <wp:docPr id="1580875567" name="Picture 1" descr="https://lh7-rt.googleusercontent.com/docsz/AD_4nXcx_373HNljvSP8H-oRaVGsFPJ9aarGmql7p3ITgWcpWW-pha0uRlcNXuD6tsOQ2ac9ev3sh3cSXYoj-1MuBwRErhSwnbvyfxcOFYkx-LXFvBL97aO1e2hMp-HXoHQu4iGDX_iGIw?key=KijazhmnIzc9uuiT8Jgs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descr="https://lh7-rt.googleusercontent.com/docsz/AD_4nXcx_373HNljvSP8H-oRaVGsFPJ9aarGmql7p3ITgWcpWW-pha0uRlcNXuD6tsOQ2ac9ev3sh3cSXYoj-1MuBwRErhSwnbvyfxcOFYkx-LXFvBL97aO1e2hMp-HXoHQu4iGDX_iGIw?key=KijazhmnIzc9uuiT8Jgsy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1425" cy="2447925"/>
                    </a:xfrm>
                    <a:prstGeom prst="rect">
                      <a:avLst/>
                    </a:prstGeom>
                    <a:noFill/>
                    <a:ln>
                      <a:noFill/>
                    </a:ln>
                  </pic:spPr>
                </pic:pic>
              </a:graphicData>
            </a:graphic>
          </wp:inline>
        </w:drawing>
      </w:r>
    </w:p>
    <w:p w14:paraId="288F91F7" w14:textId="77777777" w:rsidR="00080554" w:rsidRDefault="00080554" w:rsidP="00080554">
      <w:pPr>
        <w:jc w:val="center"/>
        <w:rPr>
          <w:color w:val="000000"/>
        </w:rPr>
      </w:pPr>
      <w:r>
        <w:rPr>
          <w:b/>
          <w:color w:val="000000"/>
        </w:rPr>
        <w:t>Figure 5: Ticket Sale Breakdown</w:t>
      </w:r>
    </w:p>
    <w:p w14:paraId="26DF681B" w14:textId="77777777" w:rsidR="00080554" w:rsidRDefault="00080554" w:rsidP="00080554">
      <w:pPr>
        <w:jc w:val="center"/>
        <w:rPr>
          <w:color w:val="000000"/>
        </w:rPr>
      </w:pPr>
      <w:r>
        <w:rPr>
          <w:color w:val="000000"/>
        </w:rPr>
        <w:t>(Source: Self-developed)</w:t>
      </w:r>
    </w:p>
    <w:p w14:paraId="63A99033" w14:textId="77777777" w:rsidR="00080554" w:rsidRDefault="00080554" w:rsidP="00080554">
      <w:pPr>
        <w:rPr>
          <w:color w:val="000000"/>
        </w:rPr>
      </w:pPr>
      <w:r>
        <w:rPr>
          <w:color w:val="000000"/>
        </w:rPr>
        <w:t xml:space="preserve">The main source of money for this event is direct ticket revenue. However, sponsorships will also be considered from brands, regional business and tourism partners to align effectively with the broader theme of ‘Year of </w:t>
      </w:r>
      <w:proofErr w:type="spellStart"/>
      <w:r>
        <w:rPr>
          <w:color w:val="000000"/>
        </w:rPr>
        <w:t>Croeso</w:t>
      </w:r>
      <w:proofErr w:type="spellEnd"/>
      <w:r>
        <w:rPr>
          <w:color w:val="000000"/>
        </w:rPr>
        <w:t>'. Moreover, public grants and legacies will also contribute significantly to highlighting the cultural relevance of this event. Vendor fees will also be obtained for branded products, food merchandise and crafts. Diversity in income streams and targeted sponsorships are beneficial to reduce financial risk (Smith, 2012). This will introduce a balanced approach to foster good practice. </w:t>
      </w:r>
    </w:p>
    <w:p w14:paraId="7B0DDDCC" w14:textId="77777777" w:rsidR="00080554" w:rsidRDefault="00080554" w:rsidP="00080554">
      <w:pPr>
        <w:pStyle w:val="Heading2"/>
        <w:rPr>
          <w:color w:val="000000"/>
        </w:rPr>
      </w:pPr>
      <w:bookmarkStart w:id="13" w:name="_Toc200481418"/>
      <w:r>
        <w:rPr>
          <w:color w:val="000000"/>
        </w:rPr>
        <w:t>2.6 Industry trends and impacts</w:t>
      </w:r>
      <w:bookmarkEnd w:id="13"/>
    </w:p>
    <w:p w14:paraId="5E02E32D" w14:textId="77777777" w:rsidR="00080554" w:rsidRDefault="00080554" w:rsidP="00080554">
      <w:pPr>
        <w:rPr>
          <w:color w:val="000000"/>
        </w:rPr>
      </w:pPr>
      <w:r>
        <w:rPr>
          <w:color w:val="000000"/>
        </w:rPr>
        <w:t>After the pandemic, the event industry has observed significant growth (</w:t>
      </w:r>
      <w:proofErr w:type="spellStart"/>
      <w:r>
        <w:rPr>
          <w:color w:val="000000"/>
        </w:rPr>
        <w:t>Zakirai</w:t>
      </w:r>
      <w:proofErr w:type="spellEnd"/>
      <w:r>
        <w:rPr>
          <w:color w:val="000000"/>
        </w:rPr>
        <w:t xml:space="preserve"> et al., 2022). In this regard, the demand for authentic and experiential cultural events is rising. International tourists are seeking these experiences to deepen their engagement level with the local community (Kastenholz and Gronau, 2022). In this regard, the “Hwyl and Heritage” festival will be highly attractive for them to obtain an immersive opportunity to understand rural Welsh. Apart from that, considerations towards sustainability and inclusivity have also increased among eco-conscious tourists (</w:t>
      </w:r>
      <w:proofErr w:type="spellStart"/>
      <w:r>
        <w:rPr>
          <w:color w:val="000000"/>
        </w:rPr>
        <w:t>Streimikiene</w:t>
      </w:r>
      <w:proofErr w:type="spellEnd"/>
      <w:r>
        <w:rPr>
          <w:color w:val="000000"/>
        </w:rPr>
        <w:t xml:space="preserve"> et al., 2021). Many visitors prefer ethical treatment and waste reduction strategies. These aspects will be embedded while selecting vendors and planning for marketing and logistics approaches. However, operational costs of this industry are rising rapidly due to the introduction of robust health and safety protocols (Gaye, 2023). Through appropriate budget allocation and contingency planning, these problems can be overcome effectively.</w:t>
      </w:r>
    </w:p>
    <w:p w14:paraId="2FD23028" w14:textId="77777777" w:rsidR="00080554" w:rsidRDefault="00080554" w:rsidP="00080554">
      <w:pPr>
        <w:pStyle w:val="Heading2"/>
        <w:rPr>
          <w:color w:val="000000"/>
        </w:rPr>
      </w:pPr>
      <w:bookmarkStart w:id="14" w:name="_Toc200481419"/>
      <w:r>
        <w:rPr>
          <w:color w:val="000000"/>
        </w:rPr>
        <w:lastRenderedPageBreak/>
        <w:t>2.7 Situational and Cultural Considerations</w:t>
      </w:r>
      <w:bookmarkEnd w:id="14"/>
    </w:p>
    <w:p w14:paraId="2D8E3D35" w14:textId="77777777" w:rsidR="00080554" w:rsidRDefault="00080554" w:rsidP="00080554">
      <w:pPr>
        <w:rPr>
          <w:color w:val="000000"/>
        </w:rPr>
      </w:pPr>
      <w:r>
        <w:rPr>
          <w:color w:val="000000"/>
        </w:rPr>
        <w:t xml:space="preserve">This event also makes a significant impact in the context of the rural identity of Wales </w:t>
      </w:r>
      <w:proofErr w:type="gramStart"/>
      <w:r>
        <w:rPr>
          <w:color w:val="000000"/>
        </w:rPr>
        <w:t>and also</w:t>
      </w:r>
      <w:proofErr w:type="gramEnd"/>
      <w:r>
        <w:rPr>
          <w:color w:val="000000"/>
        </w:rPr>
        <w:t xml:space="preserve"> the theme of the occasion “Year of </w:t>
      </w:r>
      <w:proofErr w:type="spellStart"/>
      <w:r>
        <w:rPr>
          <w:color w:val="000000"/>
        </w:rPr>
        <w:t>Croeso</w:t>
      </w:r>
      <w:proofErr w:type="spellEnd"/>
      <w:r>
        <w:rPr>
          <w:color w:val="000000"/>
        </w:rPr>
        <w:t xml:space="preserve">” in 2025, which mostly highlights the warm community, tradition and openness. The event of working with food and horses is not working with </w:t>
      </w:r>
      <w:proofErr w:type="gramStart"/>
      <w:r>
        <w:rPr>
          <w:color w:val="000000"/>
        </w:rPr>
        <w:t>animals, but</w:t>
      </w:r>
      <w:proofErr w:type="gramEnd"/>
      <w:r>
        <w:rPr>
          <w:color w:val="000000"/>
        </w:rPr>
        <w:t xml:space="preserve"> also highlights the cherished symbol of international respect and farming life of the Welsh. This event also highlights the consequences for Wales and tourist engagements that help to celebrate the rural legacy. Using the language, food, and cultural heritage of Welsh also helps to promote culture preservation and maintain a direct alignment with cultural diplomacy and language revitalisation (The Commission for Welsh-speaking Communities, 2024). It also signifies the growing niche of cultural tourism by valuing over mass-market, which increases the festival theme by delivering a strong presence of the cultural value and sustainable development with the help of tourism.</w:t>
      </w:r>
    </w:p>
    <w:p w14:paraId="44CEE974" w14:textId="77777777" w:rsidR="00080554" w:rsidRDefault="00080554" w:rsidP="00080554">
      <w:pPr>
        <w:pStyle w:val="Heading1"/>
        <w:rPr>
          <w:color w:val="000000"/>
        </w:rPr>
      </w:pPr>
      <w:bookmarkStart w:id="15" w:name="_Toc200481420"/>
      <w:r>
        <w:rPr>
          <w:color w:val="000000"/>
        </w:rPr>
        <w:t>3. Conclusion</w:t>
      </w:r>
      <w:bookmarkEnd w:id="15"/>
    </w:p>
    <w:p w14:paraId="50DEE0C1" w14:textId="77777777" w:rsidR="00080554" w:rsidRDefault="00080554" w:rsidP="00080554">
      <w:pPr>
        <w:rPr>
          <w:color w:val="000000"/>
        </w:rPr>
      </w:pPr>
      <w:r>
        <w:rPr>
          <w:color w:val="000000"/>
        </w:rPr>
        <w:t xml:space="preserve">From the above discussion, it can be concluded that the chosen event strongly aligns with the theme of ‘Year of </w:t>
      </w:r>
      <w:proofErr w:type="spellStart"/>
      <w:r>
        <w:rPr>
          <w:color w:val="000000"/>
        </w:rPr>
        <w:t>Croeso</w:t>
      </w:r>
      <w:proofErr w:type="spellEnd"/>
      <w:r>
        <w:rPr>
          <w:color w:val="000000"/>
        </w:rPr>
        <w:t xml:space="preserve">'. In this regard, a 3-day long itinerary has been developed along with identifying two SMART objectives. A detailed budget has been presented, which will be helpful for the management team to maintain profitability. The event also matches emerging trends in the industry. </w:t>
      </w:r>
    </w:p>
    <w:p w14:paraId="11612F3F" w14:textId="77777777" w:rsidR="00080554" w:rsidRDefault="00080554" w:rsidP="00080554">
      <w:pPr>
        <w:rPr>
          <w:color w:val="000000"/>
        </w:rPr>
      </w:pPr>
      <w:r>
        <w:rPr>
          <w:color w:val="000000"/>
        </w:rPr>
        <w:t xml:space="preserve"> </w:t>
      </w:r>
    </w:p>
    <w:p w14:paraId="585E4346" w14:textId="77777777" w:rsidR="00080554" w:rsidRDefault="00080554" w:rsidP="00080554">
      <w:pPr>
        <w:rPr>
          <w:color w:val="000000"/>
        </w:rPr>
      </w:pPr>
      <w:r>
        <w:br w:type="page"/>
      </w:r>
    </w:p>
    <w:p w14:paraId="3347C7E5" w14:textId="77777777" w:rsidR="00080554" w:rsidRDefault="00080554" w:rsidP="00080554">
      <w:pPr>
        <w:pStyle w:val="Heading1"/>
        <w:rPr>
          <w:color w:val="auto"/>
        </w:rPr>
      </w:pPr>
      <w:bookmarkStart w:id="16" w:name="_Toc200481421"/>
      <w:r>
        <w:lastRenderedPageBreak/>
        <w:t>References</w:t>
      </w:r>
      <w:bookmarkEnd w:id="16"/>
    </w:p>
    <w:p w14:paraId="63CC7282" w14:textId="77777777" w:rsidR="00080554" w:rsidRDefault="00080554" w:rsidP="00080554">
      <w:pPr>
        <w:spacing w:before="240" w:after="240"/>
        <w:rPr>
          <w:color w:val="000000"/>
        </w:rPr>
      </w:pPr>
      <w:r>
        <w:rPr>
          <w:color w:val="000000"/>
        </w:rPr>
        <w:t xml:space="preserve">‌Doodle. (2025) </w:t>
      </w:r>
      <w:r>
        <w:rPr>
          <w:i/>
          <w:color w:val="000000"/>
        </w:rPr>
        <w:t>What Is Event Planning? Key Stages &amp; Tips</w:t>
      </w:r>
      <w:r>
        <w:rPr>
          <w:color w:val="000000"/>
        </w:rPr>
        <w:t>. [online] ‌Doodle. Available at: https://doodle.com/en/event-planning/#the-concept-of-event-planning [Accessed 15 May 2025].</w:t>
      </w:r>
    </w:p>
    <w:p w14:paraId="3551C8A8" w14:textId="77777777" w:rsidR="00080554" w:rsidRDefault="00080554" w:rsidP="00080554">
      <w:pPr>
        <w:spacing w:before="240" w:after="240"/>
        <w:rPr>
          <w:color w:val="000000"/>
        </w:rPr>
      </w:pPr>
      <w:r>
        <w:rPr>
          <w:color w:val="000000"/>
        </w:rPr>
        <w:t xml:space="preserve">‌Dovetail. (2023) </w:t>
      </w:r>
      <w:r>
        <w:rPr>
          <w:i/>
          <w:color w:val="000000"/>
        </w:rPr>
        <w:t>The Ideation Process: Definition, Preparation, FAQs</w:t>
      </w:r>
      <w:r>
        <w:rPr>
          <w:color w:val="000000"/>
        </w:rPr>
        <w:t>. [online] Dovetail.com. Available at: https://dovetail.com/product-development/ideation/ [Accessed 15 May 2025].</w:t>
      </w:r>
    </w:p>
    <w:p w14:paraId="1D8BB04C" w14:textId="77777777" w:rsidR="00080554" w:rsidRDefault="00080554" w:rsidP="00080554">
      <w:pPr>
        <w:spacing w:before="240" w:after="240"/>
        <w:rPr>
          <w:color w:val="000000"/>
          <w:sz w:val="28"/>
          <w:szCs w:val="28"/>
        </w:rPr>
      </w:pPr>
      <w:r>
        <w:rPr>
          <w:color w:val="000000"/>
          <w:highlight w:val="white"/>
        </w:rPr>
        <w:t xml:space="preserve">Fox, D., Gouthro, M.B., </w:t>
      </w:r>
      <w:proofErr w:type="spellStart"/>
      <w:r>
        <w:rPr>
          <w:color w:val="000000"/>
          <w:highlight w:val="white"/>
        </w:rPr>
        <w:t>Morakabati</w:t>
      </w:r>
      <w:proofErr w:type="spellEnd"/>
      <w:r>
        <w:rPr>
          <w:color w:val="000000"/>
          <w:highlight w:val="white"/>
        </w:rPr>
        <w:t xml:space="preserve">, Y. and </w:t>
      </w:r>
      <w:proofErr w:type="spellStart"/>
      <w:r>
        <w:rPr>
          <w:color w:val="000000"/>
          <w:highlight w:val="white"/>
        </w:rPr>
        <w:t>Brackstone</w:t>
      </w:r>
      <w:proofErr w:type="spellEnd"/>
      <w:r>
        <w:rPr>
          <w:color w:val="000000"/>
          <w:highlight w:val="white"/>
        </w:rPr>
        <w:t xml:space="preserve">, J. (2014) </w:t>
      </w:r>
      <w:r>
        <w:rPr>
          <w:i/>
          <w:color w:val="000000"/>
          <w:highlight w:val="white"/>
        </w:rPr>
        <w:t>Doing events research: From theory to practice</w:t>
      </w:r>
      <w:r>
        <w:rPr>
          <w:color w:val="000000"/>
          <w:highlight w:val="white"/>
        </w:rPr>
        <w:t>. Routledge.</w:t>
      </w:r>
    </w:p>
    <w:p w14:paraId="12F7103B" w14:textId="77777777" w:rsidR="00080554" w:rsidRDefault="00080554" w:rsidP="00080554">
      <w:pPr>
        <w:rPr>
          <w:color w:val="000000"/>
        </w:rPr>
      </w:pPr>
      <w:r>
        <w:rPr>
          <w:color w:val="000000"/>
          <w:highlight w:val="white"/>
        </w:rPr>
        <w:t xml:space="preserve">Gaye (2023) </w:t>
      </w:r>
      <w:r>
        <w:rPr>
          <w:i/>
          <w:color w:val="000000"/>
          <w:highlight w:val="white"/>
        </w:rPr>
        <w:t>Navigating rising costs in the events industry</w:t>
      </w:r>
      <w:r>
        <w:rPr>
          <w:color w:val="000000"/>
          <w:highlight w:val="white"/>
        </w:rPr>
        <w:t xml:space="preserve">. [online] Exhibit Interactive. Available at: </w:t>
      </w:r>
      <w:hyperlink r:id="rId11" w:history="1">
        <w:r>
          <w:rPr>
            <w:rStyle w:val="Hyperlink"/>
            <w:rFonts w:eastAsiaTheme="majorEastAsia"/>
            <w:color w:val="1155CC"/>
            <w:highlight w:val="white"/>
          </w:rPr>
          <w:t>https://www.exhibitinteractive.co.uk/navigating-rising-costs-in-the-events-industry/</w:t>
        </w:r>
      </w:hyperlink>
      <w:r>
        <w:rPr>
          <w:color w:val="000000"/>
          <w:highlight w:val="white"/>
        </w:rPr>
        <w:t>. [Accessed 15 May 2025]</w:t>
      </w:r>
    </w:p>
    <w:p w14:paraId="2B3658E3" w14:textId="77777777" w:rsidR="00080554" w:rsidRDefault="00080554" w:rsidP="00080554">
      <w:pPr>
        <w:spacing w:before="240" w:after="240"/>
        <w:rPr>
          <w:color w:val="000000"/>
          <w:sz w:val="28"/>
          <w:szCs w:val="28"/>
        </w:rPr>
      </w:pPr>
      <w:r>
        <w:rPr>
          <w:color w:val="000000"/>
          <w:highlight w:val="white"/>
        </w:rPr>
        <w:t xml:space="preserve">Getz, D. and Page, S.J. (2019) </w:t>
      </w:r>
      <w:r>
        <w:rPr>
          <w:i/>
          <w:color w:val="000000"/>
          <w:highlight w:val="white"/>
        </w:rPr>
        <w:t>Event studies: Theory, research and policy for planned events</w:t>
      </w:r>
      <w:r>
        <w:rPr>
          <w:color w:val="000000"/>
          <w:highlight w:val="white"/>
        </w:rPr>
        <w:t>. Routledge.</w:t>
      </w:r>
    </w:p>
    <w:p w14:paraId="5EFCD1CE" w14:textId="77777777" w:rsidR="00080554" w:rsidRDefault="00080554" w:rsidP="00080554">
      <w:pPr>
        <w:spacing w:before="280" w:after="280"/>
        <w:rPr>
          <w:color w:val="000000"/>
        </w:rPr>
      </w:pPr>
      <w:r>
        <w:rPr>
          <w:color w:val="000000"/>
          <w:highlight w:val="white"/>
        </w:rPr>
        <w:t xml:space="preserve">Kastenholz, E. and Gronau, W. (2022) ‘Enhancing competences for co-creating appealing and meaningful cultural heritage experiences in tourism.’ </w:t>
      </w:r>
      <w:r>
        <w:rPr>
          <w:i/>
          <w:color w:val="000000"/>
          <w:highlight w:val="white"/>
        </w:rPr>
        <w:t>Journal of Hospitality &amp; Tourism Research</w:t>
      </w:r>
      <w:r>
        <w:rPr>
          <w:color w:val="000000"/>
          <w:highlight w:val="white"/>
        </w:rPr>
        <w:t xml:space="preserve">, </w:t>
      </w:r>
      <w:r>
        <w:rPr>
          <w:i/>
          <w:color w:val="000000"/>
          <w:highlight w:val="white"/>
        </w:rPr>
        <w:t>46</w:t>
      </w:r>
      <w:r>
        <w:rPr>
          <w:color w:val="000000"/>
          <w:highlight w:val="white"/>
        </w:rPr>
        <w:t>(8), pp.1519-1544.</w:t>
      </w:r>
    </w:p>
    <w:p w14:paraId="2409C7C5" w14:textId="77777777" w:rsidR="00080554" w:rsidRDefault="00080554" w:rsidP="00080554">
      <w:pPr>
        <w:rPr>
          <w:color w:val="000000"/>
        </w:rPr>
      </w:pPr>
      <w:r>
        <w:rPr>
          <w:color w:val="000000"/>
          <w:highlight w:val="white"/>
        </w:rPr>
        <w:t xml:space="preserve">Kitchen, E. (2024) ‘Building event management skills through authentic assessment.’ </w:t>
      </w:r>
      <w:r>
        <w:rPr>
          <w:i/>
          <w:color w:val="000000"/>
          <w:highlight w:val="white"/>
        </w:rPr>
        <w:t>Educational Studies</w:t>
      </w:r>
      <w:r>
        <w:rPr>
          <w:color w:val="000000"/>
          <w:highlight w:val="white"/>
        </w:rPr>
        <w:t>, pp.1-17.</w:t>
      </w:r>
    </w:p>
    <w:p w14:paraId="264194AE" w14:textId="77777777" w:rsidR="00080554" w:rsidRDefault="00080554" w:rsidP="00080554">
      <w:pPr>
        <w:rPr>
          <w:color w:val="000000"/>
        </w:rPr>
      </w:pPr>
      <w:r>
        <w:rPr>
          <w:color w:val="000000"/>
          <w:highlight w:val="white"/>
        </w:rPr>
        <w:t xml:space="preserve">Melly, D., McLoughlin, E. and Maguire, K. (2023) ‘Emerging venue considerations for event management: the case of Ireland.’ </w:t>
      </w:r>
      <w:r>
        <w:rPr>
          <w:i/>
          <w:color w:val="000000"/>
          <w:highlight w:val="white"/>
        </w:rPr>
        <w:t>Tourism and Hospitality</w:t>
      </w:r>
      <w:r>
        <w:rPr>
          <w:color w:val="000000"/>
          <w:highlight w:val="white"/>
        </w:rPr>
        <w:t xml:space="preserve">, </w:t>
      </w:r>
      <w:r>
        <w:rPr>
          <w:i/>
          <w:color w:val="000000"/>
          <w:highlight w:val="white"/>
        </w:rPr>
        <w:t>4</w:t>
      </w:r>
      <w:r>
        <w:rPr>
          <w:color w:val="000000"/>
          <w:highlight w:val="white"/>
        </w:rPr>
        <w:t>(1), pp.187-201.</w:t>
      </w:r>
    </w:p>
    <w:p w14:paraId="3CF18EF5" w14:textId="77777777" w:rsidR="00080554" w:rsidRDefault="00080554" w:rsidP="00080554">
      <w:pPr>
        <w:spacing w:before="240" w:after="240"/>
        <w:rPr>
          <w:color w:val="000000"/>
        </w:rPr>
      </w:pPr>
      <w:r>
        <w:rPr>
          <w:color w:val="000000"/>
        </w:rPr>
        <w:t>‌</w:t>
      </w:r>
      <w:r>
        <w:rPr>
          <w:color w:val="000000"/>
          <w:highlight w:val="white"/>
        </w:rPr>
        <w:t xml:space="preserve">Meredith, J.R., Shafer, S.M. and Mantel Jr, S.J. (2017) </w:t>
      </w:r>
      <w:r>
        <w:rPr>
          <w:i/>
          <w:color w:val="000000"/>
          <w:highlight w:val="white"/>
        </w:rPr>
        <w:t>Project management: a strategic managerial approach</w:t>
      </w:r>
      <w:r>
        <w:rPr>
          <w:color w:val="000000"/>
          <w:highlight w:val="white"/>
        </w:rPr>
        <w:t>. John Wiley &amp; Sons.</w:t>
      </w:r>
    </w:p>
    <w:p w14:paraId="1A062C3E" w14:textId="77777777" w:rsidR="00080554" w:rsidRDefault="00080554" w:rsidP="00080554">
      <w:pPr>
        <w:spacing w:before="240" w:after="240"/>
        <w:rPr>
          <w:color w:val="000000"/>
        </w:rPr>
      </w:pPr>
      <w:r>
        <w:rPr>
          <w:color w:val="000000"/>
        </w:rPr>
        <w:t xml:space="preserve">Norman, M. (2023) </w:t>
      </w:r>
      <w:r>
        <w:rPr>
          <w:i/>
          <w:color w:val="000000"/>
        </w:rPr>
        <w:t xml:space="preserve">Why is Event Planning Important – </w:t>
      </w:r>
      <w:proofErr w:type="spellStart"/>
      <w:r>
        <w:rPr>
          <w:i/>
          <w:color w:val="000000"/>
        </w:rPr>
        <w:t>Eventunity</w:t>
      </w:r>
      <w:proofErr w:type="spellEnd"/>
      <w:r>
        <w:rPr>
          <w:color w:val="000000"/>
        </w:rPr>
        <w:t xml:space="preserve">. [online] </w:t>
      </w:r>
      <w:proofErr w:type="spellStart"/>
      <w:r>
        <w:rPr>
          <w:color w:val="000000"/>
        </w:rPr>
        <w:t>Eventunity</w:t>
      </w:r>
      <w:proofErr w:type="spellEnd"/>
      <w:r>
        <w:rPr>
          <w:color w:val="000000"/>
        </w:rPr>
        <w:t>. Available at: https://eventunitypro.com/why-is-event-planning-important/ [Accessed 15 May 2025]. </w:t>
      </w:r>
    </w:p>
    <w:p w14:paraId="79DBF4D3" w14:textId="77777777" w:rsidR="00080554" w:rsidRDefault="00080554" w:rsidP="00080554">
      <w:pPr>
        <w:rPr>
          <w:color w:val="000000"/>
        </w:rPr>
      </w:pPr>
      <w:r>
        <w:rPr>
          <w:color w:val="000000"/>
          <w:highlight w:val="white"/>
        </w:rPr>
        <w:t xml:space="preserve">O’Toole, W. (2011) </w:t>
      </w:r>
      <w:r>
        <w:rPr>
          <w:i/>
          <w:color w:val="000000"/>
          <w:highlight w:val="white"/>
        </w:rPr>
        <w:t>Events feasibility and development: from strategy to operations</w:t>
      </w:r>
      <w:r>
        <w:rPr>
          <w:color w:val="000000"/>
          <w:highlight w:val="white"/>
        </w:rPr>
        <w:t>. Elsevier: Oxford</w:t>
      </w:r>
    </w:p>
    <w:p w14:paraId="064C4C99" w14:textId="77777777" w:rsidR="00080554" w:rsidRDefault="00080554" w:rsidP="00080554">
      <w:pPr>
        <w:rPr>
          <w:color w:val="000000"/>
        </w:rPr>
      </w:pPr>
      <w:r>
        <w:rPr>
          <w:color w:val="000000"/>
          <w:highlight w:val="white"/>
        </w:rPr>
        <w:lastRenderedPageBreak/>
        <w:t xml:space="preserve">Rogers, T. and Wynn-Moylan, P (2022) </w:t>
      </w:r>
      <w:r>
        <w:rPr>
          <w:i/>
          <w:color w:val="000000"/>
          <w:highlight w:val="white"/>
        </w:rPr>
        <w:t>Conferences and conventions: a global industry</w:t>
      </w:r>
      <w:r>
        <w:rPr>
          <w:color w:val="000000"/>
          <w:highlight w:val="white"/>
        </w:rPr>
        <w:t>. 4th Edition. Routledge: Oxford</w:t>
      </w:r>
    </w:p>
    <w:p w14:paraId="38234C7E" w14:textId="77777777" w:rsidR="00080554" w:rsidRDefault="00080554" w:rsidP="00080554">
      <w:pPr>
        <w:spacing w:before="240" w:after="240"/>
        <w:rPr>
          <w:color w:val="000000"/>
        </w:rPr>
      </w:pPr>
      <w:proofErr w:type="spellStart"/>
      <w:r>
        <w:rPr>
          <w:color w:val="000000"/>
        </w:rPr>
        <w:t>Secutix</w:t>
      </w:r>
      <w:proofErr w:type="spellEnd"/>
      <w:r>
        <w:rPr>
          <w:color w:val="000000"/>
        </w:rPr>
        <w:t xml:space="preserve">. (2024) </w:t>
      </w:r>
      <w:r>
        <w:rPr>
          <w:i/>
          <w:color w:val="000000"/>
        </w:rPr>
        <w:t>The value of post-event analysis in maximizing impact</w:t>
      </w:r>
      <w:r>
        <w:rPr>
          <w:color w:val="000000"/>
        </w:rPr>
        <w:t xml:space="preserve">. [online] </w:t>
      </w:r>
      <w:proofErr w:type="spellStart"/>
      <w:r>
        <w:rPr>
          <w:color w:val="000000"/>
        </w:rPr>
        <w:t>Secutix</w:t>
      </w:r>
      <w:proofErr w:type="spellEnd"/>
      <w:r>
        <w:rPr>
          <w:color w:val="000000"/>
        </w:rPr>
        <w:t>. Available at: https://www.secutix.com/articles/post-event-analysis [Accessed 15 May 2025].</w:t>
      </w:r>
    </w:p>
    <w:p w14:paraId="3D3A5F7B" w14:textId="77777777" w:rsidR="00080554" w:rsidRDefault="00080554" w:rsidP="00080554">
      <w:pPr>
        <w:rPr>
          <w:color w:val="000000"/>
        </w:rPr>
      </w:pPr>
      <w:r>
        <w:rPr>
          <w:color w:val="000000"/>
          <w:highlight w:val="white"/>
        </w:rPr>
        <w:t xml:space="preserve">Shaheen, H. (2025) ‘Social media marketing research: a bibliometric analysis from Scopus.’ </w:t>
      </w:r>
      <w:r>
        <w:rPr>
          <w:i/>
          <w:color w:val="000000"/>
          <w:highlight w:val="white"/>
        </w:rPr>
        <w:t>Future Business Journal</w:t>
      </w:r>
      <w:r>
        <w:rPr>
          <w:color w:val="000000"/>
          <w:highlight w:val="white"/>
        </w:rPr>
        <w:t xml:space="preserve">, </w:t>
      </w:r>
      <w:r>
        <w:rPr>
          <w:i/>
          <w:color w:val="000000"/>
          <w:highlight w:val="white"/>
        </w:rPr>
        <w:t>11</w:t>
      </w:r>
      <w:r>
        <w:rPr>
          <w:color w:val="000000"/>
          <w:highlight w:val="white"/>
        </w:rPr>
        <w:t>(1), pp.1-26.</w:t>
      </w:r>
    </w:p>
    <w:p w14:paraId="036DC622" w14:textId="77777777" w:rsidR="00080554" w:rsidRDefault="00080554" w:rsidP="00080554">
      <w:pPr>
        <w:rPr>
          <w:color w:val="000000"/>
        </w:rPr>
      </w:pPr>
      <w:r>
        <w:rPr>
          <w:color w:val="000000"/>
          <w:highlight w:val="white"/>
        </w:rPr>
        <w:t xml:space="preserve">Smith, A. (2012) </w:t>
      </w:r>
      <w:r>
        <w:rPr>
          <w:i/>
          <w:color w:val="000000"/>
          <w:highlight w:val="white"/>
        </w:rPr>
        <w:t>Events and urban regeneration: the strategic use of events to revitalise cities</w:t>
      </w:r>
      <w:r>
        <w:rPr>
          <w:color w:val="000000"/>
          <w:highlight w:val="white"/>
        </w:rPr>
        <w:t>. Routledge: Oxford</w:t>
      </w:r>
    </w:p>
    <w:p w14:paraId="2556AEAA" w14:textId="77777777" w:rsidR="00080554" w:rsidRDefault="00080554" w:rsidP="00080554">
      <w:pPr>
        <w:spacing w:before="240" w:after="240"/>
        <w:rPr>
          <w:color w:val="000000"/>
        </w:rPr>
      </w:pPr>
      <w:proofErr w:type="spellStart"/>
      <w:r>
        <w:rPr>
          <w:color w:val="000000"/>
          <w:highlight w:val="white"/>
        </w:rPr>
        <w:t>Streimikiene</w:t>
      </w:r>
      <w:proofErr w:type="spellEnd"/>
      <w:r>
        <w:rPr>
          <w:color w:val="000000"/>
          <w:highlight w:val="white"/>
        </w:rPr>
        <w:t xml:space="preserve">, D., </w:t>
      </w:r>
      <w:proofErr w:type="spellStart"/>
      <w:r>
        <w:rPr>
          <w:color w:val="000000"/>
          <w:highlight w:val="white"/>
        </w:rPr>
        <w:t>Svagzdiene</w:t>
      </w:r>
      <w:proofErr w:type="spellEnd"/>
      <w:r>
        <w:rPr>
          <w:color w:val="000000"/>
          <w:highlight w:val="white"/>
        </w:rPr>
        <w:t xml:space="preserve">, B., </w:t>
      </w:r>
      <w:proofErr w:type="spellStart"/>
      <w:r>
        <w:rPr>
          <w:color w:val="000000"/>
          <w:highlight w:val="white"/>
        </w:rPr>
        <w:t>Jasinskas</w:t>
      </w:r>
      <w:proofErr w:type="spellEnd"/>
      <w:r>
        <w:rPr>
          <w:color w:val="000000"/>
          <w:highlight w:val="white"/>
        </w:rPr>
        <w:t xml:space="preserve">, E. and </w:t>
      </w:r>
      <w:proofErr w:type="spellStart"/>
      <w:r>
        <w:rPr>
          <w:color w:val="000000"/>
          <w:highlight w:val="white"/>
        </w:rPr>
        <w:t>Simanavicius</w:t>
      </w:r>
      <w:proofErr w:type="spellEnd"/>
      <w:r>
        <w:rPr>
          <w:color w:val="000000"/>
          <w:highlight w:val="white"/>
        </w:rPr>
        <w:t xml:space="preserve">, A. (2021) ‘Sustainable tourism development and competitiveness: The systematic literature review.’ </w:t>
      </w:r>
      <w:r>
        <w:rPr>
          <w:i/>
          <w:color w:val="000000"/>
          <w:highlight w:val="white"/>
        </w:rPr>
        <w:t>Sustainable development</w:t>
      </w:r>
      <w:r>
        <w:rPr>
          <w:color w:val="000000"/>
          <w:highlight w:val="white"/>
        </w:rPr>
        <w:t xml:space="preserve">, </w:t>
      </w:r>
      <w:r>
        <w:rPr>
          <w:i/>
          <w:color w:val="000000"/>
          <w:highlight w:val="white"/>
        </w:rPr>
        <w:t>29</w:t>
      </w:r>
      <w:r>
        <w:rPr>
          <w:color w:val="000000"/>
          <w:highlight w:val="white"/>
        </w:rPr>
        <w:t>(1), pp.259-271.</w:t>
      </w:r>
    </w:p>
    <w:p w14:paraId="09777EF6" w14:textId="77777777" w:rsidR="00080554" w:rsidRDefault="00080554" w:rsidP="00080554">
      <w:pPr>
        <w:spacing w:before="240" w:after="240"/>
        <w:rPr>
          <w:color w:val="000000"/>
        </w:rPr>
      </w:pPr>
      <w:r>
        <w:rPr>
          <w:color w:val="000000"/>
        </w:rPr>
        <w:t xml:space="preserve">The Commission for Welsh-speaking Communities. (2024) </w:t>
      </w:r>
      <w:r>
        <w:rPr>
          <w:i/>
          <w:color w:val="000000"/>
        </w:rPr>
        <w:t>Empowering communities, strengthening the Welsh language</w:t>
      </w:r>
      <w:r>
        <w:rPr>
          <w:color w:val="000000"/>
        </w:rPr>
        <w:t>. [online] The Commission for Welsh-speaking Communities. Available at: https://www.gov.wales/sites/default/files/publications/2024-08/empowering-communities-strengthening-the-welsh-language.pdf [Accessed 15 May 2025].</w:t>
      </w:r>
    </w:p>
    <w:p w14:paraId="484E569E" w14:textId="77777777" w:rsidR="00080554" w:rsidRDefault="00080554" w:rsidP="00080554">
      <w:pPr>
        <w:spacing w:before="240" w:after="240"/>
        <w:rPr>
          <w:color w:val="000000"/>
        </w:rPr>
      </w:pPr>
      <w:proofErr w:type="spellStart"/>
      <w:r>
        <w:rPr>
          <w:color w:val="000000"/>
        </w:rPr>
        <w:t>TravelTrade</w:t>
      </w:r>
      <w:proofErr w:type="spellEnd"/>
      <w:r>
        <w:rPr>
          <w:color w:val="000000"/>
        </w:rPr>
        <w:t xml:space="preserve">. (2025) </w:t>
      </w:r>
      <w:r>
        <w:rPr>
          <w:i/>
          <w:color w:val="000000"/>
        </w:rPr>
        <w:t xml:space="preserve">Wales is celebrating a Year of </w:t>
      </w:r>
      <w:proofErr w:type="spellStart"/>
      <w:r>
        <w:rPr>
          <w:i/>
          <w:color w:val="000000"/>
        </w:rPr>
        <w:t>Croeso</w:t>
      </w:r>
      <w:proofErr w:type="spellEnd"/>
      <w:r>
        <w:rPr>
          <w:i/>
          <w:color w:val="000000"/>
        </w:rPr>
        <w:t>, a Welsh welcome for visitors</w:t>
      </w:r>
      <w:r>
        <w:rPr>
          <w:color w:val="000000"/>
        </w:rPr>
        <w:t xml:space="preserve">. [online] </w:t>
      </w:r>
      <w:proofErr w:type="spellStart"/>
      <w:r>
        <w:rPr>
          <w:color w:val="000000"/>
        </w:rPr>
        <w:t>TravelTrade</w:t>
      </w:r>
      <w:proofErr w:type="spellEnd"/>
      <w:r>
        <w:rPr>
          <w:color w:val="000000"/>
        </w:rPr>
        <w:t>. Available at: https://traveltrade.visitwales.com/useful-information/toolkit/year-of-croeso [Accessed 15 May 2025].</w:t>
      </w:r>
    </w:p>
    <w:p w14:paraId="005DCE88" w14:textId="77777777" w:rsidR="00080554" w:rsidRDefault="00080554" w:rsidP="00080554">
      <w:pPr>
        <w:spacing w:before="240" w:after="240"/>
        <w:rPr>
          <w:color w:val="000000"/>
        </w:rPr>
      </w:pPr>
      <w:r>
        <w:rPr>
          <w:color w:val="000000"/>
        </w:rPr>
        <w:t xml:space="preserve">‌Visit Wales. (2025) </w:t>
      </w:r>
      <w:r>
        <w:rPr>
          <w:i/>
          <w:color w:val="000000"/>
        </w:rPr>
        <w:t xml:space="preserve">The David Broome Event Centre | </w:t>
      </w:r>
      <w:proofErr w:type="spellStart"/>
      <w:r>
        <w:rPr>
          <w:i/>
          <w:color w:val="000000"/>
        </w:rPr>
        <w:t>VisitWales</w:t>
      </w:r>
      <w:proofErr w:type="spellEnd"/>
      <w:r>
        <w:rPr>
          <w:color w:val="000000"/>
        </w:rPr>
        <w:t>. [online] Visit Wales. Available at: https://www.visitwales.com/attraction/sports-venue/david-broome-event-centre-928242 [Accessed 15 May 2025].</w:t>
      </w:r>
    </w:p>
    <w:p w14:paraId="29C8F6CC" w14:textId="77777777" w:rsidR="00080554" w:rsidRDefault="00080554" w:rsidP="00080554">
      <w:pPr>
        <w:spacing w:before="280" w:after="280"/>
        <w:rPr>
          <w:rFonts w:ascii="Arial" w:eastAsia="Arial" w:hAnsi="Arial" w:cs="Arial"/>
          <w:color w:val="222222"/>
          <w:sz w:val="20"/>
          <w:szCs w:val="20"/>
          <w:highlight w:val="white"/>
        </w:rPr>
      </w:pPr>
      <w:proofErr w:type="spellStart"/>
      <w:r>
        <w:rPr>
          <w:color w:val="000000"/>
          <w:highlight w:val="white"/>
        </w:rPr>
        <w:t>Zakirai</w:t>
      </w:r>
      <w:proofErr w:type="spellEnd"/>
      <w:r>
        <w:rPr>
          <w:color w:val="000000"/>
          <w:highlight w:val="white"/>
        </w:rPr>
        <w:t xml:space="preserve">, N., Azam, N.H.N., Bashirun, S.N., </w:t>
      </w:r>
      <w:proofErr w:type="spellStart"/>
      <w:r>
        <w:rPr>
          <w:color w:val="000000"/>
          <w:highlight w:val="white"/>
        </w:rPr>
        <w:t>Kodri</w:t>
      </w:r>
      <w:proofErr w:type="spellEnd"/>
      <w:r>
        <w:rPr>
          <w:color w:val="000000"/>
          <w:highlight w:val="white"/>
        </w:rPr>
        <w:t xml:space="preserve">, A.N.M. and </w:t>
      </w:r>
      <w:proofErr w:type="spellStart"/>
      <w:r>
        <w:rPr>
          <w:color w:val="000000"/>
          <w:highlight w:val="white"/>
        </w:rPr>
        <w:t>Jislan</w:t>
      </w:r>
      <w:proofErr w:type="spellEnd"/>
      <w:r>
        <w:rPr>
          <w:color w:val="000000"/>
          <w:highlight w:val="white"/>
        </w:rPr>
        <w:t xml:space="preserve">, F. (2022) ‘EVENT INDUSTRY: IMPACT, CHALLENGES AND EVOLVEMENT IN POST PANDEMIC ERA.’ </w:t>
      </w:r>
      <w:proofErr w:type="spellStart"/>
      <w:r>
        <w:rPr>
          <w:i/>
          <w:color w:val="000000"/>
          <w:highlight w:val="white"/>
        </w:rPr>
        <w:t>Jurnal'Ulwan</w:t>
      </w:r>
      <w:proofErr w:type="spellEnd"/>
      <w:r>
        <w:rPr>
          <w:color w:val="000000"/>
          <w:highlight w:val="white"/>
        </w:rPr>
        <w:t xml:space="preserve">, </w:t>
      </w:r>
      <w:r>
        <w:rPr>
          <w:i/>
          <w:color w:val="000000"/>
          <w:highlight w:val="white"/>
        </w:rPr>
        <w:t>7</w:t>
      </w:r>
      <w:r>
        <w:rPr>
          <w:color w:val="000000"/>
          <w:highlight w:val="white"/>
        </w:rPr>
        <w:t>(1), pp.98-108.</w:t>
      </w:r>
    </w:p>
    <w:p w14:paraId="33CF7CB8" w14:textId="77777777" w:rsidR="00080554" w:rsidRDefault="00080554"/>
    <w:sectPr w:rsidR="00080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554"/>
    <w:rsid w:val="00080554"/>
    <w:rsid w:val="00195BB0"/>
    <w:rsid w:val="002C56CC"/>
    <w:rsid w:val="00476B06"/>
    <w:rsid w:val="007B3C00"/>
    <w:rsid w:val="007E56E4"/>
    <w:rsid w:val="00A00B9C"/>
    <w:rsid w:val="00A010C6"/>
    <w:rsid w:val="00A34403"/>
    <w:rsid w:val="00BE4E50"/>
    <w:rsid w:val="00C93A66"/>
    <w:rsid w:val="00E07817"/>
    <w:rsid w:val="00E34AB9"/>
    <w:rsid w:val="00EE3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5490A9"/>
  <w15:chartTrackingRefBased/>
  <w15:docId w15:val="{C93B142E-393D-44B5-AEA3-E534C791F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554"/>
    <w:pPr>
      <w:spacing w:after="0"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080554"/>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80554"/>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80554"/>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80554"/>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80554"/>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80554"/>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80554"/>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80554"/>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80554"/>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554"/>
    <w:rPr>
      <w:rFonts w:eastAsiaTheme="majorEastAsia" w:cstheme="majorBidi"/>
      <w:color w:val="272727" w:themeColor="text1" w:themeTint="D8"/>
    </w:rPr>
  </w:style>
  <w:style w:type="paragraph" w:styleId="Title">
    <w:name w:val="Title"/>
    <w:basedOn w:val="Normal"/>
    <w:next w:val="Normal"/>
    <w:link w:val="TitleChar"/>
    <w:uiPriority w:val="10"/>
    <w:qFormat/>
    <w:rsid w:val="00080554"/>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80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554"/>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80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55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80554"/>
    <w:rPr>
      <w:i/>
      <w:iCs/>
      <w:color w:val="404040" w:themeColor="text1" w:themeTint="BF"/>
    </w:rPr>
  </w:style>
  <w:style w:type="paragraph" w:styleId="ListParagraph">
    <w:name w:val="List Paragraph"/>
    <w:basedOn w:val="Normal"/>
    <w:uiPriority w:val="34"/>
    <w:qFormat/>
    <w:rsid w:val="00080554"/>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80554"/>
    <w:rPr>
      <w:i/>
      <w:iCs/>
      <w:color w:val="0F4761" w:themeColor="accent1" w:themeShade="BF"/>
    </w:rPr>
  </w:style>
  <w:style w:type="paragraph" w:styleId="IntenseQuote">
    <w:name w:val="Intense Quote"/>
    <w:basedOn w:val="Normal"/>
    <w:next w:val="Normal"/>
    <w:link w:val="IntenseQuoteChar"/>
    <w:uiPriority w:val="30"/>
    <w:qFormat/>
    <w:rsid w:val="0008055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80554"/>
    <w:rPr>
      <w:i/>
      <w:iCs/>
      <w:color w:val="0F4761" w:themeColor="accent1" w:themeShade="BF"/>
    </w:rPr>
  </w:style>
  <w:style w:type="character" w:styleId="IntenseReference">
    <w:name w:val="Intense Reference"/>
    <w:basedOn w:val="DefaultParagraphFont"/>
    <w:uiPriority w:val="32"/>
    <w:qFormat/>
    <w:rsid w:val="00080554"/>
    <w:rPr>
      <w:b/>
      <w:bCs/>
      <w:smallCaps/>
      <w:color w:val="0F4761" w:themeColor="accent1" w:themeShade="BF"/>
      <w:spacing w:val="5"/>
    </w:rPr>
  </w:style>
  <w:style w:type="character" w:styleId="Hyperlink">
    <w:name w:val="Hyperlink"/>
    <w:basedOn w:val="DefaultParagraphFont"/>
    <w:uiPriority w:val="99"/>
    <w:unhideWhenUsed/>
    <w:rsid w:val="00080554"/>
    <w:rPr>
      <w:color w:val="0000FF"/>
      <w:u w:val="single"/>
    </w:rPr>
  </w:style>
  <w:style w:type="character" w:styleId="UnresolvedMention">
    <w:name w:val="Unresolved Mention"/>
    <w:basedOn w:val="DefaultParagraphFont"/>
    <w:uiPriority w:val="99"/>
    <w:semiHidden/>
    <w:unhideWhenUsed/>
    <w:rsid w:val="00080554"/>
    <w:rPr>
      <w:color w:val="605E5C"/>
      <w:shd w:val="clear" w:color="auto" w:fill="E1DFDD"/>
    </w:rPr>
  </w:style>
  <w:style w:type="paragraph" w:styleId="TOC1">
    <w:name w:val="toc 1"/>
    <w:basedOn w:val="Normal"/>
    <w:next w:val="Normal"/>
    <w:autoRedefine/>
    <w:uiPriority w:val="39"/>
    <w:unhideWhenUsed/>
    <w:rsid w:val="00C93A66"/>
    <w:pPr>
      <w:spacing w:after="100"/>
    </w:pPr>
  </w:style>
  <w:style w:type="paragraph" w:styleId="TOC2">
    <w:name w:val="toc 2"/>
    <w:basedOn w:val="Normal"/>
    <w:next w:val="Normal"/>
    <w:autoRedefine/>
    <w:uiPriority w:val="39"/>
    <w:unhideWhenUsed/>
    <w:rsid w:val="00C93A66"/>
    <w:pPr>
      <w:spacing w:after="100"/>
      <w:ind w:left="240"/>
    </w:pPr>
  </w:style>
  <w:style w:type="paragraph" w:styleId="TOC3">
    <w:name w:val="toc 3"/>
    <w:basedOn w:val="Normal"/>
    <w:next w:val="Normal"/>
    <w:autoRedefine/>
    <w:uiPriority w:val="39"/>
    <w:unhideWhenUsed/>
    <w:rsid w:val="00C93A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901745">
      <w:bodyDiv w:val="1"/>
      <w:marLeft w:val="0"/>
      <w:marRight w:val="0"/>
      <w:marTop w:val="0"/>
      <w:marBottom w:val="0"/>
      <w:divBdr>
        <w:top w:val="none" w:sz="0" w:space="0" w:color="auto"/>
        <w:left w:val="none" w:sz="0" w:space="0" w:color="auto"/>
        <w:bottom w:val="none" w:sz="0" w:space="0" w:color="auto"/>
        <w:right w:val="none" w:sz="0" w:space="0" w:color="auto"/>
      </w:divBdr>
    </w:div>
    <w:div w:id="585919771">
      <w:bodyDiv w:val="1"/>
      <w:marLeft w:val="0"/>
      <w:marRight w:val="0"/>
      <w:marTop w:val="0"/>
      <w:marBottom w:val="0"/>
      <w:divBdr>
        <w:top w:val="none" w:sz="0" w:space="0" w:color="auto"/>
        <w:left w:val="none" w:sz="0" w:space="0" w:color="auto"/>
        <w:bottom w:val="none" w:sz="0" w:space="0" w:color="auto"/>
        <w:right w:val="none" w:sz="0" w:space="0" w:color="auto"/>
      </w:divBdr>
    </w:div>
    <w:div w:id="1327444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xhibitinteractive.co.uk/navigating-rising-costs-in-the-events-industry/"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16</Pages>
  <Words>3314</Words>
  <Characters>19554</Characters>
  <Application>Microsoft Office Word</Application>
  <DocSecurity>0</DocSecurity>
  <Lines>630</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12</cp:revision>
  <dcterms:created xsi:type="dcterms:W3CDTF">2025-05-17T21:42:00Z</dcterms:created>
  <dcterms:modified xsi:type="dcterms:W3CDTF">2025-06-13T20:42:00Z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2b60231c-cd29-43c4-a4b8-37bcdd9ff066</vt:lpwstr>
  </property>
</Properties>
</file>