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D45BC65" w14:textId="6911E500" w:rsidR="00CE4278" w:rsidRDefault="00CE4278" w:rsidP="00375B32">
      <w:pPr>
        <w:pStyle w:val="NormalWeb"/>
        <w:spacing w:line="360" w:lineRule="auto"/>
        <w:rPr>
          <w:rFonts w:asciiTheme="minorHAnsi" w:hAnsiTheme="minorHAnsi"/>
        </w:rPr>
      </w:pPr>
      <w:r>
        <w:rPr>
          <w:rFonts w:asciiTheme="minorHAnsi" w:hAnsiTheme="minorHAnsi"/>
        </w:rPr>
        <w:t>Element 4: Critical Reflective Evaluation</w:t>
      </w:r>
    </w:p>
    <w:p w14:paraId="4F4BB6F9" w14:textId="77777777" w:rsidR="00CE4278" w:rsidRDefault="00CE4278" w:rsidP="00375B32">
      <w:pPr>
        <w:pStyle w:val="NormalWeb"/>
        <w:spacing w:line="360" w:lineRule="auto"/>
        <w:rPr>
          <w:rFonts w:asciiTheme="minorHAnsi" w:hAnsiTheme="minorHAnsi"/>
        </w:rPr>
      </w:pPr>
    </w:p>
    <w:p w14:paraId="4791875D" w14:textId="77777777" w:rsidR="00100510" w:rsidRPr="00100510" w:rsidRDefault="00100510" w:rsidP="00375B32">
      <w:pPr>
        <w:pStyle w:val="NormalWeb"/>
        <w:spacing w:line="360" w:lineRule="auto"/>
        <w:rPr>
          <w:rFonts w:asciiTheme="minorHAnsi" w:hAnsiTheme="minorHAnsi"/>
          <w:color w:val="000000"/>
        </w:rPr>
      </w:pPr>
      <w:r w:rsidRPr="00100510">
        <w:rPr>
          <w:rFonts w:asciiTheme="minorHAnsi" w:hAnsiTheme="minorHAnsi"/>
        </w:rPr>
        <w:t xml:space="preserve">The purpose of this essay is to provide a critically reflective evaluation of the professional teaching experience undertaken during the academic year 2017/2018. The essay will focus on six core themes and discuss examples of how the themes have been met or not as the case may be and provide academic evidence as to the efficacy of some of the strategies utilised in the professional teaching experience. The six key themes this essay will consider are; </w:t>
      </w:r>
      <w:r w:rsidRPr="00100510">
        <w:rPr>
          <w:rFonts w:asciiTheme="minorHAnsi" w:hAnsiTheme="minorHAnsi"/>
          <w:color w:val="000000"/>
        </w:rPr>
        <w:t>Subject</w:t>
      </w:r>
      <w:r>
        <w:rPr>
          <w:rFonts w:asciiTheme="minorHAnsi" w:hAnsiTheme="minorHAnsi"/>
          <w:color w:val="000000"/>
        </w:rPr>
        <w:t xml:space="preserve"> knowledge, </w:t>
      </w:r>
      <w:r w:rsidRPr="00100510">
        <w:rPr>
          <w:rFonts w:asciiTheme="minorHAnsi" w:hAnsiTheme="minorHAnsi"/>
          <w:color w:val="000000"/>
        </w:rPr>
        <w:t>Planning and preparation</w:t>
      </w:r>
      <w:r>
        <w:rPr>
          <w:rFonts w:asciiTheme="minorHAnsi" w:hAnsiTheme="minorHAnsi"/>
          <w:color w:val="000000"/>
        </w:rPr>
        <w:t>,</w:t>
      </w:r>
      <w:r w:rsidRPr="00100510">
        <w:rPr>
          <w:rFonts w:asciiTheme="minorHAnsi" w:hAnsiTheme="minorHAnsi"/>
          <w:color w:val="000000"/>
        </w:rPr>
        <w:t xml:space="preserve"> Teaching</w:t>
      </w:r>
      <w:r>
        <w:rPr>
          <w:rFonts w:asciiTheme="minorHAnsi" w:hAnsiTheme="minorHAnsi"/>
          <w:color w:val="000000"/>
        </w:rPr>
        <w:t>,</w:t>
      </w:r>
      <w:r w:rsidRPr="00100510">
        <w:rPr>
          <w:rFonts w:asciiTheme="minorHAnsi" w:hAnsiTheme="minorHAnsi"/>
          <w:color w:val="000000"/>
        </w:rPr>
        <w:t xml:space="preserve"> Class</w:t>
      </w:r>
      <w:r>
        <w:rPr>
          <w:rFonts w:asciiTheme="minorHAnsi" w:hAnsiTheme="minorHAnsi"/>
          <w:color w:val="000000"/>
        </w:rPr>
        <w:t>room management and control,</w:t>
      </w:r>
      <w:r w:rsidRPr="00100510">
        <w:rPr>
          <w:rFonts w:asciiTheme="minorHAnsi" w:hAnsiTheme="minorHAnsi"/>
          <w:color w:val="000000"/>
        </w:rPr>
        <w:t xml:space="preserve"> Monitoring a</w:t>
      </w:r>
      <w:r>
        <w:rPr>
          <w:rFonts w:asciiTheme="minorHAnsi" w:hAnsiTheme="minorHAnsi"/>
          <w:color w:val="000000"/>
        </w:rPr>
        <w:t>nd assessing learners' progress and the o</w:t>
      </w:r>
      <w:r w:rsidRPr="00100510">
        <w:rPr>
          <w:rFonts w:asciiTheme="minorHAnsi" w:hAnsiTheme="minorHAnsi"/>
          <w:color w:val="000000"/>
        </w:rPr>
        <w:t>verall effectiveness</w:t>
      </w:r>
      <w:r>
        <w:rPr>
          <w:rFonts w:asciiTheme="minorHAnsi" w:hAnsiTheme="minorHAnsi"/>
          <w:color w:val="000000"/>
        </w:rPr>
        <w:t xml:space="preserve"> of the teaching undertaken.</w:t>
      </w:r>
      <w:r w:rsidRPr="00100510">
        <w:rPr>
          <w:rFonts w:asciiTheme="minorHAnsi" w:hAnsiTheme="minorHAnsi"/>
          <w:color w:val="000000"/>
        </w:rPr>
        <w:t xml:space="preserve"> </w:t>
      </w:r>
    </w:p>
    <w:p w14:paraId="3502C3FE" w14:textId="7C80C17B" w:rsidR="00100510" w:rsidRDefault="00375B32" w:rsidP="00375B32">
      <w:pPr>
        <w:pStyle w:val="NormalWeb"/>
        <w:spacing w:line="360" w:lineRule="auto"/>
        <w:rPr>
          <w:rFonts w:ascii="Calibri" w:hAnsi="Calibri"/>
          <w:color w:val="000000"/>
        </w:rPr>
      </w:pPr>
      <w:r>
        <w:rPr>
          <w:rFonts w:ascii="Calibri" w:hAnsi="Calibri"/>
          <w:color w:val="000000"/>
        </w:rPr>
        <w:t>Having completed the Education Studies undergraduate degree the previous academic year I felt that I had a reasonable subject knowledge base to begin teaching from, this was also confirmed by my mentor in our first formal me</w:t>
      </w:r>
      <w:r w:rsidR="00614089">
        <w:rPr>
          <w:rFonts w:ascii="Calibri" w:hAnsi="Calibri"/>
          <w:color w:val="000000"/>
        </w:rPr>
        <w:t>ntor meeting</w:t>
      </w:r>
      <w:r w:rsidR="00D45B00">
        <w:rPr>
          <w:rFonts w:ascii="Calibri" w:hAnsi="Calibri"/>
          <w:color w:val="000000"/>
        </w:rPr>
        <w:t>, who stated that I had a good subject knowledge, but, would need to ensure that I updated this knowledge with new research and legislation as required.</w:t>
      </w:r>
      <w:r w:rsidR="00614089">
        <w:rPr>
          <w:rFonts w:ascii="Calibri" w:hAnsi="Calibri"/>
          <w:color w:val="000000"/>
        </w:rPr>
        <w:t xml:space="preserve"> As discussed by </w:t>
      </w:r>
      <w:r w:rsidR="001F375C">
        <w:rPr>
          <w:rFonts w:ascii="Calibri" w:hAnsi="Calibri"/>
          <w:noProof/>
          <w:color w:val="000000"/>
        </w:rPr>
        <w:t>Even</w:t>
      </w:r>
      <w:r w:rsidR="001F375C" w:rsidRPr="00614089">
        <w:rPr>
          <w:rFonts w:ascii="Calibri" w:hAnsi="Calibri"/>
          <w:noProof/>
          <w:color w:val="000000"/>
        </w:rPr>
        <w:t xml:space="preserve"> </w:t>
      </w:r>
      <w:r w:rsidR="001F375C">
        <w:rPr>
          <w:rFonts w:ascii="Calibri" w:hAnsi="Calibri"/>
          <w:noProof/>
          <w:color w:val="000000"/>
        </w:rPr>
        <w:t>(</w:t>
      </w:r>
      <w:r w:rsidR="001F375C" w:rsidRPr="00614089">
        <w:rPr>
          <w:rFonts w:ascii="Calibri" w:hAnsi="Calibri"/>
          <w:noProof/>
          <w:color w:val="000000"/>
        </w:rPr>
        <w:t>1990)</w:t>
      </w:r>
      <w:r w:rsidR="00614089">
        <w:rPr>
          <w:rFonts w:ascii="Calibri" w:hAnsi="Calibri"/>
          <w:color w:val="000000"/>
        </w:rPr>
        <w:t xml:space="preserve"> it is the teachers role to support the students in achieving a deep understanding of the </w:t>
      </w:r>
      <w:r w:rsidR="00426CBA">
        <w:rPr>
          <w:rFonts w:ascii="Calibri" w:hAnsi="Calibri"/>
          <w:color w:val="000000"/>
        </w:rPr>
        <w:t>subject matter however in order to do this the teacher must have significant knowledge of the subject themselves. This significant subject knowledge will naturally ensure that student attainment improves.</w:t>
      </w:r>
      <w:r w:rsidR="00981F2D">
        <w:rPr>
          <w:rFonts w:ascii="Calibri" w:hAnsi="Calibri"/>
          <w:color w:val="000000"/>
        </w:rPr>
        <w:t xml:space="preserve"> This view is supported by </w:t>
      </w:r>
      <w:r w:rsidR="001F375C" w:rsidRPr="00981F2D">
        <w:rPr>
          <w:rFonts w:ascii="Calibri" w:hAnsi="Calibri"/>
          <w:noProof/>
          <w:color w:val="000000"/>
        </w:rPr>
        <w:t xml:space="preserve">Iserbyt, et al. </w:t>
      </w:r>
      <w:r w:rsidR="001F375C">
        <w:rPr>
          <w:rFonts w:ascii="Calibri" w:hAnsi="Calibri"/>
          <w:noProof/>
          <w:color w:val="000000"/>
        </w:rPr>
        <w:t>(</w:t>
      </w:r>
      <w:r w:rsidR="001F375C" w:rsidRPr="00981F2D">
        <w:rPr>
          <w:rFonts w:ascii="Calibri" w:hAnsi="Calibri"/>
          <w:noProof/>
          <w:color w:val="000000"/>
        </w:rPr>
        <w:t>2016)</w:t>
      </w:r>
      <w:r w:rsidR="00981F2D">
        <w:rPr>
          <w:rFonts w:ascii="Calibri" w:hAnsi="Calibri"/>
          <w:color w:val="000000"/>
        </w:rPr>
        <w:t xml:space="preserve"> </w:t>
      </w:r>
      <w:r w:rsidR="00F20C2D">
        <w:rPr>
          <w:rFonts w:ascii="Calibri" w:hAnsi="Calibri"/>
          <w:color w:val="000000"/>
        </w:rPr>
        <w:t xml:space="preserve">who suggest that more effective teachers have significantly higher subject knowledge and are therefore better able to engage their students. However, </w:t>
      </w:r>
      <w:r w:rsidR="001F375C">
        <w:rPr>
          <w:rFonts w:ascii="Calibri" w:hAnsi="Calibri"/>
          <w:noProof/>
          <w:color w:val="000000"/>
        </w:rPr>
        <w:t>Herold &amp; Waring</w:t>
      </w:r>
      <w:r w:rsidR="001F375C" w:rsidRPr="00981F2D">
        <w:rPr>
          <w:rFonts w:ascii="Calibri" w:hAnsi="Calibri"/>
          <w:noProof/>
          <w:color w:val="000000"/>
        </w:rPr>
        <w:t xml:space="preserve"> </w:t>
      </w:r>
      <w:r w:rsidR="001F375C">
        <w:rPr>
          <w:rFonts w:ascii="Calibri" w:hAnsi="Calibri"/>
          <w:noProof/>
          <w:color w:val="000000"/>
        </w:rPr>
        <w:t>(</w:t>
      </w:r>
      <w:r w:rsidR="001F375C" w:rsidRPr="00981F2D">
        <w:rPr>
          <w:rFonts w:ascii="Calibri" w:hAnsi="Calibri"/>
          <w:noProof/>
          <w:color w:val="000000"/>
        </w:rPr>
        <w:t>2017)</w:t>
      </w:r>
      <w:r w:rsidR="00981F2D">
        <w:rPr>
          <w:rFonts w:ascii="Calibri" w:hAnsi="Calibri"/>
          <w:color w:val="000000"/>
        </w:rPr>
        <w:t xml:space="preserve"> suggest</w:t>
      </w:r>
      <w:r w:rsidR="00F20C2D">
        <w:rPr>
          <w:rFonts w:ascii="Calibri" w:hAnsi="Calibri"/>
          <w:color w:val="000000"/>
        </w:rPr>
        <w:t xml:space="preserve"> this is a somewhat simplistic view and as will be discussed later in this essay extensive subject knowledge is no guarantee that every learning experience will be </w:t>
      </w:r>
      <w:r w:rsidR="00064241">
        <w:rPr>
          <w:rFonts w:ascii="Calibri" w:hAnsi="Calibri"/>
          <w:color w:val="000000"/>
        </w:rPr>
        <w:t xml:space="preserve">effective in developing the students’ knowledge and understanding. </w:t>
      </w:r>
      <w:r w:rsidR="00614089">
        <w:rPr>
          <w:rFonts w:ascii="Calibri" w:hAnsi="Calibri"/>
          <w:color w:val="000000"/>
        </w:rPr>
        <w:t>As can be expected in any subject</w:t>
      </w:r>
      <w:r w:rsidR="00480DAB">
        <w:rPr>
          <w:rFonts w:ascii="Calibri" w:hAnsi="Calibri"/>
          <w:color w:val="000000"/>
        </w:rPr>
        <w:t>,</w:t>
      </w:r>
      <w:r w:rsidR="00614089">
        <w:rPr>
          <w:rFonts w:ascii="Calibri" w:hAnsi="Calibri"/>
          <w:color w:val="000000"/>
        </w:rPr>
        <w:t xml:space="preserve"> throughout the course of this placement I have developed a deeper understanding or appreciation for some of the subjects being discussed. </w:t>
      </w:r>
      <w:r w:rsidR="00064241">
        <w:rPr>
          <w:rFonts w:ascii="Calibri" w:hAnsi="Calibri"/>
          <w:color w:val="000000"/>
        </w:rPr>
        <w:t xml:space="preserve">In particular I have developed my knowledge base for </w:t>
      </w:r>
      <w:r w:rsidR="00D45B00">
        <w:rPr>
          <w:rFonts w:ascii="Calibri" w:hAnsi="Calibri"/>
          <w:color w:val="000000"/>
        </w:rPr>
        <w:t xml:space="preserve">the level five module </w:t>
      </w:r>
      <w:r w:rsidR="00064241">
        <w:rPr>
          <w:rFonts w:ascii="Calibri" w:hAnsi="Calibri"/>
          <w:color w:val="000000"/>
        </w:rPr>
        <w:t>Research</w:t>
      </w:r>
      <w:r w:rsidR="00D45B00">
        <w:rPr>
          <w:rFonts w:ascii="Calibri" w:hAnsi="Calibri"/>
          <w:color w:val="000000"/>
        </w:rPr>
        <w:t>ing</w:t>
      </w:r>
      <w:r w:rsidR="00064241">
        <w:rPr>
          <w:rFonts w:ascii="Calibri" w:hAnsi="Calibri"/>
          <w:color w:val="000000"/>
        </w:rPr>
        <w:t xml:space="preserve"> and </w:t>
      </w:r>
      <w:r w:rsidR="00D45B00">
        <w:rPr>
          <w:rFonts w:ascii="Calibri" w:hAnsi="Calibri"/>
          <w:color w:val="000000"/>
        </w:rPr>
        <w:t>working in educational contexts,</w:t>
      </w:r>
      <w:r w:rsidR="00064241">
        <w:rPr>
          <w:rFonts w:ascii="Calibri" w:hAnsi="Calibri"/>
          <w:color w:val="000000"/>
        </w:rPr>
        <w:t xml:space="preserve"> through being responsible for developing the content of the module based on the module outline. </w:t>
      </w:r>
      <w:r w:rsidR="00CD17C3">
        <w:rPr>
          <w:rFonts w:ascii="Calibri" w:hAnsi="Calibri"/>
          <w:color w:val="000000"/>
        </w:rPr>
        <w:t>Within the process of developing the module contents I was responsible for ensuring that not only was the outlined content covered</w:t>
      </w:r>
      <w:r w:rsidR="0076091D">
        <w:rPr>
          <w:rFonts w:ascii="Calibri" w:hAnsi="Calibri"/>
          <w:color w:val="000000"/>
        </w:rPr>
        <w:t xml:space="preserve"> but that the content was up to date in terms of both the </w:t>
      </w:r>
      <w:r w:rsidR="00480DAB">
        <w:rPr>
          <w:rFonts w:ascii="Calibri" w:hAnsi="Calibri"/>
          <w:color w:val="000000"/>
        </w:rPr>
        <w:t>u</w:t>
      </w:r>
      <w:r w:rsidR="0076091D">
        <w:rPr>
          <w:rFonts w:ascii="Calibri" w:hAnsi="Calibri"/>
          <w:color w:val="000000"/>
        </w:rPr>
        <w:t>niversity policy, ethical guidelines and current and future legislation</w:t>
      </w:r>
      <w:r w:rsidR="00D45B00">
        <w:rPr>
          <w:rFonts w:ascii="Calibri" w:hAnsi="Calibri"/>
          <w:color w:val="000000"/>
        </w:rPr>
        <w:t xml:space="preserve">. Specifically this involved me researching the European general data protection regulations to ensure the students were not only aware </w:t>
      </w:r>
      <w:r w:rsidR="00D45B00">
        <w:rPr>
          <w:rFonts w:ascii="Calibri" w:hAnsi="Calibri"/>
          <w:color w:val="000000"/>
        </w:rPr>
        <w:lastRenderedPageBreak/>
        <w:t xml:space="preserve">of the regulations but could apply them where necessary in their own research at level six. As noted by </w:t>
      </w:r>
      <w:r w:rsidR="001F375C">
        <w:rPr>
          <w:rFonts w:ascii="Calibri" w:hAnsi="Calibri"/>
          <w:noProof/>
          <w:color w:val="000000"/>
        </w:rPr>
        <w:t>Chassang</w:t>
      </w:r>
      <w:r w:rsidR="001F375C" w:rsidRPr="00D45B00">
        <w:rPr>
          <w:rFonts w:ascii="Calibri" w:hAnsi="Calibri"/>
          <w:noProof/>
          <w:color w:val="000000"/>
        </w:rPr>
        <w:t xml:space="preserve"> </w:t>
      </w:r>
      <w:r w:rsidR="001F375C">
        <w:rPr>
          <w:rFonts w:ascii="Calibri" w:hAnsi="Calibri"/>
          <w:noProof/>
          <w:color w:val="000000"/>
        </w:rPr>
        <w:t>(</w:t>
      </w:r>
      <w:r w:rsidR="001F375C" w:rsidRPr="00D45B00">
        <w:rPr>
          <w:rFonts w:ascii="Calibri" w:hAnsi="Calibri"/>
          <w:noProof/>
          <w:color w:val="000000"/>
        </w:rPr>
        <w:t>2017)</w:t>
      </w:r>
      <w:r w:rsidR="00D45B00">
        <w:rPr>
          <w:rFonts w:ascii="Calibri" w:hAnsi="Calibri"/>
          <w:color w:val="000000"/>
        </w:rPr>
        <w:t xml:space="preserve"> this legislation is both complex and has significant far reaching implications for researchers in any field and at any level, therefore ensuring that my own personal subject knowledge was accurate </w:t>
      </w:r>
      <w:r w:rsidR="00480DAB">
        <w:rPr>
          <w:rFonts w:ascii="Calibri" w:hAnsi="Calibri"/>
          <w:color w:val="000000"/>
        </w:rPr>
        <w:t>guaranteed</w:t>
      </w:r>
      <w:r w:rsidR="00D45B00">
        <w:rPr>
          <w:rFonts w:ascii="Calibri" w:hAnsi="Calibri"/>
          <w:color w:val="000000"/>
        </w:rPr>
        <w:t xml:space="preserve"> I could provide the students with correct answ</w:t>
      </w:r>
      <w:r w:rsidR="0024243F">
        <w:rPr>
          <w:rFonts w:ascii="Calibri" w:hAnsi="Calibri"/>
          <w:color w:val="000000"/>
        </w:rPr>
        <w:t xml:space="preserve">ers should any questions arise. Throughout this placement I </w:t>
      </w:r>
      <w:r w:rsidR="00773497">
        <w:rPr>
          <w:rFonts w:ascii="Calibri" w:hAnsi="Calibri"/>
          <w:color w:val="000000"/>
        </w:rPr>
        <w:t xml:space="preserve">have also endeavoured to challenge my own understanding of a variety of subjects allowing me to provide greater insights to my students. For example I have </w:t>
      </w:r>
      <w:r w:rsidR="0086567F">
        <w:rPr>
          <w:rFonts w:ascii="Calibri" w:hAnsi="Calibri"/>
          <w:color w:val="000000"/>
        </w:rPr>
        <w:t xml:space="preserve">used and </w:t>
      </w:r>
      <w:r w:rsidR="00773497">
        <w:rPr>
          <w:rFonts w:ascii="Calibri" w:hAnsi="Calibri"/>
          <w:color w:val="000000"/>
        </w:rPr>
        <w:t>written extensively on the benefits of actively utilising general learning styles</w:t>
      </w:r>
      <w:r w:rsidR="00480DAB">
        <w:rPr>
          <w:rFonts w:ascii="Calibri" w:hAnsi="Calibri"/>
          <w:color w:val="000000"/>
        </w:rPr>
        <w:t>,</w:t>
      </w:r>
      <w:r w:rsidR="00773497">
        <w:rPr>
          <w:rFonts w:ascii="Calibri" w:hAnsi="Calibri"/>
          <w:color w:val="000000"/>
        </w:rPr>
        <w:t xml:space="preserve"> and in particular Honey and Mumford’s theories</w:t>
      </w:r>
      <w:r w:rsidR="00480DAB">
        <w:rPr>
          <w:rFonts w:ascii="Calibri" w:hAnsi="Calibri"/>
          <w:color w:val="000000"/>
        </w:rPr>
        <w:t>,</w:t>
      </w:r>
      <w:r w:rsidR="00773497">
        <w:rPr>
          <w:rFonts w:ascii="Calibri" w:hAnsi="Calibri"/>
          <w:color w:val="000000"/>
        </w:rPr>
        <w:t xml:space="preserve"> to support students learning</w:t>
      </w:r>
      <w:r w:rsidR="0086567F">
        <w:rPr>
          <w:rFonts w:ascii="Calibri" w:hAnsi="Calibri"/>
          <w:color w:val="000000"/>
        </w:rPr>
        <w:t>,</w:t>
      </w:r>
      <w:r w:rsidR="00773497">
        <w:rPr>
          <w:rFonts w:ascii="Calibri" w:hAnsi="Calibri"/>
          <w:color w:val="000000"/>
        </w:rPr>
        <w:t xml:space="preserve"> however</w:t>
      </w:r>
      <w:r w:rsidR="0086567F">
        <w:rPr>
          <w:rFonts w:ascii="Calibri" w:hAnsi="Calibri"/>
          <w:color w:val="000000"/>
        </w:rPr>
        <w:t>,</w:t>
      </w:r>
      <w:r w:rsidR="00773497">
        <w:rPr>
          <w:rFonts w:ascii="Calibri" w:hAnsi="Calibri"/>
          <w:color w:val="000000"/>
        </w:rPr>
        <w:t xml:space="preserve"> through writing a lesson for the level four module twenty-first century learning I discovered that actively building in theorist, reflector, pragmatist and activist elements into a lesson was not only unnecessary but potentially unhelpful to the students </w:t>
      </w:r>
      <w:sdt>
        <w:sdtPr>
          <w:rPr>
            <w:rFonts w:ascii="Calibri" w:hAnsi="Calibri"/>
            <w:color w:val="000000"/>
          </w:rPr>
          <w:id w:val="-397363555"/>
          <w:citation/>
        </w:sdtPr>
        <w:sdtEndPr/>
        <w:sdtContent>
          <w:r w:rsidR="00773497">
            <w:rPr>
              <w:rFonts w:ascii="Calibri" w:hAnsi="Calibri"/>
              <w:color w:val="000000"/>
            </w:rPr>
            <w:fldChar w:fldCharType="begin"/>
          </w:r>
          <w:r w:rsidR="00F04563">
            <w:rPr>
              <w:rFonts w:ascii="Calibri" w:hAnsi="Calibri"/>
              <w:color w:val="000000"/>
            </w:rPr>
            <w:instrText xml:space="preserve">CITATION Tes15 \l 2057 </w:instrText>
          </w:r>
          <w:r w:rsidR="00773497">
            <w:rPr>
              <w:rFonts w:ascii="Calibri" w:hAnsi="Calibri"/>
              <w:color w:val="000000"/>
            </w:rPr>
            <w:fldChar w:fldCharType="separate"/>
          </w:r>
          <w:r w:rsidR="00F04563" w:rsidRPr="00F04563">
            <w:rPr>
              <w:rFonts w:ascii="Calibri" w:hAnsi="Calibri"/>
              <w:noProof/>
              <w:color w:val="000000"/>
            </w:rPr>
            <w:t>(Marshik, 2015)</w:t>
          </w:r>
          <w:r w:rsidR="00773497">
            <w:rPr>
              <w:rFonts w:ascii="Calibri" w:hAnsi="Calibri"/>
              <w:color w:val="000000"/>
            </w:rPr>
            <w:fldChar w:fldCharType="end"/>
          </w:r>
        </w:sdtContent>
      </w:sdt>
      <w:r w:rsidR="00773497">
        <w:rPr>
          <w:rFonts w:ascii="Calibri" w:hAnsi="Calibri"/>
          <w:color w:val="000000"/>
        </w:rPr>
        <w:t xml:space="preserve">. I then utilised this new knowledge </w:t>
      </w:r>
      <w:r w:rsidR="00F04563">
        <w:rPr>
          <w:rFonts w:ascii="Calibri" w:hAnsi="Calibri"/>
          <w:color w:val="000000"/>
        </w:rPr>
        <w:t>to alter the direction I had planned to take the lesson and provide more interest to the students.</w:t>
      </w:r>
    </w:p>
    <w:p w14:paraId="6F36D433" w14:textId="7537833B" w:rsidR="00286A6F" w:rsidRDefault="00F04563" w:rsidP="00375B32">
      <w:r>
        <w:t xml:space="preserve">Having been teaching </w:t>
      </w:r>
      <w:r w:rsidR="001F02E2">
        <w:t xml:space="preserve">soft skills and software within </w:t>
      </w:r>
      <w:r>
        <w:t xml:space="preserve">industry for </w:t>
      </w:r>
      <w:r w:rsidR="001F02E2">
        <w:t xml:space="preserve">almost fifteen years </w:t>
      </w:r>
      <w:r w:rsidR="005803F5">
        <w:t>I had a reasonable understanding of informally planning lessons. This had usually involved taking the standard program of instruction and modifying it slightly to meet the clients’ perceived needs. Often in this process there was little discussion with the client regarding the planned lesson and any lesson objectives were often not explicitly set out in a measurable way at the beginning of a session.</w:t>
      </w:r>
      <w:r w:rsidR="005B14B4">
        <w:t xml:space="preserve"> </w:t>
      </w:r>
      <w:r w:rsidR="0086567F">
        <w:t>As noted above I had also actively planned activities or provided resources designed to meet the student’s preferred learning styles.</w:t>
      </w:r>
      <w:r w:rsidR="00C6465D">
        <w:t xml:space="preserve"> As stated by </w:t>
      </w:r>
      <w:r w:rsidR="001F375C" w:rsidRPr="00C6465D">
        <w:rPr>
          <w:noProof/>
        </w:rPr>
        <w:t xml:space="preserve">Knowles </w:t>
      </w:r>
      <w:r w:rsidR="001F375C">
        <w:rPr>
          <w:noProof/>
        </w:rPr>
        <w:t>(</w:t>
      </w:r>
      <w:r w:rsidR="001F375C" w:rsidRPr="00C6465D">
        <w:rPr>
          <w:noProof/>
        </w:rPr>
        <w:t>1990)</w:t>
      </w:r>
      <w:r w:rsidR="00C6465D">
        <w:t xml:space="preserve"> a critical aspect of planning teaching sessions for adult learners to ensure an andragogical approach is to involve the learner in the planning of the lesson, whilst this is not always realistic in the settings wider parameters</w:t>
      </w:r>
      <w:r w:rsidR="00480DAB">
        <w:t>,</w:t>
      </w:r>
      <w:r w:rsidR="00C6465D">
        <w:t xml:space="preserve"> due to the content that is needed to be covered it is possible within individual sessions where I have utilised discussions, with various levels of effectiveness that will be discussed in depth later, to give the students a degree of control over the direction of the lesson.</w:t>
      </w:r>
      <w:r w:rsidR="0086567F">
        <w:t xml:space="preserve"> As discussed by </w:t>
      </w:r>
      <w:r w:rsidR="001F375C" w:rsidRPr="0086567F">
        <w:rPr>
          <w:noProof/>
        </w:rPr>
        <w:t xml:space="preserve">Minton </w:t>
      </w:r>
      <w:r w:rsidR="001F375C">
        <w:rPr>
          <w:noProof/>
        </w:rPr>
        <w:t>(</w:t>
      </w:r>
      <w:r w:rsidR="001F375C" w:rsidRPr="0086567F">
        <w:rPr>
          <w:noProof/>
        </w:rPr>
        <w:t>2005)</w:t>
      </w:r>
      <w:r w:rsidR="0086567F">
        <w:t xml:space="preserve"> when planning teaching sessions for adult learners it is important to ask six types of questions; Who, What, Why, Where, When and How, </w:t>
      </w:r>
      <w:r w:rsidR="00C6465D">
        <w:t xml:space="preserve">effectively answering </w:t>
      </w:r>
      <w:r w:rsidR="0086567F">
        <w:t>these questions will allow the practitioner to mould the lesson to meet the learners needs</w:t>
      </w:r>
      <w:r w:rsidR="00C6465D">
        <w:t xml:space="preserve">. Throughout this placement I have endeavoured, where possible, to consider these questions when planning taught sessions for the students and this has influenced a number of the lessons I have taught. For </w:t>
      </w:r>
      <w:r w:rsidR="00C6465D">
        <w:lastRenderedPageBreak/>
        <w:t>example due to my previous experience I have been asked to teach a session on the effectiveness of outdoor learning, when planning this sess</w:t>
      </w:r>
      <w:r w:rsidR="00286A6F">
        <w:t>ion I considered; What do the learners need to know, Why do the learners need to know this information, How will the learners best understand this information. In this case the learners needed to know how outdoor learning could support and enhance the current national curriculum and the incoming Successful Futures curriculum.</w:t>
      </w:r>
      <w:r w:rsidR="00B16EF7">
        <w:t xml:space="preserve"> Having had previous discussions with the students it was clear that many were set on traditional pedagogical practices so simply discussing the theoretical perspectives with the cohort would not have met their needs to ensure they understood the information fully. This conclusion led me to planning a practical session where the students undertook a series of exercises and then discussed the areas of the curriculum that they felt they could support. This approach not only allowed the planned session to meet the learners needs it also gave the learners control of the lesson through the discussion and their learning through the practical application.</w:t>
      </w:r>
    </w:p>
    <w:p w14:paraId="593AD3D6" w14:textId="26A4D961" w:rsidR="001B4380" w:rsidRDefault="00BE46C7" w:rsidP="00375B32">
      <w:r>
        <w:t>As noted above I had been teaching</w:t>
      </w:r>
      <w:r w:rsidR="001B4380">
        <w:t xml:space="preserve"> in industry for fifteen years. Due to this long experience of teaching a wide variety of individuals all over Europe with varying degrees of competence both in ICT and English I felt that I was a confident teacher with a wide variety of teaching tools at my disposal. </w:t>
      </w:r>
      <w:r w:rsidR="001F375C" w:rsidRPr="00A74103">
        <w:rPr>
          <w:noProof/>
        </w:rPr>
        <w:t xml:space="preserve">Nguyen, et al. </w:t>
      </w:r>
      <w:r w:rsidR="001F375C">
        <w:rPr>
          <w:noProof/>
        </w:rPr>
        <w:t>(</w:t>
      </w:r>
      <w:r w:rsidR="001F375C" w:rsidRPr="00A74103">
        <w:rPr>
          <w:noProof/>
        </w:rPr>
        <w:t>2017)</w:t>
      </w:r>
      <w:r w:rsidR="00A74103">
        <w:t xml:space="preserve"> suggests that confidence in teaching stems from effective preparation in the planning stages as noted above I have developed my planning skills which has enabled me to feel more confident about delivering sessions with the cohorts. </w:t>
      </w:r>
      <w:r w:rsidR="001B4380">
        <w:t xml:space="preserve">Throughout the Professional Teaching Experience I have endeavoured </w:t>
      </w:r>
      <w:r w:rsidR="00B362A1">
        <w:t>to utilise the</w:t>
      </w:r>
      <w:r w:rsidR="001B4380">
        <w:t xml:space="preserve"> </w:t>
      </w:r>
      <w:r w:rsidR="00F400DB">
        <w:t xml:space="preserve">tools </w:t>
      </w:r>
      <w:r w:rsidR="00B362A1">
        <w:t xml:space="preserve">I have developed over through my experience </w:t>
      </w:r>
      <w:r w:rsidR="00F400DB">
        <w:t>to enhance the students learning. I have also aimed to introduce new teaching tools into my practice such as a formal debate process this had been met with mixed succe</w:t>
      </w:r>
      <w:r w:rsidR="00B362A1">
        <w:t>ss with</w:t>
      </w:r>
      <w:r w:rsidR="00480DAB">
        <w:t xml:space="preserve">in the level six cohort. </w:t>
      </w:r>
      <w:r w:rsidR="00B362A1">
        <w:t xml:space="preserve">As discussed by </w:t>
      </w:r>
      <w:sdt>
        <w:sdtPr>
          <w:id w:val="997232253"/>
          <w:citation/>
        </w:sdtPr>
        <w:sdtEndPr/>
        <w:sdtContent>
          <w:r w:rsidR="00B362A1">
            <w:fldChar w:fldCharType="begin"/>
          </w:r>
          <w:r w:rsidR="00B362A1">
            <w:instrText xml:space="preserve"> CITATION Yvo052 \l 2057 </w:instrText>
          </w:r>
          <w:r w:rsidR="00B362A1">
            <w:fldChar w:fldCharType="separate"/>
          </w:r>
          <w:r w:rsidR="00B362A1" w:rsidRPr="00B362A1">
            <w:rPr>
              <w:noProof/>
            </w:rPr>
            <w:t>(Hillier, 2005)</w:t>
          </w:r>
          <w:r w:rsidR="00B362A1">
            <w:fldChar w:fldCharType="end"/>
          </w:r>
        </w:sdtContent>
      </w:sdt>
      <w:r w:rsidR="00B362A1">
        <w:t xml:space="preserve"> there are as many teaching strategies as there are learning styles however they all aim for the same outcome, to enhance the students learning. Hillier also notes that an effective strategy when engaging adult learners will take into account their own experiences and views, this is a view derived from and supported by </w:t>
      </w:r>
      <w:r w:rsidR="001F375C">
        <w:rPr>
          <w:noProof/>
        </w:rPr>
        <w:t>Knowles (</w:t>
      </w:r>
      <w:r w:rsidR="001F375C" w:rsidRPr="00B362A1">
        <w:rPr>
          <w:noProof/>
        </w:rPr>
        <w:t>1990)</w:t>
      </w:r>
      <w:r w:rsidR="00B362A1">
        <w:t xml:space="preserve">. </w:t>
      </w:r>
    </w:p>
    <w:p w14:paraId="613247F9" w14:textId="6263444C" w:rsidR="00100510" w:rsidRDefault="00480DAB">
      <w:r>
        <w:t>On the whole I have had a largely positive reaction</w:t>
      </w:r>
      <w:r w:rsidR="00A55018">
        <w:t xml:space="preserve"> to my teaching style fro</w:t>
      </w:r>
      <w:r>
        <w:t xml:space="preserve">m the three cohorts, the level four group have responded the most positively to my semi-formal approach </w:t>
      </w:r>
      <w:r w:rsidR="00A55018">
        <w:t>with the level six cohort being the least receptive. There has been no definitive feedback provided for this</w:t>
      </w:r>
      <w:r w:rsidR="001F375C">
        <w:t>,</w:t>
      </w:r>
      <w:r w:rsidR="00A55018">
        <w:t xml:space="preserve"> however</w:t>
      </w:r>
      <w:r w:rsidR="001F375C">
        <w:t>,</w:t>
      </w:r>
      <w:r w:rsidR="00A55018">
        <w:t xml:space="preserve"> there are a number of potential causes; firstly some of the level six cohort were also reading the undergraduate degree at the same level as myself </w:t>
      </w:r>
      <w:r w:rsidR="00A55018">
        <w:lastRenderedPageBreak/>
        <w:t xml:space="preserve">and were required to resit a level within the program making the relationship slightly </w:t>
      </w:r>
      <w:r w:rsidR="00176688">
        <w:t>c</w:t>
      </w:r>
      <w:r w:rsidR="00A55018">
        <w:t xml:space="preserve">omplex. It had also been noted by my mentor that with in the level six cohort that there were a number of strong personalities and that this </w:t>
      </w:r>
      <w:r w:rsidR="00176688">
        <w:t xml:space="preserve">had in previous years caused significant levels of friction in the group. </w:t>
      </w:r>
      <w:r w:rsidR="00B362A1">
        <w:t xml:space="preserve">As discussed by </w:t>
      </w:r>
      <w:r w:rsidR="001F375C" w:rsidRPr="00B362A1">
        <w:rPr>
          <w:noProof/>
        </w:rPr>
        <w:t xml:space="preserve">Minton </w:t>
      </w:r>
      <w:r w:rsidR="001F375C">
        <w:rPr>
          <w:noProof/>
        </w:rPr>
        <w:t>(</w:t>
      </w:r>
      <w:r w:rsidR="001F375C" w:rsidRPr="00B362A1">
        <w:rPr>
          <w:noProof/>
        </w:rPr>
        <w:t>2005)</w:t>
      </w:r>
      <w:r w:rsidR="00B362A1">
        <w:t xml:space="preserve"> it is vital for education practitioners to consider the validity of the teaching strategy being utilised when planning, delivering and reflecting on taught sessions. Essentially the practitioner needs to have a clear understanding of the student body to ensure the teaching meets their needs. Based on this I altered my preferred andragogical style of teaching to a more pedagogical method with this group. This achieved the same results in terms of student attainment whilst maintaining their participation levels.</w:t>
      </w:r>
    </w:p>
    <w:p w14:paraId="6103126C" w14:textId="4AAF9022" w:rsidR="00313032" w:rsidRDefault="00041B25">
      <w:r>
        <w:t>Throughout this placement classroom management has been a consistent personal development point. As noted above I have favoured a semi-formal teaching style allowing students the opportunity to discuss subjects and, within reason, take those discussions in any direction they see fit</w:t>
      </w:r>
      <w:r w:rsidR="00CC6C79">
        <w:t xml:space="preserve">. However, on occasions the students have </w:t>
      </w:r>
      <w:r w:rsidR="00313032">
        <w:t>either not engaged fully with the discussion or attempted to move the discussion in a direction that wasn’t relevant to the subject at hand.</w:t>
      </w:r>
      <w:r w:rsidR="005D5C43">
        <w:t xml:space="preserve"> </w:t>
      </w:r>
      <w:r w:rsidR="00077BB0">
        <w:t xml:space="preserve">As discussed by </w:t>
      </w:r>
      <w:r w:rsidR="001F375C" w:rsidRPr="00AE1417">
        <w:rPr>
          <w:noProof/>
        </w:rPr>
        <w:t xml:space="preserve">Wallace </w:t>
      </w:r>
      <w:r w:rsidR="001F375C">
        <w:rPr>
          <w:noProof/>
        </w:rPr>
        <w:t>(</w:t>
      </w:r>
      <w:r w:rsidR="001F375C" w:rsidRPr="00AE1417">
        <w:rPr>
          <w:noProof/>
        </w:rPr>
        <w:t>2011)</w:t>
      </w:r>
      <w:r w:rsidR="00AE1417">
        <w:t xml:space="preserve"> classroom management can be defined as removing barriers to students learning, this can be </w:t>
      </w:r>
      <w:r w:rsidR="00827837">
        <w:t xml:space="preserve">items as mundane as closing blinds to reduce the glare on a screen to addressing poor behaviour by other members of the cohort. </w:t>
      </w:r>
      <w:r w:rsidR="001F375C" w:rsidRPr="00A214F3">
        <w:rPr>
          <w:noProof/>
        </w:rPr>
        <w:t xml:space="preserve">Muijis &amp; Reynolds </w:t>
      </w:r>
      <w:r w:rsidR="001F375C">
        <w:rPr>
          <w:noProof/>
        </w:rPr>
        <w:t>(</w:t>
      </w:r>
      <w:r w:rsidR="001F375C" w:rsidRPr="00A214F3">
        <w:rPr>
          <w:noProof/>
        </w:rPr>
        <w:t>2011)</w:t>
      </w:r>
      <w:r w:rsidR="00A214F3">
        <w:t xml:space="preserve"> state that there are a number of reasons behind poor pupil behaviour but that the majority of these stem from a lack of motiva</w:t>
      </w:r>
      <w:r w:rsidR="00D735E4">
        <w:t xml:space="preserve">tion on the part of the learner. </w:t>
      </w:r>
      <w:r w:rsidR="00313032">
        <w:t xml:space="preserve">As noted above I attempted to introduce a formal debate into one of my teaching sessions, the session was three hours long spilt into two parts the first being two hours. </w:t>
      </w:r>
      <w:r w:rsidR="005D5C43">
        <w:t xml:space="preserve">Within the first session </w:t>
      </w:r>
      <w:r w:rsidR="00313032">
        <w:t>I introduced the level six students to the subject using a pedagogical approach to ensure they had an understanding of the topic</w:t>
      </w:r>
      <w:r w:rsidR="005D5C43">
        <w:t>.</w:t>
      </w:r>
      <w:r w:rsidR="00313032">
        <w:t xml:space="preserve"> I then provided the students with the parameters of the debate and set them the task to research the topic with in these parameters</w:t>
      </w:r>
      <w:r w:rsidR="005D5C43">
        <w:t xml:space="preserve">. The debate had been planned to take place in the final hour. At the start of the third hour four students who had not been present in the initial sessions arrived and proceeded to be increasingly disruptive. I attempted to manage this by initially ignoring the disruption and encouraging the students who were attempting to engage through verbal and non-verbal nods. When this did not dissipate the disruption I specifically spoke to the students stating that if they had attended the first session they would know what the task was and asking them to be quiet, unfortunately at this point the rest of the cohort had </w:t>
      </w:r>
      <w:r w:rsidR="005D5C43">
        <w:lastRenderedPageBreak/>
        <w:t>disengaged and the debate had become worthless.</w:t>
      </w:r>
      <w:r w:rsidR="00077BB0">
        <w:t xml:space="preserve"> As noted by </w:t>
      </w:r>
      <w:r w:rsidR="001F375C" w:rsidRPr="00077BB0">
        <w:rPr>
          <w:noProof/>
        </w:rPr>
        <w:t xml:space="preserve">Armitage, et al. </w:t>
      </w:r>
      <w:r w:rsidR="001F375C">
        <w:rPr>
          <w:noProof/>
        </w:rPr>
        <w:t>(</w:t>
      </w:r>
      <w:r w:rsidR="001F375C" w:rsidRPr="00077BB0">
        <w:rPr>
          <w:noProof/>
        </w:rPr>
        <w:t>2003)</w:t>
      </w:r>
      <w:r w:rsidR="00AE1417">
        <w:t xml:space="preserve"> within any classroom management scenario, there is a presupposition that any technique utilised will enhance the learning experience for all of the individuals with in that group,</w:t>
      </w:r>
      <w:r w:rsidR="005D5C43">
        <w:t xml:space="preserve"> </w:t>
      </w:r>
      <w:r w:rsidR="00AE1417">
        <w:t>o</w:t>
      </w:r>
      <w:r w:rsidR="005D5C43">
        <w:t>n reflection in this instance I should have simply told the students who had missed the first session to leave as this would have allowed those students who were engaged to participate effectively</w:t>
      </w:r>
      <w:r w:rsidR="00AE1417">
        <w:t xml:space="preserve"> thus making the session beneficial for all present</w:t>
      </w:r>
      <w:r w:rsidR="005D5C43">
        <w:t xml:space="preserve">.   </w:t>
      </w:r>
    </w:p>
    <w:p w14:paraId="273727B1" w14:textId="50781CDF" w:rsidR="001C13FE" w:rsidRDefault="009F7F95">
      <w:pPr>
        <w:rPr>
          <w:noProof/>
        </w:rPr>
      </w:pPr>
      <w:r>
        <w:t>Within the Professional Teaching Experience I have made extensive use of formative assessment to monitor the students’ understanding within the taught sessions. This assessment has largely taken the format of questioning the student cohort in general regarding the topics we had recently discussed. I also specifically built into the start of each taught session a recap of previous sessions that allowed students to clarify any information they were not clear on or to consolidate their understanding through discussion with other students.</w:t>
      </w:r>
      <w:r w:rsidR="001C13FE">
        <w:t xml:space="preserve"> I have also provided level six students extensive formative assessment and guidance on their independent projects in a one to one setting. </w:t>
      </w:r>
      <w:r w:rsidR="001F375C" w:rsidRPr="00982EF1">
        <w:rPr>
          <w:noProof/>
        </w:rPr>
        <w:t xml:space="preserve">Bryan </w:t>
      </w:r>
      <w:r w:rsidR="001F375C">
        <w:rPr>
          <w:noProof/>
        </w:rPr>
        <w:t>(2015</w:t>
      </w:r>
      <w:r w:rsidR="00073396">
        <w:t xml:space="preserve"> p40) defines formative assessment as being ‘designed to provide learners with feedback on progress and to feed forward to inform development’. </w:t>
      </w:r>
      <w:r w:rsidR="001C13FE">
        <w:t xml:space="preserve">In all of the formative assessment I have undertaken with the students feedback has been the key consideration, as discussed by </w:t>
      </w:r>
      <w:r w:rsidR="001F375C" w:rsidRPr="001C13FE">
        <w:rPr>
          <w:noProof/>
        </w:rPr>
        <w:t xml:space="preserve">Hillier </w:t>
      </w:r>
      <w:r w:rsidR="001F375C">
        <w:rPr>
          <w:noProof/>
        </w:rPr>
        <w:t>(</w:t>
      </w:r>
      <w:r w:rsidR="001F375C" w:rsidRPr="001C13FE">
        <w:rPr>
          <w:noProof/>
        </w:rPr>
        <w:t>2005)</w:t>
      </w:r>
      <w:r w:rsidR="001C13FE">
        <w:t xml:space="preserve"> feedback must be concise, clear and constructive. Concise so the student is able to engage with it and it does not impact on the taught session, clear so that the student can easily understand what it is they need to do to either improve or maintain their current standard, and constructive so that the student does not feel demoralised and remains willing to engage.</w:t>
      </w:r>
      <w:r w:rsidR="007105AB">
        <w:t xml:space="preserve">  </w:t>
      </w:r>
      <w:r w:rsidR="001F375C" w:rsidRPr="007105AB">
        <w:rPr>
          <w:noProof/>
        </w:rPr>
        <w:t xml:space="preserve">Armitage, et al. </w:t>
      </w:r>
      <w:r w:rsidR="001F375C">
        <w:rPr>
          <w:noProof/>
        </w:rPr>
        <w:t>(</w:t>
      </w:r>
      <w:r w:rsidR="001F375C" w:rsidRPr="007105AB">
        <w:rPr>
          <w:noProof/>
        </w:rPr>
        <w:t>2003)</w:t>
      </w:r>
      <w:r w:rsidR="007105AB">
        <w:t xml:space="preserve"> support</w:t>
      </w:r>
      <w:r w:rsidR="00073396">
        <w:t>s</w:t>
      </w:r>
      <w:r w:rsidR="007105AB">
        <w:t xml:space="preserve"> this view of assessment</w:t>
      </w:r>
      <w:r w:rsidR="00073396">
        <w:t>,</w:t>
      </w:r>
      <w:r w:rsidR="007105AB">
        <w:t xml:space="preserve"> also stating that a valid assessment checks that the learning objectives have been achieved by the student. In the case of the recap sessions I had built into </w:t>
      </w:r>
      <w:r w:rsidR="00982EF1">
        <w:t>the taught sessions the aim was to ensure the students had met the learning ob</w:t>
      </w:r>
      <w:r w:rsidR="00073396">
        <w:t>jectives for previous sessions and to allow them to also feedback on any areas they felt they need to recover. When carrying out the one to one sessions for the level six students my aim was to feed forward to allow</w:t>
      </w:r>
      <w:r w:rsidR="003B69FE">
        <w:t xml:space="preserve"> them to develop their projects. I have also been involved in second marking summative assessments at the end of a taught module, in these instances the aim was to ensure that the feedback provided to the students was valid and met the criteria discussed above.</w:t>
      </w:r>
    </w:p>
    <w:p w14:paraId="52BFC54A" w14:textId="3C65D6C4" w:rsidR="00F66664" w:rsidRDefault="00F66664">
      <w:r>
        <w:t xml:space="preserve">In conclusion </w:t>
      </w:r>
      <w:r w:rsidR="00DD2CEB">
        <w:t xml:space="preserve">as I had a significant amount of experience as a trainer in industry I had to make a significant effort through this Professional Teaching Experience to adapt and </w:t>
      </w:r>
      <w:r w:rsidR="00DD2CEB">
        <w:lastRenderedPageBreak/>
        <w:t xml:space="preserve">develop my practice in some areas this was relatively straight forward, for example my subject knowledge needed to be updated as new research and legislation was released however in terms of actual teaching style and methods this was </w:t>
      </w:r>
      <w:r w:rsidR="00582D4B">
        <w:t xml:space="preserve">far more difficult. From the feedback I have received from my mentor and from the students themselves has been largely positive, the content of the subjects has been of a consistently high standard and the students have for the most part responded well when I’ve utilised new or alternative teaching strategies. </w:t>
      </w:r>
      <w:r w:rsidR="00DD2CEB">
        <w:t xml:space="preserve"> </w:t>
      </w:r>
      <w:r w:rsidR="00FC7934">
        <w:t>I have developed in a number of ways through the Professional Teaching Experience</w:t>
      </w:r>
      <w:r w:rsidR="00680BB8">
        <w:t xml:space="preserve"> despite being confident in teaching ICT and soft skills to a wide variety of individuals when I first started the placement I was less confident on my ability to teach in academia through the support of my mentor I am now back to the confidence level of being able to teach any subject given enough preparation time.  </w:t>
      </w:r>
      <w:r w:rsidR="00FC7934">
        <w:t xml:space="preserve">  </w:t>
      </w:r>
    </w:p>
    <w:p w14:paraId="6976EFBE" w14:textId="77777777" w:rsidR="001C13FE" w:rsidRDefault="001C13FE"/>
    <w:p w14:paraId="467A1CBA" w14:textId="6A35AE60" w:rsidR="009F7F95" w:rsidRDefault="001C13FE">
      <w:r>
        <w:t xml:space="preserve"> </w:t>
      </w:r>
    </w:p>
    <w:p w14:paraId="5977737E" w14:textId="77777777" w:rsidR="00100510" w:rsidRDefault="00100510"/>
    <w:p w14:paraId="56968622" w14:textId="77777777" w:rsidR="00100510" w:rsidRDefault="00100510"/>
    <w:p w14:paraId="67A4ACA0" w14:textId="77777777" w:rsidR="00100510" w:rsidRDefault="00100510"/>
    <w:p w14:paraId="337F7401" w14:textId="77777777" w:rsidR="00100510" w:rsidRDefault="00100510"/>
    <w:p w14:paraId="7DCC93E7" w14:textId="77777777" w:rsidR="00E22B69" w:rsidRDefault="00B16EF7">
      <w:pPr>
        <w:spacing w:line="259" w:lineRule="auto"/>
        <w:contextualSpacing w:val="0"/>
      </w:pPr>
      <w:r>
        <w:br w:type="page"/>
      </w:r>
    </w:p>
    <w:sdt>
      <w:sdtPr>
        <w:rPr>
          <w:rFonts w:asciiTheme="minorHAnsi" w:eastAsiaTheme="minorHAnsi" w:hAnsiTheme="minorHAnsi" w:cstheme="minorBidi"/>
          <w:color w:val="auto"/>
          <w:sz w:val="24"/>
          <w:szCs w:val="22"/>
          <w:lang w:val="en-GB"/>
        </w:rPr>
        <w:id w:val="308986321"/>
        <w:docPartObj>
          <w:docPartGallery w:val="Bibliographies"/>
          <w:docPartUnique/>
        </w:docPartObj>
      </w:sdtPr>
      <w:sdtEndPr/>
      <w:sdtContent>
        <w:p w14:paraId="2C52F550" w14:textId="4E074D83" w:rsidR="00E22B69" w:rsidRDefault="00E22B69">
          <w:pPr>
            <w:pStyle w:val="Heading1"/>
          </w:pPr>
          <w:r>
            <w:t>References</w:t>
          </w:r>
        </w:p>
        <w:sdt>
          <w:sdtPr>
            <w:id w:val="-573587230"/>
            <w:bibliography/>
          </w:sdtPr>
          <w:sdtEndPr/>
          <w:sdtContent>
            <w:p w14:paraId="5BF97339" w14:textId="77777777" w:rsidR="00E22B69" w:rsidRDefault="00E22B69" w:rsidP="00E22B69">
              <w:pPr>
                <w:pStyle w:val="Bibliography"/>
                <w:rPr>
                  <w:noProof/>
                  <w:szCs w:val="24"/>
                  <w:lang w:val="en-US"/>
                </w:rPr>
              </w:pPr>
              <w:r>
                <w:fldChar w:fldCharType="begin"/>
              </w:r>
              <w:r>
                <w:instrText xml:space="preserve"> BIBLIOGRAPHY </w:instrText>
              </w:r>
              <w:r>
                <w:fldChar w:fldCharType="separate"/>
              </w:r>
              <w:r>
                <w:rPr>
                  <w:noProof/>
                  <w:lang w:val="en-US"/>
                </w:rPr>
                <w:t xml:space="preserve">Armitage, A. et al., 2003. </w:t>
              </w:r>
              <w:r>
                <w:rPr>
                  <w:i/>
                  <w:iCs/>
                  <w:noProof/>
                  <w:lang w:val="en-US"/>
                </w:rPr>
                <w:t xml:space="preserve">Teaching and Training in Post-Compulsory Education. </w:t>
              </w:r>
              <w:r>
                <w:rPr>
                  <w:noProof/>
                  <w:lang w:val="en-US"/>
                </w:rPr>
                <w:t>2nd ed. Maidenhead: Open University Press.</w:t>
              </w:r>
            </w:p>
            <w:p w14:paraId="0BC63152" w14:textId="77777777" w:rsidR="00E22B69" w:rsidRDefault="00E22B69" w:rsidP="00E22B69">
              <w:pPr>
                <w:pStyle w:val="Bibliography"/>
                <w:rPr>
                  <w:noProof/>
                  <w:lang w:val="en-US"/>
                </w:rPr>
              </w:pPr>
              <w:r>
                <w:rPr>
                  <w:noProof/>
                  <w:lang w:val="en-US"/>
                </w:rPr>
                <w:t xml:space="preserve">Bryan, C., 2015. Enhancing Student Learning. In: J. Lea, ed. </w:t>
              </w:r>
              <w:r>
                <w:rPr>
                  <w:i/>
                  <w:iCs/>
                  <w:noProof/>
                  <w:lang w:val="en-US"/>
                </w:rPr>
                <w:t xml:space="preserve">Enhancing Learning and Teaching in Higher Education engaging with the dimensions of practice. </w:t>
              </w:r>
              <w:r>
                <w:rPr>
                  <w:noProof/>
                  <w:lang w:val="en-US"/>
                </w:rPr>
                <w:t>Maidenhead: Open University Press, pp. 20-53.</w:t>
              </w:r>
            </w:p>
            <w:p w14:paraId="4D5EC193" w14:textId="77777777" w:rsidR="00E22B69" w:rsidRDefault="00E22B69" w:rsidP="00E22B69">
              <w:pPr>
                <w:pStyle w:val="Bibliography"/>
                <w:rPr>
                  <w:noProof/>
                  <w:lang w:val="en-US"/>
                </w:rPr>
              </w:pPr>
              <w:r>
                <w:rPr>
                  <w:noProof/>
                  <w:lang w:val="en-US"/>
                </w:rPr>
                <w:t xml:space="preserve">Chassang, G., 2017. The impact of the EU general data protection regulation on scientific research. </w:t>
              </w:r>
              <w:r>
                <w:rPr>
                  <w:i/>
                  <w:iCs/>
                  <w:noProof/>
                  <w:lang w:val="en-US"/>
                </w:rPr>
                <w:t xml:space="preserve">Ecancermedicalscience, </w:t>
              </w:r>
              <w:r>
                <w:rPr>
                  <w:noProof/>
                  <w:lang w:val="en-US"/>
                </w:rPr>
                <w:t>Volume 11, p. 709.</w:t>
              </w:r>
            </w:p>
            <w:p w14:paraId="4734F360" w14:textId="77777777" w:rsidR="00E22B69" w:rsidRDefault="00E22B69" w:rsidP="00E22B69">
              <w:pPr>
                <w:pStyle w:val="Bibliography"/>
                <w:rPr>
                  <w:noProof/>
                  <w:lang w:val="en-US"/>
                </w:rPr>
              </w:pPr>
              <w:r>
                <w:rPr>
                  <w:noProof/>
                  <w:lang w:val="en-US"/>
                </w:rPr>
                <w:t xml:space="preserve">Even, R., 1990. Subject Matter Knowledge for Teaching and the Case of Functions. </w:t>
              </w:r>
              <w:r>
                <w:rPr>
                  <w:i/>
                  <w:iCs/>
                  <w:noProof/>
                  <w:lang w:val="en-US"/>
                </w:rPr>
                <w:t xml:space="preserve">Educational Studies in Mathematics, </w:t>
              </w:r>
              <w:r>
                <w:rPr>
                  <w:noProof/>
                  <w:lang w:val="en-US"/>
                </w:rPr>
                <w:t>21(6), pp. 521-544.</w:t>
              </w:r>
            </w:p>
            <w:p w14:paraId="556994F2" w14:textId="77777777" w:rsidR="00E22B69" w:rsidRDefault="00E22B69" w:rsidP="00E22B69">
              <w:pPr>
                <w:pStyle w:val="Bibliography"/>
                <w:rPr>
                  <w:noProof/>
                  <w:lang w:val="en-US"/>
                </w:rPr>
              </w:pPr>
              <w:r>
                <w:rPr>
                  <w:noProof/>
                  <w:lang w:val="en-US"/>
                </w:rPr>
                <w:t xml:space="preserve">Herold, F. &amp; Waring, M., 2017. Is practical subject matter knowledge still important? Examining the Siedentopian perspective on the role of content knowledge in physical education teacher education. </w:t>
              </w:r>
              <w:r>
                <w:rPr>
                  <w:i/>
                  <w:iCs/>
                  <w:noProof/>
                  <w:lang w:val="en-US"/>
                </w:rPr>
                <w:t xml:space="preserve">PHYSICAL EDUCATION AND SPORT PEDAGOGY, </w:t>
              </w:r>
              <w:r>
                <w:rPr>
                  <w:noProof/>
                  <w:lang w:val="en-US"/>
                </w:rPr>
                <w:t>22(3), pp. 231-245.</w:t>
              </w:r>
            </w:p>
            <w:p w14:paraId="4E83F768" w14:textId="77777777" w:rsidR="00E22B69" w:rsidRDefault="00E22B69" w:rsidP="00E22B69">
              <w:pPr>
                <w:pStyle w:val="Bibliography"/>
                <w:rPr>
                  <w:noProof/>
                  <w:lang w:val="en-US"/>
                </w:rPr>
              </w:pPr>
              <w:r>
                <w:rPr>
                  <w:noProof/>
                  <w:lang w:val="en-US"/>
                </w:rPr>
                <w:t xml:space="preserve">Hillier, Y., 2005. </w:t>
              </w:r>
              <w:r>
                <w:rPr>
                  <w:i/>
                  <w:iCs/>
                  <w:noProof/>
                  <w:lang w:val="en-US"/>
                </w:rPr>
                <w:t xml:space="preserve">Reflective Teaching in Further and Adult Education. </w:t>
              </w:r>
              <w:r>
                <w:rPr>
                  <w:noProof/>
                  <w:lang w:val="en-US"/>
                </w:rPr>
                <w:t>2nd ed. London: Continuum.</w:t>
              </w:r>
            </w:p>
            <w:p w14:paraId="37B73569" w14:textId="77777777" w:rsidR="00E22B69" w:rsidRDefault="00E22B69" w:rsidP="00E22B69">
              <w:pPr>
                <w:pStyle w:val="Bibliography"/>
                <w:rPr>
                  <w:noProof/>
                  <w:lang w:val="en-US"/>
                </w:rPr>
              </w:pPr>
              <w:r>
                <w:rPr>
                  <w:noProof/>
                  <w:lang w:val="en-US"/>
                </w:rPr>
                <w:t xml:space="preserve">Iserbyt, P., Ward, P. &amp; Martens, J., 2016. The influence of content knowledge on teaching and learning in Traditional and Sport Education contexts: an exploratory study. </w:t>
              </w:r>
              <w:r>
                <w:rPr>
                  <w:i/>
                  <w:iCs/>
                  <w:noProof/>
                  <w:lang w:val="en-US"/>
                </w:rPr>
                <w:t xml:space="preserve">Physical Education and Sport Pedagogy, </w:t>
              </w:r>
              <w:r>
                <w:rPr>
                  <w:noProof/>
                  <w:lang w:val="en-US"/>
                </w:rPr>
                <w:t>21(5), pp. 539-556.</w:t>
              </w:r>
            </w:p>
            <w:p w14:paraId="0A88D4D0" w14:textId="77777777" w:rsidR="00E22B69" w:rsidRDefault="00E22B69" w:rsidP="00E22B69">
              <w:pPr>
                <w:pStyle w:val="Bibliography"/>
                <w:rPr>
                  <w:noProof/>
                  <w:lang w:val="en-US"/>
                </w:rPr>
              </w:pPr>
              <w:r>
                <w:rPr>
                  <w:noProof/>
                  <w:lang w:val="en-US"/>
                </w:rPr>
                <w:t xml:space="preserve">Knowles, M., 1990. </w:t>
              </w:r>
              <w:r>
                <w:rPr>
                  <w:i/>
                  <w:iCs/>
                  <w:noProof/>
                  <w:lang w:val="en-US"/>
                </w:rPr>
                <w:t xml:space="preserve">The Adult Learner A neglected Species. </w:t>
              </w:r>
              <w:r>
                <w:rPr>
                  <w:noProof/>
                  <w:lang w:val="en-US"/>
                </w:rPr>
                <w:t>4th ed. London: Gulf.</w:t>
              </w:r>
            </w:p>
            <w:p w14:paraId="3E58F6F8" w14:textId="77777777" w:rsidR="00E22B69" w:rsidRDefault="00E22B69" w:rsidP="00E22B69">
              <w:pPr>
                <w:pStyle w:val="Bibliography"/>
                <w:rPr>
                  <w:noProof/>
                  <w:lang w:val="en-US"/>
                </w:rPr>
              </w:pPr>
              <w:r>
                <w:rPr>
                  <w:noProof/>
                  <w:lang w:val="en-US"/>
                </w:rPr>
                <w:t xml:space="preserve">Marshik, T., 2015. </w:t>
              </w:r>
              <w:r>
                <w:rPr>
                  <w:i/>
                  <w:iCs/>
                  <w:noProof/>
                  <w:lang w:val="en-US"/>
                </w:rPr>
                <w:t xml:space="preserve">Learning styles &amp; the importance of critical self-reflection. </w:t>
              </w:r>
              <w:r>
                <w:rPr>
                  <w:noProof/>
                  <w:lang w:val="en-US"/>
                </w:rPr>
                <w:t xml:space="preserve">[Online] </w:t>
              </w:r>
              <w:r>
                <w:rPr>
                  <w:noProof/>
                  <w:lang w:val="en-US"/>
                </w:rPr>
                <w:br/>
                <w:t xml:space="preserve">Available at: </w:t>
              </w:r>
              <w:r>
                <w:rPr>
                  <w:noProof/>
                  <w:u w:val="single"/>
                  <w:lang w:val="en-US"/>
                </w:rPr>
                <w:t>https://youtu.be/855Now8h5Rs</w:t>
              </w:r>
              <w:r>
                <w:rPr>
                  <w:noProof/>
                  <w:lang w:val="en-US"/>
                </w:rPr>
                <w:br/>
                <w:t>[Accessed 25 May 2018].</w:t>
              </w:r>
            </w:p>
            <w:p w14:paraId="760765E7" w14:textId="77777777" w:rsidR="00E22B69" w:rsidRDefault="00E22B69" w:rsidP="00E22B69">
              <w:pPr>
                <w:pStyle w:val="Bibliography"/>
                <w:rPr>
                  <w:noProof/>
                  <w:lang w:val="en-US"/>
                </w:rPr>
              </w:pPr>
              <w:r>
                <w:rPr>
                  <w:noProof/>
                  <w:lang w:val="en-US"/>
                </w:rPr>
                <w:t xml:space="preserve">Minton, D., 2005. </w:t>
              </w:r>
              <w:r>
                <w:rPr>
                  <w:i/>
                  <w:iCs/>
                  <w:noProof/>
                  <w:lang w:val="en-US"/>
                </w:rPr>
                <w:t xml:space="preserve">Teaching Skills in Further and Adult Education. </w:t>
              </w:r>
              <w:r>
                <w:rPr>
                  <w:noProof/>
                  <w:lang w:val="en-US"/>
                </w:rPr>
                <w:t>3rd ed. London: Thomson.</w:t>
              </w:r>
            </w:p>
            <w:p w14:paraId="14DD38A5" w14:textId="77777777" w:rsidR="00E22B69" w:rsidRDefault="00E22B69" w:rsidP="00E22B69">
              <w:pPr>
                <w:pStyle w:val="Bibliography"/>
                <w:rPr>
                  <w:noProof/>
                  <w:lang w:val="en-US"/>
                </w:rPr>
              </w:pPr>
              <w:r>
                <w:rPr>
                  <w:noProof/>
                  <w:lang w:val="en-US"/>
                </w:rPr>
                <w:t xml:space="preserve">Muijis, D. &amp; Reynolds, D., 2011. </w:t>
              </w:r>
              <w:r>
                <w:rPr>
                  <w:i/>
                  <w:iCs/>
                  <w:noProof/>
                  <w:lang w:val="en-US"/>
                </w:rPr>
                <w:t xml:space="preserve">Effective Teaching evidence and practice. </w:t>
              </w:r>
              <w:r>
                <w:rPr>
                  <w:noProof/>
                  <w:lang w:val="en-US"/>
                </w:rPr>
                <w:t>3rd ed. London: Sage.</w:t>
              </w:r>
            </w:p>
            <w:p w14:paraId="05D2D0CF" w14:textId="77777777" w:rsidR="00E22B69" w:rsidRDefault="00E22B69" w:rsidP="00E22B69">
              <w:pPr>
                <w:pStyle w:val="Bibliography"/>
                <w:rPr>
                  <w:noProof/>
                  <w:lang w:val="en-US"/>
                </w:rPr>
              </w:pPr>
              <w:r>
                <w:rPr>
                  <w:noProof/>
                  <w:lang w:val="en-US"/>
                </w:rPr>
                <w:t xml:space="preserve">Nguyen, V. N., Forbes, H., Mohebbi, M. &amp; Maxine Duke, 2017. Development and validation of an instrument to measure nurseeducator perceived confidence in clinical teaching. </w:t>
              </w:r>
              <w:r>
                <w:rPr>
                  <w:i/>
                  <w:iCs/>
                  <w:noProof/>
                  <w:lang w:val="en-US"/>
                </w:rPr>
                <w:t xml:space="preserve">Nursing and Health Sciences, </w:t>
              </w:r>
              <w:r>
                <w:rPr>
                  <w:noProof/>
                  <w:lang w:val="en-US"/>
                </w:rPr>
                <w:t>Volume 19, pp. 498-508.</w:t>
              </w:r>
            </w:p>
            <w:p w14:paraId="03A157E4" w14:textId="77777777" w:rsidR="00E22B69" w:rsidRDefault="00E22B69" w:rsidP="00E22B69">
              <w:pPr>
                <w:pStyle w:val="Bibliography"/>
                <w:rPr>
                  <w:noProof/>
                  <w:lang w:val="en-US"/>
                </w:rPr>
              </w:pPr>
              <w:r>
                <w:rPr>
                  <w:noProof/>
                  <w:lang w:val="en-US"/>
                </w:rPr>
                <w:t xml:space="preserve">Wallace, S., 2011. </w:t>
              </w:r>
              <w:r>
                <w:rPr>
                  <w:i/>
                  <w:iCs/>
                  <w:noProof/>
                  <w:lang w:val="en-US"/>
                </w:rPr>
                <w:t xml:space="preserve">Teaching, Tutoring and Training in the Lifelong Learning Sector. </w:t>
              </w:r>
              <w:r>
                <w:rPr>
                  <w:noProof/>
                  <w:lang w:val="en-US"/>
                </w:rPr>
                <w:t>4th ed. Exeter: Learning matters.</w:t>
              </w:r>
            </w:p>
            <w:p w14:paraId="0599C33A" w14:textId="5FB56C44" w:rsidR="00E22B69" w:rsidRDefault="00E22B69" w:rsidP="00E22B69">
              <w:r>
                <w:rPr>
                  <w:b/>
                  <w:bCs/>
                  <w:noProof/>
                </w:rPr>
                <w:lastRenderedPageBreak/>
                <w:fldChar w:fldCharType="end"/>
              </w:r>
            </w:p>
          </w:sdtContent>
        </w:sdt>
      </w:sdtContent>
    </w:sdt>
    <w:p w14:paraId="779EAC24" w14:textId="6E8B21C4" w:rsidR="00CE4278" w:rsidRDefault="00CE4278">
      <w:pPr>
        <w:spacing w:line="259" w:lineRule="auto"/>
        <w:contextualSpacing w:val="0"/>
      </w:pPr>
      <w:r>
        <w:br w:type="page"/>
      </w:r>
    </w:p>
    <w:p w14:paraId="6A9B4434" w14:textId="4F68DB6B" w:rsidR="00B16EF7" w:rsidRDefault="00CE4278">
      <w:pPr>
        <w:spacing w:line="259" w:lineRule="auto"/>
        <w:contextualSpacing w:val="0"/>
      </w:pPr>
      <w:r>
        <w:lastRenderedPageBreak/>
        <w:t>Element 5: Academic Critique</w:t>
      </w:r>
    </w:p>
    <w:p w14:paraId="2BD61824" w14:textId="77777777" w:rsidR="00CE4278" w:rsidRDefault="00CE4278">
      <w:pPr>
        <w:spacing w:line="259" w:lineRule="auto"/>
        <w:contextualSpacing w:val="0"/>
      </w:pPr>
    </w:p>
    <w:p w14:paraId="416AFE3E" w14:textId="77777777" w:rsidR="00CE4278" w:rsidRDefault="00CE4278" w:rsidP="00CE4278">
      <w:r>
        <w:t xml:space="preserve">The purpose of this essay is to provide an academic critique of the use of reflective practice in teaching and learning. In order to do this the essay will consider four main questions; first, who are the main theoretical thinkers concerned with reflective practice, second, what is reflective practice, third, how has the use of reflective practice in teaching and learning developed and finally does the effective use of reflective practice benefit the teacher and learner. This essay will consider the implications of reflective practice from both the teachers and the learners point of view, however it should be noted that in this process the teacher is both the educator and the learner. </w:t>
      </w:r>
    </w:p>
    <w:p w14:paraId="40A856F5" w14:textId="77777777" w:rsidR="00CE4278" w:rsidRDefault="00CE4278" w:rsidP="00CE4278">
      <w:r>
        <w:t xml:space="preserve">As discussed by </w:t>
      </w:r>
      <w:r w:rsidRPr="00EC4277">
        <w:rPr>
          <w:noProof/>
        </w:rPr>
        <w:t xml:space="preserve">Hillier </w:t>
      </w:r>
      <w:r>
        <w:rPr>
          <w:noProof/>
        </w:rPr>
        <w:t>(</w:t>
      </w:r>
      <w:r w:rsidRPr="00EC4277">
        <w:rPr>
          <w:noProof/>
        </w:rPr>
        <w:t>2005)</w:t>
      </w:r>
      <w:r>
        <w:t xml:space="preserve"> reflective practice is an extension of critical theory based on the Frankfurt school of philosophy. This school of thought argues that scientific principles are objective and the solution to any practical problem can be found if a reflective scientific approach can be applied to it and the issues are investigated enough. One of the main members of this school is John Dewey, as discussed by </w:t>
      </w:r>
      <w:r w:rsidRPr="00433C45">
        <w:rPr>
          <w:noProof/>
        </w:rPr>
        <w:t xml:space="preserve">Aubrey &amp; Riley </w:t>
      </w:r>
      <w:r>
        <w:rPr>
          <w:noProof/>
        </w:rPr>
        <w:t>(</w:t>
      </w:r>
      <w:r w:rsidRPr="00433C45">
        <w:rPr>
          <w:noProof/>
        </w:rPr>
        <w:t>2016)</w:t>
      </w:r>
      <w:r>
        <w:t xml:space="preserve"> Dewey’s writings on progressive education were revolutionary for the time as they place the learner at the heart of the educational process. Dewey argued that for effective long lasting learning to take place the learner must be at the centre of the educational process so that the individual can make independent evaluations based on their interests. Dewey furthered this notion by stating that for effective learning to take place the learner must have the opportunity to reflect on their learning in a holistic manner.  </w:t>
      </w:r>
    </w:p>
    <w:p w14:paraId="151CC4F5" w14:textId="77777777" w:rsidR="00CE4278" w:rsidRDefault="00CE4278" w:rsidP="00CE4278">
      <w:r>
        <w:t xml:space="preserve">Leading on from Dewey’s work Kolb defined education as ‘the process whereby knowledge is created through the transformation of experience’ </w:t>
      </w:r>
      <w:r>
        <w:rPr>
          <w:noProof/>
        </w:rPr>
        <w:t>(Kolb, 1984,</w:t>
      </w:r>
      <w:r>
        <w:t xml:space="preserve"> p38). As discussed by </w:t>
      </w:r>
      <w:r>
        <w:rPr>
          <w:noProof/>
        </w:rPr>
        <w:t>Lindon &amp; Trodd</w:t>
      </w:r>
      <w:r w:rsidRPr="00827D3E">
        <w:rPr>
          <w:noProof/>
        </w:rPr>
        <w:t xml:space="preserve"> </w:t>
      </w:r>
      <w:r>
        <w:rPr>
          <w:noProof/>
        </w:rPr>
        <w:t>(</w:t>
      </w:r>
      <w:r w:rsidRPr="00827D3E">
        <w:rPr>
          <w:noProof/>
        </w:rPr>
        <w:t>2016)</w:t>
      </w:r>
      <w:r>
        <w:t xml:space="preserve"> Kolb developed a four stage learning cycle that comprises of; concrete experience, this is a specific event or learning that the individual has experienced or undertaken. Reflective observation, the individual’s opportunity to consider what has occurred within the experience, abstract conceptualisation, the individual drawing conclusions and interpreting the event. Active experimentation is the individual changing their behaviour or in the case of teaching or learning their teaching style or understanding where necessary. It is important to note that within Kolb’s theory there is not a fixed start </w:t>
      </w:r>
      <w:r>
        <w:lastRenderedPageBreak/>
        <w:t xml:space="preserve">point for the learning cycle, however as discussed below when considering reflective practice it is likely that the learning will start with a concrete experience. </w:t>
      </w:r>
    </w:p>
    <w:p w14:paraId="0BBC9737" w14:textId="77777777" w:rsidR="00CE4278" w:rsidRDefault="00CE4278" w:rsidP="00CE4278">
      <w:r>
        <w:t xml:space="preserve">The final theorist linked with reflective practice that this essay will describe is Lev Vygotsky. As </w:t>
      </w:r>
      <w:r w:rsidRPr="005A3555">
        <w:t xml:space="preserve">discussed by </w:t>
      </w:r>
      <w:r w:rsidRPr="005A3555">
        <w:rPr>
          <w:noProof/>
        </w:rPr>
        <w:t xml:space="preserve">Carroll </w:t>
      </w:r>
      <w:r>
        <w:rPr>
          <w:noProof/>
        </w:rPr>
        <w:t>(</w:t>
      </w:r>
      <w:r w:rsidRPr="005A3555">
        <w:rPr>
          <w:noProof/>
        </w:rPr>
        <w:t>2011)</w:t>
      </w:r>
      <w:r>
        <w:t xml:space="preserve"> Vygotsky is a social constructivist rather than a humanistic theorist like Dewey and Kolb, however, his theory of the zone of proximal development also allows the learner to develop their understanding of a subject or experience based on the guidance of a more knowledgeable other. In terms of adult learning it should be noted that Vygotsky’s theory provides for significant amounts of collaboration between the learner and tutor, with the primary on the direction of the learning remaining with the learner and the teacher acting as a guide, supporting the learner in developing their understanding and abilities through effective reflection. In terms of organisational change and continual professional development the use of Vygotsky’s zone of proximal development can allow more rapid adoption of new working practices. </w:t>
      </w:r>
    </w:p>
    <w:p w14:paraId="5D01D2E6" w14:textId="77777777" w:rsidR="00CE4278" w:rsidRDefault="00CE4278" w:rsidP="00CE4278">
      <w:r>
        <w:t xml:space="preserve">Having considered some of the main theorists linked with reflective practice this essay will now consider what reflective practice is. As discussed by </w:t>
      </w:r>
      <w:r w:rsidRPr="00B41D2E">
        <w:rPr>
          <w:noProof/>
        </w:rPr>
        <w:t xml:space="preserve">Loughran </w:t>
      </w:r>
      <w:r>
        <w:rPr>
          <w:noProof/>
        </w:rPr>
        <w:t>(</w:t>
      </w:r>
      <w:r w:rsidRPr="00B41D2E">
        <w:rPr>
          <w:noProof/>
        </w:rPr>
        <w:t>2002)</w:t>
      </w:r>
      <w:r>
        <w:t xml:space="preserve"> reflective practice has a diverse number of meanings, and can be viewed as a spectrum from simply thinking about something to a well-defined process of consideration and action or reaction. </w:t>
      </w:r>
    </w:p>
    <w:p w14:paraId="2A04AB0E" w14:textId="77777777" w:rsidR="00CE4278" w:rsidRDefault="00CE4278" w:rsidP="00CE4278">
      <w:r w:rsidRPr="005B5927">
        <w:rPr>
          <w:noProof/>
        </w:rPr>
        <w:t xml:space="preserve">Ghaye </w:t>
      </w:r>
      <w:r>
        <w:rPr>
          <w:noProof/>
        </w:rPr>
        <w:t>(</w:t>
      </w:r>
      <w:r w:rsidRPr="005B5927">
        <w:rPr>
          <w:noProof/>
        </w:rPr>
        <w:t>2011)</w:t>
      </w:r>
      <w:r>
        <w:t xml:space="preserve"> notes that reflective practice should be considered in two parts; firstly considering what has happened and what knowledge the learner has gained and secondly what the learner is planning on doing with the new knowledge. </w:t>
      </w:r>
      <w:r w:rsidRPr="00317F74">
        <w:rPr>
          <w:noProof/>
        </w:rPr>
        <w:t xml:space="preserve">Ghaye </w:t>
      </w:r>
      <w:r>
        <w:rPr>
          <w:noProof/>
        </w:rPr>
        <w:t>(</w:t>
      </w:r>
      <w:r w:rsidRPr="00317F74">
        <w:rPr>
          <w:noProof/>
        </w:rPr>
        <w:t>2011)</w:t>
      </w:r>
      <w:r>
        <w:t xml:space="preserve"> also argues that there are four types of reflective practice; reflection in action, this can also be described as thinking on ones feet and is most likely habitual to many practitioners. It involves the practitioner making small adjustments to their teaching, instantly, based on the learner’s feedback. Often this type of reflection is unconscious. Reflection on practice, this has two facets, firstly time this type of reflection occurs after an event and involves the practitioner revisiting a lesson. Secondly it involves events of significance, essentially with in this lesson what stood out as having gone well and what could be better. When considering reflective practice this is the most common type practitioners consider. Reflection for action or anticipatory reflection, is a fundamental part of the process and involves the practitioner planning to implement some change within themselves or their practice, however, this does not necessarily mean that all of the plans can be implemented, there may be institutional constraints on improvements the practitioner can envisage that prevent them from </w:t>
      </w:r>
      <w:r>
        <w:lastRenderedPageBreak/>
        <w:t xml:space="preserve">undertaking the change. Finally, reflection with action this is the conscious act of the individual changing their process or practice in line with what they have envisaged. These four types of reflection all fulfil a specific role within an individual’s development and should be considered as a cycle. </w:t>
      </w:r>
    </w:p>
    <w:p w14:paraId="10230856" w14:textId="77777777" w:rsidR="00CE4278" w:rsidRDefault="00CE4278" w:rsidP="00CE4278">
      <w:r>
        <w:t xml:space="preserve">Having considered reflective practice from a learner’s perspective this essay will now consider teaching reflective practice. As discussed by </w:t>
      </w:r>
      <w:r>
        <w:rPr>
          <w:noProof/>
        </w:rPr>
        <w:t>Bleach</w:t>
      </w:r>
      <w:r w:rsidRPr="00BB51DA">
        <w:rPr>
          <w:noProof/>
        </w:rPr>
        <w:t xml:space="preserve"> </w:t>
      </w:r>
      <w:r>
        <w:rPr>
          <w:noProof/>
        </w:rPr>
        <w:t>(</w:t>
      </w:r>
      <w:r w:rsidRPr="00BB51DA">
        <w:rPr>
          <w:noProof/>
        </w:rPr>
        <w:t>1999)</w:t>
      </w:r>
      <w:r>
        <w:t xml:space="preserve"> reflective teaching is based on supporting learners to acquire competencies rather than specific knowledge that was common in traditional pedagogy. These competencies form a framework that allows learners to apply their knowledge in a diverse range of scenarios rather than being limited to a narrow range of knowledge. </w:t>
      </w:r>
      <w:r>
        <w:rPr>
          <w:noProof/>
        </w:rPr>
        <w:t>Lindon &amp; Trodd</w:t>
      </w:r>
      <w:r w:rsidRPr="00FC7D6B">
        <w:rPr>
          <w:noProof/>
        </w:rPr>
        <w:t xml:space="preserve"> </w:t>
      </w:r>
      <w:r>
        <w:rPr>
          <w:noProof/>
        </w:rPr>
        <w:t>(</w:t>
      </w:r>
      <w:r w:rsidRPr="00FC7D6B">
        <w:rPr>
          <w:noProof/>
        </w:rPr>
        <w:t>2016)</w:t>
      </w:r>
      <w:r>
        <w:t xml:space="preserve"> suggest that for the practitioner this involves supporting learners to be able to think logically and critically in order to apply the knowledge they have to a diverse range of situations. </w:t>
      </w:r>
    </w:p>
    <w:p w14:paraId="2B039353" w14:textId="77777777" w:rsidR="00CE4278" w:rsidRDefault="00CE4278" w:rsidP="00CE4278">
      <w:r>
        <w:t xml:space="preserve">In summary it is reasonable to conclude that reflective practice can be defined as a process of considering ones actions and determining if the outcomes were as expected or not, if the outcomes were not as expected, developing a method to change the outcomes to a more desirable state.  </w:t>
      </w:r>
    </w:p>
    <w:p w14:paraId="4337A6F3" w14:textId="77777777" w:rsidR="00CE4278" w:rsidRDefault="00CE4278" w:rsidP="00CE4278">
      <w:r>
        <w:t xml:space="preserve">Having described what reflective practice is this essay will now consider how the use of reflective practice has changed, for the sake of brevity this essay will primarily focus on policy in Wales post devolution when considering contemporary thinking. As discussed by </w:t>
      </w:r>
      <w:r w:rsidRPr="00AD62EE">
        <w:rPr>
          <w:noProof/>
        </w:rPr>
        <w:t xml:space="preserve">Robinson </w:t>
      </w:r>
      <w:r>
        <w:rPr>
          <w:noProof/>
        </w:rPr>
        <w:t>(</w:t>
      </w:r>
      <w:r w:rsidRPr="00AD62EE">
        <w:rPr>
          <w:noProof/>
        </w:rPr>
        <w:t>2006)</w:t>
      </w:r>
      <w:r>
        <w:t xml:space="preserve"> and </w:t>
      </w:r>
      <w:r w:rsidRPr="00842251">
        <w:rPr>
          <w:noProof/>
        </w:rPr>
        <w:t xml:space="preserve">Ng &amp; Tan </w:t>
      </w:r>
      <w:r>
        <w:rPr>
          <w:noProof/>
        </w:rPr>
        <w:t>(</w:t>
      </w:r>
      <w:r w:rsidRPr="00842251">
        <w:rPr>
          <w:noProof/>
        </w:rPr>
        <w:t>2009)</w:t>
      </w:r>
      <w:r>
        <w:t xml:space="preserve"> reflective practice has not been the primary consideration of initial teacher training throughout the history of formalised education. Historically initial teacher training has shifted from an apprentice style observation, copy the experienced teacher, to college or university based, learn the theory and put it in to practice exactly like that, method with little to no consideration of reflection on the part of the trainee. As noted by </w:t>
      </w:r>
      <w:r w:rsidRPr="00B341B7">
        <w:rPr>
          <w:noProof/>
        </w:rPr>
        <w:t xml:space="preserve">Loughran </w:t>
      </w:r>
      <w:r>
        <w:rPr>
          <w:noProof/>
        </w:rPr>
        <w:t>(</w:t>
      </w:r>
      <w:r w:rsidRPr="00B341B7">
        <w:rPr>
          <w:noProof/>
        </w:rPr>
        <w:t>2002)</w:t>
      </w:r>
      <w:r>
        <w:t xml:space="preserve"> and </w:t>
      </w:r>
      <w:r w:rsidRPr="009E1662">
        <w:rPr>
          <w:noProof/>
        </w:rPr>
        <w:t xml:space="preserve">Kyriacou </w:t>
      </w:r>
      <w:r>
        <w:rPr>
          <w:noProof/>
        </w:rPr>
        <w:t>(</w:t>
      </w:r>
      <w:r w:rsidRPr="009E1662">
        <w:rPr>
          <w:noProof/>
        </w:rPr>
        <w:t>2009)</w:t>
      </w:r>
      <w:r>
        <w:t xml:space="preserve"> reflective practice has become the cornerstone of teacher education programs throughout much of the western world since Donald Schon’s work in the 1980s.</w:t>
      </w:r>
      <w:r>
        <w:rPr>
          <w:noProof/>
        </w:rPr>
        <w:t xml:space="preserve"> Bleach</w:t>
      </w:r>
      <w:r w:rsidRPr="00E910EF">
        <w:rPr>
          <w:noProof/>
        </w:rPr>
        <w:t xml:space="preserve"> </w:t>
      </w:r>
      <w:r>
        <w:rPr>
          <w:noProof/>
        </w:rPr>
        <w:t>(</w:t>
      </w:r>
      <w:r w:rsidRPr="00E910EF">
        <w:rPr>
          <w:noProof/>
        </w:rPr>
        <w:t>1999)</w:t>
      </w:r>
      <w:r>
        <w:t xml:space="preserve"> noted that Initial Teacher Training and Newly Qualified Teachers need to be able to focus on observing and reflecting on experienced colleagues practice </w:t>
      </w:r>
      <w:r w:rsidRPr="00E910EF">
        <w:rPr>
          <w:noProof/>
        </w:rPr>
        <w:t xml:space="preserve">Myhill, et al. </w:t>
      </w:r>
      <w:r>
        <w:rPr>
          <w:noProof/>
        </w:rPr>
        <w:t>(</w:t>
      </w:r>
      <w:r w:rsidRPr="00E910EF">
        <w:rPr>
          <w:noProof/>
        </w:rPr>
        <w:t>2006)</w:t>
      </w:r>
      <w:r>
        <w:t xml:space="preserve"> and </w:t>
      </w:r>
      <w:r>
        <w:rPr>
          <w:noProof/>
        </w:rPr>
        <w:t>Ng &amp; Tan</w:t>
      </w:r>
      <w:r w:rsidRPr="00B341B7">
        <w:rPr>
          <w:noProof/>
        </w:rPr>
        <w:t xml:space="preserve"> </w:t>
      </w:r>
      <w:r>
        <w:rPr>
          <w:noProof/>
        </w:rPr>
        <w:t>(</w:t>
      </w:r>
      <w:r w:rsidRPr="00B341B7">
        <w:rPr>
          <w:noProof/>
        </w:rPr>
        <w:t>2009)</w:t>
      </w:r>
      <w:r>
        <w:t xml:space="preserve"> qualified this by stating that collaborative learning between educational practitioners is highly encouraged and that schools should be communities of practice to support individual development. </w:t>
      </w:r>
      <w:r w:rsidRPr="00E910EF">
        <w:rPr>
          <w:noProof/>
        </w:rPr>
        <w:t xml:space="preserve">Myhill, et al. </w:t>
      </w:r>
      <w:r>
        <w:rPr>
          <w:noProof/>
        </w:rPr>
        <w:t>(</w:t>
      </w:r>
      <w:r w:rsidRPr="00E910EF">
        <w:rPr>
          <w:noProof/>
        </w:rPr>
        <w:t>2006)</w:t>
      </w:r>
      <w:r>
        <w:t xml:space="preserve"> also discussed the importance of community learning in improving </w:t>
      </w:r>
      <w:r>
        <w:lastRenderedPageBreak/>
        <w:t xml:space="preserve">individual practice. </w:t>
      </w:r>
      <w:r w:rsidRPr="00FA21EE">
        <w:rPr>
          <w:noProof/>
        </w:rPr>
        <w:t xml:space="preserve">Furlong, et al. </w:t>
      </w:r>
      <w:r>
        <w:rPr>
          <w:noProof/>
        </w:rPr>
        <w:t>(</w:t>
      </w:r>
      <w:r w:rsidRPr="00FA21EE">
        <w:rPr>
          <w:noProof/>
        </w:rPr>
        <w:t>2006)</w:t>
      </w:r>
      <w:r>
        <w:t xml:space="preserve"> state that due to the information society it is not sufficient for teachers to simply be an expert in their subject they will also need to possess expertise in teaching pupils to learn. As discussed by </w:t>
      </w:r>
      <w:r w:rsidRPr="0074581F">
        <w:rPr>
          <w:noProof/>
        </w:rPr>
        <w:t xml:space="preserve">Beuachamp, et al. </w:t>
      </w:r>
      <w:r>
        <w:rPr>
          <w:noProof/>
        </w:rPr>
        <w:t>(</w:t>
      </w:r>
      <w:r w:rsidRPr="0074581F">
        <w:rPr>
          <w:noProof/>
        </w:rPr>
        <w:t>2015)</w:t>
      </w:r>
      <w:r>
        <w:t xml:space="preserve"> Initial Teacher Training in Wales is organised into three interrelated strands; Professional Values and Practice, Knowledge and Understanding Teaching. Whilst research is not explicitly discussed in these strands there is an expectation provided through Welsh Assembly Government guidance that trainee and newly qualified teachers undertake and reflect upon both their own and other research as a way to meet these strands and improve their own practice. Whilst this section of the essay has discussed Initial teacher training in depth </w:t>
      </w:r>
      <w:r w:rsidRPr="009E1662">
        <w:rPr>
          <w:noProof/>
        </w:rPr>
        <w:t xml:space="preserve">Kyriacou </w:t>
      </w:r>
      <w:r>
        <w:rPr>
          <w:noProof/>
        </w:rPr>
        <w:t>(</w:t>
      </w:r>
      <w:r w:rsidRPr="009E1662">
        <w:rPr>
          <w:noProof/>
        </w:rPr>
        <w:t>2009)</w:t>
      </w:r>
      <w:r>
        <w:t xml:space="preserve"> also notes that reflective practice has become a fundamental aspect of a teacher’s ability to improve and modify their practice. Where reflective practice in Initial Teacher Training is often conducted in a formal externally driven manner for experienced practitioners this is often a far more informal and intuitive cyclical process.</w:t>
      </w:r>
    </w:p>
    <w:p w14:paraId="490CA346" w14:textId="77777777" w:rsidR="00CE4278" w:rsidRDefault="00CE4278" w:rsidP="00CE4278">
      <w:r>
        <w:t xml:space="preserve">Having established that reflective practice has become an integral part of the modern educational practitioners daily routine this essay will now consider the benefits and drawbacks of reflective practice. </w:t>
      </w:r>
      <w:r w:rsidRPr="00CE212E">
        <w:rPr>
          <w:noProof/>
        </w:rPr>
        <w:t xml:space="preserve">McNamara </w:t>
      </w:r>
      <w:r>
        <w:rPr>
          <w:noProof/>
        </w:rPr>
        <w:t>(</w:t>
      </w:r>
      <w:r w:rsidRPr="00CE212E">
        <w:rPr>
          <w:noProof/>
        </w:rPr>
        <w:t>1994)</w:t>
      </w:r>
      <w:r>
        <w:t xml:space="preserve"> suggests that the greatest benefit with reflective practice is the bridging of theory to classroom practice and allowing the educational professional to integrate and develop the theory to suit their own circumstances, however this is somewhat of a narrow view and as discussed by </w:t>
      </w:r>
      <w:r w:rsidRPr="001E0021">
        <w:rPr>
          <w:noProof/>
        </w:rPr>
        <w:t xml:space="preserve">Ferraro </w:t>
      </w:r>
      <w:r>
        <w:rPr>
          <w:noProof/>
        </w:rPr>
        <w:t>(</w:t>
      </w:r>
      <w:r w:rsidRPr="001E0021">
        <w:rPr>
          <w:noProof/>
        </w:rPr>
        <w:t>2000)</w:t>
      </w:r>
      <w:r>
        <w:t xml:space="preserve"> it can be argued that there are a number of additional benefits to educational professionals when integrating reflective practice; these include a deeper understanding of their subject specialism, an increased awareness of their teaching style and ultimately greater effectiveness as an educator. </w:t>
      </w:r>
      <w:r w:rsidRPr="004D35D9">
        <w:rPr>
          <w:noProof/>
        </w:rPr>
        <w:t xml:space="preserve">Loughran </w:t>
      </w:r>
      <w:r>
        <w:rPr>
          <w:noProof/>
        </w:rPr>
        <w:t>(</w:t>
      </w:r>
      <w:r w:rsidRPr="004D35D9">
        <w:rPr>
          <w:noProof/>
        </w:rPr>
        <w:t>2002)</w:t>
      </w:r>
      <w:r>
        <w:t xml:space="preserve"> takes a more macro view of these ideas and suggests that effective reflective practice can also inform the wider professional body about certain aspects of their practice and ultimately support the sharing of best practice through the communities of practice discussed above. In an ideal scenario this should develop into public policy and as noted by </w:t>
      </w:r>
      <w:r w:rsidRPr="00FB64CE">
        <w:rPr>
          <w:noProof/>
        </w:rPr>
        <w:t xml:space="preserve">Pollard, et al. </w:t>
      </w:r>
      <w:r>
        <w:rPr>
          <w:noProof/>
        </w:rPr>
        <w:t>(</w:t>
      </w:r>
      <w:r w:rsidRPr="00FB64CE">
        <w:rPr>
          <w:noProof/>
        </w:rPr>
        <w:t>2008)</w:t>
      </w:r>
      <w:r>
        <w:t xml:space="preserve"> many of the general teaching councils within the UK advocate this approach with varying degrees of success. </w:t>
      </w:r>
      <w:r w:rsidRPr="00842251">
        <w:rPr>
          <w:noProof/>
        </w:rPr>
        <w:t xml:space="preserve">Loughran </w:t>
      </w:r>
      <w:r>
        <w:rPr>
          <w:noProof/>
        </w:rPr>
        <w:t>(</w:t>
      </w:r>
      <w:r w:rsidRPr="00842251">
        <w:rPr>
          <w:noProof/>
        </w:rPr>
        <w:t>2002)</w:t>
      </w:r>
      <w:r>
        <w:t xml:space="preserve"> also suggests that reflective practice has significant benefits for the practitioners professional and mental health which given the heightened pace of change in British education at the moment is of significant benefit to the individual. </w:t>
      </w:r>
      <w:r w:rsidRPr="00842251">
        <w:rPr>
          <w:noProof/>
        </w:rPr>
        <w:t xml:space="preserve">Ng &amp; Tan </w:t>
      </w:r>
      <w:r>
        <w:rPr>
          <w:noProof/>
        </w:rPr>
        <w:t>(</w:t>
      </w:r>
      <w:r w:rsidRPr="00842251">
        <w:rPr>
          <w:noProof/>
        </w:rPr>
        <w:t>2009)</w:t>
      </w:r>
      <w:r>
        <w:t xml:space="preserve"> also suggest that reflective practice within learning communities are the most efficient way </w:t>
      </w:r>
      <w:r>
        <w:lastRenderedPageBreak/>
        <w:t xml:space="preserve">for individuals to both create, understand and utilise new knowledge. </w:t>
      </w:r>
      <w:r>
        <w:rPr>
          <w:noProof/>
        </w:rPr>
        <w:t>Ghaye</w:t>
      </w:r>
      <w:r w:rsidRPr="001E0021">
        <w:rPr>
          <w:noProof/>
        </w:rPr>
        <w:t xml:space="preserve"> </w:t>
      </w:r>
      <w:r>
        <w:rPr>
          <w:noProof/>
        </w:rPr>
        <w:t>(</w:t>
      </w:r>
      <w:r w:rsidRPr="001E0021">
        <w:rPr>
          <w:noProof/>
        </w:rPr>
        <w:t>2011)</w:t>
      </w:r>
      <w:r>
        <w:t xml:space="preserve"> expands on these statements noting that reflective practices help educational professionals understand the links between what they do and how they can improve its effectiveness and how professionals feel about their practice and the impact this has on their teaching. </w:t>
      </w:r>
      <w:r w:rsidRPr="00B350DA">
        <w:rPr>
          <w:noProof/>
        </w:rPr>
        <w:t xml:space="preserve">Pollard, et al. </w:t>
      </w:r>
      <w:r>
        <w:rPr>
          <w:noProof/>
        </w:rPr>
        <w:t>(</w:t>
      </w:r>
      <w:r w:rsidRPr="00B350DA">
        <w:rPr>
          <w:noProof/>
        </w:rPr>
        <w:t>2008)</w:t>
      </w:r>
      <w:r>
        <w:t xml:space="preserve"> suggest that reflective teaching should be personally fulfilling for the teacher but also have an incremental increase in the pupil’s attainment as the practitioner improves.  It is important to note that despite reflective practice having been widely established as an effective means of improving classroom performance, as discussed by </w:t>
      </w:r>
      <w:r w:rsidRPr="009E1662">
        <w:rPr>
          <w:noProof/>
        </w:rPr>
        <w:t xml:space="preserve">Myhill, et al. </w:t>
      </w:r>
      <w:r>
        <w:rPr>
          <w:noProof/>
        </w:rPr>
        <w:t>(</w:t>
      </w:r>
      <w:r w:rsidRPr="009E1662">
        <w:rPr>
          <w:noProof/>
        </w:rPr>
        <w:t>2006)</w:t>
      </w:r>
      <w:r>
        <w:t xml:space="preserve"> it is often not effectively carried out in institutions due to constraints of time, lack of support or structure. </w:t>
      </w:r>
    </w:p>
    <w:p w14:paraId="04E09CF5" w14:textId="77777777" w:rsidR="00CE4278" w:rsidRDefault="00CE4278" w:rsidP="00CE4278">
      <w:r>
        <w:t xml:space="preserve">In conclusion it is clear that reflective practice has a long theoretical basis starting, at the end of the nineteenth century, with John Dewey’s seminal work that ultimately influenced a significant number of other theorists including Kolb and Schon. These writers have developed reflective practice in to the science it can be perceived as today. However it is also clear that reflective practice with in the educational setting has only recently become widely utilised despite the benefits to the practitioner’s development, classroom practice and wider policy as a whole being clearly demonstrable. </w:t>
      </w:r>
    </w:p>
    <w:p w14:paraId="37F22564" w14:textId="77777777" w:rsidR="00CE4278" w:rsidRDefault="00CE4278" w:rsidP="00CE4278">
      <w:pPr>
        <w:spacing w:line="259" w:lineRule="auto"/>
        <w:contextualSpacing w:val="0"/>
      </w:pPr>
      <w:r>
        <w:br w:type="page"/>
      </w:r>
    </w:p>
    <w:sdt>
      <w:sdtPr>
        <w:rPr>
          <w:rFonts w:asciiTheme="minorHAnsi" w:eastAsiaTheme="minorHAnsi" w:hAnsiTheme="minorHAnsi" w:cstheme="minorBidi"/>
          <w:color w:val="auto"/>
          <w:sz w:val="24"/>
          <w:szCs w:val="22"/>
          <w:lang w:val="en-GB"/>
        </w:rPr>
        <w:id w:val="-515072681"/>
        <w:docPartObj>
          <w:docPartGallery w:val="Bibliographies"/>
          <w:docPartUnique/>
        </w:docPartObj>
      </w:sdtPr>
      <w:sdtContent>
        <w:p w14:paraId="5F91449E" w14:textId="77777777" w:rsidR="00CE4278" w:rsidRDefault="00CE4278" w:rsidP="00CE4278">
          <w:pPr>
            <w:pStyle w:val="Heading1"/>
          </w:pPr>
          <w:r>
            <w:t>References</w:t>
          </w:r>
        </w:p>
        <w:sdt>
          <w:sdtPr>
            <w:id w:val="1869712626"/>
            <w:bibliography/>
          </w:sdtPr>
          <w:sdtContent>
            <w:p w14:paraId="630252B0" w14:textId="77777777" w:rsidR="00CE4278" w:rsidRDefault="00CE4278" w:rsidP="00CE4278">
              <w:pPr>
                <w:pStyle w:val="Bibliography"/>
                <w:rPr>
                  <w:noProof/>
                  <w:szCs w:val="24"/>
                  <w:lang w:val="en-US"/>
                </w:rPr>
              </w:pPr>
              <w:r>
                <w:fldChar w:fldCharType="begin"/>
              </w:r>
              <w:r>
                <w:instrText xml:space="preserve"> BIBLIOGRAPHY </w:instrText>
              </w:r>
              <w:r>
                <w:fldChar w:fldCharType="separate"/>
              </w:r>
              <w:r>
                <w:rPr>
                  <w:noProof/>
                  <w:lang w:val="en-US"/>
                </w:rPr>
                <w:t xml:space="preserve">Aubrey, K. &amp; Riley, A., 2016. </w:t>
              </w:r>
              <w:r>
                <w:rPr>
                  <w:i/>
                  <w:iCs/>
                  <w:noProof/>
                  <w:lang w:val="en-US"/>
                </w:rPr>
                <w:t xml:space="preserve">Understanding &amp; Using Educational Theories. </w:t>
              </w:r>
              <w:r>
                <w:rPr>
                  <w:noProof/>
                  <w:lang w:val="en-US"/>
                </w:rPr>
                <w:t>London: Sage.</w:t>
              </w:r>
            </w:p>
            <w:p w14:paraId="6B2B1C5A" w14:textId="77777777" w:rsidR="00CE4278" w:rsidRDefault="00CE4278" w:rsidP="00CE4278">
              <w:pPr>
                <w:pStyle w:val="Bibliography"/>
                <w:rPr>
                  <w:noProof/>
                  <w:lang w:val="en-US"/>
                </w:rPr>
              </w:pPr>
              <w:r>
                <w:rPr>
                  <w:noProof/>
                  <w:lang w:val="en-US"/>
                </w:rPr>
                <w:t xml:space="preserve">Beuachamp, G., Clarke, L., Hulme, M. &amp; Murray, J., 2015. Teacher education in the United Kingdom post devolution: convergences and divergences. </w:t>
              </w:r>
              <w:r>
                <w:rPr>
                  <w:i/>
                  <w:iCs/>
                  <w:noProof/>
                  <w:lang w:val="en-US"/>
                </w:rPr>
                <w:t xml:space="preserve">Oxford Review of Education, </w:t>
              </w:r>
              <w:r>
                <w:rPr>
                  <w:noProof/>
                  <w:lang w:val="en-US"/>
                </w:rPr>
                <w:t>41(2), pp. 154-170.</w:t>
              </w:r>
            </w:p>
            <w:p w14:paraId="6FEB908B" w14:textId="77777777" w:rsidR="00CE4278" w:rsidRDefault="00CE4278" w:rsidP="00CE4278">
              <w:pPr>
                <w:pStyle w:val="Bibliography"/>
                <w:rPr>
                  <w:noProof/>
                  <w:lang w:val="en-US"/>
                </w:rPr>
              </w:pPr>
              <w:r>
                <w:rPr>
                  <w:noProof/>
                  <w:lang w:val="en-US"/>
                </w:rPr>
                <w:t xml:space="preserve">Bleach, K., 1999. </w:t>
              </w:r>
              <w:r>
                <w:rPr>
                  <w:i/>
                  <w:iCs/>
                  <w:noProof/>
                  <w:lang w:val="en-US"/>
                </w:rPr>
                <w:t xml:space="preserve">The Induction and Mentoring of Newly Qualified Teachers a new deal for teachers. </w:t>
              </w:r>
              <w:r>
                <w:rPr>
                  <w:noProof/>
                  <w:lang w:val="en-US"/>
                </w:rPr>
                <w:t>London: David Fulton.</w:t>
              </w:r>
            </w:p>
            <w:p w14:paraId="3B151B68" w14:textId="77777777" w:rsidR="00CE4278" w:rsidRDefault="00CE4278" w:rsidP="00CE4278">
              <w:pPr>
                <w:pStyle w:val="Bibliography"/>
                <w:rPr>
                  <w:noProof/>
                  <w:lang w:val="en-US"/>
                </w:rPr>
              </w:pPr>
              <w:r>
                <w:rPr>
                  <w:noProof/>
                  <w:lang w:val="en-US"/>
                </w:rPr>
                <w:t xml:space="preserve">Carroll, M., 2011. Learning Together: Professional Learning Communities. In: C. Forde &amp; J. O'Brien, eds. </w:t>
              </w:r>
              <w:r>
                <w:rPr>
                  <w:i/>
                  <w:iCs/>
                  <w:noProof/>
                  <w:lang w:val="en-US"/>
                </w:rPr>
                <w:t xml:space="preserve">Coaching and Mentoring. </w:t>
              </w:r>
              <w:r>
                <w:rPr>
                  <w:noProof/>
                  <w:lang w:val="en-US"/>
                </w:rPr>
                <w:t>Edinburgh: Dunedin academic Press, pp. 63-81.</w:t>
              </w:r>
            </w:p>
            <w:p w14:paraId="33C948D0" w14:textId="77777777" w:rsidR="00CE4278" w:rsidRDefault="00CE4278" w:rsidP="00CE4278">
              <w:pPr>
                <w:pStyle w:val="Bibliography"/>
                <w:rPr>
                  <w:noProof/>
                  <w:lang w:val="en-US"/>
                </w:rPr>
              </w:pPr>
              <w:r>
                <w:rPr>
                  <w:noProof/>
                  <w:lang w:val="en-US"/>
                </w:rPr>
                <w:t xml:space="preserve">Ferraro, J. M., 2000. </w:t>
              </w:r>
              <w:r>
                <w:rPr>
                  <w:i/>
                  <w:iCs/>
                  <w:noProof/>
                  <w:lang w:val="en-US"/>
                </w:rPr>
                <w:t xml:space="preserve">Reflective Teaching Practice and Professional Development. </w:t>
              </w:r>
              <w:r>
                <w:rPr>
                  <w:noProof/>
                  <w:lang w:val="en-US"/>
                </w:rPr>
                <w:t xml:space="preserve">[Online] </w:t>
              </w:r>
              <w:r>
                <w:rPr>
                  <w:noProof/>
                  <w:lang w:val="en-US"/>
                </w:rPr>
                <w:br/>
                <w:t xml:space="preserve">Available at: </w:t>
              </w:r>
              <w:r>
                <w:rPr>
                  <w:noProof/>
                  <w:u w:val="single"/>
                  <w:lang w:val="en-US"/>
                </w:rPr>
                <w:t>https://files.eric.ed.gov/fulltext/ED449120.pdf</w:t>
              </w:r>
              <w:r>
                <w:rPr>
                  <w:noProof/>
                  <w:lang w:val="en-US"/>
                </w:rPr>
                <w:br/>
                <w:t>[Accessed 23 May 2018].</w:t>
              </w:r>
            </w:p>
            <w:p w14:paraId="4BFB19D8" w14:textId="77777777" w:rsidR="00CE4278" w:rsidRDefault="00CE4278" w:rsidP="00CE4278">
              <w:pPr>
                <w:pStyle w:val="Bibliography"/>
                <w:rPr>
                  <w:noProof/>
                  <w:lang w:val="en-US"/>
                </w:rPr>
              </w:pPr>
              <w:r>
                <w:rPr>
                  <w:noProof/>
                  <w:lang w:val="en-US"/>
                </w:rPr>
                <w:t xml:space="preserve">Furlong, J., Hagger, h. &amp; Butcher, C., 2006. </w:t>
              </w:r>
              <w:r>
                <w:rPr>
                  <w:i/>
                  <w:iCs/>
                  <w:noProof/>
                  <w:lang w:val="en-US"/>
                </w:rPr>
                <w:t xml:space="preserve">Review of Initial Teacher Training Provision in Wales, </w:t>
              </w:r>
              <w:r>
                <w:rPr>
                  <w:noProof/>
                  <w:lang w:val="en-US"/>
                </w:rPr>
                <w:t>Cardiff: Welsh Government.</w:t>
              </w:r>
            </w:p>
            <w:p w14:paraId="7B1B5BD7" w14:textId="77777777" w:rsidR="00CE4278" w:rsidRDefault="00CE4278" w:rsidP="00CE4278">
              <w:pPr>
                <w:pStyle w:val="Bibliography"/>
                <w:rPr>
                  <w:noProof/>
                  <w:lang w:val="en-US"/>
                </w:rPr>
              </w:pPr>
              <w:r>
                <w:rPr>
                  <w:noProof/>
                  <w:lang w:val="en-US"/>
                </w:rPr>
                <w:t xml:space="preserve">Ghaye, T., 2011. </w:t>
              </w:r>
              <w:r>
                <w:rPr>
                  <w:i/>
                  <w:iCs/>
                  <w:noProof/>
                  <w:lang w:val="en-US"/>
                </w:rPr>
                <w:t xml:space="preserve">Teaching and Learning Through Reflective Practice a practical guide for positive action. </w:t>
              </w:r>
              <w:r>
                <w:rPr>
                  <w:noProof/>
                  <w:lang w:val="en-US"/>
                </w:rPr>
                <w:t>2nd ed. Abingdon: Routledge.</w:t>
              </w:r>
            </w:p>
            <w:p w14:paraId="639F4848" w14:textId="77777777" w:rsidR="00CE4278" w:rsidRDefault="00CE4278" w:rsidP="00CE4278">
              <w:pPr>
                <w:pStyle w:val="Bibliography"/>
                <w:rPr>
                  <w:noProof/>
                  <w:lang w:val="en-US"/>
                </w:rPr>
              </w:pPr>
              <w:r>
                <w:rPr>
                  <w:noProof/>
                  <w:lang w:val="en-US"/>
                </w:rPr>
                <w:t xml:space="preserve">Hillier, Y., 2005. </w:t>
              </w:r>
              <w:r>
                <w:rPr>
                  <w:i/>
                  <w:iCs/>
                  <w:noProof/>
                  <w:lang w:val="en-US"/>
                </w:rPr>
                <w:t xml:space="preserve">Reflective Teaching in Further and Adult Education. </w:t>
              </w:r>
              <w:r>
                <w:rPr>
                  <w:noProof/>
                  <w:lang w:val="en-US"/>
                </w:rPr>
                <w:t>2nd ed. London: Continuum.</w:t>
              </w:r>
            </w:p>
            <w:p w14:paraId="70A4D1B0" w14:textId="77777777" w:rsidR="00CE4278" w:rsidRDefault="00CE4278" w:rsidP="00CE4278">
              <w:pPr>
                <w:pStyle w:val="Bibliography"/>
                <w:rPr>
                  <w:noProof/>
                  <w:lang w:val="en-US"/>
                </w:rPr>
              </w:pPr>
              <w:r>
                <w:rPr>
                  <w:noProof/>
                  <w:lang w:val="en-US"/>
                </w:rPr>
                <w:t xml:space="preserve">Kolb, D., 1984. </w:t>
              </w:r>
              <w:r>
                <w:rPr>
                  <w:i/>
                  <w:iCs/>
                  <w:noProof/>
                  <w:lang w:val="en-US"/>
                </w:rPr>
                <w:t xml:space="preserve">Experiential Learning - Experience as the source of learning and development. </w:t>
              </w:r>
              <w:r>
                <w:rPr>
                  <w:noProof/>
                  <w:lang w:val="en-US"/>
                </w:rPr>
                <w:t>London: Prentice-Hall.</w:t>
              </w:r>
            </w:p>
            <w:p w14:paraId="7E0D3D7A" w14:textId="77777777" w:rsidR="00CE4278" w:rsidRDefault="00CE4278" w:rsidP="00CE4278">
              <w:pPr>
                <w:pStyle w:val="Bibliography"/>
                <w:rPr>
                  <w:noProof/>
                  <w:lang w:val="en-US"/>
                </w:rPr>
              </w:pPr>
              <w:r>
                <w:rPr>
                  <w:noProof/>
                  <w:lang w:val="en-US"/>
                </w:rPr>
                <w:t xml:space="preserve">Kyriacou, C., 2009. </w:t>
              </w:r>
              <w:r>
                <w:rPr>
                  <w:i/>
                  <w:iCs/>
                  <w:noProof/>
                  <w:lang w:val="en-US"/>
                </w:rPr>
                <w:t xml:space="preserve">Effective Teaching in Schools. </w:t>
              </w:r>
              <w:r>
                <w:rPr>
                  <w:noProof/>
                  <w:lang w:val="en-US"/>
                </w:rPr>
                <w:t>3rd ed. Cheltenham: Nelson Thornes.</w:t>
              </w:r>
            </w:p>
            <w:p w14:paraId="5CFC6AED" w14:textId="77777777" w:rsidR="00CE4278" w:rsidRDefault="00CE4278" w:rsidP="00CE4278">
              <w:pPr>
                <w:pStyle w:val="Bibliography"/>
                <w:rPr>
                  <w:noProof/>
                  <w:lang w:val="en-US"/>
                </w:rPr>
              </w:pPr>
              <w:r>
                <w:rPr>
                  <w:noProof/>
                  <w:lang w:val="en-US"/>
                </w:rPr>
                <w:t xml:space="preserve">Lindon, J. &amp; Trodd, L., 2016. </w:t>
              </w:r>
              <w:r>
                <w:rPr>
                  <w:i/>
                  <w:iCs/>
                  <w:noProof/>
                  <w:lang w:val="en-US"/>
                </w:rPr>
                <w:t xml:space="preserve">Reflective Practice and Early Years Professionalism. </w:t>
              </w:r>
              <w:r>
                <w:rPr>
                  <w:noProof/>
                  <w:lang w:val="en-US"/>
                </w:rPr>
                <w:t>3rd ed. London: Hodder Education.</w:t>
              </w:r>
            </w:p>
            <w:p w14:paraId="5A9EFECE" w14:textId="77777777" w:rsidR="00CE4278" w:rsidRDefault="00CE4278" w:rsidP="00CE4278">
              <w:pPr>
                <w:pStyle w:val="Bibliography"/>
                <w:rPr>
                  <w:noProof/>
                  <w:lang w:val="en-US"/>
                </w:rPr>
              </w:pPr>
              <w:r>
                <w:rPr>
                  <w:noProof/>
                  <w:lang w:val="en-US"/>
                </w:rPr>
                <w:t xml:space="preserve">Loughran, J. J., 2002. Effective Reflective Practice in Search of Meaning in Learning About Teaching. </w:t>
              </w:r>
              <w:r>
                <w:rPr>
                  <w:i/>
                  <w:iCs/>
                  <w:noProof/>
                  <w:lang w:val="en-US"/>
                </w:rPr>
                <w:t xml:space="preserve">Journal of Teacher Education, </w:t>
              </w:r>
              <w:r>
                <w:rPr>
                  <w:noProof/>
                  <w:lang w:val="en-US"/>
                </w:rPr>
                <w:t>53(1), pp. 33-43.</w:t>
              </w:r>
            </w:p>
            <w:p w14:paraId="20A21694" w14:textId="77777777" w:rsidR="00CE4278" w:rsidRDefault="00CE4278" w:rsidP="00CE4278">
              <w:pPr>
                <w:pStyle w:val="Bibliography"/>
                <w:rPr>
                  <w:noProof/>
                  <w:lang w:val="en-US"/>
                </w:rPr>
              </w:pPr>
              <w:r>
                <w:rPr>
                  <w:noProof/>
                  <w:lang w:val="en-US"/>
                </w:rPr>
                <w:t xml:space="preserve">McNamara, D., 1994. </w:t>
              </w:r>
              <w:r>
                <w:rPr>
                  <w:i/>
                  <w:iCs/>
                  <w:noProof/>
                  <w:lang w:val="en-US"/>
                </w:rPr>
                <w:t xml:space="preserve">Classroom Pedagogy and Primary Practice. </w:t>
              </w:r>
              <w:r>
                <w:rPr>
                  <w:noProof/>
                  <w:lang w:val="en-US"/>
                </w:rPr>
                <w:t>London: Routledge.</w:t>
              </w:r>
            </w:p>
            <w:p w14:paraId="0548FB45" w14:textId="77777777" w:rsidR="00CE4278" w:rsidRDefault="00CE4278" w:rsidP="00CE4278">
              <w:pPr>
                <w:pStyle w:val="Bibliography"/>
                <w:rPr>
                  <w:noProof/>
                  <w:lang w:val="en-US"/>
                </w:rPr>
              </w:pPr>
              <w:r>
                <w:rPr>
                  <w:noProof/>
                  <w:lang w:val="en-US"/>
                </w:rPr>
                <w:t xml:space="preserve">Myhill, D., Jones, S. &amp; Hopper, R., 2006. </w:t>
              </w:r>
              <w:r>
                <w:rPr>
                  <w:i/>
                  <w:iCs/>
                  <w:noProof/>
                  <w:lang w:val="en-US"/>
                </w:rPr>
                <w:t xml:space="preserve">Talking, Listening, Learning effective talk in the primary classroom. </w:t>
              </w:r>
              <w:r>
                <w:rPr>
                  <w:noProof/>
                  <w:lang w:val="en-US"/>
                </w:rPr>
                <w:t>Maidenhead: Open University Press.</w:t>
              </w:r>
            </w:p>
            <w:p w14:paraId="5BDC2ED3" w14:textId="77777777" w:rsidR="00CE4278" w:rsidRDefault="00CE4278" w:rsidP="00CE4278">
              <w:pPr>
                <w:pStyle w:val="Bibliography"/>
                <w:rPr>
                  <w:noProof/>
                  <w:lang w:val="en-US"/>
                </w:rPr>
              </w:pPr>
              <w:r>
                <w:rPr>
                  <w:noProof/>
                  <w:lang w:val="en-US"/>
                </w:rPr>
                <w:t xml:space="preserve">Ng, P. T. &amp; Tan, C., 2009. Sensemaking or Critical Reflective Learning. </w:t>
              </w:r>
              <w:r>
                <w:rPr>
                  <w:i/>
                  <w:iCs/>
                  <w:noProof/>
                  <w:lang w:val="en-US"/>
                </w:rPr>
                <w:t xml:space="preserve">Reflective Practice, </w:t>
              </w:r>
              <w:r>
                <w:rPr>
                  <w:noProof/>
                  <w:lang w:val="en-US"/>
                </w:rPr>
                <w:t>10(1), pp. 37-44.</w:t>
              </w:r>
            </w:p>
            <w:p w14:paraId="28FD4DAA" w14:textId="77777777" w:rsidR="00CE4278" w:rsidRDefault="00CE4278" w:rsidP="00CE4278">
              <w:pPr>
                <w:pStyle w:val="Bibliography"/>
                <w:rPr>
                  <w:noProof/>
                  <w:lang w:val="en-US"/>
                </w:rPr>
              </w:pPr>
              <w:r>
                <w:rPr>
                  <w:noProof/>
                  <w:lang w:val="en-US"/>
                </w:rPr>
                <w:t xml:space="preserve">Pollard, A. et al., 2008. </w:t>
              </w:r>
              <w:r>
                <w:rPr>
                  <w:i/>
                  <w:iCs/>
                  <w:noProof/>
                  <w:lang w:val="en-US"/>
                </w:rPr>
                <w:t xml:space="preserve">Reflective Teaching. </w:t>
              </w:r>
              <w:r>
                <w:rPr>
                  <w:noProof/>
                  <w:lang w:val="en-US"/>
                </w:rPr>
                <w:t>3rd ed. London: Continuum.</w:t>
              </w:r>
            </w:p>
            <w:p w14:paraId="189933A6" w14:textId="77777777" w:rsidR="00CE4278" w:rsidRDefault="00CE4278" w:rsidP="00CE4278">
              <w:pPr>
                <w:pStyle w:val="Bibliography"/>
                <w:rPr>
                  <w:noProof/>
                  <w:lang w:val="en-US"/>
                </w:rPr>
              </w:pPr>
              <w:r>
                <w:rPr>
                  <w:noProof/>
                  <w:lang w:val="en-US"/>
                </w:rPr>
                <w:lastRenderedPageBreak/>
                <w:t xml:space="preserve">Robinson, W., 2006. Teacher training in England and Wales: Past, Present and future perspectives. </w:t>
              </w:r>
              <w:r>
                <w:rPr>
                  <w:i/>
                  <w:iCs/>
                  <w:noProof/>
                  <w:lang w:val="en-US"/>
                </w:rPr>
                <w:t xml:space="preserve">Education Research and Perspectives, </w:t>
              </w:r>
              <w:r>
                <w:rPr>
                  <w:noProof/>
                  <w:lang w:val="en-US"/>
                </w:rPr>
                <w:t>33(2), pp. 19-36.</w:t>
              </w:r>
            </w:p>
            <w:p w14:paraId="485F2652" w14:textId="77777777" w:rsidR="00CE4278" w:rsidRDefault="00CE4278" w:rsidP="00CE4278">
              <w:r>
                <w:rPr>
                  <w:b/>
                  <w:bCs/>
                  <w:noProof/>
                </w:rPr>
                <w:fldChar w:fldCharType="end"/>
              </w:r>
            </w:p>
          </w:sdtContent>
        </w:sdt>
      </w:sdtContent>
    </w:sdt>
    <w:p w14:paraId="054DE86A" w14:textId="77777777" w:rsidR="00CE4278" w:rsidRDefault="00CE4278" w:rsidP="00CE4278"/>
    <w:p w14:paraId="18D9EF12" w14:textId="77777777" w:rsidR="00CE4278" w:rsidRDefault="00CE4278" w:rsidP="00CE4278"/>
    <w:p w14:paraId="7BB540BB" w14:textId="77777777" w:rsidR="00CE4278" w:rsidRDefault="00CE4278" w:rsidP="00CE4278"/>
    <w:p w14:paraId="738132CD" w14:textId="77777777" w:rsidR="00CE4278" w:rsidRDefault="00CE4278" w:rsidP="00CE4278"/>
    <w:p w14:paraId="3E86DFD4" w14:textId="77777777" w:rsidR="00CE4278" w:rsidRDefault="00CE4278" w:rsidP="00CE4278"/>
    <w:p w14:paraId="57459D82" w14:textId="77777777" w:rsidR="00CE4278" w:rsidRDefault="00CE4278" w:rsidP="00CE4278"/>
    <w:p w14:paraId="316BABC7" w14:textId="39DADE0E" w:rsidR="009A6D81" w:rsidRDefault="009A6D81">
      <w:pPr>
        <w:spacing w:line="259" w:lineRule="auto"/>
        <w:contextualSpacing w:val="0"/>
      </w:pPr>
      <w:r>
        <w:br w:type="page"/>
      </w:r>
    </w:p>
    <w:p w14:paraId="1C8598C7" w14:textId="1DA48957" w:rsidR="00CE4278" w:rsidRDefault="009A6D81">
      <w:pPr>
        <w:spacing w:line="259" w:lineRule="auto"/>
        <w:contextualSpacing w:val="0"/>
      </w:pPr>
      <w:r>
        <w:lastRenderedPageBreak/>
        <w:t>Element 6: Review and critically evaluate</w:t>
      </w:r>
    </w:p>
    <w:p w14:paraId="43C5FDC0" w14:textId="77777777" w:rsidR="009A6D81" w:rsidRDefault="009A6D81">
      <w:pPr>
        <w:spacing w:line="259" w:lineRule="auto"/>
        <w:contextualSpacing w:val="0"/>
      </w:pPr>
    </w:p>
    <w:p w14:paraId="5B4F3304" w14:textId="77777777" w:rsidR="009A6D81" w:rsidRDefault="009A6D81" w:rsidP="009A6D81">
      <w:r>
        <w:t xml:space="preserve">The purpose of this essay is to critically evaluate current thinking on adult learning and then apply this to the professional teaching experience currently being undertaken. In order to do this the essay will answer three questions; first what is adult learning, second does adult learning differ to child and youth learning and finally what are the barriers to adult learning in the UK. The essay will then discuss the findings from these questions in relation to the professional teaching experience. In order to effectively discuss the concepts of adult learning it is first necessary to provide a definition of learning; </w:t>
      </w:r>
      <w:r w:rsidRPr="004C5663">
        <w:t>Inglis</w:t>
      </w:r>
      <w:r w:rsidRPr="004C5663">
        <w:rPr>
          <w:noProof/>
        </w:rPr>
        <w:t xml:space="preserve"> &amp; Aers </w:t>
      </w:r>
      <w:r>
        <w:rPr>
          <w:noProof/>
        </w:rPr>
        <w:t>(</w:t>
      </w:r>
      <w:r w:rsidRPr="004C5663">
        <w:rPr>
          <w:noProof/>
        </w:rPr>
        <w:t>2008)</w:t>
      </w:r>
      <w:r>
        <w:rPr>
          <w:noProof/>
        </w:rPr>
        <w:t xml:space="preserve"> define learning as the process of receiving information, this appears to be a rather passive process which as discussed below may not be appropriate for an adult learner. As an alternative it is worth considering the term adult teaching; </w:t>
      </w:r>
      <w:r w:rsidRPr="00424103">
        <w:rPr>
          <w:noProof/>
        </w:rPr>
        <w:t xml:space="preserve">Inglis &amp; Aers </w:t>
      </w:r>
      <w:r>
        <w:rPr>
          <w:noProof/>
        </w:rPr>
        <w:t>(</w:t>
      </w:r>
      <w:r w:rsidRPr="00424103">
        <w:rPr>
          <w:noProof/>
        </w:rPr>
        <w:t>2008)</w:t>
      </w:r>
      <w:r>
        <w:rPr>
          <w:noProof/>
        </w:rPr>
        <w:t xml:space="preserve"> define teaching as being the imparting of knowledge by one party to another again this is appears to be a passive process that may not satisfy an adult learner. As neither of these definitions appear to accurately describe the process of adult learning discussed below this essay will no explore the issues in more depth.</w:t>
      </w:r>
    </w:p>
    <w:p w14:paraId="08650FF3" w14:textId="77777777" w:rsidR="009A6D81" w:rsidRDefault="009A6D81" w:rsidP="009A6D81">
      <w:pPr>
        <w:rPr>
          <w:noProof/>
        </w:rPr>
      </w:pPr>
      <w:r>
        <w:t xml:space="preserve">As discussed by </w:t>
      </w:r>
      <w:r>
        <w:rPr>
          <w:noProof/>
        </w:rPr>
        <w:t>Aubrey &amp; Riley</w:t>
      </w:r>
      <w:r w:rsidRPr="003D3FD8">
        <w:rPr>
          <w:noProof/>
        </w:rPr>
        <w:t xml:space="preserve"> </w:t>
      </w:r>
      <w:r>
        <w:rPr>
          <w:noProof/>
        </w:rPr>
        <w:t>(</w:t>
      </w:r>
      <w:r w:rsidRPr="003D3FD8">
        <w:rPr>
          <w:noProof/>
        </w:rPr>
        <w:t>2016)</w:t>
      </w:r>
      <w:r>
        <w:rPr>
          <w:noProof/>
        </w:rPr>
        <w:t xml:space="preserve"> much of the contemporary definitions and understanding of adult learning can be credited to Malcolm Knowles’ pioneering work throughout the 1940s until his death in 1997. </w:t>
      </w:r>
      <w:r w:rsidRPr="00B22D01">
        <w:rPr>
          <w:noProof/>
        </w:rPr>
        <w:t xml:space="preserve">Knowles </w:t>
      </w:r>
      <w:r>
        <w:rPr>
          <w:noProof/>
        </w:rPr>
        <w:t>(</w:t>
      </w:r>
      <w:r w:rsidRPr="00B22D01">
        <w:rPr>
          <w:noProof/>
        </w:rPr>
        <w:t>1990)</w:t>
      </w:r>
      <w:r>
        <w:rPr>
          <w:noProof/>
        </w:rPr>
        <w:t xml:space="preserve"> suggests that the adult learner had largely been ignored as an entity in the debates surrounding formal education which he argues is surprising especially as much of the worlds understanding of learning is built on the work of early educational philosophers such as Lao Tse, Aristotle and Cisero. These individuals largely dealt only with adults and saw the learning process as one of active inquiry, the learner seeking the truth, rather than the passive receipt of information. Knowles built his theoretical perspectives upon the research of Edward Thorndike and Eduard Lindeman, this demonstrated that firstly adults are capable of learning and secondly that adult learning is a process where the individual is made aware of a concept or experience and then through analysis of this, the significance is recognised. </w:t>
      </w:r>
    </w:p>
    <w:p w14:paraId="28219B8B" w14:textId="77777777" w:rsidR="009A6D81" w:rsidRDefault="009A6D81" w:rsidP="009A6D81">
      <w:pPr>
        <w:rPr>
          <w:noProof/>
        </w:rPr>
      </w:pPr>
      <w:r>
        <w:rPr>
          <w:noProof/>
        </w:rPr>
        <w:t xml:space="preserve">Knowles utilised the term Andragogy to describe the process of teaching adults in a formal setting. this process recognises adult learners need to be self-directing, utilising their own experience within their learning, recognising that they are ready to undertake new learning </w:t>
      </w:r>
      <w:r>
        <w:rPr>
          <w:noProof/>
        </w:rPr>
        <w:lastRenderedPageBreak/>
        <w:t xml:space="preserve">and able to organise learning around other commitments </w:t>
      </w:r>
      <w:sdt>
        <w:sdtPr>
          <w:rPr>
            <w:noProof/>
          </w:rPr>
          <w:id w:val="-48226531"/>
          <w:citation/>
        </w:sdtPr>
        <w:sdtContent>
          <w:r>
            <w:rPr>
              <w:noProof/>
            </w:rPr>
            <w:fldChar w:fldCharType="begin"/>
          </w:r>
          <w:r>
            <w:rPr>
              <w:noProof/>
            </w:rPr>
            <w:instrText xml:space="preserve"> CITATION Mal90 \l 2057 </w:instrText>
          </w:r>
          <w:r>
            <w:rPr>
              <w:noProof/>
            </w:rPr>
            <w:fldChar w:fldCharType="separate"/>
          </w:r>
          <w:r w:rsidRPr="00EF4ADA">
            <w:rPr>
              <w:noProof/>
            </w:rPr>
            <w:t>(Knowles, 1990)</w:t>
          </w:r>
          <w:r>
            <w:rPr>
              <w:noProof/>
            </w:rPr>
            <w:fldChar w:fldCharType="end"/>
          </w:r>
        </w:sdtContent>
      </w:sdt>
      <w:r>
        <w:rPr>
          <w:noProof/>
        </w:rPr>
        <w:t xml:space="preserve">. This view of the adult learner is supported by </w:t>
      </w:r>
      <w:r w:rsidRPr="00736B08">
        <w:rPr>
          <w:noProof/>
        </w:rPr>
        <w:t xml:space="preserve">Illeris </w:t>
      </w:r>
      <w:r>
        <w:rPr>
          <w:noProof/>
        </w:rPr>
        <w:t>(</w:t>
      </w:r>
      <w:r w:rsidRPr="00736B08">
        <w:rPr>
          <w:noProof/>
        </w:rPr>
        <w:t>2009)</w:t>
      </w:r>
      <w:r>
        <w:rPr>
          <w:noProof/>
        </w:rPr>
        <w:t xml:space="preserve"> who states that learning is based on the individuals interaction with their environment, the content of the learning and the incentive the learner has. In summary adult learning can be defined as a diadactic process with a self-motivated individual who brings a significant amount of life experience and expectations to the process. </w:t>
      </w:r>
    </w:p>
    <w:p w14:paraId="2C58FB2A" w14:textId="77777777" w:rsidR="009A6D81" w:rsidRDefault="009A6D81" w:rsidP="009A6D81">
      <w:r>
        <w:rPr>
          <w:noProof/>
        </w:rPr>
        <w:t xml:space="preserve">The accepted process of adult learning and the view of the adult learner is in almost direct contrast to the traditional view of pedagogy still largely utilised in compulsory education settings. As noted by </w:t>
      </w:r>
      <w:r w:rsidRPr="003F1903">
        <w:rPr>
          <w:noProof/>
        </w:rPr>
        <w:t xml:space="preserve">McNamara </w:t>
      </w:r>
      <w:r>
        <w:rPr>
          <w:noProof/>
        </w:rPr>
        <w:t>(</w:t>
      </w:r>
      <w:r w:rsidRPr="003F1903">
        <w:rPr>
          <w:noProof/>
        </w:rPr>
        <w:t>1994)</w:t>
      </w:r>
      <w:r>
        <w:rPr>
          <w:noProof/>
        </w:rPr>
        <w:t xml:space="preserve"> teachers are expected to inform children of the importance of the work they are undertaking and why achieving within the classroom setting is important. This places the motivation for the learning firmly outside the pupils control and prevents them from effectively seeing the value of the lesson.  McNamara also supports the the view of teaching defined by Inglis &amp; Aers above stating that traditional pedagogical practice places the onus for the pupils learning and understanding with the teacher. As discussed by </w:t>
      </w:r>
      <w:r w:rsidRPr="00A76776">
        <w:rPr>
          <w:noProof/>
        </w:rPr>
        <w:t xml:space="preserve">Myhill, et al. </w:t>
      </w:r>
      <w:r>
        <w:rPr>
          <w:noProof/>
        </w:rPr>
        <w:t>(</w:t>
      </w:r>
      <w:r w:rsidRPr="00A76776">
        <w:rPr>
          <w:noProof/>
        </w:rPr>
        <w:t>2006)</w:t>
      </w:r>
      <w:r>
        <w:rPr>
          <w:noProof/>
        </w:rPr>
        <w:t xml:space="preserve"> whilst dialogic pedagogy is widely utilised in compulsory education settings it is not utilised in the same way as in adult learning, as often the teacher will have an answer they are looking for and simply use the discussion format to guide students to the answer where as in adult education there is often a genuine journey of discovery within a discussion. </w:t>
      </w:r>
      <w:r w:rsidRPr="00583BB0">
        <w:rPr>
          <w:noProof/>
        </w:rPr>
        <w:t xml:space="preserve">Kyriacou </w:t>
      </w:r>
      <w:r>
        <w:rPr>
          <w:noProof/>
        </w:rPr>
        <w:t>(</w:t>
      </w:r>
      <w:r w:rsidRPr="00583BB0">
        <w:rPr>
          <w:noProof/>
        </w:rPr>
        <w:t>2009</w:t>
      </w:r>
      <w:r>
        <w:rPr>
          <w:noProof/>
        </w:rPr>
        <w:t>, p7</w:t>
      </w:r>
      <w:r w:rsidRPr="00583BB0">
        <w:rPr>
          <w:noProof/>
        </w:rPr>
        <w:t>)</w:t>
      </w:r>
      <w:r>
        <w:rPr>
          <w:noProof/>
        </w:rPr>
        <w:t xml:space="preserve"> states ‘effective teaching can be defined as teaching that succesfully achieves the learning by pupils intended by the teacher’ this places child teaching diametrically opposed to adult learning where the learnings success is determined by the learner.  </w:t>
      </w:r>
    </w:p>
    <w:p w14:paraId="6CA841A9" w14:textId="77777777" w:rsidR="009A6D81" w:rsidRDefault="009A6D81" w:rsidP="009A6D81">
      <w:pPr>
        <w:rPr>
          <w:noProof/>
        </w:rPr>
      </w:pPr>
      <w:r>
        <w:t xml:space="preserve">Having defined adult learning and discussed the differences between adult and child learning this essay will now consider some of the barriers for adults accessing education. </w:t>
      </w:r>
      <w:r w:rsidRPr="0094252B">
        <w:rPr>
          <w:noProof/>
        </w:rPr>
        <w:t xml:space="preserve">Falasca </w:t>
      </w:r>
      <w:r>
        <w:rPr>
          <w:noProof/>
        </w:rPr>
        <w:t>(</w:t>
      </w:r>
      <w:r w:rsidRPr="0094252B">
        <w:rPr>
          <w:noProof/>
        </w:rPr>
        <w:t>2011)</w:t>
      </w:r>
      <w:r>
        <w:rPr>
          <w:noProof/>
        </w:rPr>
        <w:t xml:space="preserve"> states that there are two main barriers to adult learning External and Situational.  </w:t>
      </w:r>
      <w:r>
        <w:t xml:space="preserve">A situational barrier discussed by </w:t>
      </w:r>
      <w:r w:rsidRPr="00A46279">
        <w:rPr>
          <w:noProof/>
        </w:rPr>
        <w:t xml:space="preserve">Walklin </w:t>
      </w:r>
      <w:r>
        <w:rPr>
          <w:noProof/>
        </w:rPr>
        <w:t>(</w:t>
      </w:r>
      <w:r w:rsidRPr="00A46279">
        <w:rPr>
          <w:noProof/>
        </w:rPr>
        <w:t>2000)</w:t>
      </w:r>
      <w:r>
        <w:rPr>
          <w:noProof/>
        </w:rPr>
        <w:t xml:space="preserve"> and </w:t>
      </w:r>
      <w:r w:rsidRPr="007C5FB4">
        <w:rPr>
          <w:noProof/>
        </w:rPr>
        <w:t xml:space="preserve">Minton </w:t>
      </w:r>
      <w:r>
        <w:rPr>
          <w:noProof/>
        </w:rPr>
        <w:t>(</w:t>
      </w:r>
      <w:r w:rsidRPr="007C5FB4">
        <w:rPr>
          <w:noProof/>
        </w:rPr>
        <w:t>2005)</w:t>
      </w:r>
      <w:r>
        <w:rPr>
          <w:noProof/>
        </w:rPr>
        <w:t xml:space="preserve"> is the learners previous experience of education, this could be from a poor teaching experience or past failure that was not well managed amoung other reasons. This barrier is one of the most difficult for an educator to overcome as it is often deep rooted with in the individual’s psyche and is therefore</w:t>
      </w:r>
      <w:r w:rsidRPr="007A1C12">
        <w:rPr>
          <w:noProof/>
        </w:rPr>
        <w:t xml:space="preserve"> </w:t>
      </w:r>
      <w:r>
        <w:rPr>
          <w:noProof/>
        </w:rPr>
        <w:t xml:space="preserve">one of the most significant barriers to adults accessing any learning. </w:t>
      </w:r>
      <w:r w:rsidRPr="00A46279">
        <w:rPr>
          <w:noProof/>
        </w:rPr>
        <w:t xml:space="preserve">Walklin </w:t>
      </w:r>
      <w:r>
        <w:rPr>
          <w:noProof/>
        </w:rPr>
        <w:t>(</w:t>
      </w:r>
      <w:r w:rsidRPr="00A46279">
        <w:rPr>
          <w:noProof/>
        </w:rPr>
        <w:t>2000)</w:t>
      </w:r>
      <w:r>
        <w:rPr>
          <w:noProof/>
        </w:rPr>
        <w:t xml:space="preserve"> also discusses language as a significant external barrier to adults accessing education where teachers and learners are unable to communicate effectively</w:t>
      </w:r>
      <w:r w:rsidRPr="00A46279">
        <w:rPr>
          <w:noProof/>
        </w:rPr>
        <w:t xml:space="preserve"> </w:t>
      </w:r>
      <w:r>
        <w:rPr>
          <w:noProof/>
        </w:rPr>
        <w:t xml:space="preserve">and this </w:t>
      </w:r>
      <w:r>
        <w:rPr>
          <w:noProof/>
        </w:rPr>
        <w:lastRenderedPageBreak/>
        <w:t>often links to situational barriers where learners feel they are simply not good enough to access the educational opportunity.</w:t>
      </w:r>
    </w:p>
    <w:p w14:paraId="0DEBF492" w14:textId="77777777" w:rsidR="009A6D81" w:rsidRDefault="009A6D81" w:rsidP="009A6D81">
      <w:r>
        <w:t xml:space="preserve">Having discussed definitions of adult learning, the differences between adult and child learning and the barriers to accessing education this essay will now place these in context with the professional teaching experience being undertaken. As noted in the PTE section of this portfolio the education studies degree program has significant success in recruiting students from non-standard entry streams and recognises that these individual learners bring their own experience and expectations to the program. Each member of the teaching team takes time to ensure that this is utilised to the benefit of the teaching cohort as a whole. The majority of the teaching that takes place is of a didactic nature with the lecture providing reading materials prior to the taught session and the students then providing their own interpretation of the information. Unlike in the pedagogical model discussed above there is often not a single prescribed answer that the lecturer is trying to reach. Whilst the professional teaching experience is based at a higher education institution the teaching team are mindful of the non-standard entry streams and ensure that the language they use is accessible to all, this combined with the progressive nature of assessments reduces the barriers some students may have expected and generates a welcoming and inclusive air to the program. </w:t>
      </w:r>
    </w:p>
    <w:p w14:paraId="30124867" w14:textId="77777777" w:rsidR="009A6D81" w:rsidRDefault="009A6D81" w:rsidP="009A6D81">
      <w:pPr>
        <w:spacing w:line="259" w:lineRule="auto"/>
        <w:contextualSpacing w:val="0"/>
      </w:pPr>
      <w:r>
        <w:br w:type="page"/>
      </w:r>
    </w:p>
    <w:sdt>
      <w:sdtPr>
        <w:rPr>
          <w:rFonts w:asciiTheme="minorHAnsi" w:eastAsiaTheme="minorHAnsi" w:hAnsiTheme="minorHAnsi" w:cstheme="minorBidi"/>
          <w:color w:val="auto"/>
          <w:sz w:val="24"/>
          <w:szCs w:val="22"/>
          <w:lang w:val="en-GB"/>
        </w:rPr>
        <w:id w:val="-64183952"/>
        <w:docPartObj>
          <w:docPartGallery w:val="Bibliographies"/>
          <w:docPartUnique/>
        </w:docPartObj>
      </w:sdtPr>
      <w:sdtContent>
        <w:p w14:paraId="48705635" w14:textId="77777777" w:rsidR="009A6D81" w:rsidRDefault="009A6D81" w:rsidP="009A6D81">
          <w:pPr>
            <w:pStyle w:val="Heading1"/>
          </w:pPr>
          <w:r>
            <w:t>References</w:t>
          </w:r>
        </w:p>
        <w:sdt>
          <w:sdtPr>
            <w:id w:val="-1595551112"/>
            <w:bibliography/>
          </w:sdtPr>
          <w:sdtContent>
            <w:p w14:paraId="18A81156" w14:textId="77777777" w:rsidR="009A6D81" w:rsidRDefault="009A6D81" w:rsidP="009A6D81">
              <w:pPr>
                <w:pStyle w:val="Bibliography"/>
                <w:rPr>
                  <w:noProof/>
                  <w:szCs w:val="24"/>
                  <w:lang w:val="en-US"/>
                </w:rPr>
              </w:pPr>
              <w:r>
                <w:fldChar w:fldCharType="begin"/>
              </w:r>
              <w:r>
                <w:instrText xml:space="preserve"> BIBLIOGRAPHY </w:instrText>
              </w:r>
              <w:r>
                <w:fldChar w:fldCharType="separate"/>
              </w:r>
              <w:r>
                <w:rPr>
                  <w:noProof/>
                  <w:lang w:val="en-US"/>
                </w:rPr>
                <w:t xml:space="preserve">Aubrey, K. &amp; Riley, A., 2016. </w:t>
              </w:r>
              <w:r>
                <w:rPr>
                  <w:i/>
                  <w:iCs/>
                  <w:noProof/>
                  <w:lang w:val="en-US"/>
                </w:rPr>
                <w:t xml:space="preserve">Understanding and Using Educational Theories. </w:t>
              </w:r>
              <w:r>
                <w:rPr>
                  <w:noProof/>
                  <w:lang w:val="en-US"/>
                </w:rPr>
                <w:t>London: Sage.</w:t>
              </w:r>
            </w:p>
            <w:p w14:paraId="02ADE12B" w14:textId="77777777" w:rsidR="009A6D81" w:rsidRDefault="009A6D81" w:rsidP="009A6D81">
              <w:pPr>
                <w:pStyle w:val="Bibliography"/>
                <w:rPr>
                  <w:noProof/>
                  <w:lang w:val="en-US"/>
                </w:rPr>
              </w:pPr>
              <w:r>
                <w:rPr>
                  <w:noProof/>
                  <w:lang w:val="en-US"/>
                </w:rPr>
                <w:t xml:space="preserve">Falasca, M., 2011. Barriers to adult learning: Bridging the gap. </w:t>
              </w:r>
              <w:r>
                <w:rPr>
                  <w:i/>
                  <w:iCs/>
                  <w:noProof/>
                  <w:lang w:val="en-US"/>
                </w:rPr>
                <w:t xml:space="preserve">Australian Journal of Adult Learning, </w:t>
              </w:r>
              <w:r>
                <w:rPr>
                  <w:noProof/>
                  <w:lang w:val="en-US"/>
                </w:rPr>
                <w:t>51(3), pp. 583-590.</w:t>
              </w:r>
            </w:p>
            <w:p w14:paraId="63A3E8B0" w14:textId="77777777" w:rsidR="009A6D81" w:rsidRDefault="009A6D81" w:rsidP="009A6D81">
              <w:pPr>
                <w:pStyle w:val="Bibliography"/>
                <w:rPr>
                  <w:noProof/>
                  <w:lang w:val="en-US"/>
                </w:rPr>
              </w:pPr>
              <w:r>
                <w:rPr>
                  <w:noProof/>
                  <w:lang w:val="en-US"/>
                </w:rPr>
                <w:t xml:space="preserve">Illeris, K., 2009. </w:t>
              </w:r>
              <w:r>
                <w:rPr>
                  <w:i/>
                  <w:iCs/>
                  <w:noProof/>
                  <w:lang w:val="en-US"/>
                </w:rPr>
                <w:t xml:space="preserve">Contemporary Theories of Learning. </w:t>
              </w:r>
              <w:r>
                <w:rPr>
                  <w:noProof/>
                  <w:lang w:val="en-US"/>
                </w:rPr>
                <w:t>Abingdon: Routledge.</w:t>
              </w:r>
            </w:p>
            <w:p w14:paraId="22229F61" w14:textId="77777777" w:rsidR="009A6D81" w:rsidRDefault="009A6D81" w:rsidP="009A6D81">
              <w:pPr>
                <w:pStyle w:val="Bibliography"/>
                <w:rPr>
                  <w:noProof/>
                  <w:lang w:val="en-US"/>
                </w:rPr>
              </w:pPr>
              <w:r>
                <w:rPr>
                  <w:noProof/>
                  <w:lang w:val="en-US"/>
                </w:rPr>
                <w:t xml:space="preserve">Inglis, F. &amp; Aers, L., 2008. </w:t>
              </w:r>
              <w:r>
                <w:rPr>
                  <w:i/>
                  <w:iCs/>
                  <w:noProof/>
                  <w:lang w:val="en-US"/>
                </w:rPr>
                <w:t xml:space="preserve">Key Concepts in Education. </w:t>
              </w:r>
              <w:r>
                <w:rPr>
                  <w:noProof/>
                  <w:lang w:val="en-US"/>
                </w:rPr>
                <w:t>London: Sage.</w:t>
              </w:r>
            </w:p>
            <w:p w14:paraId="254904E3" w14:textId="77777777" w:rsidR="009A6D81" w:rsidRDefault="009A6D81" w:rsidP="009A6D81">
              <w:pPr>
                <w:pStyle w:val="Bibliography"/>
                <w:rPr>
                  <w:noProof/>
                  <w:lang w:val="en-US"/>
                </w:rPr>
              </w:pPr>
              <w:r>
                <w:rPr>
                  <w:noProof/>
                  <w:lang w:val="en-US"/>
                </w:rPr>
                <w:t xml:space="preserve">Knowles, M., 1990. </w:t>
              </w:r>
              <w:r>
                <w:rPr>
                  <w:i/>
                  <w:iCs/>
                  <w:noProof/>
                  <w:lang w:val="en-US"/>
                </w:rPr>
                <w:t xml:space="preserve">The Adult Learner A Neglected Species. </w:t>
              </w:r>
              <w:r>
                <w:rPr>
                  <w:noProof/>
                  <w:lang w:val="en-US"/>
                </w:rPr>
                <w:t>4th ed. London: Gulf Publishing.</w:t>
              </w:r>
            </w:p>
            <w:p w14:paraId="7D4D383A" w14:textId="77777777" w:rsidR="009A6D81" w:rsidRDefault="009A6D81" w:rsidP="009A6D81">
              <w:pPr>
                <w:pStyle w:val="Bibliography"/>
                <w:rPr>
                  <w:noProof/>
                  <w:lang w:val="en-US"/>
                </w:rPr>
              </w:pPr>
              <w:r>
                <w:rPr>
                  <w:noProof/>
                  <w:lang w:val="en-US"/>
                </w:rPr>
                <w:t xml:space="preserve">Kyriacou, C., 2009. </w:t>
              </w:r>
              <w:r>
                <w:rPr>
                  <w:i/>
                  <w:iCs/>
                  <w:noProof/>
                  <w:lang w:val="en-US"/>
                </w:rPr>
                <w:t xml:space="preserve">Effective Teaching in Schools theory and practice. </w:t>
              </w:r>
              <w:r>
                <w:rPr>
                  <w:noProof/>
                  <w:lang w:val="en-US"/>
                </w:rPr>
                <w:t>3rd ed. Cheltenham: Stanley Thornes Publishers.</w:t>
              </w:r>
            </w:p>
            <w:p w14:paraId="1672F904" w14:textId="77777777" w:rsidR="009A6D81" w:rsidRDefault="009A6D81" w:rsidP="009A6D81">
              <w:pPr>
                <w:pStyle w:val="Bibliography"/>
                <w:rPr>
                  <w:noProof/>
                  <w:lang w:val="en-US"/>
                </w:rPr>
              </w:pPr>
              <w:r>
                <w:rPr>
                  <w:noProof/>
                  <w:lang w:val="en-US"/>
                </w:rPr>
                <w:t xml:space="preserve">McNamara, D., 1994. </w:t>
              </w:r>
              <w:r>
                <w:rPr>
                  <w:i/>
                  <w:iCs/>
                  <w:noProof/>
                  <w:lang w:val="en-US"/>
                </w:rPr>
                <w:t xml:space="preserve">Classroom Pedagogy and Primary Practice. </w:t>
              </w:r>
              <w:r>
                <w:rPr>
                  <w:noProof/>
                  <w:lang w:val="en-US"/>
                </w:rPr>
                <w:t>London: Routledge.</w:t>
              </w:r>
            </w:p>
            <w:p w14:paraId="53C7D050" w14:textId="77777777" w:rsidR="009A6D81" w:rsidRDefault="009A6D81" w:rsidP="009A6D81">
              <w:pPr>
                <w:pStyle w:val="Bibliography"/>
                <w:rPr>
                  <w:noProof/>
                  <w:lang w:val="en-US"/>
                </w:rPr>
              </w:pPr>
              <w:r>
                <w:rPr>
                  <w:noProof/>
                  <w:lang w:val="en-US"/>
                </w:rPr>
                <w:t xml:space="preserve">Minton, D., 2005. </w:t>
              </w:r>
              <w:r>
                <w:rPr>
                  <w:i/>
                  <w:iCs/>
                  <w:noProof/>
                  <w:lang w:val="en-US"/>
                </w:rPr>
                <w:t xml:space="preserve">Teaching Skills in further and adult education. </w:t>
              </w:r>
              <w:r>
                <w:rPr>
                  <w:noProof/>
                  <w:lang w:val="en-US"/>
                </w:rPr>
                <w:t>3rd ed. London: Thomson.</w:t>
              </w:r>
            </w:p>
            <w:p w14:paraId="338F804E" w14:textId="77777777" w:rsidR="009A6D81" w:rsidRDefault="009A6D81" w:rsidP="009A6D81">
              <w:pPr>
                <w:pStyle w:val="Bibliography"/>
                <w:rPr>
                  <w:noProof/>
                  <w:lang w:val="en-US"/>
                </w:rPr>
              </w:pPr>
              <w:r>
                <w:rPr>
                  <w:noProof/>
                  <w:lang w:val="en-US"/>
                </w:rPr>
                <w:t xml:space="preserve">Myhill, D., Jones, S. &amp; Hopper, R., 2006. </w:t>
              </w:r>
              <w:r>
                <w:rPr>
                  <w:i/>
                  <w:iCs/>
                  <w:noProof/>
                  <w:lang w:val="en-US"/>
                </w:rPr>
                <w:t xml:space="preserve">Talking, Listening, Learning effective talk in the primary classroom. </w:t>
              </w:r>
              <w:r>
                <w:rPr>
                  <w:noProof/>
                  <w:lang w:val="en-US"/>
                </w:rPr>
                <w:t>Maidenhead: Open University Press.</w:t>
              </w:r>
            </w:p>
            <w:p w14:paraId="2339F1C0" w14:textId="77777777" w:rsidR="009A6D81" w:rsidRDefault="009A6D81" w:rsidP="009A6D81">
              <w:pPr>
                <w:pStyle w:val="Bibliography"/>
                <w:rPr>
                  <w:noProof/>
                  <w:lang w:val="en-US"/>
                </w:rPr>
              </w:pPr>
              <w:r>
                <w:rPr>
                  <w:noProof/>
                  <w:lang w:val="en-US"/>
                </w:rPr>
                <w:t xml:space="preserve">Walklin, L., 2000. </w:t>
              </w:r>
              <w:r>
                <w:rPr>
                  <w:i/>
                  <w:iCs/>
                  <w:noProof/>
                  <w:lang w:val="en-US"/>
                </w:rPr>
                <w:t xml:space="preserve">Teaching and Learning in Further and Adult Education. </w:t>
              </w:r>
              <w:r>
                <w:rPr>
                  <w:noProof/>
                  <w:lang w:val="en-US"/>
                </w:rPr>
                <w:t>2nd ed. Cheltenham: Nelson Thornes.</w:t>
              </w:r>
            </w:p>
            <w:p w14:paraId="00FC1C2F" w14:textId="77777777" w:rsidR="009A6D81" w:rsidRDefault="009A6D81" w:rsidP="009A6D81">
              <w:r>
                <w:rPr>
                  <w:b/>
                  <w:bCs/>
                  <w:noProof/>
                </w:rPr>
                <w:fldChar w:fldCharType="end"/>
              </w:r>
            </w:p>
          </w:sdtContent>
        </w:sdt>
      </w:sdtContent>
    </w:sdt>
    <w:p w14:paraId="62D1EAD9" w14:textId="77777777" w:rsidR="009A6D81" w:rsidRDefault="009A6D81" w:rsidP="009A6D81"/>
    <w:p w14:paraId="2A2B7461" w14:textId="77777777" w:rsidR="009A6D81" w:rsidRDefault="009A6D81" w:rsidP="009A6D81"/>
    <w:p w14:paraId="4F44FCAA" w14:textId="77777777" w:rsidR="009A6D81" w:rsidRDefault="009A6D81">
      <w:pPr>
        <w:spacing w:line="259" w:lineRule="auto"/>
        <w:contextualSpacing w:val="0"/>
      </w:pPr>
      <w:bookmarkStart w:id="0" w:name="_GoBack"/>
      <w:bookmarkEnd w:id="0"/>
    </w:p>
    <w:sectPr w:rsidR="009A6D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0510"/>
    <w:rsid w:val="0002133A"/>
    <w:rsid w:val="000233A8"/>
    <w:rsid w:val="000408DC"/>
    <w:rsid w:val="00041B25"/>
    <w:rsid w:val="00050776"/>
    <w:rsid w:val="00064241"/>
    <w:rsid w:val="00073396"/>
    <w:rsid w:val="00077BB0"/>
    <w:rsid w:val="000A6154"/>
    <w:rsid w:val="000C4132"/>
    <w:rsid w:val="00100510"/>
    <w:rsid w:val="00107AE5"/>
    <w:rsid w:val="0014709E"/>
    <w:rsid w:val="00176688"/>
    <w:rsid w:val="0018159E"/>
    <w:rsid w:val="001B4380"/>
    <w:rsid w:val="001C13FE"/>
    <w:rsid w:val="001C7C70"/>
    <w:rsid w:val="001F02E2"/>
    <w:rsid w:val="001F375C"/>
    <w:rsid w:val="00222073"/>
    <w:rsid w:val="0024243F"/>
    <w:rsid w:val="00256AAB"/>
    <w:rsid w:val="002809E1"/>
    <w:rsid w:val="00286A6F"/>
    <w:rsid w:val="00290445"/>
    <w:rsid w:val="002B69FE"/>
    <w:rsid w:val="00312EDC"/>
    <w:rsid w:val="00313032"/>
    <w:rsid w:val="00354C10"/>
    <w:rsid w:val="00357395"/>
    <w:rsid w:val="00373179"/>
    <w:rsid w:val="00375B32"/>
    <w:rsid w:val="00381414"/>
    <w:rsid w:val="003A589B"/>
    <w:rsid w:val="003B5A11"/>
    <w:rsid w:val="003B69FE"/>
    <w:rsid w:val="003F0957"/>
    <w:rsid w:val="00426CBA"/>
    <w:rsid w:val="00480DAB"/>
    <w:rsid w:val="004E050C"/>
    <w:rsid w:val="004F6C11"/>
    <w:rsid w:val="005803F5"/>
    <w:rsid w:val="005804CC"/>
    <w:rsid w:val="00582D4B"/>
    <w:rsid w:val="005B14B4"/>
    <w:rsid w:val="005C38C2"/>
    <w:rsid w:val="005D5C43"/>
    <w:rsid w:val="00612D62"/>
    <w:rsid w:val="00614089"/>
    <w:rsid w:val="006772B9"/>
    <w:rsid w:val="00680BB8"/>
    <w:rsid w:val="00687E18"/>
    <w:rsid w:val="0069504A"/>
    <w:rsid w:val="006C61B8"/>
    <w:rsid w:val="006F6C03"/>
    <w:rsid w:val="007044C5"/>
    <w:rsid w:val="007105AB"/>
    <w:rsid w:val="0076091D"/>
    <w:rsid w:val="007649FB"/>
    <w:rsid w:val="00773497"/>
    <w:rsid w:val="007D4420"/>
    <w:rsid w:val="007E3E2D"/>
    <w:rsid w:val="00823D70"/>
    <w:rsid w:val="00827837"/>
    <w:rsid w:val="0086567F"/>
    <w:rsid w:val="00872004"/>
    <w:rsid w:val="0088088D"/>
    <w:rsid w:val="008C4A51"/>
    <w:rsid w:val="00977242"/>
    <w:rsid w:val="00981F2D"/>
    <w:rsid w:val="00982EF1"/>
    <w:rsid w:val="009A01FC"/>
    <w:rsid w:val="009A148E"/>
    <w:rsid w:val="009A25F6"/>
    <w:rsid w:val="009A6D81"/>
    <w:rsid w:val="009A70A3"/>
    <w:rsid w:val="009E6F4E"/>
    <w:rsid w:val="009F7F95"/>
    <w:rsid w:val="00A214F3"/>
    <w:rsid w:val="00A309AB"/>
    <w:rsid w:val="00A55018"/>
    <w:rsid w:val="00A74103"/>
    <w:rsid w:val="00A9255B"/>
    <w:rsid w:val="00A95DC8"/>
    <w:rsid w:val="00AD7BA6"/>
    <w:rsid w:val="00AE1417"/>
    <w:rsid w:val="00B16EF7"/>
    <w:rsid w:val="00B233F0"/>
    <w:rsid w:val="00B2588C"/>
    <w:rsid w:val="00B362A1"/>
    <w:rsid w:val="00B73921"/>
    <w:rsid w:val="00BE46C7"/>
    <w:rsid w:val="00C6465D"/>
    <w:rsid w:val="00CC6C79"/>
    <w:rsid w:val="00CD17C3"/>
    <w:rsid w:val="00CE3963"/>
    <w:rsid w:val="00CE4278"/>
    <w:rsid w:val="00D40A16"/>
    <w:rsid w:val="00D45B00"/>
    <w:rsid w:val="00D65437"/>
    <w:rsid w:val="00D735E4"/>
    <w:rsid w:val="00DD2CEB"/>
    <w:rsid w:val="00E067AD"/>
    <w:rsid w:val="00E168D1"/>
    <w:rsid w:val="00E22B69"/>
    <w:rsid w:val="00E33F5F"/>
    <w:rsid w:val="00E42BC6"/>
    <w:rsid w:val="00E57D86"/>
    <w:rsid w:val="00E6016F"/>
    <w:rsid w:val="00E85E19"/>
    <w:rsid w:val="00E925E0"/>
    <w:rsid w:val="00E930DE"/>
    <w:rsid w:val="00EA1B7F"/>
    <w:rsid w:val="00EA3593"/>
    <w:rsid w:val="00F04563"/>
    <w:rsid w:val="00F20C2D"/>
    <w:rsid w:val="00F400DB"/>
    <w:rsid w:val="00F66664"/>
    <w:rsid w:val="00F8600C"/>
    <w:rsid w:val="00FA298C"/>
    <w:rsid w:val="00FC7934"/>
    <w:rsid w:val="00FE3797"/>
    <w:rsid w:val="00FF0D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7AE7E"/>
  <w15:chartTrackingRefBased/>
  <w15:docId w15:val="{B33BF9E3-668B-4499-B549-2849AB64B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804CC"/>
    <w:pPr>
      <w:spacing w:line="360" w:lineRule="auto"/>
      <w:contextualSpacing/>
    </w:pPr>
    <w:rPr>
      <w:sz w:val="24"/>
    </w:rPr>
  </w:style>
  <w:style w:type="paragraph" w:styleId="Heading1">
    <w:name w:val="heading 1"/>
    <w:basedOn w:val="Normal"/>
    <w:next w:val="Normal"/>
    <w:link w:val="Heading1Char"/>
    <w:uiPriority w:val="9"/>
    <w:qFormat/>
    <w:rsid w:val="00E22B69"/>
    <w:pPr>
      <w:keepNext/>
      <w:keepLines/>
      <w:spacing w:before="240" w:after="0" w:line="259" w:lineRule="auto"/>
      <w:contextualSpacing w:val="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00510"/>
    <w:pPr>
      <w:spacing w:after="0" w:line="240" w:lineRule="auto"/>
      <w:contextualSpacing w:val="0"/>
    </w:pPr>
    <w:rPr>
      <w:rFonts w:ascii="Times New Roman" w:hAnsi="Times New Roman" w:cs="Times New Roman"/>
      <w:szCs w:val="24"/>
      <w:lang w:eastAsia="en-GB"/>
    </w:rPr>
  </w:style>
  <w:style w:type="character" w:customStyle="1" w:styleId="Heading1Char">
    <w:name w:val="Heading 1 Char"/>
    <w:basedOn w:val="DefaultParagraphFont"/>
    <w:link w:val="Heading1"/>
    <w:uiPriority w:val="9"/>
    <w:rsid w:val="00E22B69"/>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E22B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60606">
      <w:bodyDiv w:val="1"/>
      <w:marLeft w:val="0"/>
      <w:marRight w:val="0"/>
      <w:marTop w:val="0"/>
      <w:marBottom w:val="0"/>
      <w:divBdr>
        <w:top w:val="none" w:sz="0" w:space="0" w:color="auto"/>
        <w:left w:val="none" w:sz="0" w:space="0" w:color="auto"/>
        <w:bottom w:val="none" w:sz="0" w:space="0" w:color="auto"/>
        <w:right w:val="none" w:sz="0" w:space="0" w:color="auto"/>
      </w:divBdr>
    </w:div>
    <w:div w:id="117532709">
      <w:bodyDiv w:val="1"/>
      <w:marLeft w:val="0"/>
      <w:marRight w:val="0"/>
      <w:marTop w:val="0"/>
      <w:marBottom w:val="0"/>
      <w:divBdr>
        <w:top w:val="none" w:sz="0" w:space="0" w:color="auto"/>
        <w:left w:val="none" w:sz="0" w:space="0" w:color="auto"/>
        <w:bottom w:val="none" w:sz="0" w:space="0" w:color="auto"/>
        <w:right w:val="none" w:sz="0" w:space="0" w:color="auto"/>
      </w:divBdr>
    </w:div>
    <w:div w:id="244538706">
      <w:bodyDiv w:val="1"/>
      <w:marLeft w:val="0"/>
      <w:marRight w:val="0"/>
      <w:marTop w:val="0"/>
      <w:marBottom w:val="0"/>
      <w:divBdr>
        <w:top w:val="none" w:sz="0" w:space="0" w:color="auto"/>
        <w:left w:val="none" w:sz="0" w:space="0" w:color="auto"/>
        <w:bottom w:val="none" w:sz="0" w:space="0" w:color="auto"/>
        <w:right w:val="none" w:sz="0" w:space="0" w:color="auto"/>
      </w:divBdr>
    </w:div>
    <w:div w:id="258368248">
      <w:bodyDiv w:val="1"/>
      <w:marLeft w:val="0"/>
      <w:marRight w:val="0"/>
      <w:marTop w:val="0"/>
      <w:marBottom w:val="0"/>
      <w:divBdr>
        <w:top w:val="none" w:sz="0" w:space="0" w:color="auto"/>
        <w:left w:val="none" w:sz="0" w:space="0" w:color="auto"/>
        <w:bottom w:val="none" w:sz="0" w:space="0" w:color="auto"/>
        <w:right w:val="none" w:sz="0" w:space="0" w:color="auto"/>
      </w:divBdr>
      <w:divsChild>
        <w:div w:id="488905531">
          <w:marLeft w:val="0"/>
          <w:marRight w:val="0"/>
          <w:marTop w:val="0"/>
          <w:marBottom w:val="0"/>
          <w:divBdr>
            <w:top w:val="none" w:sz="0" w:space="0" w:color="auto"/>
            <w:left w:val="none" w:sz="0" w:space="0" w:color="auto"/>
            <w:bottom w:val="none" w:sz="0" w:space="0" w:color="auto"/>
            <w:right w:val="none" w:sz="0" w:space="0" w:color="auto"/>
          </w:divBdr>
        </w:div>
        <w:div w:id="613220677">
          <w:marLeft w:val="0"/>
          <w:marRight w:val="0"/>
          <w:marTop w:val="0"/>
          <w:marBottom w:val="0"/>
          <w:divBdr>
            <w:top w:val="none" w:sz="0" w:space="0" w:color="auto"/>
            <w:left w:val="none" w:sz="0" w:space="0" w:color="auto"/>
            <w:bottom w:val="none" w:sz="0" w:space="0" w:color="auto"/>
            <w:right w:val="none" w:sz="0" w:space="0" w:color="auto"/>
          </w:divBdr>
        </w:div>
        <w:div w:id="1073694773">
          <w:marLeft w:val="0"/>
          <w:marRight w:val="0"/>
          <w:marTop w:val="0"/>
          <w:marBottom w:val="0"/>
          <w:divBdr>
            <w:top w:val="none" w:sz="0" w:space="0" w:color="auto"/>
            <w:left w:val="none" w:sz="0" w:space="0" w:color="auto"/>
            <w:bottom w:val="none" w:sz="0" w:space="0" w:color="auto"/>
            <w:right w:val="none" w:sz="0" w:space="0" w:color="auto"/>
          </w:divBdr>
        </w:div>
        <w:div w:id="1239514793">
          <w:marLeft w:val="0"/>
          <w:marRight w:val="0"/>
          <w:marTop w:val="0"/>
          <w:marBottom w:val="0"/>
          <w:divBdr>
            <w:top w:val="none" w:sz="0" w:space="0" w:color="auto"/>
            <w:left w:val="none" w:sz="0" w:space="0" w:color="auto"/>
            <w:bottom w:val="none" w:sz="0" w:space="0" w:color="auto"/>
            <w:right w:val="none" w:sz="0" w:space="0" w:color="auto"/>
          </w:divBdr>
        </w:div>
        <w:div w:id="1083796624">
          <w:marLeft w:val="0"/>
          <w:marRight w:val="0"/>
          <w:marTop w:val="0"/>
          <w:marBottom w:val="0"/>
          <w:divBdr>
            <w:top w:val="none" w:sz="0" w:space="0" w:color="auto"/>
            <w:left w:val="none" w:sz="0" w:space="0" w:color="auto"/>
            <w:bottom w:val="none" w:sz="0" w:space="0" w:color="auto"/>
            <w:right w:val="none" w:sz="0" w:space="0" w:color="auto"/>
          </w:divBdr>
        </w:div>
        <w:div w:id="1994214572">
          <w:marLeft w:val="0"/>
          <w:marRight w:val="0"/>
          <w:marTop w:val="0"/>
          <w:marBottom w:val="0"/>
          <w:divBdr>
            <w:top w:val="none" w:sz="0" w:space="0" w:color="auto"/>
            <w:left w:val="none" w:sz="0" w:space="0" w:color="auto"/>
            <w:bottom w:val="none" w:sz="0" w:space="0" w:color="auto"/>
            <w:right w:val="none" w:sz="0" w:space="0" w:color="auto"/>
          </w:divBdr>
        </w:div>
        <w:div w:id="285933838">
          <w:marLeft w:val="0"/>
          <w:marRight w:val="0"/>
          <w:marTop w:val="0"/>
          <w:marBottom w:val="0"/>
          <w:divBdr>
            <w:top w:val="none" w:sz="0" w:space="0" w:color="auto"/>
            <w:left w:val="none" w:sz="0" w:space="0" w:color="auto"/>
            <w:bottom w:val="none" w:sz="0" w:space="0" w:color="auto"/>
            <w:right w:val="none" w:sz="0" w:space="0" w:color="auto"/>
          </w:divBdr>
        </w:div>
        <w:div w:id="1879657467">
          <w:marLeft w:val="0"/>
          <w:marRight w:val="0"/>
          <w:marTop w:val="0"/>
          <w:marBottom w:val="0"/>
          <w:divBdr>
            <w:top w:val="none" w:sz="0" w:space="0" w:color="auto"/>
            <w:left w:val="none" w:sz="0" w:space="0" w:color="auto"/>
            <w:bottom w:val="none" w:sz="0" w:space="0" w:color="auto"/>
            <w:right w:val="none" w:sz="0" w:space="0" w:color="auto"/>
          </w:divBdr>
        </w:div>
        <w:div w:id="1783381361">
          <w:marLeft w:val="0"/>
          <w:marRight w:val="0"/>
          <w:marTop w:val="0"/>
          <w:marBottom w:val="0"/>
          <w:divBdr>
            <w:top w:val="none" w:sz="0" w:space="0" w:color="auto"/>
            <w:left w:val="none" w:sz="0" w:space="0" w:color="auto"/>
            <w:bottom w:val="none" w:sz="0" w:space="0" w:color="auto"/>
            <w:right w:val="none" w:sz="0" w:space="0" w:color="auto"/>
          </w:divBdr>
        </w:div>
        <w:div w:id="615868332">
          <w:marLeft w:val="0"/>
          <w:marRight w:val="0"/>
          <w:marTop w:val="0"/>
          <w:marBottom w:val="0"/>
          <w:divBdr>
            <w:top w:val="none" w:sz="0" w:space="0" w:color="auto"/>
            <w:left w:val="none" w:sz="0" w:space="0" w:color="auto"/>
            <w:bottom w:val="none" w:sz="0" w:space="0" w:color="auto"/>
            <w:right w:val="none" w:sz="0" w:space="0" w:color="auto"/>
          </w:divBdr>
        </w:div>
        <w:div w:id="1790316792">
          <w:marLeft w:val="0"/>
          <w:marRight w:val="0"/>
          <w:marTop w:val="0"/>
          <w:marBottom w:val="0"/>
          <w:divBdr>
            <w:top w:val="none" w:sz="0" w:space="0" w:color="auto"/>
            <w:left w:val="none" w:sz="0" w:space="0" w:color="auto"/>
            <w:bottom w:val="none" w:sz="0" w:space="0" w:color="auto"/>
            <w:right w:val="none" w:sz="0" w:space="0" w:color="auto"/>
          </w:divBdr>
        </w:div>
        <w:div w:id="347295084">
          <w:marLeft w:val="0"/>
          <w:marRight w:val="0"/>
          <w:marTop w:val="0"/>
          <w:marBottom w:val="0"/>
          <w:divBdr>
            <w:top w:val="none" w:sz="0" w:space="0" w:color="auto"/>
            <w:left w:val="none" w:sz="0" w:space="0" w:color="auto"/>
            <w:bottom w:val="none" w:sz="0" w:space="0" w:color="auto"/>
            <w:right w:val="none" w:sz="0" w:space="0" w:color="auto"/>
          </w:divBdr>
        </w:div>
        <w:div w:id="901066956">
          <w:marLeft w:val="0"/>
          <w:marRight w:val="0"/>
          <w:marTop w:val="0"/>
          <w:marBottom w:val="0"/>
          <w:divBdr>
            <w:top w:val="none" w:sz="0" w:space="0" w:color="auto"/>
            <w:left w:val="none" w:sz="0" w:space="0" w:color="auto"/>
            <w:bottom w:val="none" w:sz="0" w:space="0" w:color="auto"/>
            <w:right w:val="none" w:sz="0" w:space="0" w:color="auto"/>
          </w:divBdr>
        </w:div>
        <w:div w:id="513957308">
          <w:marLeft w:val="0"/>
          <w:marRight w:val="0"/>
          <w:marTop w:val="0"/>
          <w:marBottom w:val="0"/>
          <w:divBdr>
            <w:top w:val="none" w:sz="0" w:space="0" w:color="auto"/>
            <w:left w:val="none" w:sz="0" w:space="0" w:color="auto"/>
            <w:bottom w:val="none" w:sz="0" w:space="0" w:color="auto"/>
            <w:right w:val="none" w:sz="0" w:space="0" w:color="auto"/>
          </w:divBdr>
        </w:div>
        <w:div w:id="229465713">
          <w:marLeft w:val="0"/>
          <w:marRight w:val="0"/>
          <w:marTop w:val="0"/>
          <w:marBottom w:val="0"/>
          <w:divBdr>
            <w:top w:val="none" w:sz="0" w:space="0" w:color="auto"/>
            <w:left w:val="none" w:sz="0" w:space="0" w:color="auto"/>
            <w:bottom w:val="none" w:sz="0" w:space="0" w:color="auto"/>
            <w:right w:val="none" w:sz="0" w:space="0" w:color="auto"/>
          </w:divBdr>
        </w:div>
        <w:div w:id="1202402601">
          <w:marLeft w:val="0"/>
          <w:marRight w:val="0"/>
          <w:marTop w:val="0"/>
          <w:marBottom w:val="0"/>
          <w:divBdr>
            <w:top w:val="none" w:sz="0" w:space="0" w:color="auto"/>
            <w:left w:val="none" w:sz="0" w:space="0" w:color="auto"/>
            <w:bottom w:val="none" w:sz="0" w:space="0" w:color="auto"/>
            <w:right w:val="none" w:sz="0" w:space="0" w:color="auto"/>
          </w:divBdr>
        </w:div>
        <w:div w:id="60297496">
          <w:marLeft w:val="0"/>
          <w:marRight w:val="0"/>
          <w:marTop w:val="0"/>
          <w:marBottom w:val="0"/>
          <w:divBdr>
            <w:top w:val="none" w:sz="0" w:space="0" w:color="auto"/>
            <w:left w:val="none" w:sz="0" w:space="0" w:color="auto"/>
            <w:bottom w:val="none" w:sz="0" w:space="0" w:color="auto"/>
            <w:right w:val="none" w:sz="0" w:space="0" w:color="auto"/>
          </w:divBdr>
        </w:div>
        <w:div w:id="1344285707">
          <w:marLeft w:val="0"/>
          <w:marRight w:val="0"/>
          <w:marTop w:val="0"/>
          <w:marBottom w:val="0"/>
          <w:divBdr>
            <w:top w:val="none" w:sz="0" w:space="0" w:color="auto"/>
            <w:left w:val="none" w:sz="0" w:space="0" w:color="auto"/>
            <w:bottom w:val="none" w:sz="0" w:space="0" w:color="auto"/>
            <w:right w:val="none" w:sz="0" w:space="0" w:color="auto"/>
          </w:divBdr>
        </w:div>
        <w:div w:id="816847560">
          <w:marLeft w:val="0"/>
          <w:marRight w:val="0"/>
          <w:marTop w:val="0"/>
          <w:marBottom w:val="0"/>
          <w:divBdr>
            <w:top w:val="none" w:sz="0" w:space="0" w:color="auto"/>
            <w:left w:val="none" w:sz="0" w:space="0" w:color="auto"/>
            <w:bottom w:val="none" w:sz="0" w:space="0" w:color="auto"/>
            <w:right w:val="none" w:sz="0" w:space="0" w:color="auto"/>
          </w:divBdr>
        </w:div>
        <w:div w:id="1768118164">
          <w:marLeft w:val="0"/>
          <w:marRight w:val="0"/>
          <w:marTop w:val="0"/>
          <w:marBottom w:val="0"/>
          <w:divBdr>
            <w:top w:val="none" w:sz="0" w:space="0" w:color="auto"/>
            <w:left w:val="none" w:sz="0" w:space="0" w:color="auto"/>
            <w:bottom w:val="none" w:sz="0" w:space="0" w:color="auto"/>
            <w:right w:val="none" w:sz="0" w:space="0" w:color="auto"/>
          </w:divBdr>
        </w:div>
        <w:div w:id="2079476045">
          <w:marLeft w:val="0"/>
          <w:marRight w:val="0"/>
          <w:marTop w:val="0"/>
          <w:marBottom w:val="0"/>
          <w:divBdr>
            <w:top w:val="none" w:sz="0" w:space="0" w:color="auto"/>
            <w:left w:val="none" w:sz="0" w:space="0" w:color="auto"/>
            <w:bottom w:val="none" w:sz="0" w:space="0" w:color="auto"/>
            <w:right w:val="none" w:sz="0" w:space="0" w:color="auto"/>
          </w:divBdr>
        </w:div>
        <w:div w:id="524951348">
          <w:marLeft w:val="0"/>
          <w:marRight w:val="0"/>
          <w:marTop w:val="0"/>
          <w:marBottom w:val="0"/>
          <w:divBdr>
            <w:top w:val="none" w:sz="0" w:space="0" w:color="auto"/>
            <w:left w:val="none" w:sz="0" w:space="0" w:color="auto"/>
            <w:bottom w:val="none" w:sz="0" w:space="0" w:color="auto"/>
            <w:right w:val="none" w:sz="0" w:space="0" w:color="auto"/>
          </w:divBdr>
        </w:div>
        <w:div w:id="523594088">
          <w:marLeft w:val="0"/>
          <w:marRight w:val="0"/>
          <w:marTop w:val="0"/>
          <w:marBottom w:val="0"/>
          <w:divBdr>
            <w:top w:val="none" w:sz="0" w:space="0" w:color="auto"/>
            <w:left w:val="none" w:sz="0" w:space="0" w:color="auto"/>
            <w:bottom w:val="none" w:sz="0" w:space="0" w:color="auto"/>
            <w:right w:val="none" w:sz="0" w:space="0" w:color="auto"/>
          </w:divBdr>
        </w:div>
        <w:div w:id="1677342937">
          <w:marLeft w:val="0"/>
          <w:marRight w:val="0"/>
          <w:marTop w:val="0"/>
          <w:marBottom w:val="0"/>
          <w:divBdr>
            <w:top w:val="none" w:sz="0" w:space="0" w:color="auto"/>
            <w:left w:val="none" w:sz="0" w:space="0" w:color="auto"/>
            <w:bottom w:val="none" w:sz="0" w:space="0" w:color="auto"/>
            <w:right w:val="none" w:sz="0" w:space="0" w:color="auto"/>
          </w:divBdr>
        </w:div>
        <w:div w:id="2091853693">
          <w:marLeft w:val="0"/>
          <w:marRight w:val="0"/>
          <w:marTop w:val="0"/>
          <w:marBottom w:val="0"/>
          <w:divBdr>
            <w:top w:val="none" w:sz="0" w:space="0" w:color="auto"/>
            <w:left w:val="none" w:sz="0" w:space="0" w:color="auto"/>
            <w:bottom w:val="none" w:sz="0" w:space="0" w:color="auto"/>
            <w:right w:val="none" w:sz="0" w:space="0" w:color="auto"/>
          </w:divBdr>
        </w:div>
        <w:div w:id="1802842230">
          <w:marLeft w:val="0"/>
          <w:marRight w:val="0"/>
          <w:marTop w:val="0"/>
          <w:marBottom w:val="0"/>
          <w:divBdr>
            <w:top w:val="none" w:sz="0" w:space="0" w:color="auto"/>
            <w:left w:val="none" w:sz="0" w:space="0" w:color="auto"/>
            <w:bottom w:val="none" w:sz="0" w:space="0" w:color="auto"/>
            <w:right w:val="none" w:sz="0" w:space="0" w:color="auto"/>
          </w:divBdr>
        </w:div>
        <w:div w:id="1022590861">
          <w:marLeft w:val="0"/>
          <w:marRight w:val="0"/>
          <w:marTop w:val="0"/>
          <w:marBottom w:val="0"/>
          <w:divBdr>
            <w:top w:val="none" w:sz="0" w:space="0" w:color="auto"/>
            <w:left w:val="none" w:sz="0" w:space="0" w:color="auto"/>
            <w:bottom w:val="none" w:sz="0" w:space="0" w:color="auto"/>
            <w:right w:val="none" w:sz="0" w:space="0" w:color="auto"/>
          </w:divBdr>
        </w:div>
        <w:div w:id="2023631140">
          <w:marLeft w:val="0"/>
          <w:marRight w:val="0"/>
          <w:marTop w:val="0"/>
          <w:marBottom w:val="0"/>
          <w:divBdr>
            <w:top w:val="none" w:sz="0" w:space="0" w:color="auto"/>
            <w:left w:val="none" w:sz="0" w:space="0" w:color="auto"/>
            <w:bottom w:val="none" w:sz="0" w:space="0" w:color="auto"/>
            <w:right w:val="none" w:sz="0" w:space="0" w:color="auto"/>
          </w:divBdr>
        </w:div>
        <w:div w:id="1268737527">
          <w:marLeft w:val="0"/>
          <w:marRight w:val="0"/>
          <w:marTop w:val="0"/>
          <w:marBottom w:val="0"/>
          <w:divBdr>
            <w:top w:val="none" w:sz="0" w:space="0" w:color="auto"/>
            <w:left w:val="none" w:sz="0" w:space="0" w:color="auto"/>
            <w:bottom w:val="none" w:sz="0" w:space="0" w:color="auto"/>
            <w:right w:val="none" w:sz="0" w:space="0" w:color="auto"/>
          </w:divBdr>
        </w:div>
        <w:div w:id="1393772374">
          <w:marLeft w:val="0"/>
          <w:marRight w:val="0"/>
          <w:marTop w:val="0"/>
          <w:marBottom w:val="0"/>
          <w:divBdr>
            <w:top w:val="none" w:sz="0" w:space="0" w:color="auto"/>
            <w:left w:val="none" w:sz="0" w:space="0" w:color="auto"/>
            <w:bottom w:val="none" w:sz="0" w:space="0" w:color="auto"/>
            <w:right w:val="none" w:sz="0" w:space="0" w:color="auto"/>
          </w:divBdr>
        </w:div>
        <w:div w:id="973488117">
          <w:marLeft w:val="0"/>
          <w:marRight w:val="0"/>
          <w:marTop w:val="0"/>
          <w:marBottom w:val="0"/>
          <w:divBdr>
            <w:top w:val="none" w:sz="0" w:space="0" w:color="auto"/>
            <w:left w:val="none" w:sz="0" w:space="0" w:color="auto"/>
            <w:bottom w:val="none" w:sz="0" w:space="0" w:color="auto"/>
            <w:right w:val="none" w:sz="0" w:space="0" w:color="auto"/>
          </w:divBdr>
        </w:div>
        <w:div w:id="1061441687">
          <w:marLeft w:val="0"/>
          <w:marRight w:val="0"/>
          <w:marTop w:val="0"/>
          <w:marBottom w:val="0"/>
          <w:divBdr>
            <w:top w:val="none" w:sz="0" w:space="0" w:color="auto"/>
            <w:left w:val="none" w:sz="0" w:space="0" w:color="auto"/>
            <w:bottom w:val="none" w:sz="0" w:space="0" w:color="auto"/>
            <w:right w:val="none" w:sz="0" w:space="0" w:color="auto"/>
          </w:divBdr>
        </w:div>
        <w:div w:id="1169716816">
          <w:marLeft w:val="0"/>
          <w:marRight w:val="0"/>
          <w:marTop w:val="0"/>
          <w:marBottom w:val="0"/>
          <w:divBdr>
            <w:top w:val="none" w:sz="0" w:space="0" w:color="auto"/>
            <w:left w:val="none" w:sz="0" w:space="0" w:color="auto"/>
            <w:bottom w:val="none" w:sz="0" w:space="0" w:color="auto"/>
            <w:right w:val="none" w:sz="0" w:space="0" w:color="auto"/>
          </w:divBdr>
        </w:div>
        <w:div w:id="56899036">
          <w:marLeft w:val="0"/>
          <w:marRight w:val="0"/>
          <w:marTop w:val="0"/>
          <w:marBottom w:val="0"/>
          <w:divBdr>
            <w:top w:val="none" w:sz="0" w:space="0" w:color="auto"/>
            <w:left w:val="none" w:sz="0" w:space="0" w:color="auto"/>
            <w:bottom w:val="none" w:sz="0" w:space="0" w:color="auto"/>
            <w:right w:val="none" w:sz="0" w:space="0" w:color="auto"/>
          </w:divBdr>
        </w:div>
        <w:div w:id="1163282549">
          <w:marLeft w:val="0"/>
          <w:marRight w:val="0"/>
          <w:marTop w:val="0"/>
          <w:marBottom w:val="0"/>
          <w:divBdr>
            <w:top w:val="none" w:sz="0" w:space="0" w:color="auto"/>
            <w:left w:val="none" w:sz="0" w:space="0" w:color="auto"/>
            <w:bottom w:val="none" w:sz="0" w:space="0" w:color="auto"/>
            <w:right w:val="none" w:sz="0" w:space="0" w:color="auto"/>
          </w:divBdr>
        </w:div>
        <w:div w:id="1570337199">
          <w:marLeft w:val="0"/>
          <w:marRight w:val="0"/>
          <w:marTop w:val="0"/>
          <w:marBottom w:val="0"/>
          <w:divBdr>
            <w:top w:val="none" w:sz="0" w:space="0" w:color="auto"/>
            <w:left w:val="none" w:sz="0" w:space="0" w:color="auto"/>
            <w:bottom w:val="none" w:sz="0" w:space="0" w:color="auto"/>
            <w:right w:val="none" w:sz="0" w:space="0" w:color="auto"/>
          </w:divBdr>
        </w:div>
        <w:div w:id="2071227350">
          <w:marLeft w:val="0"/>
          <w:marRight w:val="0"/>
          <w:marTop w:val="0"/>
          <w:marBottom w:val="0"/>
          <w:divBdr>
            <w:top w:val="none" w:sz="0" w:space="0" w:color="auto"/>
            <w:left w:val="none" w:sz="0" w:space="0" w:color="auto"/>
            <w:bottom w:val="none" w:sz="0" w:space="0" w:color="auto"/>
            <w:right w:val="none" w:sz="0" w:space="0" w:color="auto"/>
          </w:divBdr>
        </w:div>
      </w:divsChild>
    </w:div>
    <w:div w:id="265114860">
      <w:bodyDiv w:val="1"/>
      <w:marLeft w:val="0"/>
      <w:marRight w:val="0"/>
      <w:marTop w:val="0"/>
      <w:marBottom w:val="0"/>
      <w:divBdr>
        <w:top w:val="none" w:sz="0" w:space="0" w:color="auto"/>
        <w:left w:val="none" w:sz="0" w:space="0" w:color="auto"/>
        <w:bottom w:val="none" w:sz="0" w:space="0" w:color="auto"/>
        <w:right w:val="none" w:sz="0" w:space="0" w:color="auto"/>
      </w:divBdr>
    </w:div>
    <w:div w:id="271862376">
      <w:bodyDiv w:val="1"/>
      <w:marLeft w:val="0"/>
      <w:marRight w:val="0"/>
      <w:marTop w:val="0"/>
      <w:marBottom w:val="0"/>
      <w:divBdr>
        <w:top w:val="none" w:sz="0" w:space="0" w:color="auto"/>
        <w:left w:val="none" w:sz="0" w:space="0" w:color="auto"/>
        <w:bottom w:val="none" w:sz="0" w:space="0" w:color="auto"/>
        <w:right w:val="none" w:sz="0" w:space="0" w:color="auto"/>
      </w:divBdr>
    </w:div>
    <w:div w:id="411515491">
      <w:bodyDiv w:val="1"/>
      <w:marLeft w:val="0"/>
      <w:marRight w:val="0"/>
      <w:marTop w:val="0"/>
      <w:marBottom w:val="0"/>
      <w:divBdr>
        <w:top w:val="none" w:sz="0" w:space="0" w:color="auto"/>
        <w:left w:val="none" w:sz="0" w:space="0" w:color="auto"/>
        <w:bottom w:val="none" w:sz="0" w:space="0" w:color="auto"/>
        <w:right w:val="none" w:sz="0" w:space="0" w:color="auto"/>
      </w:divBdr>
    </w:div>
    <w:div w:id="610283644">
      <w:bodyDiv w:val="1"/>
      <w:marLeft w:val="0"/>
      <w:marRight w:val="0"/>
      <w:marTop w:val="0"/>
      <w:marBottom w:val="0"/>
      <w:divBdr>
        <w:top w:val="none" w:sz="0" w:space="0" w:color="auto"/>
        <w:left w:val="none" w:sz="0" w:space="0" w:color="auto"/>
        <w:bottom w:val="none" w:sz="0" w:space="0" w:color="auto"/>
        <w:right w:val="none" w:sz="0" w:space="0" w:color="auto"/>
      </w:divBdr>
    </w:div>
    <w:div w:id="647368485">
      <w:bodyDiv w:val="1"/>
      <w:marLeft w:val="0"/>
      <w:marRight w:val="0"/>
      <w:marTop w:val="0"/>
      <w:marBottom w:val="0"/>
      <w:divBdr>
        <w:top w:val="none" w:sz="0" w:space="0" w:color="auto"/>
        <w:left w:val="none" w:sz="0" w:space="0" w:color="auto"/>
        <w:bottom w:val="none" w:sz="0" w:space="0" w:color="auto"/>
        <w:right w:val="none" w:sz="0" w:space="0" w:color="auto"/>
      </w:divBdr>
    </w:div>
    <w:div w:id="681518785">
      <w:bodyDiv w:val="1"/>
      <w:marLeft w:val="0"/>
      <w:marRight w:val="0"/>
      <w:marTop w:val="0"/>
      <w:marBottom w:val="0"/>
      <w:divBdr>
        <w:top w:val="none" w:sz="0" w:space="0" w:color="auto"/>
        <w:left w:val="none" w:sz="0" w:space="0" w:color="auto"/>
        <w:bottom w:val="none" w:sz="0" w:space="0" w:color="auto"/>
        <w:right w:val="none" w:sz="0" w:space="0" w:color="auto"/>
      </w:divBdr>
    </w:div>
    <w:div w:id="785346733">
      <w:bodyDiv w:val="1"/>
      <w:marLeft w:val="0"/>
      <w:marRight w:val="0"/>
      <w:marTop w:val="0"/>
      <w:marBottom w:val="0"/>
      <w:divBdr>
        <w:top w:val="none" w:sz="0" w:space="0" w:color="auto"/>
        <w:left w:val="none" w:sz="0" w:space="0" w:color="auto"/>
        <w:bottom w:val="none" w:sz="0" w:space="0" w:color="auto"/>
        <w:right w:val="none" w:sz="0" w:space="0" w:color="auto"/>
      </w:divBdr>
    </w:div>
    <w:div w:id="959266218">
      <w:bodyDiv w:val="1"/>
      <w:marLeft w:val="0"/>
      <w:marRight w:val="0"/>
      <w:marTop w:val="0"/>
      <w:marBottom w:val="0"/>
      <w:divBdr>
        <w:top w:val="none" w:sz="0" w:space="0" w:color="auto"/>
        <w:left w:val="none" w:sz="0" w:space="0" w:color="auto"/>
        <w:bottom w:val="none" w:sz="0" w:space="0" w:color="auto"/>
        <w:right w:val="none" w:sz="0" w:space="0" w:color="auto"/>
      </w:divBdr>
    </w:div>
    <w:div w:id="1028069500">
      <w:bodyDiv w:val="1"/>
      <w:marLeft w:val="0"/>
      <w:marRight w:val="0"/>
      <w:marTop w:val="0"/>
      <w:marBottom w:val="0"/>
      <w:divBdr>
        <w:top w:val="none" w:sz="0" w:space="0" w:color="auto"/>
        <w:left w:val="none" w:sz="0" w:space="0" w:color="auto"/>
        <w:bottom w:val="none" w:sz="0" w:space="0" w:color="auto"/>
        <w:right w:val="none" w:sz="0" w:space="0" w:color="auto"/>
      </w:divBdr>
    </w:div>
    <w:div w:id="1105928933">
      <w:bodyDiv w:val="1"/>
      <w:marLeft w:val="0"/>
      <w:marRight w:val="0"/>
      <w:marTop w:val="0"/>
      <w:marBottom w:val="0"/>
      <w:divBdr>
        <w:top w:val="none" w:sz="0" w:space="0" w:color="auto"/>
        <w:left w:val="none" w:sz="0" w:space="0" w:color="auto"/>
        <w:bottom w:val="none" w:sz="0" w:space="0" w:color="auto"/>
        <w:right w:val="none" w:sz="0" w:space="0" w:color="auto"/>
      </w:divBdr>
    </w:div>
    <w:div w:id="1132207200">
      <w:bodyDiv w:val="1"/>
      <w:marLeft w:val="0"/>
      <w:marRight w:val="0"/>
      <w:marTop w:val="0"/>
      <w:marBottom w:val="0"/>
      <w:divBdr>
        <w:top w:val="none" w:sz="0" w:space="0" w:color="auto"/>
        <w:left w:val="none" w:sz="0" w:space="0" w:color="auto"/>
        <w:bottom w:val="none" w:sz="0" w:space="0" w:color="auto"/>
        <w:right w:val="none" w:sz="0" w:space="0" w:color="auto"/>
      </w:divBdr>
    </w:div>
    <w:div w:id="1135952119">
      <w:bodyDiv w:val="1"/>
      <w:marLeft w:val="0"/>
      <w:marRight w:val="0"/>
      <w:marTop w:val="0"/>
      <w:marBottom w:val="0"/>
      <w:divBdr>
        <w:top w:val="none" w:sz="0" w:space="0" w:color="auto"/>
        <w:left w:val="none" w:sz="0" w:space="0" w:color="auto"/>
        <w:bottom w:val="none" w:sz="0" w:space="0" w:color="auto"/>
        <w:right w:val="none" w:sz="0" w:space="0" w:color="auto"/>
      </w:divBdr>
    </w:div>
    <w:div w:id="1240335487">
      <w:bodyDiv w:val="1"/>
      <w:marLeft w:val="0"/>
      <w:marRight w:val="0"/>
      <w:marTop w:val="0"/>
      <w:marBottom w:val="0"/>
      <w:divBdr>
        <w:top w:val="none" w:sz="0" w:space="0" w:color="auto"/>
        <w:left w:val="none" w:sz="0" w:space="0" w:color="auto"/>
        <w:bottom w:val="none" w:sz="0" w:space="0" w:color="auto"/>
        <w:right w:val="none" w:sz="0" w:space="0" w:color="auto"/>
      </w:divBdr>
    </w:div>
    <w:div w:id="1283461523">
      <w:bodyDiv w:val="1"/>
      <w:marLeft w:val="0"/>
      <w:marRight w:val="0"/>
      <w:marTop w:val="0"/>
      <w:marBottom w:val="0"/>
      <w:divBdr>
        <w:top w:val="none" w:sz="0" w:space="0" w:color="auto"/>
        <w:left w:val="none" w:sz="0" w:space="0" w:color="auto"/>
        <w:bottom w:val="none" w:sz="0" w:space="0" w:color="auto"/>
        <w:right w:val="none" w:sz="0" w:space="0" w:color="auto"/>
      </w:divBdr>
    </w:div>
    <w:div w:id="1288393096">
      <w:bodyDiv w:val="1"/>
      <w:marLeft w:val="0"/>
      <w:marRight w:val="0"/>
      <w:marTop w:val="0"/>
      <w:marBottom w:val="0"/>
      <w:divBdr>
        <w:top w:val="none" w:sz="0" w:space="0" w:color="auto"/>
        <w:left w:val="none" w:sz="0" w:space="0" w:color="auto"/>
        <w:bottom w:val="none" w:sz="0" w:space="0" w:color="auto"/>
        <w:right w:val="none" w:sz="0" w:space="0" w:color="auto"/>
      </w:divBdr>
    </w:div>
    <w:div w:id="1396393253">
      <w:bodyDiv w:val="1"/>
      <w:marLeft w:val="0"/>
      <w:marRight w:val="0"/>
      <w:marTop w:val="0"/>
      <w:marBottom w:val="0"/>
      <w:divBdr>
        <w:top w:val="none" w:sz="0" w:space="0" w:color="auto"/>
        <w:left w:val="none" w:sz="0" w:space="0" w:color="auto"/>
        <w:bottom w:val="none" w:sz="0" w:space="0" w:color="auto"/>
        <w:right w:val="none" w:sz="0" w:space="0" w:color="auto"/>
      </w:divBdr>
    </w:div>
    <w:div w:id="1654606852">
      <w:bodyDiv w:val="1"/>
      <w:marLeft w:val="0"/>
      <w:marRight w:val="0"/>
      <w:marTop w:val="0"/>
      <w:marBottom w:val="0"/>
      <w:divBdr>
        <w:top w:val="none" w:sz="0" w:space="0" w:color="auto"/>
        <w:left w:val="none" w:sz="0" w:space="0" w:color="auto"/>
        <w:bottom w:val="none" w:sz="0" w:space="0" w:color="auto"/>
        <w:right w:val="none" w:sz="0" w:space="0" w:color="auto"/>
      </w:divBdr>
    </w:div>
    <w:div w:id="1727676415">
      <w:bodyDiv w:val="1"/>
      <w:marLeft w:val="0"/>
      <w:marRight w:val="0"/>
      <w:marTop w:val="0"/>
      <w:marBottom w:val="0"/>
      <w:divBdr>
        <w:top w:val="none" w:sz="0" w:space="0" w:color="auto"/>
        <w:left w:val="none" w:sz="0" w:space="0" w:color="auto"/>
        <w:bottom w:val="none" w:sz="0" w:space="0" w:color="auto"/>
        <w:right w:val="none" w:sz="0" w:space="0" w:color="auto"/>
      </w:divBdr>
    </w:div>
    <w:div w:id="1902249856">
      <w:bodyDiv w:val="1"/>
      <w:marLeft w:val="0"/>
      <w:marRight w:val="0"/>
      <w:marTop w:val="0"/>
      <w:marBottom w:val="0"/>
      <w:divBdr>
        <w:top w:val="none" w:sz="0" w:space="0" w:color="auto"/>
        <w:left w:val="none" w:sz="0" w:space="0" w:color="auto"/>
        <w:bottom w:val="none" w:sz="0" w:space="0" w:color="auto"/>
        <w:right w:val="none" w:sz="0" w:space="0" w:color="auto"/>
      </w:divBdr>
    </w:div>
    <w:div w:id="1967351588">
      <w:bodyDiv w:val="1"/>
      <w:marLeft w:val="0"/>
      <w:marRight w:val="0"/>
      <w:marTop w:val="0"/>
      <w:marBottom w:val="0"/>
      <w:divBdr>
        <w:top w:val="none" w:sz="0" w:space="0" w:color="auto"/>
        <w:left w:val="none" w:sz="0" w:space="0" w:color="auto"/>
        <w:bottom w:val="none" w:sz="0" w:space="0" w:color="auto"/>
        <w:right w:val="none" w:sz="0" w:space="0" w:color="auto"/>
      </w:divBdr>
    </w:div>
    <w:div w:id="1988437788">
      <w:bodyDiv w:val="1"/>
      <w:marLeft w:val="0"/>
      <w:marRight w:val="0"/>
      <w:marTop w:val="0"/>
      <w:marBottom w:val="0"/>
      <w:divBdr>
        <w:top w:val="none" w:sz="0" w:space="0" w:color="auto"/>
        <w:left w:val="none" w:sz="0" w:space="0" w:color="auto"/>
        <w:bottom w:val="none" w:sz="0" w:space="0" w:color="auto"/>
        <w:right w:val="none" w:sz="0" w:space="0" w:color="auto"/>
      </w:divBdr>
    </w:div>
    <w:div w:id="1994523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Ruh90</b:Tag>
    <b:SourceType>JournalArticle</b:SourceType>
    <b:Guid>{FAD677E9-F613-4252-A5DC-EA95DB9F4C46}</b:Guid>
    <b:Title>Subject Matter Knowledge for Teaching and the Case of Functions</b:Title>
    <b:Year>1990</b:Year>
    <b:Author>
      <b:Author>
        <b:NameList>
          <b:Person>
            <b:Last>Even</b:Last>
            <b:First>Ruhama</b:First>
          </b:Person>
        </b:NameList>
      </b:Author>
    </b:Author>
    <b:JournalName>Educational Studies in Mathematics</b:JournalName>
    <b:Pages>521-544</b:Pages>
    <b:Volume>21</b:Volume>
    <b:Issue>6</b:Issue>
    <b:RefOrder>1</b:RefOrder>
  </b:Source>
  <b:Source>
    <b:Tag>Fra17</b:Tag>
    <b:SourceType>JournalArticle</b:SourceType>
    <b:Guid>{0F66DB5A-C095-4A4F-BB5D-AF6D663B14D0}</b:Guid>
    <b:Author>
      <b:Author>
        <b:NameList>
          <b:Person>
            <b:Last>Herold</b:Last>
            <b:First>Frank</b:First>
          </b:Person>
          <b:Person>
            <b:Last>Waring</b:Last>
            <b:First>Michael</b:First>
          </b:Person>
        </b:NameList>
      </b:Author>
    </b:Author>
    <b:Title>Is practical subject matter knowledge still important? Examining the Siedentopian perspective on the role of content knowledge in physical education teacher education</b:Title>
    <b:JournalName>PHYSICAL EDUCATION AND SPORT PEDAGOGY</b:JournalName>
    <b:Year>2017</b:Year>
    <b:Pages>231-245</b:Pages>
    <b:Volume>22</b:Volume>
    <b:Issue>3</b:Issue>
    <b:RefOrder>3</b:RefOrder>
  </b:Source>
  <b:Source>
    <b:Tag>Pet16</b:Tag>
    <b:SourceType>JournalArticle</b:SourceType>
    <b:Guid>{9A65A71C-B28C-4BCB-826A-5B121124A007}</b:Guid>
    <b:Author>
      <b:Author>
        <b:NameList>
          <b:Person>
            <b:Last>Iserbyt</b:Last>
            <b:First>Peter</b:First>
          </b:Person>
          <b:Person>
            <b:Last>Ward</b:Last>
            <b:First>Phillip</b:First>
          </b:Person>
          <b:Person>
            <b:Last>Martens</b:Last>
            <b:First>Jonas</b:First>
          </b:Person>
        </b:NameList>
      </b:Author>
    </b:Author>
    <b:Title>The influence of content knowledge on teaching and learning in Traditional and Sport Education contexts: an exploratory study</b:Title>
    <b:JournalName>Physical Education and Sport Pedagogy</b:JournalName>
    <b:Year>2016</b:Year>
    <b:Pages>539-556</b:Pages>
    <b:Volume>21</b:Volume>
    <b:Issue>5</b:Issue>
    <b:RefOrder>2</b:RefOrder>
  </b:Source>
  <b:Source>
    <b:Tag>Gau17</b:Tag>
    <b:SourceType>JournalArticle</b:SourceType>
    <b:Guid>{FF23C6E9-BBCE-4A7B-845A-DD4DD1A7D0AD}</b:Guid>
    <b:Author>
      <b:Author>
        <b:NameList>
          <b:Person>
            <b:Last>Chassang</b:Last>
            <b:First>Gauthier</b:First>
          </b:Person>
        </b:NameList>
      </b:Author>
    </b:Author>
    <b:Title>The impact of the EU general data protection regulation on scientific research</b:Title>
    <b:JournalName>Ecancermedicalscience</b:JournalName>
    <b:Year>2017</b:Year>
    <b:Pages>709</b:Pages>
    <b:Volume>11</b:Volume>
    <b:RefOrder>4</b:RefOrder>
  </b:Source>
  <b:Source>
    <b:Tag>Tes15</b:Tag>
    <b:SourceType>InternetSite</b:SourceType>
    <b:Guid>{247F8804-B2F6-4392-8FE8-07F367DC733C}</b:Guid>
    <b:Title>Learning styles &amp; the importance of critical self-reflection</b:Title>
    <b:Year>2015</b:Year>
    <b:ProductionCompany>TED Talks</b:ProductionCompany>
    <b:Author>
      <b:Director>
        <b:NameList>
          <b:Person>
            <b:Last>Marshik</b:Last>
            <b:First>Tesia</b:First>
          </b:Person>
        </b:NameList>
      </b:Director>
      <b:Author>
        <b:NameList>
          <b:Person>
            <b:Last>Marshik</b:Last>
            <b:First>Tesia</b:First>
          </b:Person>
        </b:NameList>
      </b:Author>
    </b:Author>
    <b:YearAccessed>2018</b:YearAccessed>
    <b:MonthAccessed>May</b:MonthAccessed>
    <b:DayAccessed>25</b:DayAccessed>
    <b:URL>https://youtu.be/855Now8h5Rs</b:URL>
    <b:RefOrder>5</b:RefOrder>
  </b:Source>
  <b:Source>
    <b:Tag>Dav054</b:Tag>
    <b:SourceType>Book</b:SourceType>
    <b:Guid>{C76BF70D-C8C7-45E2-AAE4-E61B9C47D495}</b:Guid>
    <b:Title>Teaching Skills in Further and Adult Education</b:Title>
    <b:Year>2005</b:Year>
    <b:Author>
      <b:Author>
        <b:NameList>
          <b:Person>
            <b:Last>Minton</b:Last>
            <b:First>David</b:First>
          </b:Person>
        </b:NameList>
      </b:Author>
    </b:Author>
    <b:City>London</b:City>
    <b:Publisher>Thomson</b:Publisher>
    <b:Edition>3rd</b:Edition>
    <b:RefOrder>7</b:RefOrder>
  </b:Source>
  <b:Source>
    <b:Tag>Mal901</b:Tag>
    <b:SourceType>Book</b:SourceType>
    <b:Guid>{097273E8-2C73-4988-9B45-F29C055A8C7C}</b:Guid>
    <b:Author>
      <b:Author>
        <b:NameList>
          <b:Person>
            <b:Last>Knowles</b:Last>
            <b:First>Malcolm</b:First>
          </b:Person>
        </b:NameList>
      </b:Author>
    </b:Author>
    <b:Title>The Adult Learner A neglected Species</b:Title>
    <b:Year>1990</b:Year>
    <b:City>London</b:City>
    <b:Publisher>Gulf</b:Publisher>
    <b:Edition>4th</b:Edition>
    <b:RefOrder>6</b:RefOrder>
  </b:Source>
  <b:Source>
    <b:Tag>Van17</b:Tag>
    <b:SourceType>JournalArticle</b:SourceType>
    <b:Guid>{1895CB2D-CD59-429C-A5CE-79A622C0755A}</b:Guid>
    <b:Title>Development and validation of an instrument to measure nurseeducator perceived confidence in clinical teaching</b:Title>
    <b:Year>2017</b:Year>
    <b:Author>
      <b:Author>
        <b:NameList>
          <b:Person>
            <b:Last>Nguyen</b:Last>
            <b:First>Van</b:First>
            <b:Middle>N.B.</b:Middle>
          </b:Person>
          <b:Person>
            <b:Last>Forbes</b:Last>
            <b:First>Helen</b:First>
          </b:Person>
          <b:Person>
            <b:Last>Mohebbi</b:Last>
            <b:First>Mohammadreza</b:First>
          </b:Person>
          <b:Person>
            <b:Last>Maxine Duke</b:Last>
          </b:Person>
        </b:NameList>
      </b:Author>
    </b:Author>
    <b:JournalName>Nursing and Health Sciences</b:JournalName>
    <b:Pages>498-508</b:Pages>
    <b:Volume>19</b:Volume>
    <b:RefOrder>8</b:RefOrder>
  </b:Source>
  <b:Source>
    <b:Tag>Yvo052</b:Tag>
    <b:SourceType>Book</b:SourceType>
    <b:Guid>{B9E337BD-3FA1-4148-8578-E32869B57EC2}</b:Guid>
    <b:Title>Reflective Teaching in Further and Adult Education</b:Title>
    <b:Year>2005</b:Year>
    <b:Author>
      <b:Author>
        <b:NameList>
          <b:Person>
            <b:Last>Hillier</b:Last>
            <b:First>Yvonne</b:First>
          </b:Person>
        </b:NameList>
      </b:Author>
    </b:Author>
    <b:City>London</b:City>
    <b:Publisher>Continuum</b:Publisher>
    <b:Edition>2nd</b:Edition>
    <b:RefOrder>9</b:RefOrder>
  </b:Source>
  <b:Source>
    <b:Tag>And032</b:Tag>
    <b:SourceType>Book</b:SourceType>
    <b:Guid>{8E8C24C8-B850-4F6D-B401-A532C4AC27B7}</b:Guid>
    <b:Author>
      <b:Author>
        <b:NameList>
          <b:Person>
            <b:Last>Armitage</b:Last>
            <b:First>Andy</b:First>
          </b:Person>
          <b:Person>
            <b:Last>Bryant</b:Last>
            <b:First>Robin</b:First>
          </b:Person>
          <b:Person>
            <b:Last>Dunnill</b:Last>
            <b:First>Richard</b:First>
          </b:Person>
          <b:Person>
            <b:Last>Renwick</b:Last>
            <b:First>Mandy</b:First>
          </b:Person>
          <b:Person>
            <b:Last>Hayes</b:Last>
            <b:First>Dennis</b:First>
          </b:Person>
          <b:Person>
            <b:Last>Hudson</b:Last>
            <b:First>Alan</b:First>
          </b:Person>
          <b:Person>
            <b:Last>Kent</b:Last>
            <b:First>Janis</b:First>
          </b:Person>
          <b:Person>
            <b:Last>Lawes</b:Last>
            <b:First>Shirley</b:First>
          </b:Person>
        </b:NameList>
      </b:Author>
    </b:Author>
    <b:Title>Teaching and Training in Post-Compulsory Education</b:Title>
    <b:Year>2003</b:Year>
    <b:City>Maidenhead</b:City>
    <b:Publisher>Open University Press</b:Publisher>
    <b:Edition>2nd</b:Edition>
    <b:RefOrder>12</b:RefOrder>
  </b:Source>
  <b:Source>
    <b:Tag>Sus11</b:Tag>
    <b:SourceType>Book</b:SourceType>
    <b:Guid>{F845C73B-F635-4E78-A382-73FBF71BEBC1}</b:Guid>
    <b:Author>
      <b:Author>
        <b:NameList>
          <b:Person>
            <b:Last>Wallace</b:Last>
            <b:First>Susan</b:First>
          </b:Person>
        </b:NameList>
      </b:Author>
    </b:Author>
    <b:Title>Teaching, Tutoring and Training in the Lifelong Learning Sector</b:Title>
    <b:Year>2011</b:Year>
    <b:City>Exeter</b:City>
    <b:Publisher>Learning matters</b:Publisher>
    <b:Edition>4th</b:Edition>
    <b:RefOrder>10</b:RefOrder>
  </b:Source>
  <b:Source>
    <b:Tag>Dan11</b:Tag>
    <b:SourceType>Book</b:SourceType>
    <b:Guid>{E0F6A501-2F01-4EF5-8201-5336183B102B}</b:Guid>
    <b:Author>
      <b:Author>
        <b:NameList>
          <b:Person>
            <b:Last>Muijis</b:Last>
            <b:First>Daniel</b:First>
          </b:Person>
          <b:Person>
            <b:Last>Reynolds</b:Last>
            <b:First>David</b:First>
          </b:Person>
        </b:NameList>
      </b:Author>
    </b:Author>
    <b:Title>Effective Teaching evidence and practice</b:Title>
    <b:Year>2011</b:Year>
    <b:City>London</b:City>
    <b:Publisher>Sage</b:Publisher>
    <b:Edition>3rd</b:Edition>
    <b:RefOrder>11</b:RefOrder>
  </b:Source>
  <b:Source>
    <b:Tag>Cor15</b:Tag>
    <b:SourceType>BookSection</b:SourceType>
    <b:Guid>{A1A39185-4AAA-4D52-BA24-293386104CA8}</b:Guid>
    <b:Title>Enhancing Student Learning</b:Title>
    <b:Year>2015</b:Year>
    <b:City>Maidenhead</b:City>
    <b:Publisher>Open University Press</b:Publisher>
    <b:Author>
      <b:Author>
        <b:NameList>
          <b:Person>
            <b:Last>Bryan</b:Last>
            <b:First>Cordelia</b:First>
          </b:Person>
        </b:NameList>
      </b:Author>
      <b:Editor>
        <b:NameList>
          <b:Person>
            <b:Last>Lea</b:Last>
            <b:First>John</b:First>
          </b:Person>
        </b:NameList>
      </b:Editor>
    </b:Author>
    <b:BookTitle>Enhancing Learning and Teaching in Higher Education engaging with the dimensions of practice</b:BookTitle>
    <b:Pages>20-53</b:Pages>
    <b:RefOrder>13</b:RefOrder>
  </b:Source>
  <b:Source>
    <b:Tag>Yvo051</b:Tag>
    <b:SourceType>Book</b:SourceType>
    <b:Guid>{6DDF5C69-7C78-45E9-B56E-7C4666152AD4}</b:Guid>
    <b:Author>
      <b:Author>
        <b:NameList>
          <b:Person>
            <b:Last>Hillier</b:Last>
            <b:First>Yvonne</b:First>
          </b:Person>
        </b:NameList>
      </b:Author>
    </b:Author>
    <b:Title>Reflective Teaching in Further and Adult Education</b:Title>
    <b:Year>2005</b:Year>
    <b:City>London</b:City>
    <b:Publisher>Continuum</b:Publisher>
    <b:Edition>2nd</b:Edition>
    <b:RefOrder>1</b:RefOrder>
  </b:Source>
  <b:Source>
    <b:Tag>Kar161</b:Tag>
    <b:SourceType>Book</b:SourceType>
    <b:Guid>{092E7963-728D-4800-A2CC-E69D0E44E1BB}</b:Guid>
    <b:Author>
      <b:Author>
        <b:NameList>
          <b:Person>
            <b:Last>Aubrey</b:Last>
            <b:First>Karl</b:First>
          </b:Person>
          <b:Person>
            <b:Last>Riley</b:Last>
            <b:First>Alison</b:First>
          </b:Person>
        </b:NameList>
      </b:Author>
    </b:Author>
    <b:Title>Understanding &amp; Using Educational Theories</b:Title>
    <b:Year>2016</b:Year>
    <b:City>London</b:City>
    <b:Publisher>Sage</b:Publisher>
    <b:RefOrder>2</b:RefOrder>
  </b:Source>
  <b:Source>
    <b:Tag>Dav84</b:Tag>
    <b:SourceType>Book</b:SourceType>
    <b:Guid>{ABDC1399-A837-48F7-A9A6-032BC358D253}</b:Guid>
    <b:Author>
      <b:Author>
        <b:NameList>
          <b:Person>
            <b:Last>Kolb</b:Last>
            <b:First>David</b:First>
          </b:Person>
        </b:NameList>
      </b:Author>
    </b:Author>
    <b:Title>Experiential Learning - Experience as the source of learning and development</b:Title>
    <b:Year>1984</b:Year>
    <b:City>London</b:City>
    <b:Publisher>Prentice-Hall</b:Publisher>
    <b:RefOrder>3</b:RefOrder>
  </b:Source>
  <b:Source>
    <b:Tag>Jen16</b:Tag>
    <b:SourceType>Book</b:SourceType>
    <b:Guid>{7B929936-5741-4CE5-A58E-0F5119163F5B}</b:Guid>
    <b:Author>
      <b:Author>
        <b:NameList>
          <b:Person>
            <b:Last>Lindon</b:Last>
            <b:First>Jennie</b:First>
          </b:Person>
          <b:Person>
            <b:Last>Trodd</b:Last>
            <b:First>Lyn</b:First>
          </b:Person>
        </b:NameList>
      </b:Author>
    </b:Author>
    <b:Title>Reflective Practice and Early Years Professionalism</b:Title>
    <b:Year>2016</b:Year>
    <b:City>London</b:City>
    <b:Publisher>Hodder Education</b:Publisher>
    <b:Edition>3rd</b:Edition>
    <b:RefOrder>4</b:RefOrder>
  </b:Source>
  <b:Source>
    <b:Tag>Mik11</b:Tag>
    <b:SourceType>BookSection</b:SourceType>
    <b:Guid>{74934C6A-04B8-4B3B-8EBE-E5BC6AC93B82}</b:Guid>
    <b:Title>Learning Together: Professional Learning Communities</b:Title>
    <b:Year>2011</b:Year>
    <b:City>Edinburgh</b:City>
    <b:Publisher>Dunedin academic Press</b:Publisher>
    <b:Author>
      <b:Author>
        <b:NameList>
          <b:Person>
            <b:Last>Carroll</b:Last>
            <b:First>Mike</b:First>
          </b:Person>
        </b:NameList>
      </b:Author>
      <b:Editor>
        <b:NameList>
          <b:Person>
            <b:Last>Forde</b:Last>
            <b:First>Christine</b:First>
          </b:Person>
          <b:Person>
            <b:Last>O'Brien</b:Last>
            <b:First>Jim</b:First>
          </b:Person>
        </b:NameList>
      </b:Editor>
    </b:Author>
    <b:BookTitle>Coaching and Mentoring</b:BookTitle>
    <b:Pages>63-81</b:Pages>
    <b:RefOrder>5</b:RefOrder>
  </b:Source>
  <b:Source>
    <b:Tag>JJo02</b:Tag>
    <b:SourceType>JournalArticle</b:SourceType>
    <b:Guid>{58A8A9B2-EB4B-4D13-8BEB-46DC473ECC55}</b:Guid>
    <b:Title>Effective Reflective Practice in Search of Meaning in Learning About Teaching</b:Title>
    <b:Year>2002</b:Year>
    <b:Pages>33-43</b:Pages>
    <b:Author>
      <b:Author>
        <b:NameList>
          <b:Person>
            <b:Last>Loughran</b:Last>
            <b:First>J.</b:First>
            <b:Middle>John</b:Middle>
          </b:Person>
        </b:NameList>
      </b:Author>
    </b:Author>
    <b:JournalName>Journal of Teacher Education</b:JournalName>
    <b:Volume>53</b:Volume>
    <b:Issue>1</b:Issue>
    <b:RefOrder>6</b:RefOrder>
  </b:Source>
  <b:Source>
    <b:Tag>Kev99</b:Tag>
    <b:SourceType>Book</b:SourceType>
    <b:Guid>{1C0A318D-7342-47B3-B57F-C31ED4638DDD}</b:Guid>
    <b:Title>The Induction and Mentoring of Newly Qualified Teachers a new deal for teachers</b:Title>
    <b:Year>1999</b:Year>
    <b:Author>
      <b:Author>
        <b:NameList>
          <b:Person>
            <b:Last>Bleach</b:Last>
            <b:First>Kevan</b:First>
          </b:Person>
        </b:NameList>
      </b:Author>
    </b:Author>
    <b:City>London</b:City>
    <b:Publisher>David Fulton</b:Publisher>
    <b:RefOrder>7</b:RefOrder>
  </b:Source>
  <b:Source>
    <b:Tag>Deb061</b:Tag>
    <b:SourceType>Book</b:SourceType>
    <b:Guid>{BA5A4E18-273F-4E9C-97F0-01D67B9F95BD}</b:Guid>
    <b:Author>
      <b:Author>
        <b:NameList>
          <b:Person>
            <b:Last>Myhill</b:Last>
            <b:First>Debra</b:First>
          </b:Person>
          <b:Person>
            <b:Last>Jones</b:Last>
            <b:First>Susan</b:First>
          </b:Person>
          <b:Person>
            <b:Last>Hopper</b:Last>
            <b:First>Rosemary</b:First>
          </b:Person>
        </b:NameList>
      </b:Author>
    </b:Author>
    <b:Title>Talking, Listening, Learning effective talk in the primary classroom</b:Title>
    <b:Year>2006</b:Year>
    <b:City>Maidenhead</b:City>
    <b:Publisher>Open University Press</b:Publisher>
    <b:RefOrder>8</b:RefOrder>
  </b:Source>
  <b:Source>
    <b:Tag>Ton11</b:Tag>
    <b:SourceType>Book</b:SourceType>
    <b:Guid>{13145F6F-35A5-41EA-8675-5C256D97412C}</b:Guid>
    <b:Author>
      <b:Author>
        <b:NameList>
          <b:Person>
            <b:Last>Ghaye</b:Last>
            <b:First>Tony</b:First>
          </b:Person>
        </b:NameList>
      </b:Author>
    </b:Author>
    <b:Title>Teaching and Learning Through Reflective Practice a practical guide for positive action</b:Title>
    <b:Year>2011</b:Year>
    <b:City>Abingdon</b:City>
    <b:Publisher>Routledge</b:Publisher>
    <b:Edition>2nd</b:Edition>
    <b:RefOrder>9</b:RefOrder>
  </b:Source>
  <b:Source>
    <b:Tag>Par09</b:Tag>
    <b:SourceType>JournalArticle</b:SourceType>
    <b:Guid>{5BD39A22-B933-4F26-8F2E-05710CD69C91}</b:Guid>
    <b:Title>Sensemaking or Critical Reflective Learning</b:Title>
    <b:Year>2009</b:Year>
    <b:Author>
      <b:Author>
        <b:NameList>
          <b:Person>
            <b:Last>Ng</b:Last>
            <b:First>Park</b:First>
            <b:Middle>Tee</b:Middle>
          </b:Person>
          <b:Person>
            <b:Last>Tan</b:Last>
            <b:First>Charlene</b:First>
          </b:Person>
        </b:NameList>
      </b:Author>
    </b:Author>
    <b:JournalName>Reflective Practice</b:JournalName>
    <b:Pages>37-44</b:Pages>
    <b:Volume>10</b:Volume>
    <b:Issue>1</b:Issue>
    <b:RefOrder>10</b:RefOrder>
  </b:Source>
  <b:Source>
    <b:Tag>Wen06</b:Tag>
    <b:SourceType>JournalArticle</b:SourceType>
    <b:Guid>{5050641D-8391-4216-9011-F61BCA45F7F2}</b:Guid>
    <b:Author>
      <b:Author>
        <b:NameList>
          <b:Person>
            <b:Last>Robinson</b:Last>
            <b:First>Wendy</b:First>
          </b:Person>
        </b:NameList>
      </b:Author>
    </b:Author>
    <b:Title>Teacher training in England and Wales: Past, Present and future perspectives</b:Title>
    <b:JournalName>Education Research and Perspectives</b:JournalName>
    <b:Year>2006</b:Year>
    <b:Pages>19-36</b:Pages>
    <b:Volume>33</b:Volume>
    <b:Issue>2</b:Issue>
    <b:RefOrder>11</b:RefOrder>
  </b:Source>
  <b:Source>
    <b:Tag>Joh06</b:Tag>
    <b:SourceType>Report</b:SourceType>
    <b:Guid>{A93CBDB8-F698-4F9A-9D1F-6C84D4222F2E}</b:Guid>
    <b:Title>Review of Initial Teacher Training Provision in Wales</b:Title>
    <b:Year>2006</b:Year>
    <b:Author>
      <b:Author>
        <b:NameList>
          <b:Person>
            <b:Last>Furlong</b:Last>
            <b:First>John</b:First>
          </b:Person>
          <b:Person>
            <b:Last>Hagger</b:Last>
            <b:First>hazel</b:First>
          </b:Person>
          <b:Person>
            <b:Last>Butcher</b:Last>
            <b:First>Cerys</b:First>
          </b:Person>
        </b:NameList>
      </b:Author>
    </b:Author>
    <b:Publisher>Welsh Government</b:Publisher>
    <b:City>Cardiff</b:City>
    <b:RefOrder>12</b:RefOrder>
  </b:Source>
  <b:Source>
    <b:Tag>Gar15</b:Tag>
    <b:SourceType>JournalArticle</b:SourceType>
    <b:Guid>{7D26DA44-DA90-4506-BE14-27F89A1C31DE}</b:Guid>
    <b:Title>Teacher education in the United Kingdom post devolution: convergences and divergences</b:Title>
    <b:Year>2015</b:Year>
    <b:Author>
      <b:Author>
        <b:NameList>
          <b:Person>
            <b:Last>Beuachamp</b:Last>
            <b:First>Gary</b:First>
          </b:Person>
          <b:Person>
            <b:Last>Clarke</b:Last>
            <b:First>Linda</b:First>
          </b:Person>
          <b:Person>
            <b:Last>Hulme</b:Last>
            <b:First>Moira</b:First>
          </b:Person>
          <b:Person>
            <b:Last>Murray</b:Last>
            <b:First>Jean</b:First>
          </b:Person>
        </b:NameList>
      </b:Author>
    </b:Author>
    <b:JournalName>Oxford Review of Education</b:JournalName>
    <b:Pages>154-170</b:Pages>
    <b:Volume>41</b:Volume>
    <b:Issue>2</b:Issue>
    <b:RefOrder>13</b:RefOrder>
  </b:Source>
  <b:Source>
    <b:Tag>Chr97</b:Tag>
    <b:SourceType>Book</b:SourceType>
    <b:Guid>{1C88949A-0B87-4355-834D-C4B47E286345}</b:Guid>
    <b:Title>Effective Teaching in Schools</b:Title>
    <b:Year>2009</b:Year>
    <b:Author>
      <b:Author>
        <b:NameList>
          <b:Person>
            <b:Last>Kyriacou</b:Last>
            <b:First>Chris</b:First>
          </b:Person>
        </b:NameList>
      </b:Author>
    </b:Author>
    <b:City>Cheltenham</b:City>
    <b:Publisher>Nelson Thornes</b:Publisher>
    <b:Edition>3rd</b:Edition>
    <b:RefOrder>14</b:RefOrder>
  </b:Source>
  <b:Source>
    <b:Tag>Mar01</b:Tag>
    <b:SourceType>DocumentFromInternetSite</b:SourceType>
    <b:Guid>{78F6B7C2-5677-4A86-8338-B93F2C950F18}</b:Guid>
    <b:Title>Reflective Teaching Practice and Professional Development</b:Title>
    <b:Year>2000</b:Year>
    <b:Author>
      <b:Author>
        <b:NameList>
          <b:Person>
            <b:Last>Ferraro</b:Last>
            <b:First>Joan</b:First>
            <b:Middle>M.</b:Middle>
          </b:Person>
        </b:NameList>
      </b:Author>
    </b:Author>
    <b:Month>October</b:Month>
    <b:YearAccessed>2018</b:YearAccessed>
    <b:MonthAccessed>May</b:MonthAccessed>
    <b:DayAccessed>23</b:DayAccessed>
    <b:URL>https://files.eric.ed.gov/fulltext/ED449120.pdf</b:URL>
    <b:RefOrder>15</b:RefOrder>
  </b:Source>
  <b:Source>
    <b:Tag>And08</b:Tag>
    <b:SourceType>Book</b:SourceType>
    <b:Guid>{8BDE0F3B-686E-440B-A64B-9747AA2DEFA5}</b:Guid>
    <b:Title>Reflective Teaching</b:Title>
    <b:Year>2008</b:Year>
    <b:Author>
      <b:Author>
        <b:NameList>
          <b:Person>
            <b:Last>Pollard</b:Last>
            <b:First>Andrew</b:First>
          </b:Person>
          <b:Person>
            <b:Last>Anderson</b:Last>
            <b:First>Julie</b:First>
          </b:Person>
          <b:Person>
            <b:Last>Swaffield</b:Last>
            <b:First>Sue</b:First>
          </b:Person>
          <b:Person>
            <b:Last>Swann</b:Last>
            <b:First>Mandy</b:First>
          </b:Person>
          <b:Person>
            <b:Last>Warwick</b:Last>
            <b:First>Paul</b:First>
          </b:Person>
        </b:NameList>
      </b:Author>
    </b:Author>
    <b:City>London</b:City>
    <b:Publisher>Continuum</b:Publisher>
    <b:Edition>3rd</b:Edition>
    <b:RefOrder>16</b:RefOrder>
  </b:Source>
  <b:Source>
    <b:Tag>Dav941</b:Tag>
    <b:SourceType>Book</b:SourceType>
    <b:Guid>{7AEE2748-5F67-4BE9-93BC-47ACF2F1DCDC}</b:Guid>
    <b:Author>
      <b:Author>
        <b:NameList>
          <b:Person>
            <b:Last>McNamara</b:Last>
            <b:First>David</b:First>
          </b:Person>
        </b:NameList>
      </b:Author>
    </b:Author>
    <b:Title>Classroom Pedagogy and Primary Practice</b:Title>
    <b:Year>1994</b:Year>
    <b:City>London</b:City>
    <b:Publisher>Routledge</b:Publisher>
    <b:RefOrder>17</b:RefOrder>
  </b:Source>
  <b:Source>
    <b:Tag>Mal90</b:Tag>
    <b:SourceType>Book</b:SourceType>
    <b:Guid>{593AD878-D013-428A-973C-34A0B99338AA}</b:Guid>
    <b:Author>
      <b:Author>
        <b:NameList>
          <b:Person>
            <b:Last>Knowles</b:Last>
            <b:First>Malcolm</b:First>
          </b:Person>
        </b:NameList>
      </b:Author>
    </b:Author>
    <b:Title>The Adult Learner A Neglected Species</b:Title>
    <b:Year>1990</b:Year>
    <b:City>London</b:City>
    <b:Publisher>Gulf Publishing</b:Publisher>
    <b:Edition>4th</b:Edition>
    <b:RefOrder>1</b:RefOrder>
  </b:Source>
  <b:Source>
    <b:Tag>Kar16</b:Tag>
    <b:SourceType>Book</b:SourceType>
    <b:Guid>{1ADEE8C2-7E96-4D65-870C-1328390F0103}</b:Guid>
    <b:Title>Understanding and Using Educational Theories</b:Title>
    <b:Year>2016</b:Year>
    <b:Author>
      <b:Author>
        <b:NameList>
          <b:Person>
            <b:Last>Aubrey</b:Last>
            <b:First>Karl</b:First>
          </b:Person>
          <b:Person>
            <b:Last>Riley</b:Last>
            <b:First>Alison</b:First>
          </b:Person>
        </b:NameList>
      </b:Author>
    </b:Author>
    <b:City>London</b:City>
    <b:Publisher>Sage</b:Publisher>
    <b:RefOrder>2</b:RefOrder>
  </b:Source>
  <b:Source>
    <b:Tag>Fre08</b:Tag>
    <b:SourceType>Book</b:SourceType>
    <b:Guid>{91F79527-EBBF-4EE5-9CD0-9B6B0DDBACE5}</b:Guid>
    <b:Author>
      <b:Author>
        <b:NameList>
          <b:Person>
            <b:Last>Inglis</b:Last>
            <b:First>Fred</b:First>
          </b:Person>
          <b:Person>
            <b:Last>Aers</b:Last>
            <b:First>Lesley</b:First>
          </b:Person>
        </b:NameList>
      </b:Author>
    </b:Author>
    <b:Title>Key Concepts in Education</b:Title>
    <b:Year>2008</b:Year>
    <b:City>London</b:City>
    <b:Publisher>Sage</b:Publisher>
    <b:RefOrder>3</b:RefOrder>
  </b:Source>
  <b:Source>
    <b:Tag>Knu09</b:Tag>
    <b:SourceType>Book</b:SourceType>
    <b:Guid>{D33EB47A-FFFC-4ED9-B558-09AEF981ABB5}</b:Guid>
    <b:Author>
      <b:Author>
        <b:NameList>
          <b:Person>
            <b:Last>Illeris</b:Last>
            <b:First>Knud</b:First>
          </b:Person>
        </b:NameList>
      </b:Author>
    </b:Author>
    <b:Title>Contemporary Theories of Learning</b:Title>
    <b:Year>2009</b:Year>
    <b:City>Abingdon</b:City>
    <b:Publisher>Routledge</b:Publisher>
    <b:RefOrder>4</b:RefOrder>
  </b:Source>
  <b:Source>
    <b:Tag>Dav94</b:Tag>
    <b:SourceType>Book</b:SourceType>
    <b:Guid>{69AFA2B5-F262-405E-9375-4F7424027C75}</b:Guid>
    <b:Author>
      <b:Author>
        <b:NameList>
          <b:Person>
            <b:Last>McNamara</b:Last>
            <b:First>David</b:First>
          </b:Person>
        </b:NameList>
      </b:Author>
    </b:Author>
    <b:Title>Classroom Pedagogy and Primary Practice</b:Title>
    <b:Year>1994</b:Year>
    <b:City>London</b:City>
    <b:Publisher>Routledge</b:Publisher>
    <b:RefOrder>5</b:RefOrder>
  </b:Source>
  <b:Source>
    <b:Tag>Deb06</b:Tag>
    <b:SourceType>Book</b:SourceType>
    <b:Guid>{F3B5A221-C1EA-45C8-858F-EB848287EFBF}</b:Guid>
    <b:Author>
      <b:Author>
        <b:NameList>
          <b:Person>
            <b:Last>Myhill</b:Last>
            <b:First>Debra</b:First>
          </b:Person>
          <b:Person>
            <b:Last>Jones</b:Last>
            <b:First>Susan</b:First>
          </b:Person>
          <b:Person>
            <b:Last>Hopper</b:Last>
            <b:First>Rosemary</b:First>
          </b:Person>
        </b:NameList>
      </b:Author>
    </b:Author>
    <b:Title>Talking, Listening, Learning effective talk in the primary classroom</b:Title>
    <b:Year>2006</b:Year>
    <b:City>Maidenhead</b:City>
    <b:Publisher>Open University Press</b:Publisher>
    <b:RefOrder>6</b:RefOrder>
  </b:Source>
  <b:Source>
    <b:Tag>Chr09</b:Tag>
    <b:SourceType>Book</b:SourceType>
    <b:Guid>{907B3CB4-CF9F-40B1-A291-4007B3ED18E4}</b:Guid>
    <b:Author>
      <b:Author>
        <b:NameList>
          <b:Person>
            <b:Last>Kyriacou</b:Last>
            <b:First>Chris</b:First>
          </b:Person>
        </b:NameList>
      </b:Author>
    </b:Author>
    <b:Title>Effective Teaching in Schools theory and practice</b:Title>
    <b:Year>2009</b:Year>
    <b:City>Cheltenham</b:City>
    <b:Publisher>Stanley Thornes Publishers</b:Publisher>
    <b:Edition>3rd</b:Edition>
    <b:RefOrder>7</b:RefOrder>
  </b:Source>
  <b:Source>
    <b:Tag>Dav053</b:Tag>
    <b:SourceType>Book</b:SourceType>
    <b:Guid>{360B91E2-FB94-49D8-9D63-D441A6655D68}</b:Guid>
    <b:Author>
      <b:Author>
        <b:NameList>
          <b:Person>
            <b:Last>Minton</b:Last>
            <b:First>David</b:First>
          </b:Person>
        </b:NameList>
      </b:Author>
    </b:Author>
    <b:Title>Teaching Skills in further and adult education</b:Title>
    <b:Year>2005</b:Year>
    <b:City>London</b:City>
    <b:Publisher>Thomson</b:Publisher>
    <b:Edition>3rd</b:Edition>
    <b:RefOrder>8</b:RefOrder>
  </b:Source>
  <b:Source>
    <b:Tag>Mar11</b:Tag>
    <b:SourceType>JournalArticle</b:SourceType>
    <b:Guid>{EED3F950-18D6-4F8C-A195-DE1B66FCC7DF}</b:Guid>
    <b:Title>Barriers to adult learning: Bridging the gap</b:Title>
    <b:Year>2011</b:Year>
    <b:Author>
      <b:Author>
        <b:NameList>
          <b:Person>
            <b:Last>Falasca</b:Last>
            <b:First>Marina</b:First>
          </b:Person>
        </b:NameList>
      </b:Author>
    </b:Author>
    <b:JournalName>Australian Journal of Adult Learning</b:JournalName>
    <b:Pages>583-590</b:Pages>
    <b:Volume>51</b:Volume>
    <b:Issue>3</b:Issue>
    <b:RefOrder>9</b:RefOrder>
  </b:Source>
  <b:Source>
    <b:Tag>LWa00</b:Tag>
    <b:SourceType>Book</b:SourceType>
    <b:Guid>{8E119EE2-6350-4940-8DCA-0D68A8003754}</b:Guid>
    <b:Title>Teaching and Learning in Further and Adult Education</b:Title>
    <b:Year>2000</b:Year>
    <b:Author>
      <b:Author>
        <b:NameList>
          <b:Person>
            <b:Last>Walklin</b:Last>
            <b:First>L.</b:First>
          </b:Person>
        </b:NameList>
      </b:Author>
    </b:Author>
    <b:City>Cheltenham</b:City>
    <b:Publisher>Nelson Thornes</b:Publisher>
    <b:Edition>2nd</b:Edition>
    <b:RefOrder>10</b:RefOrder>
  </b:Source>
</b:Sources>
</file>

<file path=customXml/itemProps1.xml><?xml version="1.0" encoding="utf-8"?>
<ds:datastoreItem xmlns:ds="http://schemas.openxmlformats.org/officeDocument/2006/customXml" ds:itemID="{974B94A3-3478-4CEE-B27A-094C749522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19</Pages>
  <Words>5876</Words>
  <Characters>33497</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39295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Phillips (P143604)</dc:creator>
  <cp:keywords/>
  <dc:description/>
  <cp:lastModifiedBy>Ross Phillips (P143604)</cp:lastModifiedBy>
  <cp:revision>4</cp:revision>
  <dcterms:created xsi:type="dcterms:W3CDTF">2018-05-31T11:59:00Z</dcterms:created>
  <dcterms:modified xsi:type="dcterms:W3CDTF">2018-05-31T12:08:00Z</dcterms:modified>
</cp:coreProperties>
</file>