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624D9" w14:textId="77777777" w:rsidR="009C69A9" w:rsidRDefault="009C69A9" w:rsidP="009C69A9"/>
    <w:p w14:paraId="72300C71" w14:textId="77777777" w:rsidR="009C69A9" w:rsidRDefault="009C69A9" w:rsidP="009C69A9"/>
    <w:p w14:paraId="7BAF66CD" w14:textId="77777777" w:rsidR="009C69A9" w:rsidRDefault="009C69A9" w:rsidP="009C69A9"/>
    <w:p w14:paraId="7098BBF2" w14:textId="77777777" w:rsidR="009C69A9" w:rsidRDefault="009C69A9" w:rsidP="009C69A9">
      <w:pPr>
        <w:jc w:val="center"/>
      </w:pPr>
    </w:p>
    <w:p w14:paraId="116801CE" w14:textId="77777777" w:rsidR="009C69A9" w:rsidRDefault="009C69A9" w:rsidP="009C69A9">
      <w:pPr>
        <w:jc w:val="center"/>
      </w:pPr>
    </w:p>
    <w:p w14:paraId="27B8F6CD" w14:textId="77777777" w:rsidR="009C69A9" w:rsidRDefault="009C69A9" w:rsidP="009C69A9">
      <w:pPr>
        <w:jc w:val="center"/>
      </w:pPr>
    </w:p>
    <w:p w14:paraId="7AE938FD" w14:textId="18F0DBF3" w:rsidR="009C69A9" w:rsidRDefault="009C69A9" w:rsidP="009C69A9">
      <w:pPr>
        <w:jc w:val="center"/>
        <w:rPr>
          <w:b/>
          <w:sz w:val="32"/>
        </w:rPr>
      </w:pPr>
      <w:r>
        <w:rPr>
          <w:b/>
          <w:sz w:val="32"/>
        </w:rPr>
        <w:t>Module Code: BMHP5019</w:t>
      </w:r>
    </w:p>
    <w:p w14:paraId="603C48A1" w14:textId="77777777" w:rsidR="009C69A9" w:rsidRDefault="009C69A9" w:rsidP="009C69A9">
      <w:pPr>
        <w:jc w:val="center"/>
        <w:rPr>
          <w:b/>
          <w:sz w:val="32"/>
        </w:rPr>
      </w:pPr>
      <w:r>
        <w:rPr>
          <w:b/>
          <w:sz w:val="32"/>
        </w:rPr>
        <w:t>Module Title: Introduction to Independent Research</w:t>
      </w:r>
    </w:p>
    <w:p w14:paraId="408A9ADF" w14:textId="60758EB7" w:rsidR="009C69A9" w:rsidRDefault="009C69A9" w:rsidP="009C69A9">
      <w:pPr>
        <w:jc w:val="center"/>
        <w:rPr>
          <w:b/>
          <w:sz w:val="32"/>
        </w:rPr>
      </w:pPr>
      <w:r>
        <w:rPr>
          <w:b/>
          <w:sz w:val="32"/>
        </w:rPr>
        <w:t>Skills</w:t>
      </w:r>
    </w:p>
    <w:p w14:paraId="20644397" w14:textId="77777777" w:rsidR="009C69A9" w:rsidRDefault="009C69A9" w:rsidP="009C69A9">
      <w:pPr>
        <w:jc w:val="center"/>
        <w:rPr>
          <w:b/>
          <w:sz w:val="32"/>
        </w:rPr>
      </w:pPr>
      <w:r>
        <w:rPr>
          <w:b/>
          <w:sz w:val="32"/>
        </w:rPr>
        <w:t>Assignment Title: Component 2: Written Assignment (Research Report)</w:t>
      </w:r>
    </w:p>
    <w:p w14:paraId="75B56178" w14:textId="33445B76" w:rsidR="009C69A9" w:rsidRDefault="009C69A9" w:rsidP="009C69A9">
      <w:pPr>
        <w:jc w:val="center"/>
        <w:rPr>
          <w:b/>
          <w:sz w:val="32"/>
        </w:rPr>
      </w:pPr>
      <w:r>
        <w:rPr>
          <w:b/>
          <w:sz w:val="32"/>
        </w:rPr>
        <w:t>Name: Georgiana Madalina Dedu</w:t>
      </w:r>
    </w:p>
    <w:p w14:paraId="2A6AE174" w14:textId="4AA0F9B7" w:rsidR="009C69A9" w:rsidRDefault="009C69A9" w:rsidP="009C69A9">
      <w:pPr>
        <w:jc w:val="center"/>
        <w:rPr>
          <w:b/>
          <w:sz w:val="32"/>
        </w:rPr>
      </w:pPr>
      <w:r>
        <w:rPr>
          <w:b/>
          <w:sz w:val="32"/>
        </w:rPr>
        <w:t>Student Number: 2333484</w:t>
      </w:r>
    </w:p>
    <w:p w14:paraId="6157E054" w14:textId="77777777" w:rsidR="009C69A9" w:rsidRDefault="009C69A9" w:rsidP="009C69A9">
      <w:pPr>
        <w:jc w:val="center"/>
        <w:rPr>
          <w:b/>
          <w:sz w:val="32"/>
        </w:rPr>
      </w:pPr>
      <w:r>
        <w:rPr>
          <w:b/>
          <w:sz w:val="32"/>
        </w:rPr>
        <w:t>Topic: The Impact of Telehealth on Access to Primary Care in the UK</w:t>
      </w:r>
    </w:p>
    <w:p w14:paraId="2C71CBC4" w14:textId="77777777" w:rsidR="009C69A9" w:rsidRPr="009C69A9" w:rsidRDefault="009C69A9" w:rsidP="009C69A9"/>
    <w:p w14:paraId="09F591B8" w14:textId="24A2E8AF" w:rsidR="009C69A9" w:rsidRDefault="009C69A9" w:rsidP="009C69A9"/>
    <w:p w14:paraId="63BBA0EC" w14:textId="77777777" w:rsidR="009C69A9" w:rsidRDefault="009C69A9" w:rsidP="009C69A9"/>
    <w:p w14:paraId="5B40C608" w14:textId="77777777" w:rsidR="009C69A9" w:rsidRDefault="009C69A9" w:rsidP="009C69A9"/>
    <w:p w14:paraId="3B5F51A8" w14:textId="77777777" w:rsidR="009C69A9" w:rsidRDefault="009C69A9" w:rsidP="009C69A9"/>
    <w:p w14:paraId="309B1CE7" w14:textId="195EB174" w:rsidR="002002C1" w:rsidRDefault="002002C1" w:rsidP="009C69A9"/>
    <w:p w14:paraId="4ED17D99" w14:textId="77777777" w:rsidR="002002C1" w:rsidRDefault="002002C1" w:rsidP="009C69A9"/>
    <w:p w14:paraId="13F7A198" w14:textId="77777777" w:rsidR="002002C1" w:rsidRDefault="002002C1" w:rsidP="009C69A9"/>
    <w:p w14:paraId="588E238D" w14:textId="77777777" w:rsidR="002002C1" w:rsidRDefault="002002C1" w:rsidP="009C69A9"/>
    <w:p w14:paraId="03F188C2" w14:textId="4343A479" w:rsidR="006B6410" w:rsidRDefault="006B6410" w:rsidP="006B6410">
      <w:pPr>
        <w:pStyle w:val="TOCHeading"/>
      </w:pPr>
    </w:p>
    <w:p w14:paraId="0D4CF2AE" w14:textId="77777777" w:rsidR="006B6410" w:rsidRDefault="006B6410" w:rsidP="006B6410">
      <w:pPr>
        <w:rPr>
          <w:lang w:eastAsia="en-GB"/>
        </w:rPr>
      </w:pPr>
    </w:p>
    <w:sdt>
      <w:sdtPr>
        <w:rPr>
          <w:rFonts w:asciiTheme="minorHAnsi" w:eastAsiaTheme="minorHAnsi" w:hAnsiTheme="minorHAnsi" w:cstheme="minorBidi"/>
          <w:color w:val="auto"/>
          <w:kern w:val="2"/>
          <w:sz w:val="24"/>
          <w:szCs w:val="24"/>
          <w:lang w:eastAsia="en-US"/>
          <w14:ligatures w14:val="standardContextual"/>
        </w:rPr>
        <w:id w:val="-1737389240"/>
        <w:docPartObj>
          <w:docPartGallery w:val="Table of Contents"/>
          <w:docPartUnique/>
        </w:docPartObj>
      </w:sdtPr>
      <w:sdtEndPr>
        <w:rPr>
          <w:b/>
          <w:bCs/>
        </w:rPr>
      </w:sdtEndPr>
      <w:sdtContent>
        <w:p w14:paraId="54EE3473" w14:textId="46BC98A7" w:rsidR="007C30C5" w:rsidRDefault="007C30C5">
          <w:pPr>
            <w:pStyle w:val="TOCHeading"/>
          </w:pPr>
          <w:r>
            <w:t>Contents</w:t>
          </w:r>
        </w:p>
        <w:p w14:paraId="277C45D8" w14:textId="75345958"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5682672" w:history="1">
            <w:r w:rsidRPr="00B131FC">
              <w:rPr>
                <w:rStyle w:val="Hyperlink"/>
                <w:noProof/>
              </w:rPr>
              <w:t>a) Introduction</w:t>
            </w:r>
            <w:r>
              <w:rPr>
                <w:noProof/>
                <w:webHidden/>
              </w:rPr>
              <w:tab/>
            </w:r>
            <w:r>
              <w:rPr>
                <w:noProof/>
                <w:webHidden/>
              </w:rPr>
              <w:fldChar w:fldCharType="begin"/>
            </w:r>
            <w:r>
              <w:rPr>
                <w:noProof/>
                <w:webHidden/>
              </w:rPr>
              <w:instrText xml:space="preserve"> PAGEREF _Toc225682672 \h </w:instrText>
            </w:r>
            <w:r>
              <w:rPr>
                <w:noProof/>
                <w:webHidden/>
              </w:rPr>
            </w:r>
            <w:r>
              <w:rPr>
                <w:noProof/>
                <w:webHidden/>
              </w:rPr>
              <w:fldChar w:fldCharType="separate"/>
            </w:r>
            <w:r>
              <w:rPr>
                <w:noProof/>
                <w:webHidden/>
              </w:rPr>
              <w:t>3</w:t>
            </w:r>
            <w:r>
              <w:rPr>
                <w:noProof/>
                <w:webHidden/>
              </w:rPr>
              <w:fldChar w:fldCharType="end"/>
            </w:r>
          </w:hyperlink>
        </w:p>
        <w:p w14:paraId="65903440" w14:textId="69E1B697"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73" w:history="1">
            <w:r w:rsidRPr="00B131FC">
              <w:rPr>
                <w:rStyle w:val="Hyperlink"/>
                <w:noProof/>
              </w:rPr>
              <w:t>b) Background</w:t>
            </w:r>
            <w:r>
              <w:rPr>
                <w:noProof/>
                <w:webHidden/>
              </w:rPr>
              <w:tab/>
            </w:r>
            <w:r>
              <w:rPr>
                <w:noProof/>
                <w:webHidden/>
              </w:rPr>
              <w:fldChar w:fldCharType="begin"/>
            </w:r>
            <w:r>
              <w:rPr>
                <w:noProof/>
                <w:webHidden/>
              </w:rPr>
              <w:instrText xml:space="preserve"> PAGEREF _Toc225682673 \h </w:instrText>
            </w:r>
            <w:r>
              <w:rPr>
                <w:noProof/>
                <w:webHidden/>
              </w:rPr>
            </w:r>
            <w:r>
              <w:rPr>
                <w:noProof/>
                <w:webHidden/>
              </w:rPr>
              <w:fldChar w:fldCharType="separate"/>
            </w:r>
            <w:r>
              <w:rPr>
                <w:noProof/>
                <w:webHidden/>
              </w:rPr>
              <w:t>4</w:t>
            </w:r>
            <w:r>
              <w:rPr>
                <w:noProof/>
                <w:webHidden/>
              </w:rPr>
              <w:fldChar w:fldCharType="end"/>
            </w:r>
          </w:hyperlink>
        </w:p>
        <w:p w14:paraId="683171B6" w14:textId="4EF585B5"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74" w:history="1">
            <w:r w:rsidRPr="00B131FC">
              <w:rPr>
                <w:rStyle w:val="Hyperlink"/>
                <w:noProof/>
              </w:rPr>
              <w:t>c) Methods</w:t>
            </w:r>
            <w:r>
              <w:rPr>
                <w:noProof/>
                <w:webHidden/>
              </w:rPr>
              <w:tab/>
            </w:r>
            <w:r>
              <w:rPr>
                <w:noProof/>
                <w:webHidden/>
              </w:rPr>
              <w:fldChar w:fldCharType="begin"/>
            </w:r>
            <w:r>
              <w:rPr>
                <w:noProof/>
                <w:webHidden/>
              </w:rPr>
              <w:instrText xml:space="preserve"> PAGEREF _Toc225682674 \h </w:instrText>
            </w:r>
            <w:r>
              <w:rPr>
                <w:noProof/>
                <w:webHidden/>
              </w:rPr>
            </w:r>
            <w:r>
              <w:rPr>
                <w:noProof/>
                <w:webHidden/>
              </w:rPr>
              <w:fldChar w:fldCharType="separate"/>
            </w:r>
            <w:r>
              <w:rPr>
                <w:noProof/>
                <w:webHidden/>
              </w:rPr>
              <w:t>4</w:t>
            </w:r>
            <w:r>
              <w:rPr>
                <w:noProof/>
                <w:webHidden/>
              </w:rPr>
              <w:fldChar w:fldCharType="end"/>
            </w:r>
          </w:hyperlink>
        </w:p>
        <w:p w14:paraId="4BE433A0" w14:textId="0EC7CE40"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75" w:history="1">
            <w:r w:rsidR="007C30C5" w:rsidRPr="00B131FC">
              <w:rPr>
                <w:rStyle w:val="Hyperlink"/>
                <w:noProof/>
              </w:rPr>
              <w:t>Research strategy</w:t>
            </w:r>
            <w:r w:rsidR="007C30C5">
              <w:rPr>
                <w:noProof/>
                <w:webHidden/>
              </w:rPr>
              <w:tab/>
            </w:r>
            <w:r w:rsidR="007C30C5">
              <w:rPr>
                <w:noProof/>
                <w:webHidden/>
              </w:rPr>
              <w:fldChar w:fldCharType="begin"/>
            </w:r>
            <w:r w:rsidR="007C30C5">
              <w:rPr>
                <w:noProof/>
                <w:webHidden/>
              </w:rPr>
              <w:instrText xml:space="preserve"> PAGEREF _Toc225682675 \h </w:instrText>
            </w:r>
            <w:r w:rsidR="007C30C5">
              <w:rPr>
                <w:noProof/>
                <w:webHidden/>
              </w:rPr>
            </w:r>
            <w:r w:rsidR="007C30C5">
              <w:rPr>
                <w:noProof/>
                <w:webHidden/>
              </w:rPr>
              <w:fldChar w:fldCharType="separate"/>
            </w:r>
            <w:r w:rsidR="007C30C5">
              <w:rPr>
                <w:noProof/>
                <w:webHidden/>
              </w:rPr>
              <w:t>4</w:t>
            </w:r>
            <w:r w:rsidR="007C30C5">
              <w:rPr>
                <w:noProof/>
                <w:webHidden/>
              </w:rPr>
              <w:fldChar w:fldCharType="end"/>
            </w:r>
          </w:hyperlink>
        </w:p>
        <w:p w14:paraId="0C9D592B" w14:textId="147E8B5A"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76" w:history="1">
            <w:r w:rsidR="007C30C5" w:rsidRPr="00B131FC">
              <w:rPr>
                <w:rStyle w:val="Hyperlink"/>
                <w:noProof/>
              </w:rPr>
              <w:t>Data collection method</w:t>
            </w:r>
            <w:r w:rsidR="007C30C5">
              <w:rPr>
                <w:noProof/>
                <w:webHidden/>
              </w:rPr>
              <w:tab/>
            </w:r>
            <w:r w:rsidR="007C30C5">
              <w:rPr>
                <w:noProof/>
                <w:webHidden/>
              </w:rPr>
              <w:fldChar w:fldCharType="begin"/>
            </w:r>
            <w:r w:rsidR="007C30C5">
              <w:rPr>
                <w:noProof/>
                <w:webHidden/>
              </w:rPr>
              <w:instrText xml:space="preserve"> PAGEREF _Toc225682676 \h </w:instrText>
            </w:r>
            <w:r w:rsidR="007C30C5">
              <w:rPr>
                <w:noProof/>
                <w:webHidden/>
              </w:rPr>
            </w:r>
            <w:r w:rsidR="007C30C5">
              <w:rPr>
                <w:noProof/>
                <w:webHidden/>
              </w:rPr>
              <w:fldChar w:fldCharType="separate"/>
            </w:r>
            <w:r w:rsidR="007C30C5">
              <w:rPr>
                <w:noProof/>
                <w:webHidden/>
              </w:rPr>
              <w:t>5</w:t>
            </w:r>
            <w:r w:rsidR="007C30C5">
              <w:rPr>
                <w:noProof/>
                <w:webHidden/>
              </w:rPr>
              <w:fldChar w:fldCharType="end"/>
            </w:r>
          </w:hyperlink>
        </w:p>
        <w:p w14:paraId="0B728A82" w14:textId="12A4FAA6"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77" w:history="1">
            <w:r w:rsidR="007C30C5" w:rsidRPr="00B131FC">
              <w:rPr>
                <w:rStyle w:val="Hyperlink"/>
                <w:noProof/>
              </w:rPr>
              <w:t>Data analysis approach</w:t>
            </w:r>
            <w:r w:rsidR="007C30C5">
              <w:rPr>
                <w:noProof/>
                <w:webHidden/>
              </w:rPr>
              <w:tab/>
            </w:r>
            <w:r w:rsidR="007C30C5">
              <w:rPr>
                <w:noProof/>
                <w:webHidden/>
              </w:rPr>
              <w:fldChar w:fldCharType="begin"/>
            </w:r>
            <w:r w:rsidR="007C30C5">
              <w:rPr>
                <w:noProof/>
                <w:webHidden/>
              </w:rPr>
              <w:instrText xml:space="preserve"> PAGEREF _Toc225682677 \h </w:instrText>
            </w:r>
            <w:r w:rsidR="007C30C5">
              <w:rPr>
                <w:noProof/>
                <w:webHidden/>
              </w:rPr>
            </w:r>
            <w:r w:rsidR="007C30C5">
              <w:rPr>
                <w:noProof/>
                <w:webHidden/>
              </w:rPr>
              <w:fldChar w:fldCharType="separate"/>
            </w:r>
            <w:r w:rsidR="007C30C5">
              <w:rPr>
                <w:noProof/>
                <w:webHidden/>
              </w:rPr>
              <w:t>5</w:t>
            </w:r>
            <w:r w:rsidR="007C30C5">
              <w:rPr>
                <w:noProof/>
                <w:webHidden/>
              </w:rPr>
              <w:fldChar w:fldCharType="end"/>
            </w:r>
          </w:hyperlink>
        </w:p>
        <w:p w14:paraId="4438666E" w14:textId="00396CCB"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78" w:history="1">
            <w:r w:rsidR="007C30C5" w:rsidRPr="00B131FC">
              <w:rPr>
                <w:rStyle w:val="Hyperlink"/>
                <w:noProof/>
              </w:rPr>
              <w:t>Ethical considerations</w:t>
            </w:r>
            <w:r w:rsidR="007C30C5">
              <w:rPr>
                <w:noProof/>
                <w:webHidden/>
              </w:rPr>
              <w:tab/>
            </w:r>
            <w:r w:rsidR="007C30C5">
              <w:rPr>
                <w:noProof/>
                <w:webHidden/>
              </w:rPr>
              <w:fldChar w:fldCharType="begin"/>
            </w:r>
            <w:r w:rsidR="007C30C5">
              <w:rPr>
                <w:noProof/>
                <w:webHidden/>
              </w:rPr>
              <w:instrText xml:space="preserve"> PAGEREF _Toc225682678 \h </w:instrText>
            </w:r>
            <w:r w:rsidR="007C30C5">
              <w:rPr>
                <w:noProof/>
                <w:webHidden/>
              </w:rPr>
            </w:r>
            <w:r w:rsidR="007C30C5">
              <w:rPr>
                <w:noProof/>
                <w:webHidden/>
              </w:rPr>
              <w:fldChar w:fldCharType="separate"/>
            </w:r>
            <w:r w:rsidR="007C30C5">
              <w:rPr>
                <w:noProof/>
                <w:webHidden/>
              </w:rPr>
              <w:t>6</w:t>
            </w:r>
            <w:r w:rsidR="007C30C5">
              <w:rPr>
                <w:noProof/>
                <w:webHidden/>
              </w:rPr>
              <w:fldChar w:fldCharType="end"/>
            </w:r>
          </w:hyperlink>
        </w:p>
        <w:p w14:paraId="42BE758F" w14:textId="2353B422"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79" w:history="1">
            <w:r w:rsidRPr="00B131FC">
              <w:rPr>
                <w:rStyle w:val="Hyperlink"/>
                <w:noProof/>
              </w:rPr>
              <w:t>d) Results</w:t>
            </w:r>
            <w:r>
              <w:rPr>
                <w:noProof/>
                <w:webHidden/>
              </w:rPr>
              <w:tab/>
            </w:r>
            <w:r>
              <w:rPr>
                <w:noProof/>
                <w:webHidden/>
              </w:rPr>
              <w:fldChar w:fldCharType="begin"/>
            </w:r>
            <w:r>
              <w:rPr>
                <w:noProof/>
                <w:webHidden/>
              </w:rPr>
              <w:instrText xml:space="preserve"> PAGEREF _Toc225682679 \h </w:instrText>
            </w:r>
            <w:r>
              <w:rPr>
                <w:noProof/>
                <w:webHidden/>
              </w:rPr>
            </w:r>
            <w:r>
              <w:rPr>
                <w:noProof/>
                <w:webHidden/>
              </w:rPr>
              <w:fldChar w:fldCharType="separate"/>
            </w:r>
            <w:r>
              <w:rPr>
                <w:noProof/>
                <w:webHidden/>
              </w:rPr>
              <w:t>6</w:t>
            </w:r>
            <w:r>
              <w:rPr>
                <w:noProof/>
                <w:webHidden/>
              </w:rPr>
              <w:fldChar w:fldCharType="end"/>
            </w:r>
          </w:hyperlink>
        </w:p>
        <w:p w14:paraId="1FB0C27F" w14:textId="6D2D3DF9"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80" w:history="1">
            <w:r w:rsidRPr="00B131FC">
              <w:rPr>
                <w:rStyle w:val="Hyperlink"/>
                <w:noProof/>
              </w:rPr>
              <w:t>e) Discussion</w:t>
            </w:r>
            <w:r>
              <w:rPr>
                <w:noProof/>
                <w:webHidden/>
              </w:rPr>
              <w:tab/>
            </w:r>
            <w:r>
              <w:rPr>
                <w:noProof/>
                <w:webHidden/>
              </w:rPr>
              <w:fldChar w:fldCharType="begin"/>
            </w:r>
            <w:r>
              <w:rPr>
                <w:noProof/>
                <w:webHidden/>
              </w:rPr>
              <w:instrText xml:space="preserve"> PAGEREF _Toc225682680 \h </w:instrText>
            </w:r>
            <w:r>
              <w:rPr>
                <w:noProof/>
                <w:webHidden/>
              </w:rPr>
            </w:r>
            <w:r>
              <w:rPr>
                <w:noProof/>
                <w:webHidden/>
              </w:rPr>
              <w:fldChar w:fldCharType="separate"/>
            </w:r>
            <w:r>
              <w:rPr>
                <w:noProof/>
                <w:webHidden/>
              </w:rPr>
              <w:t>7</w:t>
            </w:r>
            <w:r>
              <w:rPr>
                <w:noProof/>
                <w:webHidden/>
              </w:rPr>
              <w:fldChar w:fldCharType="end"/>
            </w:r>
          </w:hyperlink>
        </w:p>
        <w:p w14:paraId="5B2249EB" w14:textId="1403AF5B"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81" w:history="1">
            <w:r w:rsidRPr="00B131FC">
              <w:rPr>
                <w:rStyle w:val="Hyperlink"/>
                <w:noProof/>
              </w:rPr>
              <w:t>f) Conclusion and Recommendations</w:t>
            </w:r>
            <w:r>
              <w:rPr>
                <w:noProof/>
                <w:webHidden/>
              </w:rPr>
              <w:tab/>
            </w:r>
            <w:r>
              <w:rPr>
                <w:noProof/>
                <w:webHidden/>
              </w:rPr>
              <w:fldChar w:fldCharType="begin"/>
            </w:r>
            <w:r>
              <w:rPr>
                <w:noProof/>
                <w:webHidden/>
              </w:rPr>
              <w:instrText xml:space="preserve"> PAGEREF _Toc225682681 \h </w:instrText>
            </w:r>
            <w:r>
              <w:rPr>
                <w:noProof/>
                <w:webHidden/>
              </w:rPr>
            </w:r>
            <w:r>
              <w:rPr>
                <w:noProof/>
                <w:webHidden/>
              </w:rPr>
              <w:fldChar w:fldCharType="separate"/>
            </w:r>
            <w:r>
              <w:rPr>
                <w:noProof/>
                <w:webHidden/>
              </w:rPr>
              <w:t>8</w:t>
            </w:r>
            <w:r>
              <w:rPr>
                <w:noProof/>
                <w:webHidden/>
              </w:rPr>
              <w:fldChar w:fldCharType="end"/>
            </w:r>
          </w:hyperlink>
        </w:p>
        <w:p w14:paraId="4D7A96A9" w14:textId="56BBAD6C"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82" w:history="1">
            <w:r w:rsidR="007C30C5" w:rsidRPr="00B131FC">
              <w:rPr>
                <w:rStyle w:val="Hyperlink"/>
                <w:noProof/>
              </w:rPr>
              <w:t>Conclusion</w:t>
            </w:r>
            <w:r w:rsidR="007C30C5">
              <w:rPr>
                <w:noProof/>
                <w:webHidden/>
              </w:rPr>
              <w:tab/>
            </w:r>
            <w:r w:rsidR="007C30C5">
              <w:rPr>
                <w:noProof/>
                <w:webHidden/>
              </w:rPr>
              <w:fldChar w:fldCharType="begin"/>
            </w:r>
            <w:r w:rsidR="007C30C5">
              <w:rPr>
                <w:noProof/>
                <w:webHidden/>
              </w:rPr>
              <w:instrText xml:space="preserve"> PAGEREF _Toc225682682 \h </w:instrText>
            </w:r>
            <w:r w:rsidR="007C30C5">
              <w:rPr>
                <w:noProof/>
                <w:webHidden/>
              </w:rPr>
            </w:r>
            <w:r w:rsidR="007C30C5">
              <w:rPr>
                <w:noProof/>
                <w:webHidden/>
              </w:rPr>
              <w:fldChar w:fldCharType="separate"/>
            </w:r>
            <w:r w:rsidR="007C30C5">
              <w:rPr>
                <w:noProof/>
                <w:webHidden/>
              </w:rPr>
              <w:t>8</w:t>
            </w:r>
            <w:r w:rsidR="007C30C5">
              <w:rPr>
                <w:noProof/>
                <w:webHidden/>
              </w:rPr>
              <w:fldChar w:fldCharType="end"/>
            </w:r>
          </w:hyperlink>
        </w:p>
        <w:p w14:paraId="72F2A683" w14:textId="7E144F6F" w:rsidR="007C30C5" w:rsidRDefault="0010617C">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r>
            <w:t xml:space="preserve">  </w:t>
          </w:r>
          <w:hyperlink w:anchor="_Toc225682683" w:history="1">
            <w:r w:rsidR="007C30C5" w:rsidRPr="00B131FC">
              <w:rPr>
                <w:rStyle w:val="Hyperlink"/>
                <w:noProof/>
              </w:rPr>
              <w:t>Recommendations</w:t>
            </w:r>
            <w:r w:rsidR="007C30C5">
              <w:rPr>
                <w:noProof/>
                <w:webHidden/>
              </w:rPr>
              <w:tab/>
            </w:r>
            <w:r w:rsidR="007C30C5">
              <w:rPr>
                <w:noProof/>
                <w:webHidden/>
              </w:rPr>
              <w:fldChar w:fldCharType="begin"/>
            </w:r>
            <w:r w:rsidR="007C30C5">
              <w:rPr>
                <w:noProof/>
                <w:webHidden/>
              </w:rPr>
              <w:instrText xml:space="preserve"> PAGEREF _Toc225682683 \h </w:instrText>
            </w:r>
            <w:r w:rsidR="007C30C5">
              <w:rPr>
                <w:noProof/>
                <w:webHidden/>
              </w:rPr>
            </w:r>
            <w:r w:rsidR="007C30C5">
              <w:rPr>
                <w:noProof/>
                <w:webHidden/>
              </w:rPr>
              <w:fldChar w:fldCharType="separate"/>
            </w:r>
            <w:r w:rsidR="007C30C5">
              <w:rPr>
                <w:noProof/>
                <w:webHidden/>
              </w:rPr>
              <w:t>8</w:t>
            </w:r>
            <w:r w:rsidR="007C30C5">
              <w:rPr>
                <w:noProof/>
                <w:webHidden/>
              </w:rPr>
              <w:fldChar w:fldCharType="end"/>
            </w:r>
          </w:hyperlink>
        </w:p>
        <w:p w14:paraId="61EAD69D" w14:textId="3F692B6C" w:rsidR="007C30C5" w:rsidRDefault="007C30C5">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5682684" w:history="1">
            <w:r w:rsidRPr="00B131FC">
              <w:rPr>
                <w:rStyle w:val="Hyperlink"/>
                <w:noProof/>
              </w:rPr>
              <w:t>References</w:t>
            </w:r>
            <w:r>
              <w:rPr>
                <w:noProof/>
                <w:webHidden/>
              </w:rPr>
              <w:tab/>
            </w:r>
            <w:r>
              <w:rPr>
                <w:noProof/>
                <w:webHidden/>
              </w:rPr>
              <w:fldChar w:fldCharType="begin"/>
            </w:r>
            <w:r>
              <w:rPr>
                <w:noProof/>
                <w:webHidden/>
              </w:rPr>
              <w:instrText xml:space="preserve"> PAGEREF _Toc225682684 \h </w:instrText>
            </w:r>
            <w:r>
              <w:rPr>
                <w:noProof/>
                <w:webHidden/>
              </w:rPr>
            </w:r>
            <w:r>
              <w:rPr>
                <w:noProof/>
                <w:webHidden/>
              </w:rPr>
              <w:fldChar w:fldCharType="separate"/>
            </w:r>
            <w:r>
              <w:rPr>
                <w:noProof/>
                <w:webHidden/>
              </w:rPr>
              <w:t>9</w:t>
            </w:r>
            <w:r>
              <w:rPr>
                <w:noProof/>
                <w:webHidden/>
              </w:rPr>
              <w:fldChar w:fldCharType="end"/>
            </w:r>
          </w:hyperlink>
        </w:p>
        <w:p w14:paraId="515F0D52" w14:textId="40B3A48D" w:rsidR="007C30C5" w:rsidRDefault="007C30C5">
          <w:r>
            <w:rPr>
              <w:b/>
              <w:bCs/>
            </w:rPr>
            <w:fldChar w:fldCharType="end"/>
          </w:r>
        </w:p>
      </w:sdtContent>
    </w:sdt>
    <w:p w14:paraId="7B1D1FD3" w14:textId="77777777" w:rsidR="00A676B1" w:rsidRDefault="00A676B1" w:rsidP="009C69A9"/>
    <w:p w14:paraId="091AF7D9" w14:textId="77777777" w:rsidR="007C30C5" w:rsidRDefault="007C30C5" w:rsidP="009C69A9"/>
    <w:p w14:paraId="097F4250" w14:textId="239D11CA" w:rsidR="007C30C5" w:rsidRDefault="0010617C" w:rsidP="0010617C">
      <w:pPr>
        <w:tabs>
          <w:tab w:val="left" w:pos="6580"/>
        </w:tabs>
      </w:pPr>
      <w:r>
        <w:tab/>
      </w:r>
    </w:p>
    <w:p w14:paraId="44AA589F" w14:textId="77777777" w:rsidR="007C30C5" w:rsidRDefault="007C30C5" w:rsidP="009C69A9"/>
    <w:p w14:paraId="3FF27E90" w14:textId="77777777" w:rsidR="007C30C5" w:rsidRDefault="007C30C5" w:rsidP="009C69A9"/>
    <w:p w14:paraId="650D3AED" w14:textId="77777777" w:rsidR="00A676B1" w:rsidRDefault="00A676B1" w:rsidP="009C69A9"/>
    <w:p w14:paraId="0E209532" w14:textId="77777777" w:rsidR="00A676B1" w:rsidRDefault="00A676B1" w:rsidP="009C69A9"/>
    <w:p w14:paraId="409697EA" w14:textId="77777777" w:rsidR="00A676B1" w:rsidRDefault="00A676B1" w:rsidP="009C69A9"/>
    <w:p w14:paraId="2619FB38" w14:textId="77777777" w:rsidR="00A676B1" w:rsidRDefault="00A676B1" w:rsidP="009C69A9"/>
    <w:p w14:paraId="757843F8" w14:textId="77777777" w:rsidR="00A676B1" w:rsidRDefault="00A676B1" w:rsidP="009C69A9"/>
    <w:p w14:paraId="6F519F49" w14:textId="77777777" w:rsidR="00A676B1" w:rsidRDefault="00A676B1" w:rsidP="009C69A9"/>
    <w:p w14:paraId="4A7237D9" w14:textId="77777777" w:rsidR="00A676B1" w:rsidRDefault="00A676B1" w:rsidP="009C69A9"/>
    <w:p w14:paraId="06EF00E0" w14:textId="77777777" w:rsidR="00A676B1" w:rsidRDefault="00A676B1" w:rsidP="009C69A9"/>
    <w:p w14:paraId="3C7C1F39" w14:textId="77777777" w:rsidR="00A676B1" w:rsidRDefault="00A676B1" w:rsidP="009C69A9"/>
    <w:p w14:paraId="5F951D59" w14:textId="77777777" w:rsidR="00A676B1" w:rsidRDefault="00A676B1" w:rsidP="009C69A9"/>
    <w:p w14:paraId="3C15C63D" w14:textId="77777777" w:rsidR="009C69A9" w:rsidRDefault="009C69A9" w:rsidP="009C69A9"/>
    <w:p w14:paraId="58CB44A9" w14:textId="77777777" w:rsidR="004F5FA8" w:rsidRPr="009C69A9" w:rsidRDefault="004F5FA8" w:rsidP="009C69A9"/>
    <w:p w14:paraId="2CE3ECCD" w14:textId="77777777" w:rsidR="009C69A9" w:rsidRPr="009C69A9" w:rsidRDefault="009C69A9" w:rsidP="005E3C10">
      <w:pPr>
        <w:pStyle w:val="Heading1"/>
      </w:pPr>
      <w:bookmarkStart w:id="0" w:name="_Toc225682640"/>
      <w:bookmarkStart w:id="1" w:name="_Toc225682672"/>
      <w:r w:rsidRPr="009C69A9">
        <w:t>a) Introduction</w:t>
      </w:r>
      <w:bookmarkEnd w:id="0"/>
      <w:bookmarkEnd w:id="1"/>
    </w:p>
    <w:p w14:paraId="3F004DB6" w14:textId="77777777" w:rsidR="009C69A9" w:rsidRPr="009C69A9" w:rsidRDefault="009C69A9" w:rsidP="009C69A9">
      <w:r w:rsidRPr="009C69A9">
        <w:t>Telehealth refers to the use of digital communication technologies, such as telephone consultations, video calls, and online platforms, to deliver healthcare services remotely (Hou et al., 2025). Within primary care, telehealth has become increasingly important, particularly in the context of General Practitioner (GP) services, which act as the first point of contact for patients in the UK healthcare system. Remote consultations, digital triage, and online monitoring systems are now widely used to support patient care and improve service delivery.</w:t>
      </w:r>
    </w:p>
    <w:p w14:paraId="09B225C6" w14:textId="77777777" w:rsidR="009C69A9" w:rsidRPr="009C69A9" w:rsidRDefault="009C69A9" w:rsidP="009C69A9">
      <w:r w:rsidRPr="009C69A9">
        <w:t>The growing demand for primary care services in the UK, combined with workforce pressures and increasing patient needs, has created challenges in accessing timely healthcare. Telehealth has emerged as a potential solution to these challenges by improving access, reducing waiting times, and offering more flexible healthcare delivery options. The COVID-19 pandemic further accelerated the adoption of telehealth, highlighting its importance in maintaining continuity of care while reducing physical contact.</w:t>
      </w:r>
    </w:p>
    <w:p w14:paraId="125FCA90" w14:textId="77777777" w:rsidR="009C69A9" w:rsidRPr="009C69A9" w:rsidRDefault="009C69A9" w:rsidP="009C69A9">
      <w:r w:rsidRPr="009C69A9">
        <w:t>The rationale for this study is to explore whether telehealth effectively improves access to primary care services in the UK. While telehealth offers several advantages, such as convenience and efficiency, concerns remain regarding digital exclusion, quality of care, and patient satisfaction. Therefore, it is important to evaluate both the benefits and limitations of telehealth within GP services.</w:t>
      </w:r>
    </w:p>
    <w:p w14:paraId="7FEAC189" w14:textId="77777777" w:rsidR="009C69A9" w:rsidRPr="009C69A9" w:rsidRDefault="009C69A9" w:rsidP="009C69A9">
      <w:r w:rsidRPr="009C69A9">
        <w:t>The aim of this scoping literature review is to explore the impact of telehealth on access to primary care in the UK.</w:t>
      </w:r>
    </w:p>
    <w:p w14:paraId="77952912" w14:textId="77777777" w:rsidR="006A3070" w:rsidRDefault="006A3070" w:rsidP="009C69A9">
      <w:r w:rsidRPr="006A3070">
        <w:t>The objectives of the study are to:</w:t>
      </w:r>
      <w:r w:rsidRPr="006A3070">
        <w:br/>
        <w:t>- Investigate the effectiveness of telehealth adoption in GP services</w:t>
      </w:r>
      <w:r w:rsidRPr="006A3070">
        <w:br/>
        <w:t>- Evaluate the impact of appointment availability on service quality</w:t>
      </w:r>
      <w:r w:rsidRPr="006A3070">
        <w:br/>
        <w:t>- Explore patient accessibility and satisfaction</w:t>
      </w:r>
      <w:r w:rsidRPr="006A3070">
        <w:br/>
        <w:t>- Identify barriers to telehealth use</w:t>
      </w:r>
      <w:r w:rsidRPr="006A3070">
        <w:br/>
        <w:t>- Assess implications for service quality</w:t>
      </w:r>
    </w:p>
    <w:p w14:paraId="4305ABE0" w14:textId="59D265B8" w:rsidR="009C69A9" w:rsidRPr="009C69A9" w:rsidRDefault="009C69A9" w:rsidP="009C69A9">
      <w:r w:rsidRPr="009C69A9">
        <w:t>The primary research question guiding this review is:</w:t>
      </w:r>
      <w:r w:rsidRPr="009C69A9">
        <w:br/>
      </w:r>
      <w:r w:rsidRPr="00C21130">
        <w:rPr>
          <w:b/>
          <w:bCs/>
        </w:rPr>
        <w:t>How do telehealth services improve access to primary care in the UK?</w:t>
      </w:r>
    </w:p>
    <w:p w14:paraId="4B9F8D83" w14:textId="22459A57" w:rsidR="009C69A9" w:rsidRPr="009C69A9" w:rsidRDefault="009C69A9" w:rsidP="009C69A9"/>
    <w:p w14:paraId="4304ABF6" w14:textId="77777777" w:rsidR="009C69A9" w:rsidRPr="009C69A9" w:rsidRDefault="009C69A9" w:rsidP="005E3C10">
      <w:pPr>
        <w:pStyle w:val="Heading1"/>
      </w:pPr>
      <w:bookmarkStart w:id="2" w:name="_Toc225682641"/>
      <w:bookmarkStart w:id="3" w:name="_Toc225682673"/>
      <w:r w:rsidRPr="009C69A9">
        <w:lastRenderedPageBreak/>
        <w:t>b) Background</w:t>
      </w:r>
      <w:bookmarkEnd w:id="2"/>
      <w:bookmarkEnd w:id="3"/>
    </w:p>
    <w:p w14:paraId="2545E040" w14:textId="77777777" w:rsidR="009C69A9" w:rsidRPr="009C69A9" w:rsidRDefault="009C69A9" w:rsidP="009C69A9">
      <w:r w:rsidRPr="009C69A9">
        <w:t>Telehealth has become an increasingly important component of primary care delivery in the United Kingdom, particularly in response to growing pressures on healthcare services. Primary care, mainly delivered through General Practitioner (GP) services, plays a crucial role in providing first-contact, continuous, and comprehensive care to patients. However, rising patient demand, workforce shortages, and long waiting times have created significant challenges in accessing timely care. In this context, telehealth has emerged as a key strategy to improve access and efficiency within the healthcare system.</w:t>
      </w:r>
    </w:p>
    <w:p w14:paraId="04B8AF9A" w14:textId="77777777" w:rsidR="009C69A9" w:rsidRPr="009C69A9" w:rsidRDefault="009C69A9" w:rsidP="009C69A9">
      <w:r w:rsidRPr="009C69A9">
        <w:t>The rapid expansion of telehealth services was significantly accelerated during the COVID-19 pandemic, when face-to-face consultations were limited to reduce infection risks. During this period, GP practices widely adopted remote consultation methods, including telephone and video appointments, to maintain continuity of care (Boxley et al., 2023). This shift demonstrated the potential of telehealth to support healthcare delivery while minimising physical contact. Following the pandemic, telehealth has remained an integral part of primary care services in the UK.</w:t>
      </w:r>
    </w:p>
    <w:p w14:paraId="3C354AD6" w14:textId="77777777" w:rsidR="009C69A9" w:rsidRPr="009C69A9" w:rsidRDefault="009C69A9" w:rsidP="009C69A9">
      <w:r w:rsidRPr="009C69A9">
        <w:t>The UK government and healthcare organisations have introduced several policies and strategies to support the integration of digital technologies in healthcare. One of the most significant is the NHS Long Term Plan (2019), which aims to provide all patients with access to digital-first primary care services. This includes the expansion of online consultations, digital triage systems, and remote monitoring tools. The plan highlights the importance of improving patient access, reducing waiting times, and enhancing the overall efficiency of healthcare delivery.</w:t>
      </w:r>
    </w:p>
    <w:p w14:paraId="6384CDCE" w14:textId="77777777" w:rsidR="009C69A9" w:rsidRPr="009C69A9" w:rsidRDefault="009C69A9" w:rsidP="009C69A9">
      <w:r w:rsidRPr="009C69A9">
        <w:t xml:space="preserve">In addition, the Delivery Plan for Recovering Access to Primary Care (2023) focuses on modernising general practice </w:t>
      </w:r>
      <w:proofErr w:type="gramStart"/>
      <w:r w:rsidRPr="009C69A9">
        <w:t>through the use of</w:t>
      </w:r>
      <w:proofErr w:type="gramEnd"/>
      <w:r w:rsidRPr="009C69A9">
        <w:t xml:space="preserve"> digital tools and improved telephone systems. This policy aims to increase appointment availability, ensure faster access to care, and enhance patient experience. Digital triage systems, which prioritise patients based on urgency, are also promoted </w:t>
      </w:r>
      <w:proofErr w:type="gramStart"/>
      <w:r w:rsidRPr="009C69A9">
        <w:t>as a way to</w:t>
      </w:r>
      <w:proofErr w:type="gramEnd"/>
      <w:r w:rsidRPr="009C69A9">
        <w:t xml:space="preserve"> improve service efficiency.</w:t>
      </w:r>
    </w:p>
    <w:p w14:paraId="78D83E69" w14:textId="77777777" w:rsidR="009C69A9" w:rsidRPr="009C69A9" w:rsidRDefault="009C69A9" w:rsidP="009C69A9">
      <w:r w:rsidRPr="009C69A9">
        <w:t>Another important development is the establishment of Integrated Care Systems (ICSs), which aim to improve coordination between healthcare and social care services. Telehealth plays a significant role within these systems by enabling better communication, data sharing, and continuity of care across different services.</w:t>
      </w:r>
    </w:p>
    <w:p w14:paraId="1ADF3589" w14:textId="77777777" w:rsidR="009C69A9" w:rsidRPr="009C69A9" w:rsidRDefault="009C69A9" w:rsidP="009C69A9">
      <w:r w:rsidRPr="009C69A9">
        <w:t xml:space="preserve">From a legislative perspective, the Health and Social Care Act 2008 </w:t>
      </w:r>
      <w:proofErr w:type="gramStart"/>
      <w:r w:rsidRPr="009C69A9">
        <w:t>provides</w:t>
      </w:r>
      <w:proofErr w:type="gramEnd"/>
      <w:r w:rsidRPr="009C69A9">
        <w:t xml:space="preserve"> a regulatory framework for healthcare services in England. The Care Quality Commission (CQC) is responsible for ensuring that healthcare providers meet essential standards of quality and safety. Telehealth services must comply with these regulations to ensure patient safety, confidentiality, and quality of care (legislation.gov.uk, 2026).</w:t>
      </w:r>
    </w:p>
    <w:p w14:paraId="0015981F" w14:textId="77777777" w:rsidR="009C69A9" w:rsidRPr="009C69A9" w:rsidRDefault="009C69A9" w:rsidP="009C69A9">
      <w:r w:rsidRPr="009C69A9">
        <w:lastRenderedPageBreak/>
        <w:t>Despite the advantages of telehealth, several challenges remain. One key issue is digital exclusion, where certain groups, such as older adults, individuals with low digital literacy, or those without access to reliable internet, may struggle to use telehealth services effectively. This can lead to inequalities in access to care. Additionally, concerns have been raised about the quality of remote consultations, particularly in situations where physical examinations are required.</w:t>
      </w:r>
    </w:p>
    <w:p w14:paraId="57799E73" w14:textId="77777777" w:rsidR="009C69A9" w:rsidRPr="009C69A9" w:rsidRDefault="009C69A9" w:rsidP="009C69A9">
      <w:r w:rsidRPr="009C69A9">
        <w:t>Overall, telehealth represents a significant transformation in the delivery of primary care in the UK. While it offers opportunities to improve access, efficiency, and patient satisfaction, it is important to address existing barriers to ensure equitable and effective healthcare delivery for all patients.</w:t>
      </w:r>
    </w:p>
    <w:p w14:paraId="6FC07CAA" w14:textId="633EC170" w:rsidR="009C69A9" w:rsidRPr="009C69A9" w:rsidRDefault="009C69A9" w:rsidP="009C69A9"/>
    <w:p w14:paraId="31AB7A4B" w14:textId="77777777" w:rsidR="009C69A9" w:rsidRPr="009C69A9" w:rsidRDefault="009C69A9" w:rsidP="005E3C10">
      <w:pPr>
        <w:pStyle w:val="Heading1"/>
      </w:pPr>
      <w:bookmarkStart w:id="4" w:name="_Toc225682642"/>
      <w:bookmarkStart w:id="5" w:name="_Toc225682674"/>
      <w:r w:rsidRPr="009C69A9">
        <w:t>c) Methods</w:t>
      </w:r>
      <w:bookmarkEnd w:id="4"/>
      <w:bookmarkEnd w:id="5"/>
    </w:p>
    <w:p w14:paraId="1A7F5502" w14:textId="77777777" w:rsidR="009C69A9" w:rsidRPr="009C69A9" w:rsidRDefault="009C69A9" w:rsidP="005E3C10">
      <w:pPr>
        <w:pStyle w:val="Heading2"/>
      </w:pPr>
      <w:bookmarkStart w:id="6" w:name="_Toc225682643"/>
      <w:bookmarkStart w:id="7" w:name="_Toc225682675"/>
      <w:r w:rsidRPr="009C69A9">
        <w:t>Research strategy</w:t>
      </w:r>
      <w:bookmarkEnd w:id="6"/>
      <w:bookmarkEnd w:id="7"/>
      <w:r w:rsidRPr="009C69A9">
        <w:t xml:space="preserve"> </w:t>
      </w:r>
    </w:p>
    <w:p w14:paraId="21ECE553" w14:textId="77777777" w:rsidR="009C69A9" w:rsidRPr="009C69A9" w:rsidRDefault="009C69A9" w:rsidP="009C69A9">
      <w:r w:rsidRPr="009C69A9">
        <w:t xml:space="preserve">The research for "the impact of telehealth on access to primary care in the UK" is following a “secondary research strategy”. This is known as the 'research strategy' developed on existing literature or published information. As it is one of the least costly and highly efficient strategies. So, it is included. As “primary care access” is a big challenge for telehealth services. To gain access to relevant data, a descriptive design is included. This is chosen because it is good to </w:t>
      </w:r>
      <w:proofErr w:type="gramStart"/>
      <w:r w:rsidRPr="009C69A9">
        <w:t>offer an explanation of</w:t>
      </w:r>
      <w:proofErr w:type="gramEnd"/>
      <w:r w:rsidRPr="009C69A9">
        <w:t xml:space="preserve"> information (Cheong </w:t>
      </w:r>
      <w:r w:rsidRPr="009C69A9">
        <w:rPr>
          <w:i/>
          <w:iCs/>
        </w:rPr>
        <w:t>et al.</w:t>
      </w:r>
      <w:r w:rsidRPr="009C69A9">
        <w:t>2023). Which can understand the “significance”, “availability”, “barriers”. Also, other aspects of telehealth services. Providing good secondary data, it has addressed the primary and secondary research questions through peer-reviewed articles. This research has also included “interpretivism philosophy”. Which is because it can offer crucial insight into data phenomena. Which, for telehealth services, has been possible in the current research.</w:t>
      </w:r>
    </w:p>
    <w:p w14:paraId="18267274" w14:textId="77777777" w:rsidR="009C69A9" w:rsidRPr="009C69A9" w:rsidRDefault="009C69A9" w:rsidP="00BA0516">
      <w:pPr>
        <w:pStyle w:val="Heading2"/>
      </w:pPr>
      <w:bookmarkStart w:id="8" w:name="_Toc225682644"/>
      <w:bookmarkStart w:id="9" w:name="_Toc225682676"/>
      <w:r w:rsidRPr="009C69A9">
        <w:t>Data collection method</w:t>
      </w:r>
      <w:bookmarkEnd w:id="8"/>
      <w:bookmarkEnd w:id="9"/>
    </w:p>
    <w:p w14:paraId="160182B1" w14:textId="77777777" w:rsidR="009C69A9" w:rsidRPr="009C69A9" w:rsidRDefault="009C69A9" w:rsidP="009C69A9">
      <w:r w:rsidRPr="009C69A9">
        <w:t xml:space="preserve">The procedure is effective to find and collect data from diverse sources. Answering questions or evaluating situations is known to be "data collection". It </w:t>
      </w:r>
      <w:proofErr w:type="gramStart"/>
      <w:r w:rsidRPr="009C69A9">
        <w:t>is able to</w:t>
      </w:r>
      <w:proofErr w:type="gramEnd"/>
      <w:r w:rsidRPr="009C69A9">
        <w:t xml:space="preserve"> understand and assess the reliability of “facts, figures, scenarios,” etc (Ajayi, 2023). Two kinds of data collection methods are present. Which are primary and secondary. Among them, the secondary data collection method is considered for the research. Because of its </w:t>
      </w:r>
      <w:proofErr w:type="gramStart"/>
      <w:r w:rsidRPr="009C69A9">
        <w:t>high cost</w:t>
      </w:r>
      <w:proofErr w:type="gramEnd"/>
      <w:r w:rsidRPr="009C69A9">
        <w:t xml:space="preserve"> efficiency and less “time-consuming nature”. This data collection method is included in the current research. Which is also supported in understanding key areas. "Secondary data" from relevant academic databases has supported crucial data of "telehealth adoption in GP services", availability of them. Also, information on telehealth services for “patient accessibility”, their barriers and implications in “service </w:t>
      </w:r>
      <w:r w:rsidRPr="009C69A9">
        <w:lastRenderedPageBreak/>
        <w:t xml:space="preserve">quality”. In collecting this relevant data, this research has included a "systematic keyword search strategy" (Fabiano </w:t>
      </w:r>
      <w:r w:rsidRPr="009C69A9">
        <w:rPr>
          <w:i/>
          <w:iCs/>
        </w:rPr>
        <w:t>et al.</w:t>
      </w:r>
      <w:r w:rsidRPr="009C69A9">
        <w:t>2024). Where relevant keywords have been used to access relevant peer-reviewed articles. Such as "telehealth services", "appointment availability", "telehealth quality", "patient accessibility". Also, "service quality", "primary care", "patient outcomes", and "telehealth services barriers", etc., were employed. The use of these keywords has helped in identifying the most relevant peer-reviewed articles that had good information (</w:t>
      </w:r>
      <w:proofErr w:type="spellStart"/>
      <w:r w:rsidRPr="009C69A9">
        <w:t>Khany</w:t>
      </w:r>
      <w:proofErr w:type="spellEnd"/>
      <w:r w:rsidRPr="009C69A9">
        <w:t xml:space="preserve"> </w:t>
      </w:r>
      <w:r w:rsidRPr="009C69A9">
        <w:rPr>
          <w:i/>
          <w:iCs/>
        </w:rPr>
        <w:t>et al.</w:t>
      </w:r>
      <w:r w:rsidRPr="009C69A9">
        <w:t>2025). The sample size for the article is eight. These articles are chosen considering factors like "data", "publication year", "databases", "</w:t>
      </w:r>
      <w:proofErr w:type="spellStart"/>
      <w:r w:rsidRPr="009C69A9">
        <w:t>english</w:t>
      </w:r>
      <w:proofErr w:type="spellEnd"/>
      <w:r w:rsidRPr="009C69A9">
        <w:t xml:space="preserve"> language" and others. So, only articles published from "2022" have been considered to access only updated information on the topic. The execution of relevant and reliable academic databases is included to conduct the secondary research. Databases like "Google Scholar" have been used as primary databases. Apart from this, BJGP Open, </w:t>
      </w:r>
      <w:proofErr w:type="spellStart"/>
      <w:r w:rsidRPr="009C69A9">
        <w:t>Cureus</w:t>
      </w:r>
      <w:proofErr w:type="spellEnd"/>
      <w:r w:rsidRPr="009C69A9">
        <w:t>, BMC Geriatrics, and others. The use of these has confirmed the reliable information used regarding the topic with adequate findings. Because these "databases" are proven to be most relevant in terms of healthcare.</w:t>
      </w:r>
    </w:p>
    <w:p w14:paraId="52FF7CC4" w14:textId="77777777" w:rsidR="009C69A9" w:rsidRPr="009C69A9" w:rsidRDefault="009C69A9" w:rsidP="00BA0516">
      <w:pPr>
        <w:pStyle w:val="Heading2"/>
      </w:pPr>
      <w:bookmarkStart w:id="10" w:name="_Toc225682645"/>
      <w:bookmarkStart w:id="11" w:name="_Toc225682677"/>
      <w:r w:rsidRPr="009C69A9">
        <w:t>Data analysis approach</w:t>
      </w:r>
      <w:bookmarkEnd w:id="10"/>
      <w:bookmarkEnd w:id="11"/>
    </w:p>
    <w:p w14:paraId="2E625B72" w14:textId="77777777" w:rsidR="009C69A9" w:rsidRPr="009C69A9" w:rsidRDefault="009C69A9" w:rsidP="009C69A9">
      <w:r w:rsidRPr="009C69A9">
        <w:t xml:space="preserve">The process that makes systematic evaluation of information is known to be "data analysis" (Hassan </w:t>
      </w:r>
      <w:r w:rsidRPr="009C69A9">
        <w:rPr>
          <w:i/>
          <w:iCs/>
        </w:rPr>
        <w:t>et al.</w:t>
      </w:r>
      <w:r w:rsidRPr="009C69A9">
        <w:t>2022). Within the current research, the "thematic analysis method" for data analysis is chosen. As it is one of the most versatile techniques for data collection. It is taken in the current study. Where understanding data patterns was done to develop relevant themes regarding the topic and present data on them as findings. Under thematic analysis, the analysis technique of "scoping review" is taken to analyse data from the "8 articles". This method for data analysis offers a good framework to analyse data (</w:t>
      </w:r>
      <w:proofErr w:type="spellStart"/>
      <w:r w:rsidRPr="009C69A9">
        <w:t>Schlunegger</w:t>
      </w:r>
      <w:proofErr w:type="spellEnd"/>
      <w:r w:rsidRPr="009C69A9">
        <w:t xml:space="preserve"> </w:t>
      </w:r>
      <w:r w:rsidRPr="009C69A9">
        <w:rPr>
          <w:i/>
          <w:iCs/>
        </w:rPr>
        <w:t>et al.</w:t>
      </w:r>
      <w:r w:rsidRPr="009C69A9">
        <w:t>2024). It also critically evaluates existing literature, so it is considered above other methods. So, it's used to present the key findings in a table through a scoping review and using thematic analysis through themes. that tells about telehealth within primary care. It has also found their key challenges and accessibility issues by offering a summary of the peer-reviewed articles.</w:t>
      </w:r>
    </w:p>
    <w:p w14:paraId="0E5B0201" w14:textId="77777777" w:rsidR="009C69A9" w:rsidRPr="009C69A9" w:rsidRDefault="009C69A9" w:rsidP="00BA0516">
      <w:pPr>
        <w:pStyle w:val="Heading2"/>
      </w:pPr>
      <w:bookmarkStart w:id="12" w:name="_Toc225682646"/>
      <w:bookmarkStart w:id="13" w:name="_Toc225682678"/>
      <w:r w:rsidRPr="009C69A9">
        <w:t>Ethical considerations</w:t>
      </w:r>
      <w:bookmarkEnd w:id="12"/>
      <w:bookmarkEnd w:id="13"/>
    </w:p>
    <w:p w14:paraId="54688ED1" w14:textId="77777777" w:rsidR="009C69A9" w:rsidRPr="009C69A9" w:rsidRDefault="009C69A9" w:rsidP="009C69A9">
      <w:r w:rsidRPr="009C69A9">
        <w:t xml:space="preserve">The inclusion of secondary data often raises concerns over ethics. So, the consideration of relevant practices that lower the chances of ethical issues is known as "ethical considerations". In this research, data privacy as an ethical issue could be present. So, following the "Data Protection Act 2018" has been significant (Almeida </w:t>
      </w:r>
      <w:r w:rsidRPr="009C69A9">
        <w:rPr>
          <w:i/>
          <w:iCs/>
        </w:rPr>
        <w:t>et al.</w:t>
      </w:r>
      <w:r w:rsidRPr="009C69A9">
        <w:t xml:space="preserve">2022). Because this has confirmed the protection of collected articles and their data from any third party. To lower data relevance issues. The use of only high-quality and popular databases has been considered to access peer-reviewed articles. Also, articles published more than 5 years ago were excluded to avoid this issue. In decreasing the </w:t>
      </w:r>
      <w:r w:rsidRPr="009C69A9">
        <w:lastRenderedPageBreak/>
        <w:t>ethical concern over "plagiarism". The use of the "UWTSD Harvard referencing style". Where proper citations of authors were included to acknowledge their work.</w:t>
      </w:r>
    </w:p>
    <w:p w14:paraId="44FE805E" w14:textId="5F0FF885" w:rsidR="009C69A9" w:rsidRPr="009C69A9" w:rsidRDefault="009C69A9" w:rsidP="009C69A9"/>
    <w:p w14:paraId="728F6C8A" w14:textId="77777777" w:rsidR="009C69A9" w:rsidRPr="009C69A9" w:rsidRDefault="009C69A9" w:rsidP="00BA0516">
      <w:pPr>
        <w:pStyle w:val="Heading1"/>
      </w:pPr>
      <w:bookmarkStart w:id="14" w:name="_Toc225682647"/>
      <w:bookmarkStart w:id="15" w:name="_Toc225682679"/>
      <w:r w:rsidRPr="009C69A9">
        <w:t>d) Results</w:t>
      </w:r>
      <w:bookmarkEnd w:id="14"/>
      <w:bookmarkEnd w:id="15"/>
    </w:p>
    <w:p w14:paraId="0343D489" w14:textId="77777777" w:rsidR="009C69A9" w:rsidRPr="009C69A9" w:rsidRDefault="009C69A9" w:rsidP="009C69A9">
      <w:r w:rsidRPr="009C69A9">
        <w:t>The scoping review identified several key themes related to the impact of telehealth on access to primary care in the UK.</w:t>
      </w:r>
    </w:p>
    <w:p w14:paraId="5C3D3C8C" w14:textId="77777777" w:rsidR="009C69A9" w:rsidRPr="009C69A9" w:rsidRDefault="009C69A9" w:rsidP="009C69A9">
      <w:r w:rsidRPr="009C69A9">
        <w:t>Firstly, telehealth adoption in GP services has increased significantly, particularly following the COVID-19 pandemic. Studies indicate that remote consultations, including telephone and video calls, have enabled more efficient delivery of healthcare services while maintaining continuity of care (Leighton et al., 2024; Beheshti et al., 2022).</w:t>
      </w:r>
    </w:p>
    <w:p w14:paraId="3448AA38" w14:textId="77777777" w:rsidR="009C69A9" w:rsidRPr="009C69A9" w:rsidRDefault="009C69A9" w:rsidP="009C69A9">
      <w:r w:rsidRPr="009C69A9">
        <w:t xml:space="preserve">Secondly, appointment availability has improved </w:t>
      </w:r>
      <w:proofErr w:type="gramStart"/>
      <w:r w:rsidRPr="009C69A9">
        <w:t>through the use of</w:t>
      </w:r>
      <w:proofErr w:type="gramEnd"/>
      <w:r w:rsidRPr="009C69A9">
        <w:t xml:space="preserve"> telehealth systems. Online booking platforms and digital triage tools have allowed patients to access consultations more quickly, reducing waiting times and enhancing service responsiveness (Alqahtani, 2025).</w:t>
      </w:r>
    </w:p>
    <w:p w14:paraId="62B6EB47" w14:textId="77777777" w:rsidR="009C69A9" w:rsidRPr="009C69A9" w:rsidRDefault="009C69A9" w:rsidP="009C69A9">
      <w:r w:rsidRPr="009C69A9">
        <w:t xml:space="preserve">Patient accessibility and satisfaction emerged as another important theme. Telehealth has improved access for individuals living in rural areas, those with mobility limitations, and patients with chronic conditions. The convenience of accessing healthcare from home contributed to higher levels of patient satisfaction (Chandak et al., 2025; </w:t>
      </w:r>
      <w:proofErr w:type="spellStart"/>
      <w:r w:rsidRPr="009C69A9">
        <w:t>Ezeamii</w:t>
      </w:r>
      <w:proofErr w:type="spellEnd"/>
      <w:r w:rsidRPr="009C69A9">
        <w:t xml:space="preserve"> et al., 2024).</w:t>
      </w:r>
    </w:p>
    <w:p w14:paraId="1E6CE0D5" w14:textId="77777777" w:rsidR="009C69A9" w:rsidRPr="009C69A9" w:rsidRDefault="009C69A9" w:rsidP="009C69A9">
      <w:r w:rsidRPr="009C69A9">
        <w:t>However, several barriers to telehealth use were identified. These include limited digital literacy, poor internet connectivity, and lack of access to suitable devices. Additionally, concerns regarding data privacy and communication challenges were highlighted (Mathew et al., 2025).</w:t>
      </w:r>
    </w:p>
    <w:p w14:paraId="51F9FD48" w14:textId="77777777" w:rsidR="009C69A9" w:rsidRPr="009C69A9" w:rsidRDefault="009C69A9" w:rsidP="009C69A9">
      <w:r w:rsidRPr="009C69A9">
        <w:t>Finally, service quality was found to be influenced by telehealth implementation. While telehealth improved efficiency and accessibility, limitations such as the inability to conduct physical examinations may affect the quality of care (Khalil et al., 2025).</w:t>
      </w:r>
    </w:p>
    <w:p w14:paraId="7E768BF1" w14:textId="77777777" w:rsidR="009C69A9" w:rsidRPr="009C69A9" w:rsidRDefault="00000000" w:rsidP="009C69A9">
      <w:r>
        <w:pict w14:anchorId="6D6FB2A8">
          <v:rect id="_x0000_i1025" style="width:0;height:1.5pt" o:hralign="center" o:hrstd="t" o:hr="t" fillcolor="#a0a0a0" stroked="f"/>
        </w:pict>
      </w:r>
    </w:p>
    <w:p w14:paraId="24E3A61F" w14:textId="77777777" w:rsidR="009C69A9" w:rsidRPr="009C69A9" w:rsidRDefault="009C69A9" w:rsidP="00BA0516">
      <w:pPr>
        <w:pStyle w:val="Heading1"/>
      </w:pPr>
      <w:bookmarkStart w:id="16" w:name="_Toc225682648"/>
      <w:bookmarkStart w:id="17" w:name="_Toc225682680"/>
      <w:r w:rsidRPr="009C69A9">
        <w:t>e) Discussion</w:t>
      </w:r>
      <w:bookmarkEnd w:id="16"/>
      <w:bookmarkEnd w:id="17"/>
    </w:p>
    <w:p w14:paraId="4C68B99E" w14:textId="77777777" w:rsidR="009C69A9" w:rsidRPr="009C69A9" w:rsidRDefault="009C69A9" w:rsidP="009C69A9">
      <w:r w:rsidRPr="009C69A9">
        <w:t>This study explored the impact of telehealth on access to primary care in the UK through a scoping review of existing literature. The findings identified several key themes, including effectiveness in GP services, appointment availability, patient accessibility and satisfaction, barriers, and service quality.</w:t>
      </w:r>
    </w:p>
    <w:p w14:paraId="68A5D1BD" w14:textId="77777777" w:rsidR="009C69A9" w:rsidRPr="009C69A9" w:rsidRDefault="009C69A9" w:rsidP="009C69A9">
      <w:r w:rsidRPr="009C69A9">
        <w:lastRenderedPageBreak/>
        <w:t>Telehealth has improved the efficiency of GP services by enabling remote consultations and reducing the need for face-to-face visits (Dixit et al., 2022). This has supported faster access to care and reduced pressure on healthcare facilities, particularly during the COVID-19 pandemic (Boxley et al., 2023).</w:t>
      </w:r>
    </w:p>
    <w:p w14:paraId="3C6C3CB7" w14:textId="77777777" w:rsidR="009C69A9" w:rsidRPr="009C69A9" w:rsidRDefault="009C69A9" w:rsidP="009C69A9">
      <w:r w:rsidRPr="009C69A9">
        <w:t>Appointment availability has also improved, as digital systems allow patients to book consultations more easily and receive quicker responses. However, increased accessibility may also lead to higher demand, which could place additional pressure on healthcare providers.</w:t>
      </w:r>
    </w:p>
    <w:p w14:paraId="1F621864" w14:textId="77777777" w:rsidR="009C69A9" w:rsidRPr="009C69A9" w:rsidRDefault="009C69A9" w:rsidP="009C69A9">
      <w:r w:rsidRPr="009C69A9">
        <w:t>Patient accessibility and satisfaction were generally positive, with telehealth offering convenience, flexibility, and reduced travel time (Lifford et al., 2023). It has been particularly beneficial for vulnerable groups, including elderly patients and those living in remote areas.</w:t>
      </w:r>
    </w:p>
    <w:p w14:paraId="114E7AFD" w14:textId="77777777" w:rsidR="009C69A9" w:rsidRPr="009C69A9" w:rsidRDefault="009C69A9" w:rsidP="009C69A9">
      <w:r w:rsidRPr="009C69A9">
        <w:t>Despite these advantages, barriers such as digital exclusion, limited digital skills, and technical issues remain significant challenges (</w:t>
      </w:r>
      <w:proofErr w:type="spellStart"/>
      <w:r w:rsidRPr="009C69A9">
        <w:t>Ilali</w:t>
      </w:r>
      <w:proofErr w:type="spellEnd"/>
      <w:r w:rsidRPr="009C69A9">
        <w:t xml:space="preserve"> et al., 2023). Additionally, concerns about service quality, including lack of physical examination and communication limitations, highlight the need for a balanced approach.</w:t>
      </w:r>
    </w:p>
    <w:p w14:paraId="0AD0FA67" w14:textId="77777777" w:rsidR="009C69A9" w:rsidRPr="009C69A9" w:rsidRDefault="009C69A9" w:rsidP="009C69A9">
      <w:r w:rsidRPr="009C69A9">
        <w:t>Overall, telehealth has strong potential to improve access to primary care, but it should be integrated with traditional services to ensure high-quality and equitable care.</w:t>
      </w:r>
    </w:p>
    <w:p w14:paraId="0E2307A1" w14:textId="77777777" w:rsidR="009C69A9" w:rsidRPr="009C69A9" w:rsidRDefault="00000000" w:rsidP="009C69A9">
      <w:r>
        <w:pict w14:anchorId="7125C95F">
          <v:rect id="_x0000_i1026" style="width:0;height:1.5pt" o:hralign="center" o:hrstd="t" o:hr="t" fillcolor="#a0a0a0" stroked="f"/>
        </w:pict>
      </w:r>
    </w:p>
    <w:p w14:paraId="70E86687" w14:textId="77777777" w:rsidR="009C69A9" w:rsidRPr="009C69A9" w:rsidRDefault="009C69A9" w:rsidP="00BA0516">
      <w:pPr>
        <w:pStyle w:val="Heading1"/>
      </w:pPr>
      <w:bookmarkStart w:id="18" w:name="_Toc225682649"/>
      <w:bookmarkStart w:id="19" w:name="_Toc225682681"/>
      <w:r w:rsidRPr="009C69A9">
        <w:t>f) Conclusion and Recommendations</w:t>
      </w:r>
      <w:bookmarkEnd w:id="18"/>
      <w:bookmarkEnd w:id="19"/>
    </w:p>
    <w:p w14:paraId="1EB24E58" w14:textId="77777777" w:rsidR="009C69A9" w:rsidRPr="009C69A9" w:rsidRDefault="009C69A9" w:rsidP="00BA0516">
      <w:pPr>
        <w:pStyle w:val="Heading2"/>
      </w:pPr>
      <w:bookmarkStart w:id="20" w:name="_Toc225682650"/>
      <w:bookmarkStart w:id="21" w:name="_Toc225682682"/>
      <w:r w:rsidRPr="009C69A9">
        <w:t>Conclusion</w:t>
      </w:r>
      <w:bookmarkEnd w:id="20"/>
      <w:bookmarkEnd w:id="21"/>
    </w:p>
    <w:p w14:paraId="39743ED7" w14:textId="77777777" w:rsidR="009C69A9" w:rsidRPr="009C69A9" w:rsidRDefault="009C69A9" w:rsidP="009C69A9">
      <w:r w:rsidRPr="009C69A9">
        <w:t>This study found that telehealth has significantly improved access to primary care in the UK by increasing efficiency, reducing waiting times, and offering more flexible healthcare delivery. It has been particularly beneficial for patients with limited mobility and those in remote areas.</w:t>
      </w:r>
    </w:p>
    <w:p w14:paraId="3B9B92C6" w14:textId="77777777" w:rsidR="009C69A9" w:rsidRPr="009C69A9" w:rsidRDefault="009C69A9" w:rsidP="009C69A9">
      <w:r w:rsidRPr="009C69A9">
        <w:t>However, challenges such as digital exclusion, technical issues, and limitations in clinical assessment remain. Telehealth should therefore be used alongside face-to-face care rather than replacing it entirely.</w:t>
      </w:r>
    </w:p>
    <w:p w14:paraId="5A5A9982" w14:textId="77777777" w:rsidR="009C69A9" w:rsidRPr="009C69A9" w:rsidRDefault="009C69A9" w:rsidP="00BA0516">
      <w:pPr>
        <w:pStyle w:val="Heading2"/>
      </w:pPr>
      <w:bookmarkStart w:id="22" w:name="_Toc225682651"/>
      <w:bookmarkStart w:id="23" w:name="_Toc225682683"/>
      <w:r w:rsidRPr="009C69A9">
        <w:t>Recommendations</w:t>
      </w:r>
      <w:bookmarkEnd w:id="22"/>
      <w:bookmarkEnd w:id="23"/>
    </w:p>
    <w:p w14:paraId="60A95B76" w14:textId="38123380" w:rsidR="00AA1F28" w:rsidRPr="00AA1F28" w:rsidRDefault="00AA1F28" w:rsidP="00AA1F28">
      <w:r>
        <w:t xml:space="preserve"> </w:t>
      </w:r>
      <w:r w:rsidRPr="00AA1F28">
        <w:t>- Improve digital infrastructure and internet access</w:t>
      </w:r>
      <w:r w:rsidRPr="00AA1F28">
        <w:br/>
      </w:r>
      <w:r>
        <w:t xml:space="preserve"> </w:t>
      </w:r>
      <w:r w:rsidRPr="00AA1F28">
        <w:t>- Provide digital literacy training for patients</w:t>
      </w:r>
      <w:r w:rsidRPr="00AA1F28">
        <w:br/>
      </w:r>
      <w:r>
        <w:t xml:space="preserve"> </w:t>
      </w:r>
      <w:r w:rsidRPr="00AA1F28">
        <w:t>- Use a hybrid model of care (telehealth + face-to-face)</w:t>
      </w:r>
      <w:r w:rsidRPr="00AA1F28">
        <w:br/>
      </w:r>
      <w:r>
        <w:t xml:space="preserve"> </w:t>
      </w:r>
      <w:r w:rsidRPr="00AA1F28">
        <w:t>- Strengthen data privacy and security measures</w:t>
      </w:r>
      <w:r w:rsidRPr="00AA1F28">
        <w:br/>
      </w:r>
      <w:r>
        <w:t xml:space="preserve"> </w:t>
      </w:r>
      <w:r w:rsidRPr="00AA1F28">
        <w:t>- Conduct further research on long-term impact</w:t>
      </w:r>
    </w:p>
    <w:p w14:paraId="338287A0" w14:textId="77777777" w:rsidR="00DD69DF" w:rsidRDefault="00DD69DF"/>
    <w:p w14:paraId="78914FDF" w14:textId="77777777" w:rsidR="004E7D35" w:rsidRDefault="004E7D35"/>
    <w:p w14:paraId="40272259" w14:textId="77777777" w:rsidR="004E7D35" w:rsidRDefault="004E7D35"/>
    <w:p w14:paraId="7CC69373" w14:textId="77777777" w:rsidR="004E7D35" w:rsidRDefault="004E7D35"/>
    <w:p w14:paraId="1BEAF449" w14:textId="77777777" w:rsidR="007C30C5" w:rsidRDefault="007C30C5"/>
    <w:p w14:paraId="623CD772" w14:textId="77777777" w:rsidR="007C30C5" w:rsidRDefault="007C30C5"/>
    <w:p w14:paraId="5E62D517" w14:textId="77777777" w:rsidR="007C30C5" w:rsidRDefault="007C30C5"/>
    <w:p w14:paraId="5C698312" w14:textId="77777777" w:rsidR="007C30C5" w:rsidRDefault="007C30C5"/>
    <w:p w14:paraId="73AA28C8" w14:textId="77777777" w:rsidR="007C30C5" w:rsidRDefault="007C30C5"/>
    <w:p w14:paraId="21BE550D" w14:textId="77777777" w:rsidR="007C30C5" w:rsidRDefault="007C30C5"/>
    <w:p w14:paraId="0DD177F3" w14:textId="77777777" w:rsidR="007C30C5" w:rsidRDefault="007C30C5"/>
    <w:p w14:paraId="41E17C0F" w14:textId="7B370D90" w:rsidR="007C30C5" w:rsidRPr="007C30C5" w:rsidRDefault="007C30C5" w:rsidP="007C30C5">
      <w:pPr>
        <w:pStyle w:val="TOCHeading"/>
      </w:pPr>
    </w:p>
    <w:p w14:paraId="66B6F25F" w14:textId="77777777" w:rsidR="007C30C5" w:rsidRDefault="007C30C5"/>
    <w:p w14:paraId="6837FF9B" w14:textId="05397103" w:rsidR="004E7D35" w:rsidRDefault="004E7D35" w:rsidP="00BA0516">
      <w:pPr>
        <w:pStyle w:val="Heading1"/>
      </w:pPr>
      <w:bookmarkStart w:id="24" w:name="_Toc225682652"/>
      <w:bookmarkStart w:id="25" w:name="_Toc225682684"/>
      <w:r w:rsidRPr="004E7D35">
        <w:t>References</w:t>
      </w:r>
      <w:bookmarkEnd w:id="24"/>
      <w:bookmarkEnd w:id="25"/>
    </w:p>
    <w:p w14:paraId="154F467B" w14:textId="1A15DB64" w:rsidR="00907753" w:rsidRDefault="00907753"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907753">
        <w:rPr>
          <w:rFonts w:ascii="Times New Roman" w:eastAsia="Times New Roman" w:hAnsi="Times New Roman" w:cs="Times New Roman"/>
          <w:kern w:val="0"/>
          <w:lang w:eastAsia="en-GB"/>
          <w14:ligatures w14:val="none"/>
        </w:rPr>
        <w:t xml:space="preserve">Ajayi, V.O. (2023) A review of primary sources of data and secondary sources of data. Available at: </w:t>
      </w:r>
      <w:hyperlink r:id="rId8" w:history="1">
        <w:r w:rsidRPr="004F142B">
          <w:rPr>
            <w:rStyle w:val="Hyperlink"/>
            <w:rFonts w:ascii="Times New Roman" w:eastAsia="Times New Roman" w:hAnsi="Times New Roman" w:cs="Times New Roman"/>
            <w:kern w:val="0"/>
            <w:lang w:eastAsia="en-GB"/>
            <w14:ligatures w14:val="none"/>
          </w:rPr>
          <w:t>https://ssrn.com/a</w:t>
        </w:r>
        <w:r w:rsidRPr="004F142B">
          <w:rPr>
            <w:rStyle w:val="Hyperlink"/>
            <w:rFonts w:ascii="Times New Roman" w:eastAsia="Times New Roman" w:hAnsi="Times New Roman" w:cs="Times New Roman"/>
            <w:kern w:val="0"/>
            <w:lang w:eastAsia="en-GB"/>
            <w14:ligatures w14:val="none"/>
          </w:rPr>
          <w:t>b</w:t>
        </w:r>
        <w:r w:rsidRPr="004F142B">
          <w:rPr>
            <w:rStyle w:val="Hyperlink"/>
            <w:rFonts w:ascii="Times New Roman" w:eastAsia="Times New Roman" w:hAnsi="Times New Roman" w:cs="Times New Roman"/>
            <w:kern w:val="0"/>
            <w:lang w:eastAsia="en-GB"/>
            <w14:ligatures w14:val="none"/>
          </w:rPr>
          <w:t>stract=5378785</w:t>
        </w:r>
      </w:hyperlink>
    </w:p>
    <w:p w14:paraId="367CA552" w14:textId="5A2D4224"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t>Alakeel</w:t>
      </w:r>
      <w:proofErr w:type="spellEnd"/>
      <w:r w:rsidRPr="00046269">
        <w:rPr>
          <w:rFonts w:ascii="Times New Roman" w:eastAsia="Times New Roman" w:hAnsi="Times New Roman" w:cs="Times New Roman"/>
          <w:kern w:val="0"/>
          <w:lang w:eastAsia="en-GB"/>
          <w14:ligatures w14:val="none"/>
        </w:rPr>
        <w:t xml:space="preserve">, A.N., </w:t>
      </w:r>
      <w:proofErr w:type="spellStart"/>
      <w:r w:rsidRPr="00046269">
        <w:rPr>
          <w:rFonts w:ascii="Times New Roman" w:eastAsia="Times New Roman" w:hAnsi="Times New Roman" w:cs="Times New Roman"/>
          <w:kern w:val="0"/>
          <w:lang w:eastAsia="en-GB"/>
          <w14:ligatures w14:val="none"/>
        </w:rPr>
        <w:t>Alskait</w:t>
      </w:r>
      <w:proofErr w:type="spellEnd"/>
      <w:r w:rsidRPr="00046269">
        <w:rPr>
          <w:rFonts w:ascii="Times New Roman" w:eastAsia="Times New Roman" w:hAnsi="Times New Roman" w:cs="Times New Roman"/>
          <w:kern w:val="0"/>
          <w:lang w:eastAsia="en-GB"/>
          <w14:ligatures w14:val="none"/>
        </w:rPr>
        <w:t xml:space="preserve">, B.K., </w:t>
      </w:r>
      <w:proofErr w:type="spellStart"/>
      <w:r w:rsidRPr="00046269">
        <w:rPr>
          <w:rFonts w:ascii="Times New Roman" w:eastAsia="Times New Roman" w:hAnsi="Times New Roman" w:cs="Times New Roman"/>
          <w:kern w:val="0"/>
          <w:lang w:eastAsia="en-GB"/>
          <w14:ligatures w14:val="none"/>
        </w:rPr>
        <w:t>Binshafi</w:t>
      </w:r>
      <w:proofErr w:type="spellEnd"/>
      <w:r w:rsidRPr="00046269">
        <w:rPr>
          <w:rFonts w:ascii="Times New Roman" w:eastAsia="Times New Roman" w:hAnsi="Times New Roman" w:cs="Times New Roman"/>
          <w:kern w:val="0"/>
          <w:lang w:eastAsia="en-GB"/>
          <w14:ligatures w14:val="none"/>
        </w:rPr>
        <w:t xml:space="preserve">, G.B., </w:t>
      </w:r>
      <w:proofErr w:type="spellStart"/>
      <w:r w:rsidRPr="00046269">
        <w:rPr>
          <w:rFonts w:ascii="Times New Roman" w:eastAsia="Times New Roman" w:hAnsi="Times New Roman" w:cs="Times New Roman"/>
          <w:kern w:val="0"/>
          <w:lang w:eastAsia="en-GB"/>
          <w14:ligatures w14:val="none"/>
        </w:rPr>
        <w:t>AlAmro</w:t>
      </w:r>
      <w:proofErr w:type="spellEnd"/>
      <w:r w:rsidRPr="00046269">
        <w:rPr>
          <w:rFonts w:ascii="Times New Roman" w:eastAsia="Times New Roman" w:hAnsi="Times New Roman" w:cs="Times New Roman"/>
          <w:kern w:val="0"/>
          <w:lang w:eastAsia="en-GB"/>
          <w14:ligatures w14:val="none"/>
        </w:rPr>
        <w:t xml:space="preserve">, H.A., </w:t>
      </w:r>
      <w:proofErr w:type="spellStart"/>
      <w:r w:rsidRPr="00046269">
        <w:rPr>
          <w:rFonts w:ascii="Times New Roman" w:eastAsia="Times New Roman" w:hAnsi="Times New Roman" w:cs="Times New Roman"/>
          <w:kern w:val="0"/>
          <w:lang w:eastAsia="en-GB"/>
          <w14:ligatures w14:val="none"/>
        </w:rPr>
        <w:t>Alkharji</w:t>
      </w:r>
      <w:proofErr w:type="spellEnd"/>
      <w:r w:rsidRPr="00046269">
        <w:rPr>
          <w:rFonts w:ascii="Times New Roman" w:eastAsia="Times New Roman" w:hAnsi="Times New Roman" w:cs="Times New Roman"/>
          <w:kern w:val="0"/>
          <w:lang w:eastAsia="en-GB"/>
          <w14:ligatures w14:val="none"/>
        </w:rPr>
        <w:t xml:space="preserve">, S.K., </w:t>
      </w:r>
      <w:proofErr w:type="spellStart"/>
      <w:r w:rsidRPr="00046269">
        <w:rPr>
          <w:rFonts w:ascii="Times New Roman" w:eastAsia="Times New Roman" w:hAnsi="Times New Roman" w:cs="Times New Roman"/>
          <w:kern w:val="0"/>
          <w:lang w:eastAsia="en-GB"/>
          <w14:ligatures w14:val="none"/>
        </w:rPr>
        <w:t>Elsherbini</w:t>
      </w:r>
      <w:proofErr w:type="spellEnd"/>
      <w:r w:rsidRPr="00046269">
        <w:rPr>
          <w:rFonts w:ascii="Times New Roman" w:eastAsia="Times New Roman" w:hAnsi="Times New Roman" w:cs="Times New Roman"/>
          <w:kern w:val="0"/>
          <w:lang w:eastAsia="en-GB"/>
          <w14:ligatures w14:val="none"/>
        </w:rPr>
        <w:t xml:space="preserve">, M., Aleid, N.A., </w:t>
      </w:r>
      <w:proofErr w:type="spellStart"/>
      <w:r w:rsidRPr="00046269">
        <w:rPr>
          <w:rFonts w:ascii="Times New Roman" w:eastAsia="Times New Roman" w:hAnsi="Times New Roman" w:cs="Times New Roman"/>
          <w:kern w:val="0"/>
          <w:lang w:eastAsia="en-GB"/>
          <w14:ligatures w14:val="none"/>
        </w:rPr>
        <w:t>Alfrayan</w:t>
      </w:r>
      <w:proofErr w:type="spellEnd"/>
      <w:r w:rsidRPr="00046269">
        <w:rPr>
          <w:rFonts w:ascii="Times New Roman" w:eastAsia="Times New Roman" w:hAnsi="Times New Roman" w:cs="Times New Roman"/>
          <w:kern w:val="0"/>
          <w:lang w:eastAsia="en-GB"/>
          <w14:ligatures w14:val="none"/>
        </w:rPr>
        <w:t xml:space="preserve">, R.A., </w:t>
      </w:r>
      <w:proofErr w:type="spellStart"/>
      <w:r w:rsidRPr="00046269">
        <w:rPr>
          <w:rFonts w:ascii="Times New Roman" w:eastAsia="Times New Roman" w:hAnsi="Times New Roman" w:cs="Times New Roman"/>
          <w:kern w:val="0"/>
          <w:lang w:eastAsia="en-GB"/>
          <w14:ligatures w14:val="none"/>
        </w:rPr>
        <w:t>Binshafi</w:t>
      </w:r>
      <w:proofErr w:type="spellEnd"/>
      <w:r w:rsidRPr="00046269">
        <w:rPr>
          <w:rFonts w:ascii="Times New Roman" w:eastAsia="Times New Roman" w:hAnsi="Times New Roman" w:cs="Times New Roman"/>
          <w:kern w:val="0"/>
          <w:lang w:eastAsia="en-GB"/>
          <w14:ligatures w14:val="none"/>
        </w:rPr>
        <w:t xml:space="preserve">, G.B.B., </w:t>
      </w:r>
      <w:proofErr w:type="spellStart"/>
      <w:r w:rsidRPr="00046269">
        <w:rPr>
          <w:rFonts w:ascii="Times New Roman" w:eastAsia="Times New Roman" w:hAnsi="Times New Roman" w:cs="Times New Roman"/>
          <w:kern w:val="0"/>
          <w:lang w:eastAsia="en-GB"/>
          <w14:ligatures w14:val="none"/>
        </w:rPr>
        <w:t>AlAmro</w:t>
      </w:r>
      <w:proofErr w:type="spellEnd"/>
      <w:r w:rsidRPr="00046269">
        <w:rPr>
          <w:rFonts w:ascii="Times New Roman" w:eastAsia="Times New Roman" w:hAnsi="Times New Roman" w:cs="Times New Roman"/>
          <w:kern w:val="0"/>
          <w:lang w:eastAsia="en-GB"/>
          <w14:ligatures w14:val="none"/>
        </w:rPr>
        <w:t xml:space="preserve">, H. and Alkharji, S. (2025) ‘The impact of telehealth adoption on patient outcomes: A systematic review’, </w:t>
      </w:r>
      <w:proofErr w:type="spellStart"/>
      <w:r w:rsidRPr="00046269">
        <w:rPr>
          <w:rFonts w:ascii="Times New Roman" w:eastAsia="Times New Roman" w:hAnsi="Times New Roman" w:cs="Times New Roman"/>
          <w:i/>
          <w:iCs/>
          <w:kern w:val="0"/>
          <w:lang w:eastAsia="en-GB"/>
          <w14:ligatures w14:val="none"/>
        </w:rPr>
        <w:t>Cureus</w:t>
      </w:r>
      <w:proofErr w:type="spellEnd"/>
      <w:r w:rsidRPr="00046269">
        <w:rPr>
          <w:rFonts w:ascii="Times New Roman" w:eastAsia="Times New Roman" w:hAnsi="Times New Roman" w:cs="Times New Roman"/>
          <w:kern w:val="0"/>
          <w:lang w:eastAsia="en-GB"/>
          <w14:ligatures w14:val="none"/>
        </w:rPr>
        <w:t>, 17(10).</w:t>
      </w:r>
    </w:p>
    <w:p w14:paraId="66DF0245"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Almeida, D., </w:t>
      </w:r>
      <w:proofErr w:type="spellStart"/>
      <w:r w:rsidRPr="00046269">
        <w:rPr>
          <w:rFonts w:ascii="Times New Roman" w:eastAsia="Times New Roman" w:hAnsi="Times New Roman" w:cs="Times New Roman"/>
          <w:kern w:val="0"/>
          <w:lang w:eastAsia="en-GB"/>
          <w14:ligatures w14:val="none"/>
        </w:rPr>
        <w:t>Shmarko</w:t>
      </w:r>
      <w:proofErr w:type="spellEnd"/>
      <w:r w:rsidRPr="00046269">
        <w:rPr>
          <w:rFonts w:ascii="Times New Roman" w:eastAsia="Times New Roman" w:hAnsi="Times New Roman" w:cs="Times New Roman"/>
          <w:kern w:val="0"/>
          <w:lang w:eastAsia="en-GB"/>
          <w14:ligatures w14:val="none"/>
        </w:rPr>
        <w:t xml:space="preserve">, K. and Lomas, E. (2022) ‘The ethics of facial recognition technologies, surveillance, and accountability in an age of artificial intelligence: a comparative analysis of US, EU, and UK regulatory frameworks’, </w:t>
      </w:r>
      <w:r w:rsidRPr="00046269">
        <w:rPr>
          <w:rFonts w:ascii="Times New Roman" w:eastAsia="Times New Roman" w:hAnsi="Times New Roman" w:cs="Times New Roman"/>
          <w:i/>
          <w:iCs/>
          <w:kern w:val="0"/>
          <w:lang w:eastAsia="en-GB"/>
          <w14:ligatures w14:val="none"/>
        </w:rPr>
        <w:t>AI and Ethics</w:t>
      </w:r>
      <w:r w:rsidRPr="00046269">
        <w:rPr>
          <w:rFonts w:ascii="Times New Roman" w:eastAsia="Times New Roman" w:hAnsi="Times New Roman" w:cs="Times New Roman"/>
          <w:kern w:val="0"/>
          <w:lang w:eastAsia="en-GB"/>
          <w14:ligatures w14:val="none"/>
        </w:rPr>
        <w:t>, 2(3), pp. 377–387.</w:t>
      </w:r>
    </w:p>
    <w:p w14:paraId="1466F5D9"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Alqahtani, A.A.S., Alshahrani, H.S.A., </w:t>
      </w:r>
      <w:proofErr w:type="spellStart"/>
      <w:r w:rsidRPr="00046269">
        <w:rPr>
          <w:rFonts w:ascii="Times New Roman" w:eastAsia="Times New Roman" w:hAnsi="Times New Roman" w:cs="Times New Roman"/>
          <w:kern w:val="0"/>
          <w:lang w:eastAsia="en-GB"/>
          <w14:ligatures w14:val="none"/>
        </w:rPr>
        <w:t>Alahmari</w:t>
      </w:r>
      <w:proofErr w:type="spellEnd"/>
      <w:r w:rsidRPr="00046269">
        <w:rPr>
          <w:rFonts w:ascii="Times New Roman" w:eastAsia="Times New Roman" w:hAnsi="Times New Roman" w:cs="Times New Roman"/>
          <w:kern w:val="0"/>
          <w:lang w:eastAsia="en-GB"/>
          <w14:ligatures w14:val="none"/>
        </w:rPr>
        <w:t xml:space="preserve">, S.M.M., </w:t>
      </w:r>
      <w:proofErr w:type="spellStart"/>
      <w:r w:rsidRPr="00046269">
        <w:rPr>
          <w:rFonts w:ascii="Times New Roman" w:eastAsia="Times New Roman" w:hAnsi="Times New Roman" w:cs="Times New Roman"/>
          <w:kern w:val="0"/>
          <w:lang w:eastAsia="en-GB"/>
          <w14:ligatures w14:val="none"/>
        </w:rPr>
        <w:t>Alkuwayti</w:t>
      </w:r>
      <w:proofErr w:type="spellEnd"/>
      <w:r w:rsidRPr="00046269">
        <w:rPr>
          <w:rFonts w:ascii="Times New Roman" w:eastAsia="Times New Roman" w:hAnsi="Times New Roman" w:cs="Times New Roman"/>
          <w:kern w:val="0"/>
          <w:lang w:eastAsia="en-GB"/>
          <w14:ligatures w14:val="none"/>
        </w:rPr>
        <w:t xml:space="preserve">, M.A.H., </w:t>
      </w:r>
      <w:proofErr w:type="spellStart"/>
      <w:r w:rsidRPr="00046269">
        <w:rPr>
          <w:rFonts w:ascii="Times New Roman" w:eastAsia="Times New Roman" w:hAnsi="Times New Roman" w:cs="Times New Roman"/>
          <w:kern w:val="0"/>
          <w:lang w:eastAsia="en-GB"/>
          <w14:ligatures w14:val="none"/>
        </w:rPr>
        <w:t>Alattas</w:t>
      </w:r>
      <w:proofErr w:type="spellEnd"/>
      <w:r w:rsidRPr="00046269">
        <w:rPr>
          <w:rFonts w:ascii="Times New Roman" w:eastAsia="Times New Roman" w:hAnsi="Times New Roman" w:cs="Times New Roman"/>
          <w:kern w:val="0"/>
          <w:lang w:eastAsia="en-GB"/>
          <w14:ligatures w14:val="none"/>
        </w:rPr>
        <w:t xml:space="preserve">, M.O., Almalki, N.S., </w:t>
      </w:r>
      <w:proofErr w:type="spellStart"/>
      <w:r w:rsidRPr="00046269">
        <w:rPr>
          <w:rFonts w:ascii="Times New Roman" w:eastAsia="Times New Roman" w:hAnsi="Times New Roman" w:cs="Times New Roman"/>
          <w:kern w:val="0"/>
          <w:lang w:eastAsia="en-GB"/>
          <w14:ligatures w14:val="none"/>
        </w:rPr>
        <w:t>Alasmari</w:t>
      </w:r>
      <w:proofErr w:type="spellEnd"/>
      <w:r w:rsidRPr="00046269">
        <w:rPr>
          <w:rFonts w:ascii="Times New Roman" w:eastAsia="Times New Roman" w:hAnsi="Times New Roman" w:cs="Times New Roman"/>
          <w:kern w:val="0"/>
          <w:lang w:eastAsia="en-GB"/>
          <w14:ligatures w14:val="none"/>
        </w:rPr>
        <w:t xml:space="preserve">, R.H., </w:t>
      </w:r>
      <w:proofErr w:type="spellStart"/>
      <w:r w:rsidRPr="00046269">
        <w:rPr>
          <w:rFonts w:ascii="Times New Roman" w:eastAsia="Times New Roman" w:hAnsi="Times New Roman" w:cs="Times New Roman"/>
          <w:kern w:val="0"/>
          <w:lang w:eastAsia="en-GB"/>
          <w14:ligatures w14:val="none"/>
        </w:rPr>
        <w:t>Alabbad</w:t>
      </w:r>
      <w:proofErr w:type="spellEnd"/>
      <w:r w:rsidRPr="00046269">
        <w:rPr>
          <w:rFonts w:ascii="Times New Roman" w:eastAsia="Times New Roman" w:hAnsi="Times New Roman" w:cs="Times New Roman"/>
          <w:kern w:val="0"/>
          <w:lang w:eastAsia="en-GB"/>
          <w14:ligatures w14:val="none"/>
        </w:rPr>
        <w:t xml:space="preserve">, B.A., </w:t>
      </w:r>
      <w:proofErr w:type="spellStart"/>
      <w:r w:rsidRPr="00046269">
        <w:rPr>
          <w:rFonts w:ascii="Times New Roman" w:eastAsia="Times New Roman" w:hAnsi="Times New Roman" w:cs="Times New Roman"/>
          <w:kern w:val="0"/>
          <w:lang w:eastAsia="en-GB"/>
          <w14:ligatures w14:val="none"/>
        </w:rPr>
        <w:t>Albadrani</w:t>
      </w:r>
      <w:proofErr w:type="spellEnd"/>
      <w:r w:rsidRPr="00046269">
        <w:rPr>
          <w:rFonts w:ascii="Times New Roman" w:eastAsia="Times New Roman" w:hAnsi="Times New Roman" w:cs="Times New Roman"/>
          <w:kern w:val="0"/>
          <w:lang w:eastAsia="en-GB"/>
          <w14:ligatures w14:val="none"/>
        </w:rPr>
        <w:t xml:space="preserve">, T.F.A., </w:t>
      </w:r>
      <w:proofErr w:type="spellStart"/>
      <w:r w:rsidRPr="00046269">
        <w:rPr>
          <w:rFonts w:ascii="Times New Roman" w:eastAsia="Times New Roman" w:hAnsi="Times New Roman" w:cs="Times New Roman"/>
          <w:kern w:val="0"/>
          <w:lang w:eastAsia="en-GB"/>
          <w14:ligatures w14:val="none"/>
        </w:rPr>
        <w:t>Alhaidar</w:t>
      </w:r>
      <w:proofErr w:type="spellEnd"/>
      <w:r w:rsidRPr="00046269">
        <w:rPr>
          <w:rFonts w:ascii="Times New Roman" w:eastAsia="Times New Roman" w:hAnsi="Times New Roman" w:cs="Times New Roman"/>
          <w:kern w:val="0"/>
          <w:lang w:eastAsia="en-GB"/>
          <w14:ligatures w14:val="none"/>
        </w:rPr>
        <w:t xml:space="preserve">, W.A. and </w:t>
      </w:r>
      <w:proofErr w:type="spellStart"/>
      <w:r w:rsidRPr="00046269">
        <w:rPr>
          <w:rFonts w:ascii="Times New Roman" w:eastAsia="Times New Roman" w:hAnsi="Times New Roman" w:cs="Times New Roman"/>
          <w:kern w:val="0"/>
          <w:lang w:eastAsia="en-GB"/>
          <w14:ligatures w14:val="none"/>
        </w:rPr>
        <w:t>Alasiri</w:t>
      </w:r>
      <w:proofErr w:type="spellEnd"/>
      <w:r w:rsidRPr="00046269">
        <w:rPr>
          <w:rFonts w:ascii="Times New Roman" w:eastAsia="Times New Roman" w:hAnsi="Times New Roman" w:cs="Times New Roman"/>
          <w:kern w:val="0"/>
          <w:lang w:eastAsia="en-GB"/>
          <w14:ligatures w14:val="none"/>
        </w:rPr>
        <w:t xml:space="preserve">, A.M. (2025) ‘The role of telehealth in addressing healthcare access and equity in primary health care: systematic review’, </w:t>
      </w:r>
      <w:r w:rsidRPr="00046269">
        <w:rPr>
          <w:rFonts w:ascii="Times New Roman" w:eastAsia="Times New Roman" w:hAnsi="Times New Roman" w:cs="Times New Roman"/>
          <w:i/>
          <w:iCs/>
          <w:kern w:val="0"/>
          <w:lang w:eastAsia="en-GB"/>
          <w14:ligatures w14:val="none"/>
        </w:rPr>
        <w:t>TPM–Testing, Psychometrics, Methodology in Applied Psychology</w:t>
      </w:r>
      <w:r w:rsidRPr="00046269">
        <w:rPr>
          <w:rFonts w:ascii="Times New Roman" w:eastAsia="Times New Roman" w:hAnsi="Times New Roman" w:cs="Times New Roman"/>
          <w:kern w:val="0"/>
          <w:lang w:eastAsia="en-GB"/>
          <w14:ligatures w14:val="none"/>
        </w:rPr>
        <w:t>, 32(S7), pp. 302–310.</w:t>
      </w:r>
    </w:p>
    <w:p w14:paraId="4CF24512"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Alqahtani, A.S. (2025) ‘Telehealth-based cardiac rehabilitation for heart failure: A systematic review of effectiveness, access, and patient-centred outcome’, </w:t>
      </w:r>
      <w:r w:rsidRPr="00046269">
        <w:rPr>
          <w:rFonts w:ascii="Times New Roman" w:eastAsia="Times New Roman" w:hAnsi="Times New Roman" w:cs="Times New Roman"/>
          <w:i/>
          <w:iCs/>
          <w:kern w:val="0"/>
          <w:lang w:eastAsia="en-GB"/>
          <w14:ligatures w14:val="none"/>
        </w:rPr>
        <w:t>Medicina</w:t>
      </w:r>
      <w:r w:rsidRPr="00046269">
        <w:rPr>
          <w:rFonts w:ascii="Times New Roman" w:eastAsia="Times New Roman" w:hAnsi="Times New Roman" w:cs="Times New Roman"/>
          <w:kern w:val="0"/>
          <w:lang w:eastAsia="en-GB"/>
          <w14:ligatures w14:val="none"/>
        </w:rPr>
        <w:t>, 62(1), p. 25.</w:t>
      </w:r>
    </w:p>
    <w:p w14:paraId="0550A912"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lastRenderedPageBreak/>
        <w:t xml:space="preserve">Beheshti, L., </w:t>
      </w:r>
      <w:proofErr w:type="spellStart"/>
      <w:r w:rsidRPr="00046269">
        <w:rPr>
          <w:rFonts w:ascii="Times New Roman" w:eastAsia="Times New Roman" w:hAnsi="Times New Roman" w:cs="Times New Roman"/>
          <w:kern w:val="0"/>
          <w:lang w:eastAsia="en-GB"/>
          <w14:ligatures w14:val="none"/>
        </w:rPr>
        <w:t>Kalankesh</w:t>
      </w:r>
      <w:proofErr w:type="spellEnd"/>
      <w:r w:rsidRPr="00046269">
        <w:rPr>
          <w:rFonts w:ascii="Times New Roman" w:eastAsia="Times New Roman" w:hAnsi="Times New Roman" w:cs="Times New Roman"/>
          <w:kern w:val="0"/>
          <w:lang w:eastAsia="en-GB"/>
          <w14:ligatures w14:val="none"/>
        </w:rPr>
        <w:t xml:space="preserve">, L.R., </w:t>
      </w:r>
      <w:proofErr w:type="spellStart"/>
      <w:r w:rsidRPr="00046269">
        <w:rPr>
          <w:rFonts w:ascii="Times New Roman" w:eastAsia="Times New Roman" w:hAnsi="Times New Roman" w:cs="Times New Roman"/>
          <w:kern w:val="0"/>
          <w:lang w:eastAsia="en-GB"/>
          <w14:ligatures w14:val="none"/>
        </w:rPr>
        <w:t>Doshmangir</w:t>
      </w:r>
      <w:proofErr w:type="spellEnd"/>
      <w:r w:rsidRPr="00046269">
        <w:rPr>
          <w:rFonts w:ascii="Times New Roman" w:eastAsia="Times New Roman" w:hAnsi="Times New Roman" w:cs="Times New Roman"/>
          <w:kern w:val="0"/>
          <w:lang w:eastAsia="en-GB"/>
          <w14:ligatures w14:val="none"/>
        </w:rPr>
        <w:t xml:space="preserve">, L. and </w:t>
      </w:r>
      <w:proofErr w:type="spellStart"/>
      <w:r w:rsidRPr="00046269">
        <w:rPr>
          <w:rFonts w:ascii="Times New Roman" w:eastAsia="Times New Roman" w:hAnsi="Times New Roman" w:cs="Times New Roman"/>
          <w:kern w:val="0"/>
          <w:lang w:eastAsia="en-GB"/>
          <w14:ligatures w14:val="none"/>
        </w:rPr>
        <w:t>Farahbakhsh</w:t>
      </w:r>
      <w:proofErr w:type="spellEnd"/>
      <w:r w:rsidRPr="00046269">
        <w:rPr>
          <w:rFonts w:ascii="Times New Roman" w:eastAsia="Times New Roman" w:hAnsi="Times New Roman" w:cs="Times New Roman"/>
          <w:kern w:val="0"/>
          <w:lang w:eastAsia="en-GB"/>
          <w14:ligatures w14:val="none"/>
        </w:rPr>
        <w:t xml:space="preserve">, M. (2022) ‘Telehealth in primary health care: a scoping review of the literature’, </w:t>
      </w:r>
      <w:r w:rsidRPr="00046269">
        <w:rPr>
          <w:rFonts w:ascii="Times New Roman" w:eastAsia="Times New Roman" w:hAnsi="Times New Roman" w:cs="Times New Roman"/>
          <w:i/>
          <w:iCs/>
          <w:kern w:val="0"/>
          <w:lang w:eastAsia="en-GB"/>
          <w14:ligatures w14:val="none"/>
        </w:rPr>
        <w:t>Perspectives in Health Information Management</w:t>
      </w:r>
      <w:r w:rsidRPr="00046269">
        <w:rPr>
          <w:rFonts w:ascii="Times New Roman" w:eastAsia="Times New Roman" w:hAnsi="Times New Roman" w:cs="Times New Roman"/>
          <w:kern w:val="0"/>
          <w:lang w:eastAsia="en-GB"/>
          <w14:ligatures w14:val="none"/>
        </w:rPr>
        <w:t>, 19(1).</w:t>
      </w:r>
    </w:p>
    <w:p w14:paraId="0272CFBD"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Boxley, C., Dixit, R., Adams, K., Anderson, R., </w:t>
      </w:r>
      <w:proofErr w:type="spellStart"/>
      <w:r w:rsidRPr="00046269">
        <w:rPr>
          <w:rFonts w:ascii="Times New Roman" w:eastAsia="Times New Roman" w:hAnsi="Times New Roman" w:cs="Times New Roman"/>
          <w:kern w:val="0"/>
          <w:lang w:eastAsia="en-GB"/>
          <w14:ligatures w14:val="none"/>
        </w:rPr>
        <w:t>Ratwani</w:t>
      </w:r>
      <w:proofErr w:type="spellEnd"/>
      <w:r w:rsidRPr="00046269">
        <w:rPr>
          <w:rFonts w:ascii="Times New Roman" w:eastAsia="Times New Roman" w:hAnsi="Times New Roman" w:cs="Times New Roman"/>
          <w:kern w:val="0"/>
          <w:lang w:eastAsia="en-GB"/>
          <w14:ligatures w14:val="none"/>
        </w:rPr>
        <w:t xml:space="preserve">, R.M. and Booker, E. (2023) ‘The impact of COVID-19 on primary care accessibility and the role of telehealth for patients with chronic conditions’, </w:t>
      </w:r>
      <w:r w:rsidRPr="00046269">
        <w:rPr>
          <w:rFonts w:ascii="Times New Roman" w:eastAsia="Times New Roman" w:hAnsi="Times New Roman" w:cs="Times New Roman"/>
          <w:i/>
          <w:iCs/>
          <w:kern w:val="0"/>
          <w:lang w:eastAsia="en-GB"/>
          <w14:ligatures w14:val="none"/>
        </w:rPr>
        <w:t>Health Policy and Technology</w:t>
      </w:r>
      <w:r w:rsidRPr="00046269">
        <w:rPr>
          <w:rFonts w:ascii="Times New Roman" w:eastAsia="Times New Roman" w:hAnsi="Times New Roman" w:cs="Times New Roman"/>
          <w:kern w:val="0"/>
          <w:lang w:eastAsia="en-GB"/>
          <w14:ligatures w14:val="none"/>
        </w:rPr>
        <w:t>, 12(3), p. 100772.</w:t>
      </w:r>
    </w:p>
    <w:p w14:paraId="099841FB"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Chandak, A., Gudapati, J. and Kulkarni, P.B. (2025) ‘The cost-effectiveness and patient satisfaction of telehealth in geriatric care: a systematic review’, </w:t>
      </w:r>
      <w:r w:rsidRPr="00046269">
        <w:rPr>
          <w:rFonts w:ascii="Times New Roman" w:eastAsia="Times New Roman" w:hAnsi="Times New Roman" w:cs="Times New Roman"/>
          <w:i/>
          <w:iCs/>
          <w:kern w:val="0"/>
          <w:lang w:eastAsia="en-GB"/>
          <w14:ligatures w14:val="none"/>
        </w:rPr>
        <w:t>BMC Geriatrics</w:t>
      </w:r>
      <w:r w:rsidRPr="00046269">
        <w:rPr>
          <w:rFonts w:ascii="Times New Roman" w:eastAsia="Times New Roman" w:hAnsi="Times New Roman" w:cs="Times New Roman"/>
          <w:kern w:val="0"/>
          <w:lang w:eastAsia="en-GB"/>
          <w14:ligatures w14:val="none"/>
        </w:rPr>
        <w:t>, 25(1), p. 968.</w:t>
      </w:r>
    </w:p>
    <w:p w14:paraId="3127F621"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Cheong, H.I., Lyons, A., Houghton, R. and Majumdar, A. (2023) ‘Secondary qualitative research methodology using online data within the context of social sciences’, </w:t>
      </w:r>
      <w:r w:rsidRPr="00046269">
        <w:rPr>
          <w:rFonts w:ascii="Times New Roman" w:eastAsia="Times New Roman" w:hAnsi="Times New Roman" w:cs="Times New Roman"/>
          <w:i/>
          <w:iCs/>
          <w:kern w:val="0"/>
          <w:lang w:eastAsia="en-GB"/>
          <w14:ligatures w14:val="none"/>
        </w:rPr>
        <w:t>International Journal of Qualitative Methods</w:t>
      </w:r>
      <w:r w:rsidRPr="00046269">
        <w:rPr>
          <w:rFonts w:ascii="Times New Roman" w:eastAsia="Times New Roman" w:hAnsi="Times New Roman" w:cs="Times New Roman"/>
          <w:kern w:val="0"/>
          <w:lang w:eastAsia="en-GB"/>
          <w14:ligatures w14:val="none"/>
        </w:rPr>
        <w:t>, 22.</w:t>
      </w:r>
    </w:p>
    <w:p w14:paraId="651A2672"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Dixit, R.A., </w:t>
      </w:r>
      <w:proofErr w:type="spellStart"/>
      <w:r w:rsidRPr="00046269">
        <w:rPr>
          <w:rFonts w:ascii="Times New Roman" w:eastAsia="Times New Roman" w:hAnsi="Times New Roman" w:cs="Times New Roman"/>
          <w:kern w:val="0"/>
          <w:lang w:eastAsia="en-GB"/>
          <w14:ligatures w14:val="none"/>
        </w:rPr>
        <w:t>Ratwani</w:t>
      </w:r>
      <w:proofErr w:type="spellEnd"/>
      <w:r w:rsidRPr="00046269">
        <w:rPr>
          <w:rFonts w:ascii="Times New Roman" w:eastAsia="Times New Roman" w:hAnsi="Times New Roman" w:cs="Times New Roman"/>
          <w:kern w:val="0"/>
          <w:lang w:eastAsia="en-GB"/>
          <w14:ligatures w14:val="none"/>
        </w:rPr>
        <w:t xml:space="preserve">, R.M., Bishop, J.A., Schulman, K., Sharp, C., Palakanis, K. and Booker, E. (2022) ‘The impact of expanded telehealth availability on primary care utilization’, </w:t>
      </w:r>
      <w:proofErr w:type="spellStart"/>
      <w:r w:rsidRPr="00046269">
        <w:rPr>
          <w:rFonts w:ascii="Times New Roman" w:eastAsia="Times New Roman" w:hAnsi="Times New Roman" w:cs="Times New Roman"/>
          <w:i/>
          <w:iCs/>
          <w:kern w:val="0"/>
          <w:lang w:eastAsia="en-GB"/>
          <w14:ligatures w14:val="none"/>
        </w:rPr>
        <w:t>npj</w:t>
      </w:r>
      <w:proofErr w:type="spellEnd"/>
      <w:r w:rsidRPr="00046269">
        <w:rPr>
          <w:rFonts w:ascii="Times New Roman" w:eastAsia="Times New Roman" w:hAnsi="Times New Roman" w:cs="Times New Roman"/>
          <w:i/>
          <w:iCs/>
          <w:kern w:val="0"/>
          <w:lang w:eastAsia="en-GB"/>
          <w14:ligatures w14:val="none"/>
        </w:rPr>
        <w:t xml:space="preserve"> Digital Medicine</w:t>
      </w:r>
      <w:r w:rsidRPr="00046269">
        <w:rPr>
          <w:rFonts w:ascii="Times New Roman" w:eastAsia="Times New Roman" w:hAnsi="Times New Roman" w:cs="Times New Roman"/>
          <w:kern w:val="0"/>
          <w:lang w:eastAsia="en-GB"/>
          <w14:ligatures w14:val="none"/>
        </w:rPr>
        <w:t>, 5(1), pp. 1–3.</w:t>
      </w:r>
    </w:p>
    <w:p w14:paraId="3741C589"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t>Ezeamii</w:t>
      </w:r>
      <w:proofErr w:type="spellEnd"/>
      <w:r w:rsidRPr="00046269">
        <w:rPr>
          <w:rFonts w:ascii="Times New Roman" w:eastAsia="Times New Roman" w:hAnsi="Times New Roman" w:cs="Times New Roman"/>
          <w:kern w:val="0"/>
          <w:lang w:eastAsia="en-GB"/>
          <w14:ligatures w14:val="none"/>
        </w:rPr>
        <w:t xml:space="preserve">, V.C., </w:t>
      </w:r>
      <w:proofErr w:type="spellStart"/>
      <w:r w:rsidRPr="00046269">
        <w:rPr>
          <w:rFonts w:ascii="Times New Roman" w:eastAsia="Times New Roman" w:hAnsi="Times New Roman" w:cs="Times New Roman"/>
          <w:kern w:val="0"/>
          <w:lang w:eastAsia="en-GB"/>
          <w14:ligatures w14:val="none"/>
        </w:rPr>
        <w:t>Okobi</w:t>
      </w:r>
      <w:proofErr w:type="spellEnd"/>
      <w:r w:rsidRPr="00046269">
        <w:rPr>
          <w:rFonts w:ascii="Times New Roman" w:eastAsia="Times New Roman" w:hAnsi="Times New Roman" w:cs="Times New Roman"/>
          <w:kern w:val="0"/>
          <w:lang w:eastAsia="en-GB"/>
          <w14:ligatures w14:val="none"/>
        </w:rPr>
        <w:t xml:space="preserve">, O.E., </w:t>
      </w:r>
      <w:proofErr w:type="spellStart"/>
      <w:r w:rsidRPr="00046269">
        <w:rPr>
          <w:rFonts w:ascii="Times New Roman" w:eastAsia="Times New Roman" w:hAnsi="Times New Roman" w:cs="Times New Roman"/>
          <w:kern w:val="0"/>
          <w:lang w:eastAsia="en-GB"/>
          <w14:ligatures w14:val="none"/>
        </w:rPr>
        <w:t>Wambai</w:t>
      </w:r>
      <w:proofErr w:type="spellEnd"/>
      <w:r w:rsidRPr="00046269">
        <w:rPr>
          <w:rFonts w:ascii="Times New Roman" w:eastAsia="Times New Roman" w:hAnsi="Times New Roman" w:cs="Times New Roman"/>
          <w:kern w:val="0"/>
          <w:lang w:eastAsia="en-GB"/>
          <w14:ligatures w14:val="none"/>
        </w:rPr>
        <w:t xml:space="preserve">-Sani, H., Perera, G.S., Zaynieva, S., Okonkwo, C.C., </w:t>
      </w:r>
      <w:proofErr w:type="spellStart"/>
      <w:r w:rsidRPr="00046269">
        <w:rPr>
          <w:rFonts w:ascii="Times New Roman" w:eastAsia="Times New Roman" w:hAnsi="Times New Roman" w:cs="Times New Roman"/>
          <w:kern w:val="0"/>
          <w:lang w:eastAsia="en-GB"/>
          <w14:ligatures w14:val="none"/>
        </w:rPr>
        <w:t>Ohaiba</w:t>
      </w:r>
      <w:proofErr w:type="spellEnd"/>
      <w:r w:rsidRPr="00046269">
        <w:rPr>
          <w:rFonts w:ascii="Times New Roman" w:eastAsia="Times New Roman" w:hAnsi="Times New Roman" w:cs="Times New Roman"/>
          <w:kern w:val="0"/>
          <w:lang w:eastAsia="en-GB"/>
          <w14:ligatures w14:val="none"/>
        </w:rPr>
        <w:t>, M.M., William-</w:t>
      </w:r>
      <w:proofErr w:type="spellStart"/>
      <w:r w:rsidRPr="00046269">
        <w:rPr>
          <w:rFonts w:ascii="Times New Roman" w:eastAsia="Times New Roman" w:hAnsi="Times New Roman" w:cs="Times New Roman"/>
          <w:kern w:val="0"/>
          <w:lang w:eastAsia="en-GB"/>
          <w14:ligatures w14:val="none"/>
        </w:rPr>
        <w:t>Enemali</w:t>
      </w:r>
      <w:proofErr w:type="spellEnd"/>
      <w:r w:rsidRPr="00046269">
        <w:rPr>
          <w:rFonts w:ascii="Times New Roman" w:eastAsia="Times New Roman" w:hAnsi="Times New Roman" w:cs="Times New Roman"/>
          <w:kern w:val="0"/>
          <w:lang w:eastAsia="en-GB"/>
          <w14:ligatures w14:val="none"/>
        </w:rPr>
        <w:t xml:space="preserve">, P.C., Obodo, O.R. and </w:t>
      </w:r>
      <w:proofErr w:type="spellStart"/>
      <w:r w:rsidRPr="00046269">
        <w:rPr>
          <w:rFonts w:ascii="Times New Roman" w:eastAsia="Times New Roman" w:hAnsi="Times New Roman" w:cs="Times New Roman"/>
          <w:kern w:val="0"/>
          <w:lang w:eastAsia="en-GB"/>
          <w14:ligatures w14:val="none"/>
        </w:rPr>
        <w:t>Obiefuna</w:t>
      </w:r>
      <w:proofErr w:type="spellEnd"/>
      <w:r w:rsidRPr="00046269">
        <w:rPr>
          <w:rFonts w:ascii="Times New Roman" w:eastAsia="Times New Roman" w:hAnsi="Times New Roman" w:cs="Times New Roman"/>
          <w:kern w:val="0"/>
          <w:lang w:eastAsia="en-GB"/>
          <w14:ligatures w14:val="none"/>
        </w:rPr>
        <w:t xml:space="preserve">, N.G. (2024) ‘Revolutionizing healthcare: how telemedicine is improving patient outcomes and expanding access to care’, </w:t>
      </w:r>
      <w:proofErr w:type="spellStart"/>
      <w:r w:rsidRPr="00046269">
        <w:rPr>
          <w:rFonts w:ascii="Times New Roman" w:eastAsia="Times New Roman" w:hAnsi="Times New Roman" w:cs="Times New Roman"/>
          <w:i/>
          <w:iCs/>
          <w:kern w:val="0"/>
          <w:lang w:eastAsia="en-GB"/>
          <w14:ligatures w14:val="none"/>
        </w:rPr>
        <w:t>Cureus</w:t>
      </w:r>
      <w:proofErr w:type="spellEnd"/>
      <w:r w:rsidRPr="00046269">
        <w:rPr>
          <w:rFonts w:ascii="Times New Roman" w:eastAsia="Times New Roman" w:hAnsi="Times New Roman" w:cs="Times New Roman"/>
          <w:kern w:val="0"/>
          <w:lang w:eastAsia="en-GB"/>
          <w14:ligatures w14:val="none"/>
        </w:rPr>
        <w:t>, 16(7).</w:t>
      </w:r>
    </w:p>
    <w:p w14:paraId="7143D9F4"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Fabiano, N., Gupta, A., Bhambra, N., Luu, B., Wong, S., Maaz, M., Fiedorowicz, J.G., Smith, A.L. and Solmi, M. (2024) ‘How to optimise the systematic review process using AI tools’, </w:t>
      </w:r>
      <w:r w:rsidRPr="00046269">
        <w:rPr>
          <w:rFonts w:ascii="Times New Roman" w:eastAsia="Times New Roman" w:hAnsi="Times New Roman" w:cs="Times New Roman"/>
          <w:i/>
          <w:iCs/>
          <w:kern w:val="0"/>
          <w:lang w:eastAsia="en-GB"/>
          <w14:ligatures w14:val="none"/>
        </w:rPr>
        <w:t>JCPP Advances</w:t>
      </w:r>
      <w:r w:rsidRPr="00046269">
        <w:rPr>
          <w:rFonts w:ascii="Times New Roman" w:eastAsia="Times New Roman" w:hAnsi="Times New Roman" w:cs="Times New Roman"/>
          <w:kern w:val="0"/>
          <w:lang w:eastAsia="en-GB"/>
          <w14:ligatures w14:val="none"/>
        </w:rPr>
        <w:t>, 4(2).</w:t>
      </w:r>
    </w:p>
    <w:p w14:paraId="530D66E4"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Gentry, M.T., Beito, A.H. and Hilty, D.M. (2025) ‘Telehealth competencies to ensure health care access, quality, and equity for older adults: A scoping review’, </w:t>
      </w:r>
      <w:r w:rsidRPr="00046269">
        <w:rPr>
          <w:rFonts w:ascii="Times New Roman" w:eastAsia="Times New Roman" w:hAnsi="Times New Roman" w:cs="Times New Roman"/>
          <w:i/>
          <w:iCs/>
          <w:kern w:val="0"/>
          <w:lang w:eastAsia="en-GB"/>
          <w14:ligatures w14:val="none"/>
        </w:rPr>
        <w:t>Telemedicine and e-Health</w:t>
      </w:r>
      <w:r w:rsidRPr="00046269">
        <w:rPr>
          <w:rFonts w:ascii="Times New Roman" w:eastAsia="Times New Roman" w:hAnsi="Times New Roman" w:cs="Times New Roman"/>
          <w:kern w:val="0"/>
          <w:lang w:eastAsia="en-GB"/>
          <w14:ligatures w14:val="none"/>
        </w:rPr>
        <w:t>, 31(10), pp. 1169–1177.</w:t>
      </w:r>
    </w:p>
    <w:p w14:paraId="44311F68"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t>Gobburi</w:t>
      </w:r>
      <w:proofErr w:type="spellEnd"/>
      <w:r w:rsidRPr="00046269">
        <w:rPr>
          <w:rFonts w:ascii="Times New Roman" w:eastAsia="Times New Roman" w:hAnsi="Times New Roman" w:cs="Times New Roman"/>
          <w:kern w:val="0"/>
          <w:lang w:eastAsia="en-GB"/>
          <w14:ligatures w14:val="none"/>
        </w:rPr>
        <w:t xml:space="preserve">, R.K., </w:t>
      </w:r>
      <w:proofErr w:type="spellStart"/>
      <w:r w:rsidRPr="00046269">
        <w:rPr>
          <w:rFonts w:ascii="Times New Roman" w:eastAsia="Times New Roman" w:hAnsi="Times New Roman" w:cs="Times New Roman"/>
          <w:kern w:val="0"/>
          <w:lang w:eastAsia="en-GB"/>
          <w14:ligatures w14:val="none"/>
        </w:rPr>
        <w:t>Olawade</w:t>
      </w:r>
      <w:proofErr w:type="spellEnd"/>
      <w:r w:rsidRPr="00046269">
        <w:rPr>
          <w:rFonts w:ascii="Times New Roman" w:eastAsia="Times New Roman" w:hAnsi="Times New Roman" w:cs="Times New Roman"/>
          <w:kern w:val="0"/>
          <w:lang w:eastAsia="en-GB"/>
          <w14:ligatures w14:val="none"/>
        </w:rPr>
        <w:t xml:space="preserve">, D.B., Olatunji, G.D., Kokori, E., </w:t>
      </w:r>
      <w:proofErr w:type="spellStart"/>
      <w:r w:rsidRPr="00046269">
        <w:rPr>
          <w:rFonts w:ascii="Times New Roman" w:eastAsia="Times New Roman" w:hAnsi="Times New Roman" w:cs="Times New Roman"/>
          <w:kern w:val="0"/>
          <w:lang w:eastAsia="en-GB"/>
          <w14:ligatures w14:val="none"/>
        </w:rPr>
        <w:t>Aderinto</w:t>
      </w:r>
      <w:proofErr w:type="spellEnd"/>
      <w:r w:rsidRPr="00046269">
        <w:rPr>
          <w:rFonts w:ascii="Times New Roman" w:eastAsia="Times New Roman" w:hAnsi="Times New Roman" w:cs="Times New Roman"/>
          <w:kern w:val="0"/>
          <w:lang w:eastAsia="en-GB"/>
          <w14:ligatures w14:val="none"/>
        </w:rPr>
        <w:t xml:space="preserve">, N. and David-Olawade, A.C. (2025) ‘Telemedicine use in rural areas of the United Kingdom to improve access to healthcare facilities: A review of current evidence’, </w:t>
      </w:r>
      <w:r w:rsidRPr="00046269">
        <w:rPr>
          <w:rFonts w:ascii="Times New Roman" w:eastAsia="Times New Roman" w:hAnsi="Times New Roman" w:cs="Times New Roman"/>
          <w:i/>
          <w:iCs/>
          <w:kern w:val="0"/>
          <w:lang w:eastAsia="en-GB"/>
          <w14:ligatures w14:val="none"/>
        </w:rPr>
        <w:t>Informatics and Health</w:t>
      </w:r>
      <w:r w:rsidRPr="00046269">
        <w:rPr>
          <w:rFonts w:ascii="Times New Roman" w:eastAsia="Times New Roman" w:hAnsi="Times New Roman" w:cs="Times New Roman"/>
          <w:kern w:val="0"/>
          <w:lang w:eastAsia="en-GB"/>
          <w14:ligatures w14:val="none"/>
        </w:rPr>
        <w:t>, 2(1), pp. 41–48.</w:t>
      </w:r>
    </w:p>
    <w:p w14:paraId="2B8EA5CF"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Greenhalgh, T., Shaw, S.E., Nishio, A.A., Byng, R., Clarke, A., Dakin, F., Faulkner, S., Hemmings, N., Husain, L., Kalin, A. and Ladds, E. (2022) ‘Remote care in UK general practice: baseline data on 11 case studies’, </w:t>
      </w:r>
      <w:r w:rsidRPr="00046269">
        <w:rPr>
          <w:rFonts w:ascii="Times New Roman" w:eastAsia="Times New Roman" w:hAnsi="Times New Roman" w:cs="Times New Roman"/>
          <w:i/>
          <w:iCs/>
          <w:kern w:val="0"/>
          <w:lang w:eastAsia="en-GB"/>
          <w14:ligatures w14:val="none"/>
        </w:rPr>
        <w:t>NIHR Open Research</w:t>
      </w:r>
      <w:r w:rsidRPr="00046269">
        <w:rPr>
          <w:rFonts w:ascii="Times New Roman" w:eastAsia="Times New Roman" w:hAnsi="Times New Roman" w:cs="Times New Roman"/>
          <w:kern w:val="0"/>
          <w:lang w:eastAsia="en-GB"/>
          <w14:ligatures w14:val="none"/>
        </w:rPr>
        <w:t>, 2, p. 47.</w:t>
      </w:r>
    </w:p>
    <w:p w14:paraId="1A7BC58D"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Hassan, M., Awan, F.M., Naz, A., </w:t>
      </w:r>
      <w:proofErr w:type="spellStart"/>
      <w:r w:rsidRPr="00046269">
        <w:rPr>
          <w:rFonts w:ascii="Times New Roman" w:eastAsia="Times New Roman" w:hAnsi="Times New Roman" w:cs="Times New Roman"/>
          <w:kern w:val="0"/>
          <w:lang w:eastAsia="en-GB"/>
          <w14:ligatures w14:val="none"/>
        </w:rPr>
        <w:t>deAndrés</w:t>
      </w:r>
      <w:proofErr w:type="spellEnd"/>
      <w:r w:rsidRPr="00046269">
        <w:rPr>
          <w:rFonts w:ascii="Times New Roman" w:eastAsia="Times New Roman" w:hAnsi="Times New Roman" w:cs="Times New Roman"/>
          <w:kern w:val="0"/>
          <w:lang w:eastAsia="en-GB"/>
          <w14:ligatures w14:val="none"/>
        </w:rPr>
        <w:t>-Galiana, E.J., Alvarez, O., Cernea, A., Fernández-</w:t>
      </w:r>
      <w:proofErr w:type="spellStart"/>
      <w:r w:rsidRPr="00046269">
        <w:rPr>
          <w:rFonts w:ascii="Times New Roman" w:eastAsia="Times New Roman" w:hAnsi="Times New Roman" w:cs="Times New Roman"/>
          <w:kern w:val="0"/>
          <w:lang w:eastAsia="en-GB"/>
          <w14:ligatures w14:val="none"/>
        </w:rPr>
        <w:t>Brillet</w:t>
      </w:r>
      <w:proofErr w:type="spellEnd"/>
      <w:r w:rsidRPr="00046269">
        <w:rPr>
          <w:rFonts w:ascii="Times New Roman" w:eastAsia="Times New Roman" w:hAnsi="Times New Roman" w:cs="Times New Roman"/>
          <w:kern w:val="0"/>
          <w:lang w:eastAsia="en-GB"/>
          <w14:ligatures w14:val="none"/>
        </w:rPr>
        <w:t xml:space="preserve">, L., Fernández-Martínez, J.L. and Kloczkowski, A. (2022) ‘Innovations in genomics and big data analytics for personalised medicine and health care: a review’, </w:t>
      </w:r>
      <w:r w:rsidRPr="00046269">
        <w:rPr>
          <w:rFonts w:ascii="Times New Roman" w:eastAsia="Times New Roman" w:hAnsi="Times New Roman" w:cs="Times New Roman"/>
          <w:i/>
          <w:iCs/>
          <w:kern w:val="0"/>
          <w:lang w:eastAsia="en-GB"/>
          <w14:ligatures w14:val="none"/>
        </w:rPr>
        <w:t>International Journal of Molecular Sciences</w:t>
      </w:r>
      <w:r w:rsidRPr="00046269">
        <w:rPr>
          <w:rFonts w:ascii="Times New Roman" w:eastAsia="Times New Roman" w:hAnsi="Times New Roman" w:cs="Times New Roman"/>
          <w:kern w:val="0"/>
          <w:lang w:eastAsia="en-GB"/>
          <w14:ligatures w14:val="none"/>
        </w:rPr>
        <w:t>, 23(9), p. 4645.</w:t>
      </w:r>
    </w:p>
    <w:p w14:paraId="1956736A"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Hou, Y., Sun, M., Huang, X., Nan, J., Gao, J., Zhu, N. and Jiang, Y. (2025) ‘Autonomy support in telehealth: an evolutionary concept analysis’, </w:t>
      </w:r>
      <w:r w:rsidRPr="00046269">
        <w:rPr>
          <w:rFonts w:ascii="Times New Roman" w:eastAsia="Times New Roman" w:hAnsi="Times New Roman" w:cs="Times New Roman"/>
          <w:i/>
          <w:iCs/>
          <w:kern w:val="0"/>
          <w:lang w:eastAsia="en-GB"/>
          <w14:ligatures w14:val="none"/>
        </w:rPr>
        <w:t>Frontiers in Public Health</w:t>
      </w:r>
      <w:r w:rsidRPr="00046269">
        <w:rPr>
          <w:rFonts w:ascii="Times New Roman" w:eastAsia="Times New Roman" w:hAnsi="Times New Roman" w:cs="Times New Roman"/>
          <w:kern w:val="0"/>
          <w:lang w:eastAsia="en-GB"/>
          <w14:ligatures w14:val="none"/>
        </w:rPr>
        <w:t>, 13.</w:t>
      </w:r>
    </w:p>
    <w:p w14:paraId="24965E09"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lastRenderedPageBreak/>
        <w:t>Ilali</w:t>
      </w:r>
      <w:proofErr w:type="spellEnd"/>
      <w:r w:rsidRPr="00046269">
        <w:rPr>
          <w:rFonts w:ascii="Times New Roman" w:eastAsia="Times New Roman" w:hAnsi="Times New Roman" w:cs="Times New Roman"/>
          <w:kern w:val="0"/>
          <w:lang w:eastAsia="en-GB"/>
          <w14:ligatures w14:val="none"/>
        </w:rPr>
        <w:t xml:space="preserve">, M., Le Berre, M., Vedel, I. and Khanassov, V. (2023) ‘Telemedicine in the primary care of older adults: a systematic mixed studies review’, </w:t>
      </w:r>
      <w:r w:rsidRPr="00046269">
        <w:rPr>
          <w:rFonts w:ascii="Times New Roman" w:eastAsia="Times New Roman" w:hAnsi="Times New Roman" w:cs="Times New Roman"/>
          <w:i/>
          <w:iCs/>
          <w:kern w:val="0"/>
          <w:lang w:eastAsia="en-GB"/>
          <w14:ligatures w14:val="none"/>
        </w:rPr>
        <w:t>BMC Primary Care</w:t>
      </w:r>
      <w:r w:rsidRPr="00046269">
        <w:rPr>
          <w:rFonts w:ascii="Times New Roman" w:eastAsia="Times New Roman" w:hAnsi="Times New Roman" w:cs="Times New Roman"/>
          <w:kern w:val="0"/>
          <w:lang w:eastAsia="en-GB"/>
          <w14:ligatures w14:val="none"/>
        </w:rPr>
        <w:t>, 24(1), p. 152.</w:t>
      </w:r>
    </w:p>
    <w:p w14:paraId="37A23F69"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t>Jerjes</w:t>
      </w:r>
      <w:proofErr w:type="spellEnd"/>
      <w:r w:rsidRPr="00046269">
        <w:rPr>
          <w:rFonts w:ascii="Times New Roman" w:eastAsia="Times New Roman" w:hAnsi="Times New Roman" w:cs="Times New Roman"/>
          <w:kern w:val="0"/>
          <w:lang w:eastAsia="en-GB"/>
          <w14:ligatures w14:val="none"/>
        </w:rPr>
        <w:t xml:space="preserve">, W. and Majeed, A. (2025) ‘Transforming GP training in the UK: the lasting impact of COVID-19 on telehealth and hybrid care models’, </w:t>
      </w:r>
      <w:r w:rsidRPr="00046269">
        <w:rPr>
          <w:rFonts w:ascii="Times New Roman" w:eastAsia="Times New Roman" w:hAnsi="Times New Roman" w:cs="Times New Roman"/>
          <w:i/>
          <w:iCs/>
          <w:kern w:val="0"/>
          <w:lang w:eastAsia="en-GB"/>
          <w14:ligatures w14:val="none"/>
        </w:rPr>
        <w:t>Frontiers in Medicine</w:t>
      </w:r>
      <w:r w:rsidRPr="00046269">
        <w:rPr>
          <w:rFonts w:ascii="Times New Roman" w:eastAsia="Times New Roman" w:hAnsi="Times New Roman" w:cs="Times New Roman"/>
          <w:kern w:val="0"/>
          <w:lang w:eastAsia="en-GB"/>
          <w14:ligatures w14:val="none"/>
        </w:rPr>
        <w:t>, 12.</w:t>
      </w:r>
    </w:p>
    <w:p w14:paraId="66676533"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Khalil, H., Ameen, M., Davies, C. and Liu, C. (2025) ‘Implementing value-based healthcare: a scoping review of key elements, outcomes, and challenges for sustainable healthcare systems’, </w:t>
      </w:r>
      <w:r w:rsidRPr="00046269">
        <w:rPr>
          <w:rFonts w:ascii="Times New Roman" w:eastAsia="Times New Roman" w:hAnsi="Times New Roman" w:cs="Times New Roman"/>
          <w:i/>
          <w:iCs/>
          <w:kern w:val="0"/>
          <w:lang w:eastAsia="en-GB"/>
          <w14:ligatures w14:val="none"/>
        </w:rPr>
        <w:t>Frontiers in Public Health</w:t>
      </w:r>
      <w:r w:rsidRPr="00046269">
        <w:rPr>
          <w:rFonts w:ascii="Times New Roman" w:eastAsia="Times New Roman" w:hAnsi="Times New Roman" w:cs="Times New Roman"/>
          <w:kern w:val="0"/>
          <w:lang w:eastAsia="en-GB"/>
          <w14:ligatures w14:val="none"/>
        </w:rPr>
        <w:t>, 13.</w:t>
      </w:r>
    </w:p>
    <w:p w14:paraId="27A24F5D"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046269">
        <w:rPr>
          <w:rFonts w:ascii="Times New Roman" w:eastAsia="Times New Roman" w:hAnsi="Times New Roman" w:cs="Times New Roman"/>
          <w:kern w:val="0"/>
          <w:lang w:eastAsia="en-GB"/>
          <w14:ligatures w14:val="none"/>
        </w:rPr>
        <w:t>Khany</w:t>
      </w:r>
      <w:proofErr w:type="spellEnd"/>
      <w:r w:rsidRPr="00046269">
        <w:rPr>
          <w:rFonts w:ascii="Times New Roman" w:eastAsia="Times New Roman" w:hAnsi="Times New Roman" w:cs="Times New Roman"/>
          <w:kern w:val="0"/>
          <w:lang w:eastAsia="en-GB"/>
          <w14:ligatures w14:val="none"/>
        </w:rPr>
        <w:t xml:space="preserve">, R., </w:t>
      </w:r>
      <w:proofErr w:type="spellStart"/>
      <w:r w:rsidRPr="00046269">
        <w:rPr>
          <w:rFonts w:ascii="Times New Roman" w:eastAsia="Times New Roman" w:hAnsi="Times New Roman" w:cs="Times New Roman"/>
          <w:kern w:val="0"/>
          <w:lang w:eastAsia="en-GB"/>
          <w14:ligatures w14:val="none"/>
        </w:rPr>
        <w:t>Fahimpour</w:t>
      </w:r>
      <w:proofErr w:type="spellEnd"/>
      <w:r w:rsidRPr="00046269">
        <w:rPr>
          <w:rFonts w:ascii="Times New Roman" w:eastAsia="Times New Roman" w:hAnsi="Times New Roman" w:cs="Times New Roman"/>
          <w:kern w:val="0"/>
          <w:lang w:eastAsia="en-GB"/>
          <w14:ligatures w14:val="none"/>
        </w:rPr>
        <w:t xml:space="preserve">, Z. and Teo, T. (2025) ‘Exploring secondary research studies in applied linguistics: A scoping review of methodologies, trends, and impact’, </w:t>
      </w:r>
      <w:r w:rsidRPr="00046269">
        <w:rPr>
          <w:rFonts w:ascii="Times New Roman" w:eastAsia="Times New Roman" w:hAnsi="Times New Roman" w:cs="Times New Roman"/>
          <w:i/>
          <w:iCs/>
          <w:kern w:val="0"/>
          <w:lang w:eastAsia="en-GB"/>
          <w14:ligatures w14:val="none"/>
        </w:rPr>
        <w:t>Research Synthesis in Applied Linguistics</w:t>
      </w:r>
      <w:r w:rsidRPr="00046269">
        <w:rPr>
          <w:rFonts w:ascii="Times New Roman" w:eastAsia="Times New Roman" w:hAnsi="Times New Roman" w:cs="Times New Roman"/>
          <w:kern w:val="0"/>
          <w:lang w:eastAsia="en-GB"/>
          <w14:ligatures w14:val="none"/>
        </w:rPr>
        <w:t>, 1(1), pp. 100–129.</w:t>
      </w:r>
    </w:p>
    <w:p w14:paraId="18CB639A"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Ko, M., Azzopardi, M., Loizou, C., Logeswaran, A., Ng, B., Pacho, A. and Chong, Y.J. (2025) ‘Telehealth and people with disabilities in the United Kingdom: a scoping review’, </w:t>
      </w:r>
      <w:r w:rsidRPr="00046269">
        <w:rPr>
          <w:rFonts w:ascii="Times New Roman" w:eastAsia="Times New Roman" w:hAnsi="Times New Roman" w:cs="Times New Roman"/>
          <w:i/>
          <w:iCs/>
          <w:kern w:val="0"/>
          <w:lang w:eastAsia="en-GB"/>
          <w14:ligatures w14:val="none"/>
        </w:rPr>
        <w:t>Frontiers in Public Health</w:t>
      </w:r>
      <w:r w:rsidRPr="00046269">
        <w:rPr>
          <w:rFonts w:ascii="Times New Roman" w:eastAsia="Times New Roman" w:hAnsi="Times New Roman" w:cs="Times New Roman"/>
          <w:kern w:val="0"/>
          <w:lang w:eastAsia="en-GB"/>
          <w14:ligatures w14:val="none"/>
        </w:rPr>
        <w:t>, 13.</w:t>
      </w:r>
    </w:p>
    <w:p w14:paraId="4DB8C2FE"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Leighton, C., Cooper, A., Porter, A., Edwards, A. and Joseph-Williams, N. (2024) ‘Effectiveness and safety of asynchronous telemedicine consultations in general practice: a systematic review’, </w:t>
      </w:r>
      <w:r w:rsidRPr="00046269">
        <w:rPr>
          <w:rFonts w:ascii="Times New Roman" w:eastAsia="Times New Roman" w:hAnsi="Times New Roman" w:cs="Times New Roman"/>
          <w:i/>
          <w:iCs/>
          <w:kern w:val="0"/>
          <w:lang w:eastAsia="en-GB"/>
          <w14:ligatures w14:val="none"/>
        </w:rPr>
        <w:t>BJGP Open</w:t>
      </w:r>
      <w:r w:rsidRPr="00046269">
        <w:rPr>
          <w:rFonts w:ascii="Times New Roman" w:eastAsia="Times New Roman" w:hAnsi="Times New Roman" w:cs="Times New Roman"/>
          <w:kern w:val="0"/>
          <w:lang w:eastAsia="en-GB"/>
          <w14:ligatures w14:val="none"/>
        </w:rPr>
        <w:t>, 8(1).</w:t>
      </w:r>
    </w:p>
    <w:p w14:paraId="441D5F04"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Lifford, K.J., </w:t>
      </w:r>
      <w:proofErr w:type="spellStart"/>
      <w:r w:rsidRPr="00046269">
        <w:rPr>
          <w:rFonts w:ascii="Times New Roman" w:eastAsia="Times New Roman" w:hAnsi="Times New Roman" w:cs="Times New Roman"/>
          <w:kern w:val="0"/>
          <w:lang w:eastAsia="en-GB"/>
          <w14:ligatures w14:val="none"/>
        </w:rPr>
        <w:t>Grozeva</w:t>
      </w:r>
      <w:proofErr w:type="spellEnd"/>
      <w:r w:rsidRPr="00046269">
        <w:rPr>
          <w:rFonts w:ascii="Times New Roman" w:eastAsia="Times New Roman" w:hAnsi="Times New Roman" w:cs="Times New Roman"/>
          <w:kern w:val="0"/>
          <w:lang w:eastAsia="en-GB"/>
          <w14:ligatures w14:val="none"/>
        </w:rPr>
        <w:t xml:space="preserve">, D., Cannings-John, R., Quinn-Scoggins, H.D., Moriarty, Y., Gjini, A., Goddard, M., Hepburn, J., Hughes, J., Moore, G., Osborne, K., Robling, M., Townson, J., Waller, J., Whitelock, V., Whitaker, K. and Brain, K.E. (2023) ‘Satisfaction with remote consultations in primary care during COVID-19’, </w:t>
      </w:r>
      <w:r w:rsidRPr="00046269">
        <w:rPr>
          <w:rFonts w:ascii="Times New Roman" w:eastAsia="Times New Roman" w:hAnsi="Times New Roman" w:cs="Times New Roman"/>
          <w:i/>
          <w:iCs/>
          <w:kern w:val="0"/>
          <w:lang w:eastAsia="en-GB"/>
          <w14:ligatures w14:val="none"/>
        </w:rPr>
        <w:t>British Journal of General Practice</w:t>
      </w:r>
      <w:r w:rsidRPr="00046269">
        <w:rPr>
          <w:rFonts w:ascii="Times New Roman" w:eastAsia="Times New Roman" w:hAnsi="Times New Roman" w:cs="Times New Roman"/>
          <w:kern w:val="0"/>
          <w:lang w:eastAsia="en-GB"/>
          <w14:ligatures w14:val="none"/>
        </w:rPr>
        <w:t>, 74(739), pp. e96–e103.</w:t>
      </w:r>
    </w:p>
    <w:p w14:paraId="35D30701"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Mathew, S., Green, D., Newton, N., Powell, R., </w:t>
      </w:r>
      <w:proofErr w:type="spellStart"/>
      <w:r w:rsidRPr="00046269">
        <w:rPr>
          <w:rFonts w:ascii="Times New Roman" w:eastAsia="Times New Roman" w:hAnsi="Times New Roman" w:cs="Times New Roman"/>
          <w:kern w:val="0"/>
          <w:lang w:eastAsia="en-GB"/>
          <w14:ligatures w14:val="none"/>
        </w:rPr>
        <w:t>Wakerman</w:t>
      </w:r>
      <w:proofErr w:type="spellEnd"/>
      <w:r w:rsidRPr="00046269">
        <w:rPr>
          <w:rFonts w:ascii="Times New Roman" w:eastAsia="Times New Roman" w:hAnsi="Times New Roman" w:cs="Times New Roman"/>
          <w:kern w:val="0"/>
          <w:lang w:eastAsia="en-GB"/>
          <w14:ligatures w14:val="none"/>
        </w:rPr>
        <w:t xml:space="preserve">, J. and Russell, D.J. (2025) ‘Telehealth for primary healthcare delivery in rural and remote contexts in high-income countries—a scoping review’, </w:t>
      </w:r>
      <w:proofErr w:type="spellStart"/>
      <w:r w:rsidRPr="00046269">
        <w:rPr>
          <w:rFonts w:ascii="Times New Roman" w:eastAsia="Times New Roman" w:hAnsi="Times New Roman" w:cs="Times New Roman"/>
          <w:i/>
          <w:iCs/>
          <w:kern w:val="0"/>
          <w:lang w:eastAsia="en-GB"/>
          <w14:ligatures w14:val="none"/>
        </w:rPr>
        <w:t>Mhealth</w:t>
      </w:r>
      <w:proofErr w:type="spellEnd"/>
      <w:r w:rsidRPr="00046269">
        <w:rPr>
          <w:rFonts w:ascii="Times New Roman" w:eastAsia="Times New Roman" w:hAnsi="Times New Roman" w:cs="Times New Roman"/>
          <w:kern w:val="0"/>
          <w:lang w:eastAsia="en-GB"/>
          <w14:ligatures w14:val="none"/>
        </w:rPr>
        <w:t>, 11.</w:t>
      </w:r>
    </w:p>
    <w:p w14:paraId="7BC07013"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Schlunegger, M.C., Zumstein-Shaha, M. and Palm, R. (2024) ‘Methodological and data-analysis triangulation in case studies: A scoping review’, </w:t>
      </w:r>
      <w:r w:rsidRPr="00046269">
        <w:rPr>
          <w:rFonts w:ascii="Times New Roman" w:eastAsia="Times New Roman" w:hAnsi="Times New Roman" w:cs="Times New Roman"/>
          <w:i/>
          <w:iCs/>
          <w:kern w:val="0"/>
          <w:lang w:eastAsia="en-GB"/>
          <w14:ligatures w14:val="none"/>
        </w:rPr>
        <w:t>Western Journal of Nursing Research</w:t>
      </w:r>
      <w:r w:rsidRPr="00046269">
        <w:rPr>
          <w:rFonts w:ascii="Times New Roman" w:eastAsia="Times New Roman" w:hAnsi="Times New Roman" w:cs="Times New Roman"/>
          <w:kern w:val="0"/>
          <w:lang w:eastAsia="en-GB"/>
          <w14:ligatures w14:val="none"/>
        </w:rPr>
        <w:t>, 46(8), pp. 611–622.</w:t>
      </w:r>
    </w:p>
    <w:p w14:paraId="20988A61"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Truong, L.K., Wrightson, J.G., Vincent, R., Lui, E., Couch, J.L., Wang, E., Starcevich, C., Giustini, D., Haagaard, A., </w:t>
      </w:r>
      <w:proofErr w:type="spellStart"/>
      <w:r w:rsidRPr="00046269">
        <w:rPr>
          <w:rFonts w:ascii="Times New Roman" w:eastAsia="Times New Roman" w:hAnsi="Times New Roman" w:cs="Times New Roman"/>
          <w:kern w:val="0"/>
          <w:lang w:eastAsia="en-GB"/>
          <w14:ligatures w14:val="none"/>
        </w:rPr>
        <w:t>Lopatina</w:t>
      </w:r>
      <w:proofErr w:type="spellEnd"/>
      <w:r w:rsidRPr="00046269">
        <w:rPr>
          <w:rFonts w:ascii="Times New Roman" w:eastAsia="Times New Roman" w:hAnsi="Times New Roman" w:cs="Times New Roman"/>
          <w:kern w:val="0"/>
          <w:lang w:eastAsia="en-GB"/>
          <w14:ligatures w14:val="none"/>
        </w:rPr>
        <w:t xml:space="preserve">, E. and van Berkel, N. (2026) ‘Evidence for digital health tools designed to support triage: scoping review’, </w:t>
      </w:r>
      <w:r w:rsidRPr="00046269">
        <w:rPr>
          <w:rFonts w:ascii="Times New Roman" w:eastAsia="Times New Roman" w:hAnsi="Times New Roman" w:cs="Times New Roman"/>
          <w:i/>
          <w:iCs/>
          <w:kern w:val="0"/>
          <w:lang w:eastAsia="en-GB"/>
          <w14:ligatures w14:val="none"/>
        </w:rPr>
        <w:t>Journal of Medical Internet Research</w:t>
      </w:r>
      <w:r w:rsidRPr="00046269">
        <w:rPr>
          <w:rFonts w:ascii="Times New Roman" w:eastAsia="Times New Roman" w:hAnsi="Times New Roman" w:cs="Times New Roman"/>
          <w:kern w:val="0"/>
          <w:lang w:eastAsia="en-GB"/>
          <w14:ligatures w14:val="none"/>
        </w:rPr>
        <w:t>, 28.</w:t>
      </w:r>
    </w:p>
    <w:p w14:paraId="17018049" w14:textId="77777777" w:rsidR="00046269" w:rsidRPr="00046269" w:rsidRDefault="00046269" w:rsidP="0004626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46269">
        <w:rPr>
          <w:rFonts w:ascii="Times New Roman" w:eastAsia="Times New Roman" w:hAnsi="Times New Roman" w:cs="Times New Roman"/>
          <w:kern w:val="0"/>
          <w:lang w:eastAsia="en-GB"/>
          <w14:ligatures w14:val="none"/>
        </w:rPr>
        <w:t xml:space="preserve">legislation.gov.uk (2026) </w:t>
      </w:r>
      <w:r w:rsidRPr="00046269">
        <w:rPr>
          <w:rFonts w:ascii="Times New Roman" w:eastAsia="Times New Roman" w:hAnsi="Times New Roman" w:cs="Times New Roman"/>
          <w:i/>
          <w:iCs/>
          <w:kern w:val="0"/>
          <w:lang w:eastAsia="en-GB"/>
          <w14:ligatures w14:val="none"/>
        </w:rPr>
        <w:t>Health and Social Care Act 2008</w:t>
      </w:r>
      <w:r w:rsidRPr="00046269">
        <w:rPr>
          <w:rFonts w:ascii="Times New Roman" w:eastAsia="Times New Roman" w:hAnsi="Times New Roman" w:cs="Times New Roman"/>
          <w:kern w:val="0"/>
          <w:lang w:eastAsia="en-GB"/>
          <w14:ligatures w14:val="none"/>
        </w:rPr>
        <w:t xml:space="preserve">. Available at: </w:t>
      </w:r>
      <w:hyperlink r:id="rId9" w:tgtFrame="_new" w:history="1">
        <w:r w:rsidRPr="00046269">
          <w:rPr>
            <w:rFonts w:ascii="Times New Roman" w:eastAsia="Times New Roman" w:hAnsi="Times New Roman" w:cs="Times New Roman"/>
            <w:color w:val="0000FF"/>
            <w:kern w:val="0"/>
            <w:u w:val="single"/>
            <w:lang w:eastAsia="en-GB"/>
            <w14:ligatures w14:val="none"/>
          </w:rPr>
          <w:t>https://www.legislation.gov.uk/ukpga/2008/14/contents</w:t>
        </w:r>
      </w:hyperlink>
    </w:p>
    <w:p w14:paraId="7B303BD4" w14:textId="77777777" w:rsidR="00046269" w:rsidRPr="004E7D35" w:rsidRDefault="00046269">
      <w:pPr>
        <w:rPr>
          <w:b/>
          <w:bCs/>
          <w:sz w:val="28"/>
          <w:szCs w:val="28"/>
        </w:rPr>
      </w:pPr>
    </w:p>
    <w:sectPr w:rsidR="00046269" w:rsidRPr="004E7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4BC77" w14:textId="77777777" w:rsidR="00D9762F" w:rsidRDefault="00D9762F" w:rsidP="00471D55">
      <w:pPr>
        <w:spacing w:after="0" w:line="240" w:lineRule="auto"/>
      </w:pPr>
      <w:r>
        <w:separator/>
      </w:r>
    </w:p>
  </w:endnote>
  <w:endnote w:type="continuationSeparator" w:id="0">
    <w:p w14:paraId="50C62A6B" w14:textId="77777777" w:rsidR="00D9762F" w:rsidRDefault="00D9762F" w:rsidP="00471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C2A23" w14:textId="77777777" w:rsidR="00D9762F" w:rsidRDefault="00D9762F" w:rsidP="00471D55">
      <w:pPr>
        <w:spacing w:after="0" w:line="240" w:lineRule="auto"/>
      </w:pPr>
      <w:r>
        <w:separator/>
      </w:r>
    </w:p>
  </w:footnote>
  <w:footnote w:type="continuationSeparator" w:id="0">
    <w:p w14:paraId="5703EC5D" w14:textId="77777777" w:rsidR="00D9762F" w:rsidRDefault="00D9762F" w:rsidP="00471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46926"/>
    <w:multiLevelType w:val="multilevel"/>
    <w:tmpl w:val="40EE3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742EF9"/>
    <w:multiLevelType w:val="multilevel"/>
    <w:tmpl w:val="68807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D74C29"/>
    <w:multiLevelType w:val="multilevel"/>
    <w:tmpl w:val="2D38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D0CB3"/>
    <w:multiLevelType w:val="multilevel"/>
    <w:tmpl w:val="C9C8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110C16"/>
    <w:multiLevelType w:val="multilevel"/>
    <w:tmpl w:val="CC6E3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5748718">
    <w:abstractNumId w:val="2"/>
  </w:num>
  <w:num w:numId="2" w16cid:durableId="810514293">
    <w:abstractNumId w:val="3"/>
  </w:num>
  <w:num w:numId="3" w16cid:durableId="2034457812">
    <w:abstractNumId w:val="4"/>
  </w:num>
  <w:num w:numId="4" w16cid:durableId="845900037">
    <w:abstractNumId w:val="0"/>
  </w:num>
  <w:num w:numId="5" w16cid:durableId="5206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9A9"/>
    <w:rsid w:val="00046269"/>
    <w:rsid w:val="000F3DC3"/>
    <w:rsid w:val="00104D92"/>
    <w:rsid w:val="0010617C"/>
    <w:rsid w:val="00151884"/>
    <w:rsid w:val="00152138"/>
    <w:rsid w:val="002002C1"/>
    <w:rsid w:val="00291A9F"/>
    <w:rsid w:val="002A06B3"/>
    <w:rsid w:val="00471D55"/>
    <w:rsid w:val="004B6CF6"/>
    <w:rsid w:val="004E7D35"/>
    <w:rsid w:val="004F5FA8"/>
    <w:rsid w:val="005E3C10"/>
    <w:rsid w:val="005F1386"/>
    <w:rsid w:val="00620323"/>
    <w:rsid w:val="006A3070"/>
    <w:rsid w:val="006B6410"/>
    <w:rsid w:val="007B57D1"/>
    <w:rsid w:val="007C30C5"/>
    <w:rsid w:val="00907753"/>
    <w:rsid w:val="009C69A9"/>
    <w:rsid w:val="009E1AB4"/>
    <w:rsid w:val="00A676B1"/>
    <w:rsid w:val="00AA1F28"/>
    <w:rsid w:val="00BA0516"/>
    <w:rsid w:val="00C21130"/>
    <w:rsid w:val="00D3488B"/>
    <w:rsid w:val="00D9762F"/>
    <w:rsid w:val="00DD69DF"/>
    <w:rsid w:val="00E4461E"/>
    <w:rsid w:val="00EA6EC4"/>
    <w:rsid w:val="00F001E7"/>
    <w:rsid w:val="00F96164"/>
    <w:rsid w:val="00FC0FFA"/>
    <w:rsid w:val="00FD4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A62BE"/>
  <w15:chartTrackingRefBased/>
  <w15:docId w15:val="{53426269-C313-4DE1-AFC4-B9E309BB5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69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69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69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69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69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69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69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69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69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9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69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69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69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69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69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69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69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69A9"/>
    <w:rPr>
      <w:rFonts w:eastAsiaTheme="majorEastAsia" w:cstheme="majorBidi"/>
      <w:color w:val="272727" w:themeColor="text1" w:themeTint="D8"/>
    </w:rPr>
  </w:style>
  <w:style w:type="paragraph" w:styleId="Title">
    <w:name w:val="Title"/>
    <w:basedOn w:val="Normal"/>
    <w:next w:val="Normal"/>
    <w:link w:val="TitleChar"/>
    <w:uiPriority w:val="10"/>
    <w:qFormat/>
    <w:rsid w:val="009C69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69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69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69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69A9"/>
    <w:pPr>
      <w:spacing w:before="160"/>
      <w:jc w:val="center"/>
    </w:pPr>
    <w:rPr>
      <w:i/>
      <w:iCs/>
      <w:color w:val="404040" w:themeColor="text1" w:themeTint="BF"/>
    </w:rPr>
  </w:style>
  <w:style w:type="character" w:customStyle="1" w:styleId="QuoteChar">
    <w:name w:val="Quote Char"/>
    <w:basedOn w:val="DefaultParagraphFont"/>
    <w:link w:val="Quote"/>
    <w:uiPriority w:val="29"/>
    <w:rsid w:val="009C69A9"/>
    <w:rPr>
      <w:i/>
      <w:iCs/>
      <w:color w:val="404040" w:themeColor="text1" w:themeTint="BF"/>
    </w:rPr>
  </w:style>
  <w:style w:type="paragraph" w:styleId="ListParagraph">
    <w:name w:val="List Paragraph"/>
    <w:basedOn w:val="Normal"/>
    <w:uiPriority w:val="34"/>
    <w:qFormat/>
    <w:rsid w:val="009C69A9"/>
    <w:pPr>
      <w:ind w:left="720"/>
      <w:contextualSpacing/>
    </w:pPr>
  </w:style>
  <w:style w:type="character" w:styleId="IntenseEmphasis">
    <w:name w:val="Intense Emphasis"/>
    <w:basedOn w:val="DefaultParagraphFont"/>
    <w:uiPriority w:val="21"/>
    <w:qFormat/>
    <w:rsid w:val="009C69A9"/>
    <w:rPr>
      <w:i/>
      <w:iCs/>
      <w:color w:val="0F4761" w:themeColor="accent1" w:themeShade="BF"/>
    </w:rPr>
  </w:style>
  <w:style w:type="paragraph" w:styleId="IntenseQuote">
    <w:name w:val="Intense Quote"/>
    <w:basedOn w:val="Normal"/>
    <w:next w:val="Normal"/>
    <w:link w:val="IntenseQuoteChar"/>
    <w:uiPriority w:val="30"/>
    <w:qFormat/>
    <w:rsid w:val="009C69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69A9"/>
    <w:rPr>
      <w:i/>
      <w:iCs/>
      <w:color w:val="0F4761" w:themeColor="accent1" w:themeShade="BF"/>
    </w:rPr>
  </w:style>
  <w:style w:type="character" w:styleId="IntenseReference">
    <w:name w:val="Intense Reference"/>
    <w:basedOn w:val="DefaultParagraphFont"/>
    <w:uiPriority w:val="32"/>
    <w:qFormat/>
    <w:rsid w:val="009C69A9"/>
    <w:rPr>
      <w:b/>
      <w:bCs/>
      <w:smallCaps/>
      <w:color w:val="0F4761" w:themeColor="accent1" w:themeShade="BF"/>
      <w:spacing w:val="5"/>
    </w:rPr>
  </w:style>
  <w:style w:type="character" w:styleId="Hyperlink">
    <w:name w:val="Hyperlink"/>
    <w:basedOn w:val="DefaultParagraphFont"/>
    <w:uiPriority w:val="99"/>
    <w:unhideWhenUsed/>
    <w:rsid w:val="00046269"/>
    <w:rPr>
      <w:color w:val="467886" w:themeColor="hyperlink"/>
      <w:u w:val="single"/>
    </w:rPr>
  </w:style>
  <w:style w:type="character" w:styleId="UnresolvedMention">
    <w:name w:val="Unresolved Mention"/>
    <w:basedOn w:val="DefaultParagraphFont"/>
    <w:uiPriority w:val="99"/>
    <w:semiHidden/>
    <w:unhideWhenUsed/>
    <w:rsid w:val="00046269"/>
    <w:rPr>
      <w:color w:val="605E5C"/>
      <w:shd w:val="clear" w:color="auto" w:fill="E1DFDD"/>
    </w:rPr>
  </w:style>
  <w:style w:type="paragraph" w:styleId="TOC1">
    <w:name w:val="toc 1"/>
    <w:basedOn w:val="Normal"/>
    <w:next w:val="Normal"/>
    <w:autoRedefine/>
    <w:uiPriority w:val="39"/>
    <w:unhideWhenUsed/>
    <w:rsid w:val="002002C1"/>
    <w:pPr>
      <w:spacing w:after="100" w:line="276" w:lineRule="auto"/>
    </w:pPr>
    <w:rPr>
      <w:rFonts w:ascii="Arial" w:eastAsia="Arial" w:hAnsi="Arial" w:cs="Arial"/>
      <w:kern w:val="0"/>
      <w:sz w:val="22"/>
      <w:szCs w:val="22"/>
      <w:lang w:eastAsia="en-IN"/>
      <w14:ligatures w14:val="none"/>
    </w:rPr>
  </w:style>
  <w:style w:type="paragraph" w:styleId="TOC2">
    <w:name w:val="toc 2"/>
    <w:basedOn w:val="Normal"/>
    <w:next w:val="Normal"/>
    <w:autoRedefine/>
    <w:uiPriority w:val="39"/>
    <w:unhideWhenUsed/>
    <w:rsid w:val="002002C1"/>
    <w:pPr>
      <w:spacing w:after="100" w:line="276" w:lineRule="auto"/>
      <w:ind w:left="220"/>
    </w:pPr>
    <w:rPr>
      <w:rFonts w:ascii="Arial" w:eastAsia="Arial" w:hAnsi="Arial" w:cs="Arial"/>
      <w:kern w:val="0"/>
      <w:sz w:val="22"/>
      <w:szCs w:val="22"/>
      <w:lang w:eastAsia="en-IN"/>
      <w14:ligatures w14:val="none"/>
    </w:rPr>
  </w:style>
  <w:style w:type="paragraph" w:customStyle="1" w:styleId="TOCHeading1">
    <w:name w:val="TOC Heading1"/>
    <w:basedOn w:val="Heading1"/>
    <w:next w:val="Normal"/>
    <w:uiPriority w:val="39"/>
    <w:unhideWhenUsed/>
    <w:qFormat/>
    <w:rsid w:val="002002C1"/>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71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D55"/>
  </w:style>
  <w:style w:type="paragraph" w:styleId="Footer">
    <w:name w:val="footer"/>
    <w:basedOn w:val="Normal"/>
    <w:link w:val="FooterChar"/>
    <w:uiPriority w:val="99"/>
    <w:unhideWhenUsed/>
    <w:rsid w:val="00471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D55"/>
  </w:style>
  <w:style w:type="paragraph" w:styleId="TOCHeading">
    <w:name w:val="TOC Heading"/>
    <w:basedOn w:val="Heading1"/>
    <w:next w:val="Normal"/>
    <w:uiPriority w:val="39"/>
    <w:unhideWhenUsed/>
    <w:qFormat/>
    <w:rsid w:val="004B6CF6"/>
    <w:pPr>
      <w:spacing w:before="240" w:after="0" w:line="259" w:lineRule="auto"/>
      <w:outlineLvl w:val="9"/>
    </w:pPr>
    <w:rPr>
      <w:kern w:val="0"/>
      <w:sz w:val="32"/>
      <w:szCs w:val="32"/>
      <w:lang w:eastAsia="en-GB"/>
      <w14:ligatures w14:val="none"/>
    </w:rPr>
  </w:style>
  <w:style w:type="character" w:styleId="FollowedHyperlink">
    <w:name w:val="FollowedHyperlink"/>
    <w:basedOn w:val="DefaultParagraphFont"/>
    <w:uiPriority w:val="99"/>
    <w:semiHidden/>
    <w:unhideWhenUsed/>
    <w:rsid w:val="009077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srn.com/abstract=537878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gislation.gov.uk/ukpga/2008/1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4A0F7-30A3-4FE8-B2DA-305548BDE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3430</Words>
  <Characters>19554</Characters>
  <Application>Microsoft Office Word</Application>
  <DocSecurity>0</DocSecurity>
  <Lines>162</Lines>
  <Paragraphs>45</Paragraphs>
  <ScaleCrop>false</ScaleCrop>
  <Company/>
  <LinksUpToDate>false</LinksUpToDate>
  <CharactersWithSpaces>22939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Georgiana-Madalina Dedu</dc:creator>
  <cp:keywords/>
  <dc:description/>
  <cp:lastModifiedBy>Georgiana-Madalina Dedu</cp:lastModifiedBy>
  <cp:revision>26</cp:revision>
  <dcterms:created xsi:type="dcterms:W3CDTF">2026-03-29T11:25:00Z</dcterms:created>
  <dcterms:modified xsi:type="dcterms:W3CDTF">2026-03-29T12:23:00Z</dcterms:modified>
</cp:coreProperties>
</file>