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BEB72" w14:textId="77777777" w:rsidR="008B6A4F" w:rsidRDefault="008B6A4F" w:rsidP="00A5053F">
      <w:pPr>
        <w:pStyle w:val="Normal1"/>
        <w:jc w:val="center"/>
        <w:rPr>
          <w:rFonts w:ascii="Arial" w:eastAsia="Arial" w:hAnsi="Arial" w:cs="Arial"/>
          <w:b/>
          <w:sz w:val="32"/>
          <w:szCs w:val="32"/>
        </w:rPr>
      </w:pPr>
    </w:p>
    <w:p w14:paraId="664887F1" w14:textId="77777777" w:rsidR="008B6A4F" w:rsidRDefault="008B6A4F" w:rsidP="00A5053F">
      <w:pPr>
        <w:pStyle w:val="Normal1"/>
        <w:jc w:val="center"/>
        <w:rPr>
          <w:rFonts w:ascii="Arial" w:eastAsia="Arial" w:hAnsi="Arial" w:cs="Arial"/>
          <w:b/>
          <w:sz w:val="32"/>
          <w:szCs w:val="32"/>
        </w:rPr>
      </w:pPr>
    </w:p>
    <w:p w14:paraId="58A49487" w14:textId="77777777" w:rsidR="008B6A4F" w:rsidRDefault="008B6A4F" w:rsidP="00A5053F">
      <w:pPr>
        <w:pStyle w:val="Normal1"/>
        <w:jc w:val="center"/>
        <w:rPr>
          <w:rFonts w:ascii="Arial" w:eastAsia="Arial" w:hAnsi="Arial" w:cs="Arial"/>
          <w:b/>
          <w:sz w:val="32"/>
          <w:szCs w:val="32"/>
        </w:rPr>
      </w:pPr>
    </w:p>
    <w:p w14:paraId="67001841" w14:textId="77777777" w:rsidR="008B6A4F" w:rsidRDefault="008B6A4F" w:rsidP="00A5053F">
      <w:pPr>
        <w:pStyle w:val="Normal1"/>
        <w:jc w:val="center"/>
        <w:rPr>
          <w:rFonts w:ascii="Arial" w:eastAsia="Arial" w:hAnsi="Arial" w:cs="Arial"/>
          <w:b/>
          <w:sz w:val="32"/>
          <w:szCs w:val="32"/>
        </w:rPr>
      </w:pPr>
    </w:p>
    <w:p w14:paraId="2617A059" w14:textId="77777777" w:rsidR="008B6A4F" w:rsidRDefault="008B6A4F" w:rsidP="00A5053F">
      <w:pPr>
        <w:pStyle w:val="Normal1"/>
        <w:jc w:val="center"/>
        <w:rPr>
          <w:rFonts w:ascii="Arial" w:eastAsia="Arial" w:hAnsi="Arial" w:cs="Arial"/>
          <w:b/>
          <w:sz w:val="32"/>
          <w:szCs w:val="32"/>
        </w:rPr>
      </w:pPr>
    </w:p>
    <w:p w14:paraId="0E301302" w14:textId="77777777" w:rsidR="008B6A4F" w:rsidRDefault="008B6A4F" w:rsidP="00A5053F">
      <w:pPr>
        <w:pStyle w:val="Normal1"/>
        <w:jc w:val="center"/>
        <w:rPr>
          <w:rFonts w:ascii="Arial" w:eastAsia="Arial" w:hAnsi="Arial" w:cs="Arial"/>
          <w:b/>
          <w:sz w:val="32"/>
          <w:szCs w:val="32"/>
        </w:rPr>
      </w:pPr>
    </w:p>
    <w:p w14:paraId="2BD88476" w14:textId="77777777" w:rsidR="008B6A4F" w:rsidRDefault="008B6A4F" w:rsidP="00A5053F">
      <w:pPr>
        <w:pStyle w:val="Normal1"/>
        <w:jc w:val="center"/>
        <w:rPr>
          <w:rFonts w:ascii="Arial" w:eastAsia="Arial" w:hAnsi="Arial" w:cs="Arial"/>
          <w:b/>
          <w:sz w:val="32"/>
          <w:szCs w:val="32"/>
        </w:rPr>
      </w:pPr>
    </w:p>
    <w:p w14:paraId="00000001" w14:textId="6555E900" w:rsidR="00AD3FA0" w:rsidRDefault="00A5053F" w:rsidP="00A5053F">
      <w:pPr>
        <w:pStyle w:val="Normal1"/>
        <w:jc w:val="center"/>
        <w:rPr>
          <w:rFonts w:ascii="Arial" w:eastAsia="Arial" w:hAnsi="Arial" w:cs="Arial"/>
          <w:b/>
          <w:sz w:val="32"/>
          <w:szCs w:val="32"/>
        </w:rPr>
      </w:pPr>
      <w:r>
        <w:rPr>
          <w:rFonts w:ascii="Arial" w:eastAsia="Arial" w:hAnsi="Arial" w:cs="Arial"/>
          <w:b/>
          <w:sz w:val="32"/>
          <w:szCs w:val="32"/>
        </w:rPr>
        <w:t>MODULE CODE: BMSW6102</w:t>
      </w:r>
    </w:p>
    <w:p w14:paraId="00000002" w14:textId="18324083" w:rsidR="00AD3FA0" w:rsidRDefault="00A5053F" w:rsidP="00A5053F">
      <w:pPr>
        <w:pStyle w:val="Normal1"/>
        <w:jc w:val="center"/>
        <w:rPr>
          <w:rFonts w:ascii="Arial" w:eastAsia="Arial" w:hAnsi="Arial" w:cs="Arial"/>
          <w:b/>
          <w:sz w:val="32"/>
          <w:szCs w:val="32"/>
        </w:rPr>
      </w:pPr>
      <w:r>
        <w:rPr>
          <w:rFonts w:ascii="Arial" w:eastAsia="Arial" w:hAnsi="Arial" w:cs="Arial"/>
          <w:b/>
          <w:sz w:val="32"/>
          <w:szCs w:val="32"/>
        </w:rPr>
        <w:t>MODULE TITLE: DEVELOPING INNOVATION AND CREATIVITY FOR BUSINESS ADVANTAGE</w:t>
      </w:r>
    </w:p>
    <w:p w14:paraId="00000003" w14:textId="1A79C65A" w:rsidR="00AD3FA0" w:rsidRDefault="00A5053F" w:rsidP="00A5053F">
      <w:pPr>
        <w:pStyle w:val="Normal1"/>
        <w:jc w:val="center"/>
        <w:rPr>
          <w:rFonts w:ascii="Arial" w:eastAsia="Arial" w:hAnsi="Arial" w:cs="Arial"/>
          <w:b/>
          <w:sz w:val="32"/>
          <w:szCs w:val="32"/>
        </w:rPr>
      </w:pPr>
      <w:r>
        <w:rPr>
          <w:rFonts w:ascii="Arial" w:eastAsia="Arial" w:hAnsi="Arial" w:cs="Arial"/>
          <w:b/>
          <w:sz w:val="32"/>
          <w:szCs w:val="32"/>
        </w:rPr>
        <w:t>ASSIGNMENT TITLE: DEVELOPMENT OF INNOVATIVE PRODUCT OR UNIQUE SERVICE PROPOSITION</w:t>
      </w:r>
    </w:p>
    <w:p w14:paraId="00000004" w14:textId="42C3412C" w:rsidR="00AD3FA0" w:rsidRDefault="00A5053F" w:rsidP="00A5053F">
      <w:pPr>
        <w:pStyle w:val="Normal1"/>
        <w:jc w:val="center"/>
        <w:rPr>
          <w:rFonts w:ascii="Arial" w:eastAsia="Arial" w:hAnsi="Arial" w:cs="Arial"/>
          <w:b/>
          <w:sz w:val="32"/>
          <w:szCs w:val="32"/>
        </w:rPr>
      </w:pPr>
      <w:r>
        <w:rPr>
          <w:rFonts w:ascii="Arial" w:eastAsia="Arial" w:hAnsi="Arial" w:cs="Arial"/>
          <w:b/>
          <w:sz w:val="32"/>
          <w:szCs w:val="32"/>
        </w:rPr>
        <w:t>LECTURER’S NAME: DR. AMARE DESTA</w:t>
      </w:r>
    </w:p>
    <w:p w14:paraId="00000005" w14:textId="650E492B" w:rsidR="00AD3FA0" w:rsidRDefault="00A5053F" w:rsidP="00A5053F">
      <w:pPr>
        <w:pStyle w:val="Normal1"/>
        <w:jc w:val="center"/>
        <w:rPr>
          <w:rFonts w:ascii="Arial" w:eastAsia="Arial" w:hAnsi="Arial" w:cs="Arial"/>
          <w:b/>
          <w:sz w:val="32"/>
          <w:szCs w:val="32"/>
        </w:rPr>
      </w:pPr>
      <w:r>
        <w:rPr>
          <w:rFonts w:ascii="Arial" w:eastAsia="Arial" w:hAnsi="Arial" w:cs="Arial"/>
          <w:b/>
          <w:sz w:val="32"/>
          <w:szCs w:val="32"/>
        </w:rPr>
        <w:t>INTERNAL VERIFIER: MD KALAM</w:t>
      </w:r>
    </w:p>
    <w:p w14:paraId="3C7EE47C" w14:textId="0B006EFF" w:rsidR="008B6A4F" w:rsidRDefault="008B6A4F" w:rsidP="00A5053F">
      <w:pPr>
        <w:pStyle w:val="Normal1"/>
        <w:jc w:val="center"/>
        <w:rPr>
          <w:rFonts w:ascii="Arial" w:eastAsia="Arial" w:hAnsi="Arial" w:cs="Arial"/>
          <w:b/>
          <w:sz w:val="32"/>
          <w:szCs w:val="32"/>
        </w:rPr>
      </w:pPr>
      <w:r>
        <w:rPr>
          <w:rFonts w:ascii="Arial" w:eastAsia="Arial" w:hAnsi="Arial" w:cs="Arial"/>
          <w:b/>
          <w:sz w:val="32"/>
          <w:szCs w:val="32"/>
        </w:rPr>
        <w:t>PRESENTED BY : LIZEL JOHAN CEDENO CANAS 211894</w:t>
      </w:r>
    </w:p>
    <w:p w14:paraId="00000006" w14:textId="7DD89320" w:rsidR="00AD3FA0" w:rsidRDefault="00AD3FA0" w:rsidP="00A5053F">
      <w:pPr>
        <w:pStyle w:val="Normal1"/>
        <w:jc w:val="center"/>
        <w:rPr>
          <w:rFonts w:ascii="Arial" w:eastAsia="Arial" w:hAnsi="Arial" w:cs="Arial"/>
          <w:b/>
          <w:sz w:val="32"/>
          <w:szCs w:val="32"/>
        </w:rPr>
      </w:pPr>
    </w:p>
    <w:p w14:paraId="00000007" w14:textId="77777777" w:rsidR="00AD3FA0" w:rsidRDefault="00AD3FA0" w:rsidP="00A5053F">
      <w:pPr>
        <w:pStyle w:val="Normal1"/>
        <w:spacing w:before="240" w:after="240"/>
        <w:rPr>
          <w:rFonts w:ascii="Arial" w:eastAsia="Arial" w:hAnsi="Arial" w:cs="Arial"/>
          <w:b/>
          <w:sz w:val="32"/>
          <w:szCs w:val="32"/>
        </w:rPr>
      </w:pPr>
    </w:p>
    <w:p w14:paraId="00000008" w14:textId="77777777" w:rsidR="00AD3FA0" w:rsidRDefault="00AD3FA0" w:rsidP="00A5053F">
      <w:pPr>
        <w:pStyle w:val="Normal1"/>
        <w:spacing w:before="240" w:after="240"/>
        <w:rPr>
          <w:rFonts w:ascii="Arial" w:eastAsia="Arial" w:hAnsi="Arial" w:cs="Arial"/>
          <w:b/>
          <w:sz w:val="32"/>
          <w:szCs w:val="32"/>
        </w:rPr>
      </w:pPr>
    </w:p>
    <w:p w14:paraId="00000009" w14:textId="77777777" w:rsidR="00AD3FA0" w:rsidRDefault="00AD3FA0" w:rsidP="00A5053F">
      <w:pPr>
        <w:pStyle w:val="Normal1"/>
        <w:spacing w:before="240" w:after="240"/>
        <w:rPr>
          <w:rFonts w:ascii="Arial" w:eastAsia="Arial" w:hAnsi="Arial" w:cs="Arial"/>
          <w:b/>
          <w:sz w:val="32"/>
          <w:szCs w:val="32"/>
        </w:rPr>
      </w:pPr>
    </w:p>
    <w:p w14:paraId="0000000A" w14:textId="77777777" w:rsidR="00AD3FA0" w:rsidRDefault="00AD3FA0" w:rsidP="00A5053F">
      <w:pPr>
        <w:pStyle w:val="Normal1"/>
        <w:spacing w:before="240" w:after="240"/>
        <w:rPr>
          <w:rFonts w:ascii="Arial" w:eastAsia="Arial" w:hAnsi="Arial" w:cs="Arial"/>
          <w:b/>
          <w:sz w:val="32"/>
          <w:szCs w:val="32"/>
        </w:rPr>
      </w:pPr>
    </w:p>
    <w:p w14:paraId="0000000B" w14:textId="77777777" w:rsidR="00AD3FA0" w:rsidRDefault="00AD3FA0" w:rsidP="00A5053F">
      <w:pPr>
        <w:pStyle w:val="Normal1"/>
        <w:spacing w:before="240" w:after="240"/>
        <w:rPr>
          <w:rFonts w:ascii="Arial" w:eastAsia="Arial" w:hAnsi="Arial" w:cs="Arial"/>
          <w:b/>
          <w:sz w:val="32"/>
          <w:szCs w:val="32"/>
        </w:rPr>
      </w:pPr>
    </w:p>
    <w:p w14:paraId="0000000C" w14:textId="77777777" w:rsidR="00AD3FA0" w:rsidRDefault="00AD3FA0" w:rsidP="00A5053F">
      <w:pPr>
        <w:pStyle w:val="Normal1"/>
        <w:spacing w:before="240" w:after="240"/>
        <w:rPr>
          <w:rFonts w:ascii="Arial" w:eastAsia="Arial" w:hAnsi="Arial" w:cs="Arial"/>
          <w:b/>
          <w:sz w:val="32"/>
          <w:szCs w:val="32"/>
        </w:rPr>
      </w:pPr>
    </w:p>
    <w:p w14:paraId="0000000D" w14:textId="77777777" w:rsidR="00AD3FA0" w:rsidRDefault="00AD3FA0" w:rsidP="00A5053F">
      <w:pPr>
        <w:pStyle w:val="Normal1"/>
        <w:spacing w:before="240" w:after="240"/>
        <w:rPr>
          <w:rFonts w:ascii="Arial" w:eastAsia="Arial" w:hAnsi="Arial" w:cs="Arial"/>
          <w:b/>
          <w:color w:val="FF0000"/>
          <w:sz w:val="32"/>
          <w:szCs w:val="32"/>
        </w:rPr>
      </w:pPr>
    </w:p>
    <w:p w14:paraId="0000000E" w14:textId="77777777" w:rsidR="00AD3FA0" w:rsidRPr="008B6A4F" w:rsidRDefault="008B6A4F" w:rsidP="00A5053F">
      <w:pPr>
        <w:pStyle w:val="Normal1"/>
        <w:spacing w:before="240" w:after="240"/>
        <w:rPr>
          <w:rFonts w:ascii="Arial" w:eastAsia="Arial" w:hAnsi="Arial" w:cs="Arial"/>
          <w:b/>
          <w:sz w:val="32"/>
          <w:szCs w:val="32"/>
        </w:rPr>
      </w:pPr>
      <w:r w:rsidRPr="008B6A4F">
        <w:rPr>
          <w:rFonts w:ascii="Arial" w:eastAsia="Arial" w:hAnsi="Arial" w:cs="Arial"/>
          <w:b/>
          <w:sz w:val="32"/>
          <w:szCs w:val="32"/>
        </w:rPr>
        <w:t>FlexiHealth</w:t>
      </w:r>
    </w:p>
    <w:p w14:paraId="0000000F" w14:textId="77777777" w:rsidR="00AD3FA0" w:rsidRPr="008B6A4F" w:rsidRDefault="008B6A4F" w:rsidP="00A5053F">
      <w:pPr>
        <w:pStyle w:val="Normal1"/>
        <w:spacing w:before="240" w:after="240"/>
        <w:rPr>
          <w:rFonts w:ascii="Arial" w:eastAsia="Arial" w:hAnsi="Arial" w:cs="Arial"/>
          <w:b/>
          <w:sz w:val="32"/>
          <w:szCs w:val="32"/>
        </w:rPr>
      </w:pPr>
      <w:r w:rsidRPr="008B6A4F">
        <w:rPr>
          <w:rFonts w:ascii="Arial" w:eastAsia="Arial" w:hAnsi="Arial" w:cs="Arial"/>
          <w:b/>
          <w:sz w:val="32"/>
          <w:szCs w:val="32"/>
        </w:rPr>
        <w:t>Tagline: "Customizable Wellness, Anywhere, Anytime"</w:t>
      </w:r>
    </w:p>
    <w:p w14:paraId="00000010" w14:textId="77777777" w:rsidR="00AD3FA0" w:rsidRDefault="00AD3FA0" w:rsidP="00A5053F">
      <w:pPr>
        <w:pStyle w:val="Normal1"/>
        <w:spacing w:before="240" w:after="240"/>
        <w:rPr>
          <w:rFonts w:ascii="Arial" w:eastAsia="Arial" w:hAnsi="Arial" w:cs="Arial"/>
          <w:b/>
          <w:color w:val="FF0000"/>
          <w:sz w:val="22"/>
          <w:szCs w:val="22"/>
        </w:rPr>
      </w:pPr>
    </w:p>
    <w:p w14:paraId="00000011" w14:textId="77777777" w:rsidR="00AD3FA0" w:rsidRDefault="008B6A4F" w:rsidP="00A5053F">
      <w:pPr>
        <w:pStyle w:val="Normal1"/>
        <w:spacing w:before="240" w:after="240"/>
        <w:rPr>
          <w:rFonts w:ascii="Arial" w:eastAsia="Arial" w:hAnsi="Arial" w:cs="Arial"/>
          <w:b/>
          <w:sz w:val="22"/>
          <w:szCs w:val="22"/>
        </w:rPr>
      </w:pPr>
      <w:r>
        <w:br w:type="page"/>
      </w:r>
    </w:p>
    <w:p w14:paraId="00000012" w14:textId="77777777" w:rsidR="00AD3FA0" w:rsidRDefault="008B6A4F" w:rsidP="00A5053F">
      <w:pPr>
        <w:pStyle w:val="Normal1"/>
        <w:spacing w:before="240" w:after="240"/>
        <w:rPr>
          <w:rFonts w:ascii="Arial" w:eastAsia="Arial" w:hAnsi="Arial" w:cs="Arial"/>
          <w:b/>
          <w:sz w:val="22"/>
          <w:szCs w:val="22"/>
        </w:rPr>
      </w:pPr>
      <w:r>
        <w:rPr>
          <w:rFonts w:ascii="Arial" w:eastAsia="Arial" w:hAnsi="Arial" w:cs="Arial"/>
          <w:b/>
          <w:sz w:val="22"/>
          <w:szCs w:val="22"/>
        </w:rPr>
        <w:lastRenderedPageBreak/>
        <w:t>Table of content</w:t>
      </w:r>
    </w:p>
    <w:p w14:paraId="00000013" w14:textId="77777777" w:rsidR="00AD3FA0" w:rsidRDefault="00AD3FA0" w:rsidP="00A5053F">
      <w:pPr>
        <w:pStyle w:val="Normal1"/>
        <w:spacing w:before="240" w:after="240"/>
        <w:rPr>
          <w:rFonts w:ascii="Arial" w:eastAsia="Arial" w:hAnsi="Arial" w:cs="Arial"/>
          <w:sz w:val="22"/>
          <w:szCs w:val="22"/>
        </w:rPr>
      </w:pPr>
    </w:p>
    <w:sdt>
      <w:sdtPr>
        <w:id w:val="676912771"/>
        <w:docPartObj>
          <w:docPartGallery w:val="Table of Contents"/>
          <w:docPartUnique/>
        </w:docPartObj>
      </w:sdtPr>
      <w:sdtEndPr/>
      <w:sdtContent>
        <w:p w14:paraId="00000014"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r>
            <w:fldChar w:fldCharType="begin"/>
          </w:r>
          <w:r>
            <w:instrText xml:space="preserve"> TOC \h \u \z \t "Heading 1,1,Heading 2,2,Heading 3,3,Heading 4,4,Heading 5,5,Heading 6,6,"</w:instrText>
          </w:r>
          <w:r>
            <w:fldChar w:fldCharType="separate"/>
          </w:r>
          <w:hyperlink w:anchor="_rc8ne0enyq7w">
            <w:r>
              <w:rPr>
                <w:rFonts w:ascii="Arial" w:eastAsia="Arial" w:hAnsi="Arial" w:cs="Arial"/>
                <w:color w:val="000000"/>
                <w:sz w:val="22"/>
                <w:szCs w:val="22"/>
              </w:rPr>
              <w:t>2. Executive Summary</w:t>
            </w:r>
            <w:r>
              <w:rPr>
                <w:rFonts w:ascii="Arial" w:eastAsia="Arial" w:hAnsi="Arial" w:cs="Arial"/>
                <w:color w:val="000000"/>
                <w:sz w:val="22"/>
                <w:szCs w:val="22"/>
              </w:rPr>
              <w:tab/>
            </w:r>
          </w:hyperlink>
          <w:r>
            <w:fldChar w:fldCharType="begin"/>
          </w:r>
          <w:r>
            <w:instrText xml:space="preserve"> PAGEREF _rc8ne0enyq7w \h </w:instrText>
          </w:r>
          <w:r>
            <w:fldChar w:fldCharType="separate"/>
          </w:r>
          <w:r>
            <w:rPr>
              <w:rFonts w:ascii="Arial" w:eastAsia="Arial" w:hAnsi="Arial" w:cs="Arial"/>
              <w:sz w:val="22"/>
              <w:szCs w:val="22"/>
            </w:rPr>
            <w:t>3</w:t>
          </w:r>
          <w:r>
            <w:fldChar w:fldCharType="end"/>
          </w:r>
        </w:p>
        <w:p w14:paraId="00000015"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hyperlink w:anchor="_qbftx2ysouzh">
            <w:r>
              <w:rPr>
                <w:rFonts w:ascii="Arial" w:eastAsia="Arial" w:hAnsi="Arial" w:cs="Arial"/>
                <w:color w:val="000000"/>
                <w:sz w:val="22"/>
                <w:szCs w:val="22"/>
              </w:rPr>
              <w:t>3. Introduction</w:t>
            </w:r>
            <w:r>
              <w:rPr>
                <w:rFonts w:ascii="Arial" w:eastAsia="Arial" w:hAnsi="Arial" w:cs="Arial"/>
                <w:color w:val="000000"/>
                <w:sz w:val="22"/>
                <w:szCs w:val="22"/>
              </w:rPr>
              <w:tab/>
            </w:r>
          </w:hyperlink>
          <w:r>
            <w:fldChar w:fldCharType="begin"/>
          </w:r>
          <w:r>
            <w:instrText xml:space="preserve"> PAGEREF _qbftx2ysouzh \h </w:instrText>
          </w:r>
          <w:r>
            <w:fldChar w:fldCharType="separate"/>
          </w:r>
          <w:r>
            <w:rPr>
              <w:rFonts w:ascii="Arial" w:eastAsia="Arial" w:hAnsi="Arial" w:cs="Arial"/>
              <w:sz w:val="22"/>
              <w:szCs w:val="22"/>
            </w:rPr>
            <w:t>3</w:t>
          </w:r>
          <w:r>
            <w:fldChar w:fldCharType="end"/>
          </w:r>
        </w:p>
        <w:p w14:paraId="00000016"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hyperlink w:anchor="_t0c7q38lwxmq">
            <w:r>
              <w:rPr>
                <w:rFonts w:ascii="Arial" w:eastAsia="Arial" w:hAnsi="Arial" w:cs="Arial"/>
                <w:color w:val="000000"/>
                <w:sz w:val="22"/>
                <w:szCs w:val="22"/>
              </w:rPr>
              <w:t>4. Innovation Concept and Theoretical Framework</w:t>
            </w:r>
            <w:r>
              <w:rPr>
                <w:rFonts w:ascii="Arial" w:eastAsia="Arial" w:hAnsi="Arial" w:cs="Arial"/>
                <w:color w:val="000000"/>
                <w:sz w:val="22"/>
                <w:szCs w:val="22"/>
              </w:rPr>
              <w:tab/>
            </w:r>
          </w:hyperlink>
          <w:r>
            <w:fldChar w:fldCharType="begin"/>
          </w:r>
          <w:r>
            <w:instrText xml:space="preserve"> PAGEREF _t0c7q38lwxmq \h </w:instrText>
          </w:r>
          <w:r>
            <w:fldChar w:fldCharType="separate"/>
          </w:r>
          <w:r>
            <w:rPr>
              <w:rFonts w:ascii="Arial" w:eastAsia="Arial" w:hAnsi="Arial" w:cs="Arial"/>
              <w:sz w:val="22"/>
              <w:szCs w:val="22"/>
            </w:rPr>
            <w:t>4</w:t>
          </w:r>
          <w:r>
            <w:fldChar w:fldCharType="end"/>
          </w:r>
        </w:p>
        <w:p w14:paraId="00000017"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hyperlink w:anchor="_ihb9tcq5lezr">
            <w:r>
              <w:rPr>
                <w:rFonts w:ascii="Arial" w:eastAsia="Arial" w:hAnsi="Arial" w:cs="Arial"/>
                <w:color w:val="000000"/>
                <w:sz w:val="22"/>
                <w:szCs w:val="22"/>
              </w:rPr>
              <w:t>5. Innovative Product OR Unique Service Proposition</w:t>
            </w:r>
            <w:r>
              <w:rPr>
                <w:rFonts w:ascii="Arial" w:eastAsia="Arial" w:hAnsi="Arial" w:cs="Arial"/>
                <w:color w:val="000000"/>
                <w:sz w:val="22"/>
                <w:szCs w:val="22"/>
              </w:rPr>
              <w:tab/>
            </w:r>
          </w:hyperlink>
          <w:r>
            <w:fldChar w:fldCharType="begin"/>
          </w:r>
          <w:r>
            <w:instrText xml:space="preserve"> PAGEREF _ihb9tcq5lezr \h </w:instrText>
          </w:r>
          <w:r>
            <w:fldChar w:fldCharType="separate"/>
          </w:r>
          <w:r>
            <w:rPr>
              <w:rFonts w:ascii="Arial" w:eastAsia="Arial" w:hAnsi="Arial" w:cs="Arial"/>
              <w:sz w:val="22"/>
              <w:szCs w:val="22"/>
            </w:rPr>
            <w:t>4</w:t>
          </w:r>
          <w:r>
            <w:fldChar w:fldCharType="end"/>
          </w:r>
        </w:p>
        <w:p w14:paraId="00000018"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hyperlink w:anchor="_bxf3xj3w16fm">
            <w:r>
              <w:rPr>
                <w:rFonts w:ascii="Arial" w:eastAsia="Arial" w:hAnsi="Arial" w:cs="Arial"/>
                <w:color w:val="000000"/>
                <w:sz w:val="22"/>
                <w:szCs w:val="22"/>
              </w:rPr>
              <w:t>6. eCommerce Strategy</w:t>
            </w:r>
            <w:r>
              <w:rPr>
                <w:rFonts w:ascii="Arial" w:eastAsia="Arial" w:hAnsi="Arial" w:cs="Arial"/>
                <w:color w:val="000000"/>
                <w:sz w:val="22"/>
                <w:szCs w:val="22"/>
              </w:rPr>
              <w:tab/>
            </w:r>
          </w:hyperlink>
          <w:r>
            <w:fldChar w:fldCharType="begin"/>
          </w:r>
          <w:r>
            <w:instrText xml:space="preserve"> PAGEREF _bxf3xj3w16fm \h </w:instrText>
          </w:r>
          <w:r>
            <w:fldChar w:fldCharType="separate"/>
          </w:r>
          <w:r>
            <w:rPr>
              <w:rFonts w:ascii="Arial" w:eastAsia="Arial" w:hAnsi="Arial" w:cs="Arial"/>
              <w:sz w:val="22"/>
              <w:szCs w:val="22"/>
            </w:rPr>
            <w:t>6</w:t>
          </w:r>
          <w:r>
            <w:fldChar w:fldCharType="end"/>
          </w:r>
        </w:p>
        <w:p w14:paraId="00000019"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hyperlink w:anchor="_4uypaajaxm6h">
            <w:r>
              <w:rPr>
                <w:rFonts w:ascii="Arial" w:eastAsia="Arial" w:hAnsi="Arial" w:cs="Arial"/>
                <w:color w:val="000000"/>
                <w:sz w:val="22"/>
                <w:szCs w:val="22"/>
              </w:rPr>
              <w:t>7. Marketing Strategy</w:t>
            </w:r>
            <w:r>
              <w:rPr>
                <w:rFonts w:ascii="Arial" w:eastAsia="Arial" w:hAnsi="Arial" w:cs="Arial"/>
                <w:color w:val="000000"/>
                <w:sz w:val="22"/>
                <w:szCs w:val="22"/>
              </w:rPr>
              <w:tab/>
            </w:r>
          </w:hyperlink>
          <w:r>
            <w:fldChar w:fldCharType="begin"/>
          </w:r>
          <w:r>
            <w:instrText xml:space="preserve"> PAGEREF _4uypaajaxm6h \h </w:instrText>
          </w:r>
          <w:r>
            <w:fldChar w:fldCharType="separate"/>
          </w:r>
          <w:r>
            <w:rPr>
              <w:rFonts w:ascii="Arial" w:eastAsia="Arial" w:hAnsi="Arial" w:cs="Arial"/>
              <w:sz w:val="22"/>
              <w:szCs w:val="22"/>
            </w:rPr>
            <w:t>7</w:t>
          </w:r>
          <w:r>
            <w:fldChar w:fldCharType="end"/>
          </w:r>
        </w:p>
        <w:p w14:paraId="0000001A"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hyperlink w:anchor="_jvan9q14c9u8">
            <w:r>
              <w:rPr>
                <w:rFonts w:ascii="Arial" w:eastAsia="Arial" w:hAnsi="Arial" w:cs="Arial"/>
                <w:color w:val="000000"/>
                <w:sz w:val="22"/>
                <w:szCs w:val="22"/>
              </w:rPr>
              <w:t>8. Privacy and Data Protection</w:t>
            </w:r>
            <w:r>
              <w:rPr>
                <w:rFonts w:ascii="Arial" w:eastAsia="Arial" w:hAnsi="Arial" w:cs="Arial"/>
                <w:color w:val="000000"/>
                <w:sz w:val="22"/>
                <w:szCs w:val="22"/>
              </w:rPr>
              <w:tab/>
            </w:r>
          </w:hyperlink>
          <w:r>
            <w:fldChar w:fldCharType="begin"/>
          </w:r>
          <w:r>
            <w:instrText xml:space="preserve"> PAGEREF _jvan9q14c9u8 \h </w:instrText>
          </w:r>
          <w:r>
            <w:fldChar w:fldCharType="separate"/>
          </w:r>
          <w:r>
            <w:rPr>
              <w:rFonts w:ascii="Arial" w:eastAsia="Arial" w:hAnsi="Arial" w:cs="Arial"/>
              <w:sz w:val="22"/>
              <w:szCs w:val="22"/>
            </w:rPr>
            <w:t>9</w:t>
          </w:r>
          <w:r>
            <w:fldChar w:fldCharType="end"/>
          </w:r>
        </w:p>
        <w:p w14:paraId="0000001B"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hyperlink w:anchor="_fiu5autl28tx">
            <w:r>
              <w:rPr>
                <w:rFonts w:ascii="Arial" w:eastAsia="Arial" w:hAnsi="Arial" w:cs="Arial"/>
                <w:color w:val="000000"/>
                <w:sz w:val="22"/>
                <w:szCs w:val="22"/>
              </w:rPr>
              <w:t>9. Conclusion and Recommendations</w:t>
            </w:r>
            <w:r>
              <w:rPr>
                <w:rFonts w:ascii="Arial" w:eastAsia="Arial" w:hAnsi="Arial" w:cs="Arial"/>
                <w:color w:val="000000"/>
                <w:sz w:val="22"/>
                <w:szCs w:val="22"/>
              </w:rPr>
              <w:tab/>
            </w:r>
          </w:hyperlink>
          <w:r>
            <w:fldChar w:fldCharType="begin"/>
          </w:r>
          <w:r>
            <w:instrText xml:space="preserve"> PAGEREF _fiu5autl28tx \h </w:instrText>
          </w:r>
          <w:r>
            <w:fldChar w:fldCharType="separate"/>
          </w:r>
          <w:r>
            <w:rPr>
              <w:rFonts w:ascii="Arial" w:eastAsia="Arial" w:hAnsi="Arial" w:cs="Arial"/>
              <w:sz w:val="22"/>
              <w:szCs w:val="22"/>
            </w:rPr>
            <w:t>10</w:t>
          </w:r>
          <w:r>
            <w:fldChar w:fldCharType="end"/>
          </w:r>
        </w:p>
        <w:p w14:paraId="0000001C" w14:textId="77777777" w:rsidR="00AD3FA0" w:rsidRDefault="008B6A4F" w:rsidP="00A5053F">
          <w:pPr>
            <w:pStyle w:val="Normal1"/>
            <w:widowControl w:val="0"/>
            <w:tabs>
              <w:tab w:val="right" w:leader="dot" w:pos="9025"/>
            </w:tabs>
            <w:spacing w:before="60"/>
            <w:rPr>
              <w:rFonts w:ascii="Arial" w:eastAsia="Arial" w:hAnsi="Arial" w:cs="Arial"/>
              <w:color w:val="000000"/>
              <w:sz w:val="22"/>
              <w:szCs w:val="22"/>
            </w:rPr>
          </w:pPr>
          <w:hyperlink w:anchor="_xmsrqcvw3wag">
            <w:r>
              <w:rPr>
                <w:rFonts w:ascii="Arial" w:eastAsia="Arial" w:hAnsi="Arial" w:cs="Arial"/>
                <w:color w:val="000000"/>
                <w:sz w:val="22"/>
                <w:szCs w:val="22"/>
              </w:rPr>
              <w:t>10. Reference List</w:t>
            </w:r>
            <w:r>
              <w:rPr>
                <w:rFonts w:ascii="Arial" w:eastAsia="Arial" w:hAnsi="Arial" w:cs="Arial"/>
                <w:color w:val="000000"/>
                <w:sz w:val="22"/>
                <w:szCs w:val="22"/>
              </w:rPr>
              <w:tab/>
            </w:r>
          </w:hyperlink>
          <w:r>
            <w:fldChar w:fldCharType="begin"/>
          </w:r>
          <w:r>
            <w:instrText xml:space="preserve"> PAGEREF _xmsrqcvw3wag \h </w:instrText>
          </w:r>
          <w:r>
            <w:fldChar w:fldCharType="separate"/>
          </w:r>
          <w:r>
            <w:rPr>
              <w:rFonts w:ascii="Arial" w:eastAsia="Arial" w:hAnsi="Arial" w:cs="Arial"/>
              <w:sz w:val="22"/>
              <w:szCs w:val="22"/>
            </w:rPr>
            <w:t>11</w:t>
          </w:r>
          <w:r>
            <w:fldChar w:fldCharType="end"/>
          </w:r>
          <w:r>
            <w:fldChar w:fldCharType="end"/>
          </w:r>
        </w:p>
      </w:sdtContent>
    </w:sdt>
    <w:p w14:paraId="0000001D" w14:textId="77777777" w:rsidR="00AD3FA0" w:rsidRDefault="00AD3FA0" w:rsidP="00A5053F">
      <w:pPr>
        <w:pStyle w:val="Normal1"/>
        <w:spacing w:before="240" w:after="240"/>
        <w:rPr>
          <w:rFonts w:ascii="Arial" w:eastAsia="Arial" w:hAnsi="Arial" w:cs="Arial"/>
          <w:sz w:val="22"/>
          <w:szCs w:val="22"/>
        </w:rPr>
      </w:pPr>
    </w:p>
    <w:p w14:paraId="0000001E" w14:textId="77777777" w:rsidR="00AD3FA0" w:rsidRDefault="008B6A4F" w:rsidP="00A5053F">
      <w:pPr>
        <w:pStyle w:val="Normal1"/>
        <w:spacing w:before="240" w:after="240"/>
        <w:rPr>
          <w:rFonts w:ascii="Arial" w:eastAsia="Arial" w:hAnsi="Arial" w:cs="Arial"/>
          <w:b/>
          <w:sz w:val="22"/>
          <w:szCs w:val="22"/>
        </w:rPr>
      </w:pPr>
      <w:r>
        <w:br w:type="page"/>
      </w:r>
    </w:p>
    <w:p w14:paraId="0000001F" w14:textId="77777777" w:rsidR="00AD3FA0" w:rsidRDefault="008B6A4F" w:rsidP="00A5053F">
      <w:pPr>
        <w:pStyle w:val="Heading1"/>
      </w:pPr>
      <w:bookmarkStart w:id="0" w:name="_rc8ne0enyq7w" w:colFirst="0" w:colLast="0"/>
      <w:bookmarkEnd w:id="0"/>
      <w:r>
        <w:lastRenderedPageBreak/>
        <w:t xml:space="preserve">2. Executive Summary </w:t>
      </w:r>
    </w:p>
    <w:p w14:paraId="00000020"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FlexiHealth is the name of the product which is a wearable device for health monitoring (AI-based) as well as this has been effectively designed by implementing all advanced technology. This product is suitable for health issues like physical and mental health, stress levels, stamina and many more.   </w:t>
      </w:r>
    </w:p>
    <w:p w14:paraId="00000021"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VitaInnovation will promote FlexiHealth products through digital markets such as eCommerce platforms which must cater to both domestic and global consumers. The report summarises that VitaInnovation can face major competition in the UK market from Fitbit, Apple and many more.   </w:t>
      </w:r>
    </w:p>
    <w:p w14:paraId="00000022"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VitaInnovation to promote FlexiHealth products will use Shopify, eBay, and Amazon as third-party online sites. The marketers will use copywriting, and different social media platforms like Facebook to reach a large number of customers in a short period. To sell products, the company offers customers PayPal and card payment options. The targeted age group for this product is 22-60 years old.      </w:t>
      </w:r>
    </w:p>
    <w:p w14:paraId="00000023"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VitaInnovation can apply the Data Protection Act 2018/GDPR, PECR to protect the data of the customers. The company will also implement Home Office Cryptography Standard and Policy which require all data to be encrypted effectively whether it is in transit or at rest.   </w:t>
      </w:r>
    </w:p>
    <w:p w14:paraId="00000024" w14:textId="77777777" w:rsidR="00AD3FA0" w:rsidRDefault="008B6A4F" w:rsidP="00A5053F">
      <w:pPr>
        <w:pStyle w:val="Heading1"/>
      </w:pPr>
      <w:bookmarkStart w:id="1" w:name="_qbftx2ysouzh" w:colFirst="0" w:colLast="0"/>
      <w:bookmarkEnd w:id="1"/>
      <w:r>
        <w:t xml:space="preserve">3. Introduction </w:t>
      </w:r>
    </w:p>
    <w:p w14:paraId="00000025"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Innovation and creativity are a very significant part of the business which support enhancing growth, provide competitiveness, and make the company adaptable to the current trends (Tidd and Bessant, 2020). Innovation refers to the development of new products or processes while creativity refers to things in different or unique ways to provide a unique solution to the market. In the present market dynamics, the business has been facing harsh competition and the company needs to make the changes as per the cu</w:t>
      </w:r>
      <w:r>
        <w:rPr>
          <w:rFonts w:ascii="Arial" w:eastAsia="Arial" w:hAnsi="Arial" w:cs="Arial"/>
          <w:sz w:val="22"/>
          <w:szCs w:val="22"/>
        </w:rPr>
        <w:t xml:space="preserve">rrent trends through receiving the feedback of the customers. The current market scenario demonstrates that 79% of the businesses prioritise innovation in their business and 66% have increased their s[pending to get competitive advantages (Manly </w:t>
      </w:r>
      <w:r>
        <w:rPr>
          <w:rFonts w:ascii="Arial" w:eastAsia="Arial" w:hAnsi="Arial" w:cs="Arial"/>
          <w:i/>
          <w:sz w:val="22"/>
          <w:szCs w:val="22"/>
        </w:rPr>
        <w:t>et al.</w:t>
      </w:r>
      <w:r>
        <w:rPr>
          <w:rFonts w:ascii="Arial" w:eastAsia="Arial" w:hAnsi="Arial" w:cs="Arial"/>
          <w:sz w:val="22"/>
          <w:szCs w:val="22"/>
        </w:rPr>
        <w:t>, 2024). The report will focus on the inclusion of innovative products or services along with a detailed description of it. Provide the strategy that how the product or services will operate on the eCommerce platforms and also assert on the marketing to promot</w:t>
      </w:r>
      <w:r>
        <w:rPr>
          <w:rFonts w:ascii="Arial" w:eastAsia="Arial" w:hAnsi="Arial" w:cs="Arial"/>
          <w:sz w:val="22"/>
          <w:szCs w:val="22"/>
        </w:rPr>
        <w:t xml:space="preserve">e. It will cover various elements like social media platforms, customer journeys, and clothes. It will incorporate the view of privacy and data protection including acts to secure the products or services and also write their importance. </w:t>
      </w:r>
    </w:p>
    <w:p w14:paraId="00000026" w14:textId="77777777" w:rsidR="00AD3FA0" w:rsidRDefault="008B6A4F" w:rsidP="00A5053F">
      <w:pPr>
        <w:pStyle w:val="Heading1"/>
      </w:pPr>
      <w:bookmarkStart w:id="2" w:name="_t0c7q38lwxmq" w:colFirst="0" w:colLast="0"/>
      <w:bookmarkEnd w:id="2"/>
      <w:r>
        <w:lastRenderedPageBreak/>
        <w:t xml:space="preserve">4. Innovation Concept and Theoretical Framework </w:t>
      </w:r>
    </w:p>
    <w:p w14:paraId="00000027"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Critical reflection on the innovation concept</w:t>
      </w:r>
    </w:p>
    <w:p w14:paraId="00000028"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 xml:space="preserve">The innovative concept is FlexiHealth which will replace traditional health monitoring devices. It can be seen as a health diagnostic tool rather than a fitness tracker. It includes various advanced technologies like AI and it leads to a shift in the expectation of the customers with a time investment and get the solutions of comprehensive health monitoring. It will not only monitor the simple health issue like measuring heart rate or blood pressure but also carter with the complex health solutions. </w:t>
      </w:r>
    </w:p>
    <w:p w14:paraId="00000029"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Application of relevant innovation models and theories</w:t>
      </w:r>
    </w:p>
    <w:p w14:paraId="0000002A"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 xml:space="preserve">The development of FlexiHealth directly resonates with the implementation of </w:t>
      </w:r>
      <w:r>
        <w:rPr>
          <w:rFonts w:ascii="Arial" w:eastAsia="Arial" w:hAnsi="Arial" w:cs="Arial"/>
          <w:b/>
          <w:i/>
          <w:sz w:val="22"/>
          <w:szCs w:val="22"/>
        </w:rPr>
        <w:t>Disruptive Innovation Theory</w:t>
      </w:r>
      <w:r>
        <w:rPr>
          <w:rFonts w:ascii="Arial" w:eastAsia="Arial" w:hAnsi="Arial" w:cs="Arial"/>
          <w:sz w:val="22"/>
          <w:szCs w:val="22"/>
        </w:rPr>
        <w:t xml:space="preserve"> which was developed by Clayton Christensen (Si and Chen, 2020). As per this theory, the innovation begins by targeting a niche that can cater to a broader audience. The products are equipped with advanced technology which cater better than the existing ones. After the implementation of </w:t>
      </w:r>
      <w:r>
        <w:rPr>
          <w:rFonts w:ascii="Arial" w:eastAsia="Arial" w:hAnsi="Arial" w:cs="Arial"/>
          <w:b/>
          <w:i/>
          <w:sz w:val="22"/>
          <w:szCs w:val="22"/>
        </w:rPr>
        <w:t>the Blue Ocean Strategy</w:t>
      </w:r>
      <w:r>
        <w:rPr>
          <w:rFonts w:ascii="Arial" w:eastAsia="Arial" w:hAnsi="Arial" w:cs="Arial"/>
          <w:sz w:val="22"/>
          <w:szCs w:val="22"/>
        </w:rPr>
        <w:t xml:space="preserve">, the company can implement it into the new market by combining the features of the products (Sadiq </w:t>
      </w:r>
      <w:r>
        <w:rPr>
          <w:rFonts w:ascii="Arial" w:eastAsia="Arial" w:hAnsi="Arial" w:cs="Arial"/>
          <w:i/>
          <w:sz w:val="22"/>
          <w:szCs w:val="22"/>
        </w:rPr>
        <w:t>et al.</w:t>
      </w:r>
      <w:r>
        <w:rPr>
          <w:rFonts w:ascii="Arial" w:eastAsia="Arial" w:hAnsi="Arial" w:cs="Arial"/>
          <w:sz w:val="22"/>
          <w:szCs w:val="22"/>
        </w:rPr>
        <w:t>, 2021). The same features offered by FlexiHealth like the inclusio</w:t>
      </w:r>
      <w:r>
        <w:rPr>
          <w:rFonts w:ascii="Arial" w:eastAsia="Arial" w:hAnsi="Arial" w:cs="Arial"/>
          <w:sz w:val="22"/>
          <w:szCs w:val="22"/>
        </w:rPr>
        <w:t xml:space="preserve">n of mental health monitoring with the complex and comprehensive diagnostic of the customers. </w:t>
      </w:r>
    </w:p>
    <w:p w14:paraId="0000002B"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Key characteristics of the innovation and creativity processes</w:t>
      </w:r>
    </w:p>
    <w:p w14:paraId="0000002C"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 xml:space="preserve">The innovation processes followed by the company in the development of FlexiHealth emphasise </w:t>
      </w:r>
      <w:r>
        <w:rPr>
          <w:rFonts w:ascii="Arial" w:eastAsia="Arial" w:hAnsi="Arial" w:cs="Arial"/>
          <w:b/>
          <w:i/>
          <w:sz w:val="22"/>
          <w:szCs w:val="22"/>
        </w:rPr>
        <w:t>user-centred innovation</w:t>
      </w:r>
      <w:r>
        <w:rPr>
          <w:rFonts w:ascii="Arial" w:eastAsia="Arial" w:hAnsi="Arial" w:cs="Arial"/>
          <w:sz w:val="22"/>
          <w:szCs w:val="22"/>
        </w:rPr>
        <w:t xml:space="preserve"> along with customizability. In this way, the company has catered to the diverse needs of customers like adults, parents, women, and older people. </w:t>
      </w:r>
    </w:p>
    <w:p w14:paraId="0000002D"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Role of design thinking in developing the product</w:t>
      </w:r>
    </w:p>
    <w:p w14:paraId="0000002E"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 xml:space="preserve">Design Thinking plays a vital role in the development of FlexiHealth because first, it provides a detailed understanding of the needs of the customers (Magistretti </w:t>
      </w:r>
      <w:r>
        <w:rPr>
          <w:rFonts w:ascii="Arial" w:eastAsia="Arial" w:hAnsi="Arial" w:cs="Arial"/>
          <w:i/>
          <w:sz w:val="22"/>
          <w:szCs w:val="22"/>
        </w:rPr>
        <w:t>et al</w:t>
      </w:r>
      <w:r>
        <w:rPr>
          <w:rFonts w:ascii="Arial" w:eastAsia="Arial" w:hAnsi="Arial" w:cs="Arial"/>
          <w:sz w:val="22"/>
          <w:szCs w:val="22"/>
        </w:rPr>
        <w:t xml:space="preserve">., 2021). After that, the company develops the products in a way that meets the diverse needs of the customers while meeting real-world health concerns. Through the help of iterative prototyping, the company can collect user feedback and implement this on a small scale as testing and then come out to the broader platform. </w:t>
      </w:r>
    </w:p>
    <w:p w14:paraId="0000002F" w14:textId="77777777" w:rsidR="00AD3FA0" w:rsidRDefault="008B6A4F" w:rsidP="00A5053F">
      <w:pPr>
        <w:pStyle w:val="Heading1"/>
      </w:pPr>
      <w:bookmarkStart w:id="3" w:name="_ihb9tcq5lezr" w:colFirst="0" w:colLast="0"/>
      <w:bookmarkEnd w:id="3"/>
      <w:r>
        <w:t xml:space="preserve">5. Innovative Product OR Unique Service Proposition </w:t>
      </w:r>
    </w:p>
    <w:p w14:paraId="00000030"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Products</w:t>
      </w:r>
    </w:p>
    <w:p w14:paraId="00000031"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 xml:space="preserve">The name of the product is FlexiHealth which is an AI-based wearable health monitoring device and it has been designed using all the advanced technology. This product has multiple features which fill the gap in the market by providing many health monitoring solutions. The products are designed to primarily wear on the belly but the customization of the products allows them to be worn in any part of the body. FlexiHealth is very useful for monitoring many </w:t>
      </w:r>
      <w:r>
        <w:rPr>
          <w:rFonts w:ascii="Arial" w:eastAsia="Arial" w:hAnsi="Arial" w:cs="Arial"/>
          <w:sz w:val="22"/>
          <w:szCs w:val="22"/>
        </w:rPr>
        <w:lastRenderedPageBreak/>
        <w:t xml:space="preserve">health issues like mental health, stress level, physical health, stamina, and predicting the deficiencies of any nutritional elements. After that, it has advanced features which allow it to monitor CT scans and X-rays which is a very unique feature of this product. </w:t>
      </w:r>
    </w:p>
    <w:p w14:paraId="00000032"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Target Customers</w:t>
      </w:r>
    </w:p>
    <w:p w14:paraId="00000033"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FlexiHealth has a broader demographic that incorporates families from children to seniors, all the individuals who are very conscious of their health, and the women who are looking for personalized health monitoring. After that, this product is mostly used by elderly people because of facing several health issues. It will also attract the tech-driven costumes who are looking for the day-to-day solutions. In addition to this, it can be recommended by the healthcare staff to the patients for the fast health c</w:t>
      </w:r>
      <w:r>
        <w:rPr>
          <w:rFonts w:ascii="Arial" w:eastAsia="Arial" w:hAnsi="Arial" w:cs="Arial"/>
          <w:sz w:val="22"/>
          <w:szCs w:val="22"/>
        </w:rPr>
        <w:t xml:space="preserve">heck-up. </w:t>
      </w:r>
    </w:p>
    <w:p w14:paraId="00000034"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Where and How to Sell the Products</w:t>
      </w:r>
    </w:p>
    <w:p w14:paraId="00000035"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This product will mainly be sold to the online market like eCommerce platforms that will cater to both international and domestic customers. After that, it will have unique websites that will provide detailed information about the products, and also customization will be available for different customers. The products will be promoted through healthcare providers, wellness influencers, and also by fitness centres. Additionally, the physical touchpoint of the customers is to partner with the pharmacies and v</w:t>
      </w:r>
      <w:r>
        <w:rPr>
          <w:rFonts w:ascii="Arial" w:eastAsia="Arial" w:hAnsi="Arial" w:cs="Arial"/>
          <w:sz w:val="22"/>
          <w:szCs w:val="22"/>
        </w:rPr>
        <w:t xml:space="preserve">arious health stores. </w:t>
      </w:r>
    </w:p>
    <w:p w14:paraId="00000036"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Name of the Venture</w:t>
      </w:r>
    </w:p>
    <w:p w14:paraId="00000037"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 xml:space="preserve">FlexiHelath will be offered by </w:t>
      </w:r>
      <w:r>
        <w:rPr>
          <w:rFonts w:ascii="Arial" w:eastAsia="Arial" w:hAnsi="Arial" w:cs="Arial"/>
          <w:b/>
          <w:i/>
          <w:sz w:val="22"/>
          <w:szCs w:val="22"/>
        </w:rPr>
        <w:t xml:space="preserve">VitaInnovation </w:t>
      </w:r>
      <w:r>
        <w:rPr>
          <w:rFonts w:ascii="Arial" w:eastAsia="Arial" w:hAnsi="Arial" w:cs="Arial"/>
          <w:sz w:val="22"/>
          <w:szCs w:val="22"/>
        </w:rPr>
        <w:t xml:space="preserve">which shows the commitment to continuous innovation toward the health and well-being of the customers. </w:t>
      </w:r>
    </w:p>
    <w:p w14:paraId="00000038"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 xml:space="preserve">Sustainability of the Business Proposition </w:t>
      </w:r>
    </w:p>
    <w:p w14:paraId="00000039"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 xml:space="preserve">FlexiHealth is not only a product but it has a unique identity in the market owing to the sustainable business proposition. The products are designed from sustainable materials and designed with the purpose of long-term use, so there is no need to replace them in a short period. The packaging of the product completely relies on recycled material. The company will collect the older device under a take-back program to dispose of and use in the manufacturing. The company will update the software regularly and </w:t>
      </w:r>
      <w:r>
        <w:rPr>
          <w:rFonts w:ascii="Arial" w:eastAsia="Arial" w:hAnsi="Arial" w:cs="Arial"/>
          <w:sz w:val="22"/>
          <w:szCs w:val="22"/>
        </w:rPr>
        <w:t xml:space="preserve">the company is also committed to the smooth functionality. </w:t>
      </w:r>
    </w:p>
    <w:p w14:paraId="0000003A" w14:textId="77777777" w:rsidR="00AD3FA0" w:rsidRDefault="008B6A4F" w:rsidP="00A5053F">
      <w:pPr>
        <w:pStyle w:val="Normal1"/>
        <w:rPr>
          <w:rFonts w:ascii="Arial" w:eastAsia="Arial" w:hAnsi="Arial" w:cs="Arial"/>
          <w:b/>
          <w:sz w:val="22"/>
          <w:szCs w:val="22"/>
        </w:rPr>
      </w:pPr>
      <w:r>
        <w:rPr>
          <w:rFonts w:ascii="Arial" w:eastAsia="Arial" w:hAnsi="Arial" w:cs="Arial"/>
          <w:b/>
          <w:sz w:val="22"/>
          <w:szCs w:val="22"/>
        </w:rPr>
        <w:t xml:space="preserve">Competitor Analysis </w:t>
      </w:r>
    </w:p>
    <w:p w14:paraId="0000003B" w14:textId="77777777" w:rsidR="00AD3FA0" w:rsidRDefault="008B6A4F" w:rsidP="00A5053F">
      <w:pPr>
        <w:pStyle w:val="Normal1"/>
        <w:rPr>
          <w:rFonts w:ascii="Arial" w:eastAsia="Arial" w:hAnsi="Arial" w:cs="Arial"/>
          <w:sz w:val="22"/>
          <w:szCs w:val="22"/>
        </w:rPr>
      </w:pPr>
      <w:r>
        <w:rPr>
          <w:rFonts w:ascii="Arial" w:eastAsia="Arial" w:hAnsi="Arial" w:cs="Arial"/>
          <w:sz w:val="22"/>
          <w:szCs w:val="22"/>
        </w:rPr>
        <w:t xml:space="preserve">FlexiHelath is going to enter into a competitive market in the UK where many existing brands already operate in this market. The key competitors are Apple, Fitbit, Garmin and others. They have a robust presence in the market. </w:t>
      </w:r>
      <w:r>
        <w:rPr>
          <w:rFonts w:ascii="Arial" w:eastAsia="Arial" w:hAnsi="Arial" w:cs="Arial"/>
          <w:b/>
          <w:i/>
          <w:sz w:val="22"/>
          <w:szCs w:val="22"/>
        </w:rPr>
        <w:t xml:space="preserve">Apple </w:t>
      </w:r>
      <w:r>
        <w:rPr>
          <w:rFonts w:ascii="Arial" w:eastAsia="Arial" w:hAnsi="Arial" w:cs="Arial"/>
          <w:sz w:val="22"/>
          <w:szCs w:val="22"/>
        </w:rPr>
        <w:t xml:space="preserve">is a top player in the market which holds a 30% share in wearable products in the UK (Coolest-Gadgets, 2023). It has several features like blood oxygen measurements, ECG monitoring, and also a measure of fall detection. After that </w:t>
      </w:r>
      <w:r>
        <w:rPr>
          <w:rFonts w:ascii="Arial" w:eastAsia="Arial" w:hAnsi="Arial" w:cs="Arial"/>
          <w:b/>
          <w:i/>
          <w:sz w:val="22"/>
          <w:szCs w:val="22"/>
        </w:rPr>
        <w:t xml:space="preserve">Fitbit </w:t>
      </w:r>
      <w:r>
        <w:rPr>
          <w:rFonts w:ascii="Arial" w:eastAsia="Arial" w:hAnsi="Arial" w:cs="Arial"/>
          <w:sz w:val="22"/>
          <w:szCs w:val="22"/>
        </w:rPr>
        <w:t xml:space="preserve">is one of the major competitors in the UK market for FlexiHealth products. This product is very essential for measuring emotional and physical responses and aids in improving health outcomes (Fitbit, 2024). The products offered by these companies are a combination of </w:t>
      </w:r>
      <w:r>
        <w:rPr>
          <w:rFonts w:ascii="Arial" w:eastAsia="Arial" w:hAnsi="Arial" w:cs="Arial"/>
          <w:sz w:val="22"/>
          <w:szCs w:val="22"/>
        </w:rPr>
        <w:lastRenderedPageBreak/>
        <w:t>physical and emotional health. On the other hand, FlexiHealth offers a holistic approach that can measure health issues from any body part along with X-ray and CT-scan. It can be seen that competitors like Apple and Fitbit sell their products on online platforms and they have partnerships with fitness and health clubs as well as sell on their websites.</w:t>
      </w:r>
    </w:p>
    <w:p w14:paraId="0000003C" w14:textId="77777777" w:rsidR="00AD3FA0" w:rsidRDefault="008B6A4F" w:rsidP="00A5053F">
      <w:pPr>
        <w:pStyle w:val="Heading1"/>
      </w:pPr>
      <w:bookmarkStart w:id="4" w:name="_bxf3xj3w16fm" w:colFirst="0" w:colLast="0"/>
      <w:bookmarkEnd w:id="4"/>
      <w:r>
        <w:t>6. eCommerce Strategy</w:t>
      </w:r>
    </w:p>
    <w:p w14:paraId="0000003D" w14:textId="77777777" w:rsidR="00AD3FA0" w:rsidRDefault="008B6A4F" w:rsidP="00A5053F">
      <w:pPr>
        <w:pStyle w:val="Normal1"/>
        <w:numPr>
          <w:ilvl w:val="0"/>
          <w:numId w:val="2"/>
        </w:numPr>
        <w:spacing w:before="240"/>
        <w:rPr>
          <w:rFonts w:ascii="Arial" w:eastAsia="Arial" w:hAnsi="Arial" w:cs="Arial"/>
          <w:sz w:val="22"/>
          <w:szCs w:val="22"/>
        </w:rPr>
      </w:pPr>
      <w:r>
        <w:rPr>
          <w:rFonts w:ascii="Arial" w:eastAsia="Arial" w:hAnsi="Arial" w:cs="Arial"/>
          <w:sz w:val="22"/>
          <w:szCs w:val="22"/>
        </w:rPr>
        <w:t>Proposal for setting up an online website</w:t>
      </w:r>
    </w:p>
    <w:p w14:paraId="0000003E" w14:textId="77777777" w:rsidR="00AD3FA0" w:rsidRDefault="008B6A4F" w:rsidP="00A5053F">
      <w:pPr>
        <w:pStyle w:val="Normal1"/>
        <w:numPr>
          <w:ilvl w:val="1"/>
          <w:numId w:val="2"/>
        </w:numPr>
        <w:spacing w:after="240"/>
        <w:rPr>
          <w:rFonts w:ascii="Arial" w:eastAsia="Arial" w:hAnsi="Arial" w:cs="Arial"/>
          <w:sz w:val="22"/>
          <w:szCs w:val="22"/>
        </w:rPr>
      </w:pPr>
      <w:r>
        <w:rPr>
          <w:rFonts w:ascii="Arial" w:eastAsia="Arial" w:hAnsi="Arial" w:cs="Arial"/>
          <w:b/>
          <w:sz w:val="22"/>
          <w:szCs w:val="22"/>
        </w:rPr>
        <w:t>Choice of platform</w:t>
      </w:r>
      <w:r>
        <w:rPr>
          <w:rFonts w:ascii="Arial" w:eastAsia="Arial" w:hAnsi="Arial" w:cs="Arial"/>
          <w:sz w:val="22"/>
          <w:szCs w:val="22"/>
        </w:rPr>
        <w:t xml:space="preserve">: </w:t>
      </w:r>
    </w:p>
    <w:p w14:paraId="0000003F"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VitaInnovation is going to launch and promote its 'FlexiHealth' product on multiple platforms such as Saas or the marketplace. FlexiHealth items will be introduced and promoted on Shopify, Amazon or eBay. Increasing online presence can help VitaInnovation reach a massive number of consumers in a short period. Through, Shopify, eBay and Amazon this 'FlexiHealth' item can be promoted and sold in a cost-cutting manner. Through these platforms, VitaInnovation can effectively engage with customers and increase t</w:t>
      </w:r>
      <w:r>
        <w:rPr>
          <w:rFonts w:ascii="Arial" w:eastAsia="Arial" w:hAnsi="Arial" w:cs="Arial"/>
          <w:sz w:val="22"/>
          <w:szCs w:val="22"/>
        </w:rPr>
        <w:t xml:space="preserve">heir scalability. This will also create a competitive advantage in the UK market in the upcoming days. This way credibility and trust will be developed and it will increase sustainability. Customers will use these online platforms more to purchase 'FlexiHealth' items because of the easy payment processing.        </w:t>
      </w:r>
    </w:p>
    <w:p w14:paraId="00000040" w14:textId="77777777" w:rsidR="00AD3FA0" w:rsidRDefault="008B6A4F" w:rsidP="00A5053F">
      <w:pPr>
        <w:pStyle w:val="Normal1"/>
        <w:numPr>
          <w:ilvl w:val="1"/>
          <w:numId w:val="2"/>
        </w:numPr>
        <w:spacing w:before="240" w:after="240"/>
        <w:rPr>
          <w:rFonts w:ascii="Arial" w:eastAsia="Arial" w:hAnsi="Arial" w:cs="Arial"/>
          <w:b/>
          <w:sz w:val="22"/>
          <w:szCs w:val="22"/>
        </w:rPr>
      </w:pPr>
      <w:r>
        <w:rPr>
          <w:rFonts w:ascii="Arial" w:eastAsia="Arial" w:hAnsi="Arial" w:cs="Arial"/>
          <w:b/>
          <w:sz w:val="22"/>
          <w:szCs w:val="22"/>
        </w:rPr>
        <w:t>Content creation: Copywriting and photography</w:t>
      </w:r>
    </w:p>
    <w:p w14:paraId="00000041"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VitaInnovation to increase the awareness of customers on its new FlexiHealth product will upload quality photos with proper and concise details about product features, price, design, colours and many more. To make customers aware more about the product, its USP and the benefits of using the product, VitaInnovation can use a copywriting strategy. This strategy will help VitaInnovation to increase its brand awareness and generate more sales of ‘FlexiHealth’ items. Through copywriting, the marketers of the com</w:t>
      </w:r>
      <w:r>
        <w:rPr>
          <w:rFonts w:ascii="Arial" w:eastAsia="Arial" w:hAnsi="Arial" w:cs="Arial"/>
          <w:sz w:val="22"/>
          <w:szCs w:val="22"/>
        </w:rPr>
        <w:t xml:space="preserve">pany can improve the search engine rankings. Customers or viewers can easily determine the new healthcare product ‘FlexiHealth’ after their search. In the upcoming days, copyright may also support the interaction of the unique selling proposition and value of the brand to both existing and new customers.        </w:t>
      </w:r>
    </w:p>
    <w:p w14:paraId="00000042" w14:textId="77777777" w:rsidR="00AD3FA0" w:rsidRDefault="008B6A4F" w:rsidP="00A5053F">
      <w:pPr>
        <w:pStyle w:val="Normal1"/>
        <w:numPr>
          <w:ilvl w:val="1"/>
          <w:numId w:val="2"/>
        </w:numPr>
        <w:spacing w:before="240" w:after="240"/>
        <w:rPr>
          <w:rFonts w:ascii="Arial" w:eastAsia="Arial" w:hAnsi="Arial" w:cs="Arial"/>
          <w:b/>
          <w:sz w:val="22"/>
          <w:szCs w:val="22"/>
        </w:rPr>
      </w:pPr>
      <w:r>
        <w:rPr>
          <w:rFonts w:ascii="Arial" w:eastAsia="Arial" w:hAnsi="Arial" w:cs="Arial"/>
          <w:b/>
          <w:sz w:val="22"/>
          <w:szCs w:val="22"/>
        </w:rPr>
        <w:t>Payment services: Card payments, PayPal, PCI-DSS compliance</w:t>
      </w:r>
    </w:p>
    <w:p w14:paraId="00000043"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VitaInnovation will reach domestic as well as international customers through third-party online platforms and its website and email. During the purchase, consumers can easily make payments for ‘FlexiHealth’ products through PayPal, Card payments and many more. Domestic consumers can pay via card payments and PCI-DSS compliance. The international </w:t>
      </w:r>
      <w:r>
        <w:rPr>
          <w:rFonts w:ascii="Arial" w:eastAsia="Arial" w:hAnsi="Arial" w:cs="Arial"/>
          <w:sz w:val="22"/>
          <w:szCs w:val="22"/>
        </w:rPr>
        <w:lastRenderedPageBreak/>
        <w:t xml:space="preserve">customers can also pay via PayPal. It will help VitaInnovation to expand its business in both domestic and international areas and create brand awareness. Customers will also accept this because of its cost-effectiveness. The payment gateways are secure which builds trust and credibility to the customers.   </w:t>
      </w:r>
    </w:p>
    <w:p w14:paraId="00000044" w14:textId="77777777" w:rsidR="00AD3FA0" w:rsidRDefault="008B6A4F" w:rsidP="00A5053F">
      <w:pPr>
        <w:pStyle w:val="Normal1"/>
        <w:numPr>
          <w:ilvl w:val="0"/>
          <w:numId w:val="2"/>
        </w:numPr>
        <w:spacing w:before="240" w:after="240"/>
        <w:rPr>
          <w:rFonts w:ascii="Arial" w:eastAsia="Arial" w:hAnsi="Arial" w:cs="Arial"/>
          <w:b/>
          <w:sz w:val="22"/>
          <w:szCs w:val="22"/>
        </w:rPr>
      </w:pPr>
      <w:r>
        <w:rPr>
          <w:rFonts w:ascii="Arial" w:eastAsia="Arial" w:hAnsi="Arial" w:cs="Arial"/>
          <w:b/>
          <w:sz w:val="22"/>
          <w:szCs w:val="22"/>
        </w:rPr>
        <w:t>Overview of the online store’s functionality and user experience</w:t>
      </w:r>
    </w:p>
    <w:p w14:paraId="00000045"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E-commerce stores and digital platforms offer customers the overall experience of the consumers while communicating with the online store. The major goal of effective user experience design is to develop a positive digital shopping experience without friction. Users of the 'FlexiHealth' product can get a better experience using Amazon, and Shopify platforms as well as Paypal-like payment gateways.       </w:t>
      </w:r>
    </w:p>
    <w:p w14:paraId="00000046" w14:textId="77777777" w:rsidR="00AD3FA0" w:rsidRDefault="008B6A4F" w:rsidP="00A5053F">
      <w:pPr>
        <w:pStyle w:val="Heading1"/>
      </w:pPr>
      <w:bookmarkStart w:id="5" w:name="_4uypaajaxm6h" w:colFirst="0" w:colLast="0"/>
      <w:bookmarkEnd w:id="5"/>
      <w:r>
        <w:t xml:space="preserve">7. Marketing Strategy </w:t>
      </w:r>
    </w:p>
    <w:p w14:paraId="00000047" w14:textId="77777777" w:rsidR="00AD3FA0" w:rsidRDefault="008B6A4F" w:rsidP="00A5053F">
      <w:pPr>
        <w:pStyle w:val="Normal1"/>
        <w:numPr>
          <w:ilvl w:val="0"/>
          <w:numId w:val="1"/>
        </w:numPr>
        <w:spacing w:before="240" w:after="240"/>
        <w:rPr>
          <w:rFonts w:ascii="Arial" w:eastAsia="Arial" w:hAnsi="Arial" w:cs="Arial"/>
          <w:b/>
          <w:sz w:val="22"/>
          <w:szCs w:val="22"/>
        </w:rPr>
      </w:pPr>
      <w:r>
        <w:rPr>
          <w:rFonts w:ascii="Arial" w:eastAsia="Arial" w:hAnsi="Arial" w:cs="Arial"/>
          <w:b/>
          <w:sz w:val="22"/>
          <w:szCs w:val="22"/>
        </w:rPr>
        <w:t>Identification of target customers and market segmentation</w:t>
      </w:r>
    </w:p>
    <w:p w14:paraId="00000048"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VitaInnovation will target both young and old generations who are health freaks and prefer to keep themselves fit and healthy. Both males and females have targeted customers who are tech-savvy and frequently use different digital media platforms. </w:t>
      </w:r>
    </w:p>
    <w:p w14:paraId="00000049" w14:textId="77777777" w:rsidR="00AD3FA0" w:rsidRDefault="008B6A4F" w:rsidP="00A5053F">
      <w:pPr>
        <w:pStyle w:val="Normal1"/>
        <w:spacing w:before="240" w:after="240"/>
        <w:rPr>
          <w:rFonts w:ascii="Arial" w:eastAsia="Arial" w:hAnsi="Arial" w:cs="Arial"/>
          <w:b/>
          <w:sz w:val="22"/>
          <w:szCs w:val="22"/>
        </w:rPr>
      </w:pPr>
      <w:r>
        <w:rPr>
          <w:rFonts w:ascii="Arial" w:eastAsia="Arial" w:hAnsi="Arial" w:cs="Arial"/>
          <w:b/>
          <w:sz w:val="22"/>
          <w:szCs w:val="22"/>
        </w:rPr>
        <w:t xml:space="preserve">Demographic segmentation </w:t>
      </w:r>
    </w:p>
    <w:p w14:paraId="0000004A" w14:textId="77777777" w:rsidR="00AD3FA0" w:rsidRDefault="008B6A4F" w:rsidP="00A5053F">
      <w:pPr>
        <w:pStyle w:val="Normal1"/>
        <w:numPr>
          <w:ilvl w:val="0"/>
          <w:numId w:val="4"/>
        </w:numPr>
        <w:spacing w:before="240"/>
        <w:rPr>
          <w:rFonts w:ascii="Arial" w:eastAsia="Arial" w:hAnsi="Arial" w:cs="Arial"/>
          <w:b/>
          <w:sz w:val="22"/>
          <w:szCs w:val="22"/>
        </w:rPr>
      </w:pPr>
      <w:r>
        <w:rPr>
          <w:rFonts w:ascii="Arial" w:eastAsia="Arial" w:hAnsi="Arial" w:cs="Arial"/>
          <w:b/>
          <w:sz w:val="22"/>
          <w:szCs w:val="22"/>
        </w:rPr>
        <w:t xml:space="preserve">Age- </w:t>
      </w:r>
      <w:r>
        <w:rPr>
          <w:rFonts w:ascii="Arial" w:eastAsia="Arial" w:hAnsi="Arial" w:cs="Arial"/>
          <w:sz w:val="22"/>
          <w:szCs w:val="22"/>
        </w:rPr>
        <w:t xml:space="preserve">22-60 years old both young and old generation. </w:t>
      </w:r>
    </w:p>
    <w:p w14:paraId="0000004B" w14:textId="77777777" w:rsidR="00AD3FA0" w:rsidRDefault="008B6A4F" w:rsidP="00A5053F">
      <w:pPr>
        <w:pStyle w:val="Normal1"/>
        <w:numPr>
          <w:ilvl w:val="0"/>
          <w:numId w:val="4"/>
        </w:numPr>
        <w:rPr>
          <w:rFonts w:ascii="Arial" w:eastAsia="Arial" w:hAnsi="Arial" w:cs="Arial"/>
          <w:b/>
          <w:sz w:val="22"/>
          <w:szCs w:val="22"/>
        </w:rPr>
      </w:pPr>
      <w:r>
        <w:rPr>
          <w:rFonts w:ascii="Arial" w:eastAsia="Arial" w:hAnsi="Arial" w:cs="Arial"/>
          <w:b/>
          <w:sz w:val="22"/>
          <w:szCs w:val="22"/>
        </w:rPr>
        <w:t xml:space="preserve">Gender- </w:t>
      </w:r>
      <w:r>
        <w:rPr>
          <w:rFonts w:ascii="Arial" w:eastAsia="Arial" w:hAnsi="Arial" w:cs="Arial"/>
          <w:sz w:val="22"/>
          <w:szCs w:val="22"/>
        </w:rPr>
        <w:t xml:space="preserve">Male and female </w:t>
      </w:r>
    </w:p>
    <w:p w14:paraId="0000004C" w14:textId="77777777" w:rsidR="00AD3FA0" w:rsidRDefault="008B6A4F" w:rsidP="00A5053F">
      <w:pPr>
        <w:pStyle w:val="Normal1"/>
        <w:numPr>
          <w:ilvl w:val="0"/>
          <w:numId w:val="4"/>
        </w:numPr>
        <w:rPr>
          <w:rFonts w:ascii="Arial" w:eastAsia="Arial" w:hAnsi="Arial" w:cs="Arial"/>
          <w:b/>
          <w:sz w:val="22"/>
          <w:szCs w:val="22"/>
        </w:rPr>
      </w:pPr>
      <w:r>
        <w:rPr>
          <w:rFonts w:ascii="Arial" w:eastAsia="Arial" w:hAnsi="Arial" w:cs="Arial"/>
          <w:b/>
          <w:sz w:val="22"/>
          <w:szCs w:val="22"/>
        </w:rPr>
        <w:t xml:space="preserve">Occupation- </w:t>
      </w:r>
      <w:r>
        <w:rPr>
          <w:rFonts w:ascii="Arial" w:eastAsia="Arial" w:hAnsi="Arial" w:cs="Arial"/>
          <w:sz w:val="22"/>
          <w:szCs w:val="22"/>
        </w:rPr>
        <w:t xml:space="preserve">Students, servicemen, professionals. </w:t>
      </w:r>
    </w:p>
    <w:p w14:paraId="0000004D" w14:textId="77777777" w:rsidR="00AD3FA0" w:rsidRDefault="008B6A4F" w:rsidP="00A5053F">
      <w:pPr>
        <w:pStyle w:val="Normal1"/>
        <w:numPr>
          <w:ilvl w:val="0"/>
          <w:numId w:val="4"/>
        </w:numPr>
        <w:spacing w:after="240"/>
        <w:rPr>
          <w:rFonts w:ascii="Arial" w:eastAsia="Arial" w:hAnsi="Arial" w:cs="Arial"/>
          <w:b/>
          <w:sz w:val="22"/>
          <w:szCs w:val="22"/>
        </w:rPr>
      </w:pPr>
      <w:r>
        <w:rPr>
          <w:rFonts w:ascii="Arial" w:eastAsia="Arial" w:hAnsi="Arial" w:cs="Arial"/>
          <w:b/>
          <w:sz w:val="22"/>
          <w:szCs w:val="22"/>
        </w:rPr>
        <w:t xml:space="preserve">Income- </w:t>
      </w:r>
      <w:r>
        <w:rPr>
          <w:rFonts w:ascii="Arial" w:eastAsia="Arial" w:hAnsi="Arial" w:cs="Arial"/>
          <w:sz w:val="22"/>
          <w:szCs w:val="22"/>
        </w:rPr>
        <w:t xml:space="preserve">Mid to high-income group. </w:t>
      </w:r>
    </w:p>
    <w:p w14:paraId="0000004E" w14:textId="77777777" w:rsidR="00AD3FA0" w:rsidRDefault="008B6A4F" w:rsidP="00A5053F">
      <w:pPr>
        <w:pStyle w:val="Normal1"/>
        <w:spacing w:before="240" w:after="240"/>
        <w:rPr>
          <w:rFonts w:ascii="Arial" w:eastAsia="Arial" w:hAnsi="Arial" w:cs="Arial"/>
          <w:b/>
          <w:sz w:val="22"/>
          <w:szCs w:val="22"/>
        </w:rPr>
      </w:pPr>
      <w:r>
        <w:rPr>
          <w:rFonts w:ascii="Arial" w:eastAsia="Arial" w:hAnsi="Arial" w:cs="Arial"/>
          <w:b/>
          <w:sz w:val="22"/>
          <w:szCs w:val="22"/>
        </w:rPr>
        <w:t xml:space="preserve">Geographic segmentation </w:t>
      </w:r>
    </w:p>
    <w:p w14:paraId="0000004F"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VitaInnovation is going to target the major cities and industrial areas of the UK where the population of the mid to high-income group is high. Places like Manchester, Liverpool, London, and Northern Ireland will be the prime targeted areas for the new launching’FlexiHealth’ product. In the upcoming days, the chances of getting ‘FlexiHealth’ product sales will increase and help VitaInnovation to create a competitive benefit.  </w:t>
      </w:r>
    </w:p>
    <w:p w14:paraId="00000050"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b/>
          <w:sz w:val="22"/>
          <w:szCs w:val="22"/>
        </w:rPr>
        <w:t>Psychographic segmentation</w:t>
      </w:r>
      <w:r>
        <w:rPr>
          <w:rFonts w:ascii="Arial" w:eastAsia="Arial" w:hAnsi="Arial" w:cs="Arial"/>
          <w:sz w:val="22"/>
          <w:szCs w:val="22"/>
        </w:rPr>
        <w:t xml:space="preserve">  </w:t>
      </w:r>
    </w:p>
    <w:p w14:paraId="00000051"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The customers who are searching for personalised health monitoring will be the prime customers of the ‘FlexiHealth’ product. The old people who normally suffer from various diseases and other health-related issues will also be the key target of this product. The </w:t>
      </w:r>
      <w:r>
        <w:rPr>
          <w:rFonts w:ascii="Arial" w:eastAsia="Arial" w:hAnsi="Arial" w:cs="Arial"/>
          <w:sz w:val="22"/>
          <w:szCs w:val="22"/>
        </w:rPr>
        <w:lastRenderedPageBreak/>
        <w:t xml:space="preserve">customers who are tech-savvy and often spend time on social media are also the prime customers. Online it will be effective to guide the users about products after calling the given number and customers can get immediate health facilities in their day-to-day activities.   </w:t>
      </w:r>
    </w:p>
    <w:p w14:paraId="00000052" w14:textId="77777777" w:rsidR="00AD3FA0" w:rsidRDefault="008B6A4F" w:rsidP="00A5053F">
      <w:pPr>
        <w:pStyle w:val="Normal1"/>
        <w:numPr>
          <w:ilvl w:val="0"/>
          <w:numId w:val="1"/>
        </w:numPr>
        <w:spacing w:before="240"/>
        <w:rPr>
          <w:rFonts w:ascii="Arial" w:eastAsia="Arial" w:hAnsi="Arial" w:cs="Arial"/>
          <w:b/>
          <w:sz w:val="22"/>
          <w:szCs w:val="22"/>
        </w:rPr>
      </w:pPr>
      <w:r>
        <w:rPr>
          <w:rFonts w:ascii="Arial" w:eastAsia="Arial" w:hAnsi="Arial" w:cs="Arial"/>
          <w:b/>
          <w:sz w:val="22"/>
          <w:szCs w:val="22"/>
        </w:rPr>
        <w:t>Promotional strategies</w:t>
      </w:r>
    </w:p>
    <w:p w14:paraId="00000053" w14:textId="77777777" w:rsidR="00AD3FA0" w:rsidRDefault="008B6A4F" w:rsidP="00A5053F">
      <w:pPr>
        <w:pStyle w:val="Normal1"/>
        <w:numPr>
          <w:ilvl w:val="1"/>
          <w:numId w:val="1"/>
        </w:numPr>
        <w:spacing w:after="240"/>
        <w:rPr>
          <w:rFonts w:ascii="Arial" w:eastAsia="Arial" w:hAnsi="Arial" w:cs="Arial"/>
          <w:b/>
          <w:sz w:val="22"/>
          <w:szCs w:val="22"/>
        </w:rPr>
      </w:pPr>
      <w:r>
        <w:rPr>
          <w:rFonts w:ascii="Arial" w:eastAsia="Arial" w:hAnsi="Arial" w:cs="Arial"/>
          <w:b/>
          <w:sz w:val="22"/>
          <w:szCs w:val="22"/>
        </w:rPr>
        <w:t>Use of social media</w:t>
      </w:r>
    </w:p>
    <w:p w14:paraId="00000054"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VitaInnovation to promote the 'FlexiHealth' item will use different social media platforms such as Facebook, Instagram, YouTube and many more. It will help to reach a large number of customers in a short span who </w:t>
      </w:r>
      <w:r>
        <w:rPr>
          <w:rFonts w:ascii="Arial" w:eastAsia="Arial" w:hAnsi="Arial" w:cs="Arial"/>
          <w:sz w:val="22"/>
          <w:szCs w:val="22"/>
        </w:rPr>
        <w:t>are searching for good personalised health treatment at a reasonable price. The marketers while promoting the 'FlexiHealth' product will create brief and concise content including the product features, benefits and price. The videos and photos will be uploaded on every platform which will help customers to observe, and understand the product before purchasing it. This will create trust and credibility in the product and VitaInnovation (</w:t>
      </w:r>
      <w:r>
        <w:rPr>
          <w:rFonts w:ascii="Arial" w:eastAsia="Arial" w:hAnsi="Arial" w:cs="Arial"/>
          <w:sz w:val="22"/>
          <w:szCs w:val="22"/>
          <w:highlight w:val="white"/>
        </w:rPr>
        <w:t>Sudirjo, 2023)</w:t>
      </w:r>
      <w:r>
        <w:rPr>
          <w:rFonts w:ascii="Arial" w:eastAsia="Arial" w:hAnsi="Arial" w:cs="Arial"/>
          <w:sz w:val="22"/>
          <w:szCs w:val="22"/>
        </w:rPr>
        <w:t xml:space="preserve">.      </w:t>
      </w:r>
    </w:p>
    <w:p w14:paraId="00000055" w14:textId="77777777" w:rsidR="00AD3FA0" w:rsidRDefault="008B6A4F" w:rsidP="00A5053F">
      <w:pPr>
        <w:pStyle w:val="Normal1"/>
        <w:numPr>
          <w:ilvl w:val="1"/>
          <w:numId w:val="1"/>
        </w:numPr>
        <w:spacing w:before="240" w:after="240"/>
        <w:rPr>
          <w:rFonts w:ascii="Arial" w:eastAsia="Arial" w:hAnsi="Arial" w:cs="Arial"/>
          <w:sz w:val="22"/>
          <w:szCs w:val="22"/>
        </w:rPr>
      </w:pPr>
      <w:r>
        <w:rPr>
          <w:rFonts w:ascii="Arial" w:eastAsia="Arial" w:hAnsi="Arial" w:cs="Arial"/>
          <w:b/>
          <w:sz w:val="22"/>
          <w:szCs w:val="22"/>
        </w:rPr>
        <w:t>Paid search engine marketing</w:t>
      </w:r>
      <w:r>
        <w:rPr>
          <w:rFonts w:ascii="Arial" w:eastAsia="Arial" w:hAnsi="Arial" w:cs="Arial"/>
          <w:sz w:val="22"/>
          <w:szCs w:val="22"/>
        </w:rPr>
        <w:t xml:space="preserve"> </w:t>
      </w:r>
    </w:p>
    <w:p w14:paraId="00000056"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The marketer of VitaInnovation will use Google and Meta Ads to promote the ‘FlexiHealth’ product. However, it is costly but the company can get fast outcomes. Through the ads, conversion rates will be increased and brand awareness. It also creates competitive benefits and enhances brand awareness (</w:t>
      </w:r>
      <w:r>
        <w:rPr>
          <w:rFonts w:ascii="Arial" w:eastAsia="Arial" w:hAnsi="Arial" w:cs="Arial"/>
          <w:sz w:val="22"/>
          <w:szCs w:val="22"/>
          <w:highlight w:val="white"/>
        </w:rPr>
        <w:t>Harini et al., 2023)</w:t>
      </w:r>
      <w:r>
        <w:rPr>
          <w:rFonts w:ascii="Arial" w:eastAsia="Arial" w:hAnsi="Arial" w:cs="Arial"/>
          <w:sz w:val="22"/>
          <w:szCs w:val="22"/>
        </w:rPr>
        <w:t xml:space="preserve">.    </w:t>
      </w:r>
    </w:p>
    <w:p w14:paraId="00000057" w14:textId="77777777" w:rsidR="00AD3FA0" w:rsidRDefault="008B6A4F" w:rsidP="00A5053F">
      <w:pPr>
        <w:pStyle w:val="Normal1"/>
        <w:numPr>
          <w:ilvl w:val="1"/>
          <w:numId w:val="1"/>
        </w:numPr>
        <w:spacing w:before="240" w:after="240"/>
        <w:rPr>
          <w:rFonts w:ascii="Arial" w:eastAsia="Arial" w:hAnsi="Arial" w:cs="Arial"/>
          <w:b/>
          <w:sz w:val="22"/>
          <w:szCs w:val="22"/>
        </w:rPr>
      </w:pPr>
      <w:r>
        <w:rPr>
          <w:rFonts w:ascii="Arial" w:eastAsia="Arial" w:hAnsi="Arial" w:cs="Arial"/>
          <w:b/>
          <w:sz w:val="22"/>
          <w:szCs w:val="22"/>
        </w:rPr>
        <w:t>Customer journeys and email marketing</w:t>
      </w:r>
    </w:p>
    <w:p w14:paraId="00000058"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VitaInnovation to promote 'FlexiHealth' can apply customer journey mapping and email marketing. These help to support business in various ways like building relations with new and existing customers. Both email marketing as well as customer journey mapping enhance engagement where email marketing may support keeping consumers connected to the brand and enhance engagement rates (</w:t>
      </w:r>
      <w:r>
        <w:rPr>
          <w:rFonts w:ascii="Arial" w:eastAsia="Arial" w:hAnsi="Arial" w:cs="Arial"/>
          <w:sz w:val="22"/>
          <w:szCs w:val="22"/>
          <w:highlight w:val="white"/>
        </w:rPr>
        <w:t>Sudirjo, 2023)</w:t>
      </w:r>
      <w:r>
        <w:rPr>
          <w:rFonts w:ascii="Arial" w:eastAsia="Arial" w:hAnsi="Arial" w:cs="Arial"/>
          <w:sz w:val="22"/>
          <w:szCs w:val="22"/>
        </w:rPr>
        <w:t xml:space="preserve">. Through email marketing, the marketers of VitaInnovation can maintain consistent interaction with the consumers.     </w:t>
      </w:r>
    </w:p>
    <w:p w14:paraId="00000059" w14:textId="77777777" w:rsidR="00AD3FA0" w:rsidRDefault="008B6A4F" w:rsidP="00A5053F">
      <w:pPr>
        <w:pStyle w:val="Normal1"/>
        <w:numPr>
          <w:ilvl w:val="1"/>
          <w:numId w:val="1"/>
        </w:numPr>
        <w:spacing w:before="240"/>
        <w:rPr>
          <w:rFonts w:ascii="Arial" w:eastAsia="Arial" w:hAnsi="Arial" w:cs="Arial"/>
          <w:b/>
          <w:sz w:val="22"/>
          <w:szCs w:val="22"/>
        </w:rPr>
      </w:pPr>
      <w:r>
        <w:rPr>
          <w:rFonts w:ascii="Arial" w:eastAsia="Arial" w:hAnsi="Arial" w:cs="Arial"/>
          <w:b/>
          <w:sz w:val="22"/>
          <w:szCs w:val="22"/>
        </w:rPr>
        <w:t>Pre-launch promotion strategies</w:t>
      </w:r>
    </w:p>
    <w:p w14:paraId="0000005A" w14:textId="77777777" w:rsidR="00AD3FA0" w:rsidRDefault="008B6A4F" w:rsidP="00A5053F">
      <w:pPr>
        <w:pStyle w:val="Normal1"/>
        <w:numPr>
          <w:ilvl w:val="0"/>
          <w:numId w:val="1"/>
        </w:numPr>
        <w:spacing w:after="240"/>
        <w:rPr>
          <w:rFonts w:ascii="Arial" w:eastAsia="Arial" w:hAnsi="Arial" w:cs="Arial"/>
          <w:sz w:val="22"/>
          <w:szCs w:val="22"/>
        </w:rPr>
      </w:pPr>
      <w:r>
        <w:rPr>
          <w:rFonts w:ascii="Arial" w:eastAsia="Arial" w:hAnsi="Arial" w:cs="Arial"/>
          <w:sz w:val="22"/>
          <w:szCs w:val="22"/>
        </w:rPr>
        <w:t xml:space="preserve">Consideration of privacy and data protection in marketing efforts </w:t>
      </w:r>
    </w:p>
    <w:p w14:paraId="0000005B"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VitaInnovation will use GDPR and the Customer Data Protection Act while doing marketing and using customer data. Through these acts, the company can ensure every customer that their data is protected. It will help customers to share their data while placing orders and making payments (</w:t>
      </w:r>
      <w:r>
        <w:rPr>
          <w:rFonts w:ascii="Arial" w:eastAsia="Arial" w:hAnsi="Arial" w:cs="Arial"/>
          <w:sz w:val="22"/>
          <w:szCs w:val="22"/>
          <w:highlight w:val="white"/>
        </w:rPr>
        <w:t>Harini et al., 2023)</w:t>
      </w:r>
      <w:r>
        <w:rPr>
          <w:rFonts w:ascii="Arial" w:eastAsia="Arial" w:hAnsi="Arial" w:cs="Arial"/>
          <w:sz w:val="22"/>
          <w:szCs w:val="22"/>
        </w:rPr>
        <w:t xml:space="preserve">. </w:t>
      </w:r>
    </w:p>
    <w:p w14:paraId="0000005C" w14:textId="77777777" w:rsidR="00AD3FA0" w:rsidRDefault="008B6A4F" w:rsidP="00A5053F">
      <w:pPr>
        <w:pStyle w:val="Heading1"/>
      </w:pPr>
      <w:bookmarkStart w:id="6" w:name="_jvan9q14c9u8" w:colFirst="0" w:colLast="0"/>
      <w:bookmarkEnd w:id="6"/>
      <w:r>
        <w:lastRenderedPageBreak/>
        <w:t xml:space="preserve">8. </w:t>
      </w:r>
      <w:r>
        <w:t>Privacy and Data Protection</w:t>
      </w:r>
    </w:p>
    <w:p w14:paraId="0000005D" w14:textId="77777777" w:rsidR="00AD3FA0" w:rsidRDefault="008B6A4F" w:rsidP="00A5053F">
      <w:pPr>
        <w:pStyle w:val="Normal1"/>
        <w:numPr>
          <w:ilvl w:val="0"/>
          <w:numId w:val="3"/>
        </w:numPr>
        <w:spacing w:before="240" w:after="240"/>
        <w:rPr>
          <w:rFonts w:ascii="Arial" w:eastAsia="Arial" w:hAnsi="Arial" w:cs="Arial"/>
          <w:b/>
          <w:sz w:val="22"/>
          <w:szCs w:val="22"/>
        </w:rPr>
      </w:pPr>
      <w:r>
        <w:rPr>
          <w:rFonts w:ascii="Arial" w:eastAsia="Arial" w:hAnsi="Arial" w:cs="Arial"/>
          <w:b/>
          <w:sz w:val="22"/>
          <w:szCs w:val="22"/>
        </w:rPr>
        <w:t>Compliance with GDPR/Data Protection Act 2018</w:t>
      </w:r>
    </w:p>
    <w:p w14:paraId="0000005E"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While promoting and selling 'FlexiHealth' products, VitaInnovation can implement the Data Protection Act 2018/GDPR to keep customer data safe and encourage them to share their details during purchases or making payments. This act can support this firm with data recovery and backup, duplication and data reduction and many more. The act also helps the firm to maintain data portability, this allows individuals in reusing the information for various services (</w:t>
      </w:r>
      <w:r>
        <w:rPr>
          <w:rFonts w:ascii="Arial" w:eastAsia="Arial" w:hAnsi="Arial" w:cs="Arial"/>
          <w:sz w:val="22"/>
          <w:szCs w:val="22"/>
          <w:highlight w:val="white"/>
        </w:rPr>
        <w:t>Rupp and von Grafenstein, 2024)</w:t>
      </w:r>
      <w:r>
        <w:rPr>
          <w:rFonts w:ascii="Arial" w:eastAsia="Arial" w:hAnsi="Arial" w:cs="Arial"/>
          <w:sz w:val="22"/>
          <w:szCs w:val="22"/>
        </w:rPr>
        <w:t xml:space="preserve">.     </w:t>
      </w:r>
    </w:p>
    <w:p w14:paraId="0000005F" w14:textId="77777777" w:rsidR="00AD3FA0" w:rsidRDefault="008B6A4F" w:rsidP="00A5053F">
      <w:pPr>
        <w:pStyle w:val="Normal1"/>
        <w:numPr>
          <w:ilvl w:val="0"/>
          <w:numId w:val="3"/>
        </w:numPr>
        <w:spacing w:before="240"/>
        <w:rPr>
          <w:rFonts w:ascii="Arial" w:eastAsia="Arial" w:hAnsi="Arial" w:cs="Arial"/>
          <w:b/>
          <w:sz w:val="22"/>
          <w:szCs w:val="22"/>
        </w:rPr>
      </w:pPr>
      <w:r>
        <w:rPr>
          <w:rFonts w:ascii="Arial" w:eastAsia="Arial" w:hAnsi="Arial" w:cs="Arial"/>
          <w:b/>
          <w:sz w:val="22"/>
          <w:szCs w:val="22"/>
        </w:rPr>
        <w:t>Privacy and Electronic Communication Regulations (PECR)</w:t>
      </w:r>
    </w:p>
    <w:p w14:paraId="00000060" w14:textId="77777777" w:rsidR="00AD3FA0" w:rsidRDefault="008B6A4F" w:rsidP="00A5053F">
      <w:pPr>
        <w:pStyle w:val="Normal1"/>
        <w:numPr>
          <w:ilvl w:val="1"/>
          <w:numId w:val="3"/>
        </w:numPr>
        <w:rPr>
          <w:rFonts w:ascii="Arial" w:eastAsia="Arial" w:hAnsi="Arial" w:cs="Arial"/>
          <w:b/>
          <w:sz w:val="22"/>
          <w:szCs w:val="22"/>
        </w:rPr>
      </w:pPr>
      <w:r>
        <w:rPr>
          <w:rFonts w:ascii="Arial" w:eastAsia="Arial" w:hAnsi="Arial" w:cs="Arial"/>
          <w:b/>
          <w:sz w:val="22"/>
          <w:szCs w:val="22"/>
        </w:rPr>
        <w:t xml:space="preserve">Consent and opt-out provisions- </w:t>
      </w:r>
      <w:r>
        <w:rPr>
          <w:rFonts w:ascii="Arial" w:eastAsia="Arial" w:hAnsi="Arial" w:cs="Arial"/>
          <w:sz w:val="22"/>
          <w:szCs w:val="22"/>
        </w:rPr>
        <w:t xml:space="preserve">This can help customers or patients both existing and new to get permission for the health data to be implemented after using the 'FlexiHealth' product. This provision can support VitaInnovation to eliminate an administrative burden on the providers of health care. </w:t>
      </w:r>
    </w:p>
    <w:p w14:paraId="00000061" w14:textId="77777777" w:rsidR="00AD3FA0" w:rsidRDefault="008B6A4F" w:rsidP="00A5053F">
      <w:pPr>
        <w:pStyle w:val="Normal1"/>
        <w:numPr>
          <w:ilvl w:val="1"/>
          <w:numId w:val="3"/>
        </w:numPr>
        <w:rPr>
          <w:rFonts w:ascii="Arial" w:eastAsia="Arial" w:hAnsi="Arial" w:cs="Arial"/>
          <w:sz w:val="22"/>
          <w:szCs w:val="22"/>
        </w:rPr>
      </w:pPr>
      <w:r>
        <w:rPr>
          <w:rFonts w:ascii="Arial" w:eastAsia="Arial" w:hAnsi="Arial" w:cs="Arial"/>
          <w:b/>
          <w:sz w:val="22"/>
          <w:szCs w:val="22"/>
        </w:rPr>
        <w:t>Rights such as "the right to erasure"</w:t>
      </w:r>
      <w:r>
        <w:rPr>
          <w:rFonts w:ascii="Arial" w:eastAsia="Arial" w:hAnsi="Arial" w:cs="Arial"/>
          <w:sz w:val="22"/>
          <w:szCs w:val="22"/>
        </w:rPr>
        <w:t xml:space="preserve">- This should be erased in complying with the legal obligation. VitaInnovation can follow the 'right to be forgotten'. In this case, the right applies to information held at the time the request is received. </w:t>
      </w:r>
    </w:p>
    <w:p w14:paraId="00000062" w14:textId="77777777" w:rsidR="00AD3FA0" w:rsidRDefault="008B6A4F" w:rsidP="00A5053F">
      <w:pPr>
        <w:pStyle w:val="Normal1"/>
        <w:numPr>
          <w:ilvl w:val="0"/>
          <w:numId w:val="3"/>
        </w:numPr>
        <w:rPr>
          <w:rFonts w:ascii="Arial" w:eastAsia="Arial" w:hAnsi="Arial" w:cs="Arial"/>
          <w:b/>
          <w:sz w:val="22"/>
          <w:szCs w:val="22"/>
        </w:rPr>
      </w:pPr>
      <w:r>
        <w:rPr>
          <w:rFonts w:ascii="Arial" w:eastAsia="Arial" w:hAnsi="Arial" w:cs="Arial"/>
          <w:b/>
          <w:sz w:val="22"/>
          <w:szCs w:val="22"/>
        </w:rPr>
        <w:t>Security measures for the eCommerce platform</w:t>
      </w:r>
    </w:p>
    <w:p w14:paraId="00000063" w14:textId="77777777" w:rsidR="00AD3FA0" w:rsidRDefault="008B6A4F" w:rsidP="00A5053F">
      <w:pPr>
        <w:pStyle w:val="Normal1"/>
        <w:numPr>
          <w:ilvl w:val="1"/>
          <w:numId w:val="3"/>
        </w:numPr>
        <w:rPr>
          <w:rFonts w:ascii="Arial" w:eastAsia="Arial" w:hAnsi="Arial" w:cs="Arial"/>
          <w:b/>
          <w:sz w:val="22"/>
          <w:szCs w:val="22"/>
        </w:rPr>
      </w:pPr>
      <w:r>
        <w:rPr>
          <w:rFonts w:ascii="Arial" w:eastAsia="Arial" w:hAnsi="Arial" w:cs="Arial"/>
          <w:b/>
          <w:sz w:val="22"/>
          <w:szCs w:val="22"/>
        </w:rPr>
        <w:t xml:space="preserve">Secure access to cloud services- </w:t>
      </w:r>
      <w:r>
        <w:rPr>
          <w:rFonts w:ascii="Arial" w:eastAsia="Arial" w:hAnsi="Arial" w:cs="Arial"/>
          <w:sz w:val="22"/>
          <w:szCs w:val="22"/>
        </w:rPr>
        <w:t>While promoting and selling 'FlexiHealth' products to third-party websites like eBay, Amazon or Shopify, VitaInnovation must ensure protection from cyber attacks. In this case, the company ensures the customers that all their assets and data processing or storing can be protected against loss, physical tampering, seizure or damage (</w:t>
      </w:r>
      <w:r>
        <w:rPr>
          <w:rFonts w:ascii="Arial" w:eastAsia="Arial" w:hAnsi="Arial" w:cs="Arial"/>
          <w:sz w:val="22"/>
          <w:szCs w:val="22"/>
          <w:highlight w:val="white"/>
        </w:rPr>
        <w:t>Malgieri, 2023)</w:t>
      </w:r>
      <w:r>
        <w:rPr>
          <w:rFonts w:ascii="Arial" w:eastAsia="Arial" w:hAnsi="Arial" w:cs="Arial"/>
          <w:sz w:val="22"/>
          <w:szCs w:val="22"/>
        </w:rPr>
        <w:t xml:space="preserve">.   </w:t>
      </w:r>
    </w:p>
    <w:p w14:paraId="00000064" w14:textId="77777777" w:rsidR="00AD3FA0" w:rsidRDefault="008B6A4F" w:rsidP="00A5053F">
      <w:pPr>
        <w:pStyle w:val="Normal1"/>
        <w:numPr>
          <w:ilvl w:val="1"/>
          <w:numId w:val="3"/>
        </w:numPr>
        <w:spacing w:after="240"/>
        <w:rPr>
          <w:rFonts w:ascii="Arial" w:eastAsia="Arial" w:hAnsi="Arial" w:cs="Arial"/>
          <w:b/>
          <w:sz w:val="22"/>
          <w:szCs w:val="22"/>
        </w:rPr>
      </w:pPr>
      <w:r>
        <w:rPr>
          <w:rFonts w:ascii="Arial" w:eastAsia="Arial" w:hAnsi="Arial" w:cs="Arial"/>
          <w:b/>
          <w:sz w:val="22"/>
          <w:szCs w:val="22"/>
        </w:rPr>
        <w:t xml:space="preserve">Encryption of data in transit and at rest- </w:t>
      </w:r>
      <w:r>
        <w:rPr>
          <w:rFonts w:ascii="Arial" w:eastAsia="Arial" w:hAnsi="Arial" w:cs="Arial"/>
          <w:sz w:val="22"/>
          <w:szCs w:val="22"/>
        </w:rPr>
        <w:t>The Home Office Cryptography Standard and Policy need all information to be effectively encrypted whether this is in transit or at rest. This exact encryption type and specifications depending upon various factors and the assessment of risk may support determining the required controls. For VitaInnovation, this policy implementation can ensure customers' encrypted data in the UK is secure (</w:t>
      </w:r>
      <w:r>
        <w:rPr>
          <w:rFonts w:ascii="Arial" w:eastAsia="Arial" w:hAnsi="Arial" w:cs="Arial"/>
          <w:sz w:val="22"/>
          <w:szCs w:val="22"/>
          <w:highlight w:val="white"/>
        </w:rPr>
        <w:t>Rupp and von Grafenstein, 2024)</w:t>
      </w:r>
      <w:r>
        <w:rPr>
          <w:rFonts w:ascii="Arial" w:eastAsia="Arial" w:hAnsi="Arial" w:cs="Arial"/>
          <w:sz w:val="22"/>
          <w:szCs w:val="22"/>
        </w:rPr>
        <w:t xml:space="preserve">.  </w:t>
      </w:r>
    </w:p>
    <w:p w14:paraId="00000065" w14:textId="77777777" w:rsidR="00AD3FA0" w:rsidRDefault="008B6A4F" w:rsidP="00A5053F">
      <w:pPr>
        <w:pStyle w:val="Heading1"/>
      </w:pPr>
      <w:bookmarkStart w:id="7" w:name="_fiu5autl28tx" w:colFirst="0" w:colLast="0"/>
      <w:bookmarkEnd w:id="7"/>
      <w:r>
        <w:t>9. Conclusion and Recommendations</w:t>
      </w:r>
    </w:p>
    <w:p w14:paraId="00000066"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The report concludes that VitaInnovation is going to launch the 'FlexiHealth' product that is an AI-based wearable device related to health monitoring as well as this has been effectively </w:t>
      </w:r>
      <w:r>
        <w:rPr>
          <w:rFonts w:ascii="Arial" w:eastAsia="Arial" w:hAnsi="Arial" w:cs="Arial"/>
          <w:sz w:val="22"/>
          <w:szCs w:val="22"/>
        </w:rPr>
        <w:lastRenderedPageBreak/>
        <w:t xml:space="preserve">designed to implement all the advanced technology. The company targets both young and old generations from 22-60 years old. The organisation will use Amazon, and Shopify to promote and sell the products. </w:t>
      </w:r>
    </w:p>
    <w:p w14:paraId="00000067" w14:textId="77777777" w:rsidR="00AD3FA0" w:rsidRDefault="008B6A4F" w:rsidP="00A5053F">
      <w:pPr>
        <w:pStyle w:val="Normal1"/>
        <w:spacing w:before="240" w:after="240"/>
        <w:rPr>
          <w:rFonts w:ascii="Arial" w:eastAsia="Arial" w:hAnsi="Arial" w:cs="Arial"/>
          <w:sz w:val="22"/>
          <w:szCs w:val="22"/>
        </w:rPr>
      </w:pPr>
      <w:r>
        <w:rPr>
          <w:rFonts w:ascii="Arial" w:eastAsia="Arial" w:hAnsi="Arial" w:cs="Arial"/>
          <w:sz w:val="22"/>
          <w:szCs w:val="22"/>
        </w:rPr>
        <w:t xml:space="preserve">The report concludes that FlexiHealth will offer customers personalised health monitoring solutions through its wearable device related to health monitoring. As this device can help patients check their stress level, mental health, stamina, and physical health at a time, it is predicted that this FlexiHealth item will be successful in the future and acceptable to patients.  </w:t>
      </w:r>
    </w:p>
    <w:p w14:paraId="00000068" w14:textId="77777777" w:rsidR="00AD3FA0" w:rsidRDefault="008B6A4F" w:rsidP="00A5053F">
      <w:pPr>
        <w:pStyle w:val="Normal1"/>
        <w:spacing w:before="240" w:after="240"/>
        <w:rPr>
          <w:rFonts w:ascii="Arial" w:eastAsia="Arial" w:hAnsi="Arial" w:cs="Arial"/>
          <w:b/>
          <w:sz w:val="22"/>
          <w:szCs w:val="22"/>
        </w:rPr>
      </w:pPr>
      <w:r>
        <w:rPr>
          <w:rFonts w:ascii="Arial" w:eastAsia="Arial" w:hAnsi="Arial" w:cs="Arial"/>
          <w:sz w:val="22"/>
          <w:szCs w:val="22"/>
        </w:rPr>
        <w:t xml:space="preserve">VitaInnovation can offer attractive discounts for the first 1000 customers. It will be on a first come first serve basis. This can attract a lot of customers from the UK and also outside the UK to gain experience with virtual reality products for their health issues. It will help these customers to suggest others about this product which will also increase the sales of VitaInnovation.   </w:t>
      </w:r>
      <w:r>
        <w:br w:type="page"/>
      </w:r>
    </w:p>
    <w:p w14:paraId="119B9814" w14:textId="52E66053" w:rsidR="00A5053F" w:rsidRPr="00A5053F" w:rsidRDefault="008B6A4F" w:rsidP="00A5053F">
      <w:pPr>
        <w:pStyle w:val="Heading1"/>
      </w:pPr>
      <w:bookmarkStart w:id="8" w:name="_xmsrqcvw3wag" w:colFirst="0" w:colLast="0"/>
      <w:bookmarkEnd w:id="8"/>
      <w:r>
        <w:lastRenderedPageBreak/>
        <w:t xml:space="preserve">10. Reference List </w:t>
      </w:r>
    </w:p>
    <w:p w14:paraId="1925E786"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Coolest-Gadgets (2023) </w:t>
      </w:r>
      <w:r>
        <w:rPr>
          <w:rFonts w:ascii="Arial" w:eastAsia="Arial" w:hAnsi="Arial" w:cs="Arial"/>
          <w:i/>
          <w:sz w:val="22"/>
          <w:szCs w:val="22"/>
          <w:highlight w:val="white"/>
        </w:rPr>
        <w:t>Apple Watch Statistics 2024 by series, market share, country, users and usage</w:t>
      </w:r>
      <w:r>
        <w:rPr>
          <w:rFonts w:ascii="Arial" w:eastAsia="Arial" w:hAnsi="Arial" w:cs="Arial"/>
          <w:sz w:val="22"/>
          <w:szCs w:val="22"/>
          <w:highlight w:val="white"/>
        </w:rPr>
        <w:t xml:space="preserve">. Available at: https://www.coolest-gadgets.com/apple-watches-statistics (Accessed: 31 August 2024). </w:t>
      </w:r>
    </w:p>
    <w:p w14:paraId="5E2FB241"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Fitbit (2024) </w:t>
      </w:r>
      <w:r>
        <w:rPr>
          <w:rFonts w:ascii="Arial" w:eastAsia="Arial" w:hAnsi="Arial" w:cs="Arial"/>
          <w:i/>
          <w:sz w:val="22"/>
          <w:szCs w:val="22"/>
          <w:highlight w:val="white"/>
        </w:rPr>
        <w:t>Track, unpack and manage stress</w:t>
      </w:r>
      <w:r>
        <w:rPr>
          <w:rFonts w:ascii="Arial" w:eastAsia="Arial" w:hAnsi="Arial" w:cs="Arial"/>
          <w:sz w:val="22"/>
          <w:szCs w:val="22"/>
          <w:highlight w:val="white"/>
        </w:rPr>
        <w:t xml:space="preserve">, </w:t>
      </w:r>
      <w:r>
        <w:rPr>
          <w:rFonts w:ascii="Arial" w:eastAsia="Arial" w:hAnsi="Arial" w:cs="Arial"/>
          <w:i/>
          <w:sz w:val="22"/>
          <w:szCs w:val="22"/>
          <w:highlight w:val="white"/>
        </w:rPr>
        <w:t>Stress Management | Fitbit Technology</w:t>
      </w:r>
      <w:r>
        <w:rPr>
          <w:rFonts w:ascii="Arial" w:eastAsia="Arial" w:hAnsi="Arial" w:cs="Arial"/>
          <w:sz w:val="22"/>
          <w:szCs w:val="22"/>
          <w:highlight w:val="white"/>
        </w:rPr>
        <w:t>. Available at: https://www.fitbit.com/global/us/technology/stress (Accessed: 31 August 2024).</w:t>
      </w:r>
    </w:p>
    <w:p w14:paraId="66D658C1"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Harini, H., Wahyuningtyas, D.P., Sutrisno, S., Wanof, M.I. and Ausat, A.M.A., (2023). Marketing strategy for Early Childhood Education (ECE) schools in the digital age. </w:t>
      </w:r>
      <w:r>
        <w:rPr>
          <w:rFonts w:ascii="Arial" w:eastAsia="Arial" w:hAnsi="Arial" w:cs="Arial"/>
          <w:i/>
          <w:sz w:val="22"/>
          <w:szCs w:val="22"/>
          <w:highlight w:val="white"/>
        </w:rPr>
        <w:t>Jurnal Obsesi: Jurnal Pendidikan Anak Usia Dini</w:t>
      </w:r>
      <w:r>
        <w:rPr>
          <w:rFonts w:ascii="Arial" w:eastAsia="Arial" w:hAnsi="Arial" w:cs="Arial"/>
          <w:sz w:val="22"/>
          <w:szCs w:val="22"/>
          <w:highlight w:val="white"/>
        </w:rPr>
        <w:t xml:space="preserve">, </w:t>
      </w:r>
      <w:r>
        <w:rPr>
          <w:rFonts w:ascii="Arial" w:eastAsia="Arial" w:hAnsi="Arial" w:cs="Arial"/>
          <w:i/>
          <w:sz w:val="22"/>
          <w:szCs w:val="22"/>
          <w:highlight w:val="white"/>
        </w:rPr>
        <w:t>7</w:t>
      </w:r>
      <w:r>
        <w:rPr>
          <w:rFonts w:ascii="Arial" w:eastAsia="Arial" w:hAnsi="Arial" w:cs="Arial"/>
          <w:sz w:val="22"/>
          <w:szCs w:val="22"/>
          <w:highlight w:val="white"/>
        </w:rPr>
        <w:t xml:space="preserve">(3), pp.2742-2758. </w:t>
      </w:r>
      <w:hyperlink r:id="rId7">
        <w:r>
          <w:rPr>
            <w:rFonts w:ascii="Arial" w:eastAsia="Arial" w:hAnsi="Arial" w:cs="Arial"/>
            <w:sz w:val="22"/>
            <w:szCs w:val="22"/>
            <w:highlight w:val="white"/>
            <w:u w:val="single"/>
          </w:rPr>
          <w:t>http://repository.uin-malang.ac.id/15059/7/15059.pdf</w:t>
        </w:r>
      </w:hyperlink>
    </w:p>
    <w:p w14:paraId="4817C898"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Magistretti, S., Pham, C.T.A. and Dell'Era, C., (2021). Enlightening the dynamic capabilities of design thinking in fostering digital transformation. </w:t>
      </w:r>
      <w:r>
        <w:rPr>
          <w:rFonts w:ascii="Arial" w:eastAsia="Arial" w:hAnsi="Arial" w:cs="Arial"/>
          <w:i/>
          <w:sz w:val="22"/>
          <w:szCs w:val="22"/>
          <w:highlight w:val="white"/>
        </w:rPr>
        <w:t>Industrial Marketing Management</w:t>
      </w:r>
      <w:r>
        <w:rPr>
          <w:rFonts w:ascii="Arial" w:eastAsia="Arial" w:hAnsi="Arial" w:cs="Arial"/>
          <w:sz w:val="22"/>
          <w:szCs w:val="22"/>
          <w:highlight w:val="white"/>
        </w:rPr>
        <w:t xml:space="preserve">, </w:t>
      </w:r>
      <w:r>
        <w:rPr>
          <w:rFonts w:ascii="Arial" w:eastAsia="Arial" w:hAnsi="Arial" w:cs="Arial"/>
          <w:i/>
          <w:sz w:val="22"/>
          <w:szCs w:val="22"/>
          <w:highlight w:val="white"/>
        </w:rPr>
        <w:t>97</w:t>
      </w:r>
      <w:r>
        <w:rPr>
          <w:rFonts w:ascii="Arial" w:eastAsia="Arial" w:hAnsi="Arial" w:cs="Arial"/>
          <w:sz w:val="22"/>
          <w:szCs w:val="22"/>
          <w:highlight w:val="white"/>
        </w:rPr>
        <w:t xml:space="preserve">, pp.59-70. </w:t>
      </w:r>
      <w:hyperlink r:id="rId8">
        <w:r>
          <w:rPr>
            <w:rFonts w:ascii="Arial" w:eastAsia="Arial" w:hAnsi="Arial" w:cs="Arial"/>
            <w:sz w:val="22"/>
            <w:szCs w:val="22"/>
            <w:highlight w:val="white"/>
            <w:u w:val="single"/>
          </w:rPr>
          <w:t>https://www.sciencedirect.com/science/article/pii/S0019850121001279</w:t>
        </w:r>
      </w:hyperlink>
      <w:r>
        <w:rPr>
          <w:rFonts w:ascii="Arial" w:eastAsia="Arial" w:hAnsi="Arial" w:cs="Arial"/>
          <w:sz w:val="22"/>
          <w:szCs w:val="22"/>
          <w:highlight w:val="white"/>
        </w:rPr>
        <w:t xml:space="preserve"> </w:t>
      </w:r>
    </w:p>
    <w:p w14:paraId="537738F3"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Malgieri, G., (2023). </w:t>
      </w:r>
      <w:r>
        <w:rPr>
          <w:rFonts w:ascii="Arial" w:eastAsia="Arial" w:hAnsi="Arial" w:cs="Arial"/>
          <w:i/>
          <w:sz w:val="22"/>
          <w:szCs w:val="22"/>
          <w:highlight w:val="white"/>
        </w:rPr>
        <w:t>Vulnerability and data protection law</w:t>
      </w:r>
      <w:r>
        <w:rPr>
          <w:rFonts w:ascii="Arial" w:eastAsia="Arial" w:hAnsi="Arial" w:cs="Arial"/>
          <w:sz w:val="22"/>
          <w:szCs w:val="22"/>
          <w:highlight w:val="white"/>
        </w:rPr>
        <w:t>. Oxford University Press.</w:t>
      </w:r>
    </w:p>
    <w:p w14:paraId="1FD091EE"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Manly, J. </w:t>
      </w:r>
      <w:r>
        <w:rPr>
          <w:rFonts w:ascii="Arial" w:eastAsia="Arial" w:hAnsi="Arial" w:cs="Arial"/>
          <w:i/>
          <w:sz w:val="22"/>
          <w:szCs w:val="22"/>
          <w:highlight w:val="white"/>
        </w:rPr>
        <w:t>et al.</w:t>
      </w:r>
      <w:r>
        <w:rPr>
          <w:rFonts w:ascii="Arial" w:eastAsia="Arial" w:hAnsi="Arial" w:cs="Arial"/>
          <w:sz w:val="22"/>
          <w:szCs w:val="22"/>
          <w:highlight w:val="white"/>
        </w:rPr>
        <w:t xml:space="preserve"> (2024) </w:t>
      </w:r>
      <w:r>
        <w:rPr>
          <w:rFonts w:ascii="Arial" w:eastAsia="Arial" w:hAnsi="Arial" w:cs="Arial"/>
          <w:i/>
          <w:sz w:val="22"/>
          <w:szCs w:val="22"/>
          <w:highlight w:val="white"/>
        </w:rPr>
        <w:t>Most innovative companies 2023: Reaching new heights in Uncertain Times</w:t>
      </w:r>
      <w:r>
        <w:rPr>
          <w:rFonts w:ascii="Arial" w:eastAsia="Arial" w:hAnsi="Arial" w:cs="Arial"/>
          <w:sz w:val="22"/>
          <w:szCs w:val="22"/>
          <w:highlight w:val="white"/>
        </w:rPr>
        <w:t xml:space="preserve">, </w:t>
      </w:r>
      <w:r>
        <w:rPr>
          <w:rFonts w:ascii="Arial" w:eastAsia="Arial" w:hAnsi="Arial" w:cs="Arial"/>
          <w:i/>
          <w:sz w:val="22"/>
          <w:szCs w:val="22"/>
          <w:highlight w:val="white"/>
        </w:rPr>
        <w:t>BCG Global</w:t>
      </w:r>
      <w:r>
        <w:rPr>
          <w:rFonts w:ascii="Arial" w:eastAsia="Arial" w:hAnsi="Arial" w:cs="Arial"/>
          <w:sz w:val="22"/>
          <w:szCs w:val="22"/>
          <w:highlight w:val="white"/>
        </w:rPr>
        <w:t xml:space="preserve">. Available at: https://www.bcg.com/publications/2023/advantages-through-innovation-in-uncertain-times (Accessed: 31 August 2024). </w:t>
      </w:r>
    </w:p>
    <w:p w14:paraId="1F7B0E29" w14:textId="77777777" w:rsidR="00A5053F" w:rsidRDefault="00A5053F" w:rsidP="00A5053F">
      <w:pPr>
        <w:pStyle w:val="Normal1"/>
        <w:rPr>
          <w:rFonts w:ascii="Arial" w:eastAsia="Arial" w:hAnsi="Arial" w:cs="Arial"/>
          <w:sz w:val="22"/>
          <w:szCs w:val="22"/>
          <w:highlight w:val="white"/>
        </w:rPr>
      </w:pPr>
      <w:r>
        <w:rPr>
          <w:rFonts w:ascii="Arial" w:eastAsia="Arial" w:hAnsi="Arial" w:cs="Arial"/>
          <w:sz w:val="22"/>
          <w:szCs w:val="22"/>
          <w:highlight w:val="white"/>
        </w:rPr>
        <w:t xml:space="preserve">Rupp, V. and von Grafenstein, M., (2024). Clarifying “personal data” and the role of anonymisation in data protection law including and excluding data from the scope of the GDPR (more clearly) through refining the concept of data protection. </w:t>
      </w:r>
      <w:r>
        <w:rPr>
          <w:rFonts w:ascii="Arial" w:eastAsia="Arial" w:hAnsi="Arial" w:cs="Arial"/>
          <w:i/>
          <w:sz w:val="22"/>
          <w:szCs w:val="22"/>
          <w:highlight w:val="white"/>
        </w:rPr>
        <w:t>Computer Law &amp; Security Review</w:t>
      </w:r>
      <w:r>
        <w:rPr>
          <w:rFonts w:ascii="Arial" w:eastAsia="Arial" w:hAnsi="Arial" w:cs="Arial"/>
          <w:sz w:val="22"/>
          <w:szCs w:val="22"/>
          <w:highlight w:val="white"/>
        </w:rPr>
        <w:t xml:space="preserve">, </w:t>
      </w:r>
      <w:r>
        <w:rPr>
          <w:rFonts w:ascii="Arial" w:eastAsia="Arial" w:hAnsi="Arial" w:cs="Arial"/>
          <w:i/>
          <w:sz w:val="22"/>
          <w:szCs w:val="22"/>
          <w:highlight w:val="white"/>
        </w:rPr>
        <w:t>52</w:t>
      </w:r>
      <w:r>
        <w:rPr>
          <w:rFonts w:ascii="Arial" w:eastAsia="Arial" w:hAnsi="Arial" w:cs="Arial"/>
          <w:sz w:val="22"/>
          <w:szCs w:val="22"/>
          <w:highlight w:val="white"/>
        </w:rPr>
        <w:t xml:space="preserve">, p.105932. </w:t>
      </w:r>
      <w:hyperlink r:id="rId9">
        <w:r>
          <w:rPr>
            <w:rFonts w:ascii="Arial" w:eastAsia="Arial" w:hAnsi="Arial" w:cs="Arial"/>
            <w:sz w:val="22"/>
            <w:szCs w:val="22"/>
            <w:highlight w:val="white"/>
            <w:u w:val="single"/>
          </w:rPr>
          <w:t>https://www.sciencedirect.com/science/article/pii/S0267364923001425</w:t>
        </w:r>
      </w:hyperlink>
    </w:p>
    <w:p w14:paraId="4EDB054C"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Sadiq, S., Amjad, M.S., Rafique, M.Z., Hussain, S., Yasmeen, U. and Khan, M.A., (2021). An integrated framework for lean manufacturing in relation with blue ocean manufacturing-A case study. </w:t>
      </w:r>
      <w:r>
        <w:rPr>
          <w:rFonts w:ascii="Arial" w:eastAsia="Arial" w:hAnsi="Arial" w:cs="Arial"/>
          <w:i/>
          <w:sz w:val="22"/>
          <w:szCs w:val="22"/>
          <w:highlight w:val="white"/>
        </w:rPr>
        <w:t>Journal of Cleaner Production</w:t>
      </w:r>
      <w:r>
        <w:rPr>
          <w:rFonts w:ascii="Arial" w:eastAsia="Arial" w:hAnsi="Arial" w:cs="Arial"/>
          <w:sz w:val="22"/>
          <w:szCs w:val="22"/>
          <w:highlight w:val="white"/>
        </w:rPr>
        <w:t xml:space="preserve">, </w:t>
      </w:r>
      <w:r>
        <w:rPr>
          <w:rFonts w:ascii="Arial" w:eastAsia="Arial" w:hAnsi="Arial" w:cs="Arial"/>
          <w:i/>
          <w:sz w:val="22"/>
          <w:szCs w:val="22"/>
          <w:highlight w:val="white"/>
        </w:rPr>
        <w:t>279</w:t>
      </w:r>
      <w:r>
        <w:rPr>
          <w:rFonts w:ascii="Arial" w:eastAsia="Arial" w:hAnsi="Arial" w:cs="Arial"/>
          <w:sz w:val="22"/>
          <w:szCs w:val="22"/>
          <w:highlight w:val="white"/>
        </w:rPr>
        <w:t xml:space="preserve">, p.123790. </w:t>
      </w:r>
      <w:hyperlink r:id="rId10">
        <w:r>
          <w:rPr>
            <w:rFonts w:ascii="Arial" w:eastAsia="Arial" w:hAnsi="Arial" w:cs="Arial"/>
            <w:sz w:val="22"/>
            <w:szCs w:val="22"/>
            <w:highlight w:val="white"/>
            <w:u w:val="single"/>
          </w:rPr>
          <w:t>https://www.sciencedirect.com/science/article/pii/S095965262033835X</w:t>
        </w:r>
      </w:hyperlink>
      <w:r>
        <w:rPr>
          <w:rFonts w:ascii="Arial" w:eastAsia="Arial" w:hAnsi="Arial" w:cs="Arial"/>
          <w:sz w:val="22"/>
          <w:szCs w:val="22"/>
          <w:highlight w:val="white"/>
        </w:rPr>
        <w:t xml:space="preserve"> </w:t>
      </w:r>
    </w:p>
    <w:p w14:paraId="43671C9C"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t xml:space="preserve">Si, S. and Chen, H., (2020). A literature review of disruptive innovation: What it is, how it works and where it goes. </w:t>
      </w:r>
      <w:r>
        <w:rPr>
          <w:rFonts w:ascii="Arial" w:eastAsia="Arial" w:hAnsi="Arial" w:cs="Arial"/>
          <w:i/>
          <w:sz w:val="22"/>
          <w:szCs w:val="22"/>
          <w:highlight w:val="white"/>
        </w:rPr>
        <w:t>Journal of Engineering and Technology Management</w:t>
      </w:r>
      <w:r>
        <w:rPr>
          <w:rFonts w:ascii="Arial" w:eastAsia="Arial" w:hAnsi="Arial" w:cs="Arial"/>
          <w:sz w:val="22"/>
          <w:szCs w:val="22"/>
          <w:highlight w:val="white"/>
        </w:rPr>
        <w:t xml:space="preserve">, </w:t>
      </w:r>
      <w:r>
        <w:rPr>
          <w:rFonts w:ascii="Arial" w:eastAsia="Arial" w:hAnsi="Arial" w:cs="Arial"/>
          <w:i/>
          <w:sz w:val="22"/>
          <w:szCs w:val="22"/>
          <w:highlight w:val="white"/>
        </w:rPr>
        <w:t>56</w:t>
      </w:r>
      <w:r>
        <w:rPr>
          <w:rFonts w:ascii="Arial" w:eastAsia="Arial" w:hAnsi="Arial" w:cs="Arial"/>
          <w:sz w:val="22"/>
          <w:szCs w:val="22"/>
          <w:highlight w:val="white"/>
        </w:rPr>
        <w:t xml:space="preserve">, p.101568. </w:t>
      </w:r>
      <w:hyperlink r:id="rId11">
        <w:r>
          <w:rPr>
            <w:rFonts w:ascii="Arial" w:eastAsia="Arial" w:hAnsi="Arial" w:cs="Arial"/>
            <w:sz w:val="22"/>
            <w:szCs w:val="22"/>
            <w:highlight w:val="white"/>
            <w:u w:val="single"/>
          </w:rPr>
          <w:t>https://www.sciencedirect.com/science/article/pii/S0923474820300163</w:t>
        </w:r>
      </w:hyperlink>
      <w:r>
        <w:rPr>
          <w:rFonts w:ascii="Arial" w:eastAsia="Arial" w:hAnsi="Arial" w:cs="Arial"/>
          <w:sz w:val="22"/>
          <w:szCs w:val="22"/>
          <w:highlight w:val="white"/>
        </w:rPr>
        <w:t xml:space="preserve"> </w:t>
      </w:r>
    </w:p>
    <w:p w14:paraId="65C16B01" w14:textId="77777777" w:rsidR="00A5053F" w:rsidRDefault="00A5053F" w:rsidP="00A5053F">
      <w:pPr>
        <w:pStyle w:val="Normal1"/>
        <w:spacing w:before="240" w:after="240"/>
        <w:rPr>
          <w:rFonts w:ascii="Arial" w:eastAsia="Arial" w:hAnsi="Arial" w:cs="Arial"/>
          <w:sz w:val="22"/>
          <w:szCs w:val="22"/>
          <w:highlight w:val="white"/>
        </w:rPr>
      </w:pPr>
      <w:r>
        <w:rPr>
          <w:rFonts w:ascii="Arial" w:eastAsia="Arial" w:hAnsi="Arial" w:cs="Arial"/>
          <w:sz w:val="22"/>
          <w:szCs w:val="22"/>
          <w:highlight w:val="white"/>
        </w:rPr>
        <w:lastRenderedPageBreak/>
        <w:t xml:space="preserve">Sudirjo, F., (2023). Marketing Strategy in Improving Product Competitiveness in the Global Market. </w:t>
      </w:r>
      <w:r>
        <w:rPr>
          <w:rFonts w:ascii="Arial" w:eastAsia="Arial" w:hAnsi="Arial" w:cs="Arial"/>
          <w:i/>
          <w:sz w:val="22"/>
          <w:szCs w:val="22"/>
          <w:highlight w:val="white"/>
        </w:rPr>
        <w:t>Journal of Contemporary Administration and Management (ADMAN)</w:t>
      </w:r>
      <w:r>
        <w:rPr>
          <w:rFonts w:ascii="Arial" w:eastAsia="Arial" w:hAnsi="Arial" w:cs="Arial"/>
          <w:sz w:val="22"/>
          <w:szCs w:val="22"/>
          <w:highlight w:val="white"/>
        </w:rPr>
        <w:t xml:space="preserve">, </w:t>
      </w:r>
      <w:r>
        <w:rPr>
          <w:rFonts w:ascii="Arial" w:eastAsia="Arial" w:hAnsi="Arial" w:cs="Arial"/>
          <w:i/>
          <w:sz w:val="22"/>
          <w:szCs w:val="22"/>
          <w:highlight w:val="white"/>
        </w:rPr>
        <w:t>1</w:t>
      </w:r>
      <w:r>
        <w:rPr>
          <w:rFonts w:ascii="Arial" w:eastAsia="Arial" w:hAnsi="Arial" w:cs="Arial"/>
          <w:sz w:val="22"/>
          <w:szCs w:val="22"/>
          <w:highlight w:val="white"/>
        </w:rPr>
        <w:t xml:space="preserve">(2), pp.63-69. </w:t>
      </w:r>
      <w:hyperlink r:id="rId12">
        <w:r>
          <w:rPr>
            <w:rFonts w:ascii="Arial" w:eastAsia="Arial" w:hAnsi="Arial" w:cs="Arial"/>
            <w:sz w:val="22"/>
            <w:szCs w:val="22"/>
            <w:highlight w:val="white"/>
            <w:u w:val="single"/>
          </w:rPr>
          <w:t>https://journal.literasisainsnusantara.com/index.php/adman/article/view/24</w:t>
        </w:r>
      </w:hyperlink>
    </w:p>
    <w:p w14:paraId="4832F981" w14:textId="686B8F0B" w:rsidR="00CF10AD" w:rsidRDefault="00A5053F" w:rsidP="00A5053F">
      <w:pPr>
        <w:pStyle w:val="Normal1"/>
      </w:pPr>
      <w:r>
        <w:rPr>
          <w:rFonts w:ascii="Arial" w:eastAsia="Arial" w:hAnsi="Arial" w:cs="Arial"/>
          <w:sz w:val="22"/>
          <w:szCs w:val="22"/>
          <w:highlight w:val="white"/>
        </w:rPr>
        <w:t xml:space="preserve">Tidd, J. and Bessant, J.R., (2020). </w:t>
      </w:r>
      <w:r>
        <w:rPr>
          <w:rFonts w:ascii="Arial" w:eastAsia="Arial" w:hAnsi="Arial" w:cs="Arial"/>
          <w:i/>
          <w:sz w:val="22"/>
          <w:szCs w:val="22"/>
          <w:highlight w:val="white"/>
        </w:rPr>
        <w:t>Managing innovation: integrating technological, market and organizational change</w:t>
      </w:r>
      <w:r>
        <w:rPr>
          <w:rFonts w:ascii="Arial" w:eastAsia="Arial" w:hAnsi="Arial" w:cs="Arial"/>
          <w:sz w:val="22"/>
          <w:szCs w:val="22"/>
          <w:highlight w:val="white"/>
        </w:rPr>
        <w:t xml:space="preserve">. John Wiley &amp; Sons. </w:t>
      </w:r>
    </w:p>
    <w:p w14:paraId="015B9528" w14:textId="77777777" w:rsidR="00CF10AD" w:rsidRDefault="00CF10AD">
      <w:r>
        <w:br w:type="page"/>
      </w:r>
    </w:p>
    <w:p w14:paraId="4EA9F011" w14:textId="6A2D1492" w:rsidR="00A5053F" w:rsidRDefault="00CF10AD" w:rsidP="00CF10AD">
      <w:pPr>
        <w:pStyle w:val="Heading1"/>
        <w:rPr>
          <w:highlight w:val="white"/>
        </w:rPr>
      </w:pPr>
      <w:r>
        <w:rPr>
          <w:highlight w:val="white"/>
        </w:rPr>
        <w:lastRenderedPageBreak/>
        <w:t>Appendix</w:t>
      </w:r>
    </w:p>
    <w:p w14:paraId="01912CC8" w14:textId="19024AEE" w:rsidR="00CF10AD" w:rsidRPr="00CF10AD" w:rsidRDefault="00CF10AD" w:rsidP="00CF10AD">
      <w:pPr>
        <w:pStyle w:val="Normal1"/>
        <w:rPr>
          <w:rFonts w:eastAsia="Arial"/>
          <w:highlight w:val="white"/>
        </w:rPr>
      </w:pPr>
      <w:r>
        <w:rPr>
          <w:noProof/>
        </w:rPr>
        <w:drawing>
          <wp:inline distT="0" distB="0" distL="0" distR="0" wp14:anchorId="07EF8D20" wp14:editId="6290BF1A">
            <wp:extent cx="5733415" cy="3225165"/>
            <wp:effectExtent l="0" t="0" r="635" b="0"/>
            <wp:docPr id="9469926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99264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2551AA04" wp14:editId="03CB57D0">
            <wp:extent cx="5733415" cy="3225165"/>
            <wp:effectExtent l="0" t="0" r="635" b="0"/>
            <wp:docPr id="17956389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3898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0467CEE3" wp14:editId="1DD25FA2">
            <wp:extent cx="5733415" cy="3225165"/>
            <wp:effectExtent l="0" t="0" r="635" b="0"/>
            <wp:docPr id="6479502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95020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49FFB7D3" wp14:editId="45BB20ED">
            <wp:extent cx="5733415" cy="3225165"/>
            <wp:effectExtent l="0" t="0" r="635" b="0"/>
            <wp:docPr id="15946849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68496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4AC232AA" wp14:editId="07F4FA51">
            <wp:extent cx="5733415" cy="3225165"/>
            <wp:effectExtent l="0" t="0" r="635" b="0"/>
            <wp:docPr id="16105028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50285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46DAD70B" wp14:editId="25B595E4">
            <wp:extent cx="5733415" cy="3225165"/>
            <wp:effectExtent l="0" t="0" r="635" b="0"/>
            <wp:docPr id="12732345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3455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10715720" wp14:editId="56B60E67">
            <wp:extent cx="5733415" cy="3225165"/>
            <wp:effectExtent l="0" t="0" r="635" b="0"/>
            <wp:docPr id="16611244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24463"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7AB9DB44" wp14:editId="309E00CD">
            <wp:extent cx="5733415" cy="3225165"/>
            <wp:effectExtent l="0" t="0" r="635" b="0"/>
            <wp:docPr id="1382322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2223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08014C27" wp14:editId="025EE40B">
            <wp:extent cx="5733415" cy="3225165"/>
            <wp:effectExtent l="0" t="0" r="635" b="0"/>
            <wp:docPr id="20458524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5247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3415" cy="3225165"/>
                    </a:xfrm>
                    <a:prstGeom prst="rect">
                      <a:avLst/>
                    </a:prstGeom>
                  </pic:spPr>
                </pic:pic>
              </a:graphicData>
            </a:graphic>
          </wp:inline>
        </w:drawing>
      </w:r>
    </w:p>
    <w:sectPr w:rsidR="00CF10AD" w:rsidRPr="00CF10AD" w:rsidSect="00A5053F">
      <w:footerReference w:type="default" r:id="rId3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EDD7C" w14:textId="77777777" w:rsidR="00197BCD" w:rsidRDefault="00197BCD">
      <w:pPr>
        <w:spacing w:line="240" w:lineRule="auto"/>
      </w:pPr>
      <w:r>
        <w:separator/>
      </w:r>
    </w:p>
  </w:endnote>
  <w:endnote w:type="continuationSeparator" w:id="0">
    <w:p w14:paraId="1945E974" w14:textId="77777777" w:rsidR="00197BCD" w:rsidRDefault="00197B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6" w14:textId="6DA5FEFB" w:rsidR="00AD3FA0" w:rsidRDefault="008B6A4F">
    <w:pPr>
      <w:pStyle w:val="Normal1"/>
      <w:jc w:val="right"/>
    </w:pPr>
    <w:r>
      <w:fldChar w:fldCharType="begin"/>
    </w:r>
    <w:r>
      <w:instrText>PAGE</w:instrText>
    </w:r>
    <w:r>
      <w:fldChar w:fldCharType="separate"/>
    </w:r>
    <w:r w:rsidR="00A5053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C687F" w14:textId="77777777" w:rsidR="00197BCD" w:rsidRDefault="00197BCD">
      <w:pPr>
        <w:spacing w:line="240" w:lineRule="auto"/>
      </w:pPr>
      <w:r>
        <w:separator/>
      </w:r>
    </w:p>
  </w:footnote>
  <w:footnote w:type="continuationSeparator" w:id="0">
    <w:p w14:paraId="6882AD7D" w14:textId="77777777" w:rsidR="00197BCD" w:rsidRDefault="00197B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A1596"/>
    <w:multiLevelType w:val="hybridMultilevel"/>
    <w:tmpl w:val="00000000"/>
    <w:lvl w:ilvl="0" w:tplc="DC043122">
      <w:start w:val="1"/>
      <w:numFmt w:val="bullet"/>
      <w:lvlText w:val="●"/>
      <w:lvlJc w:val="left"/>
      <w:pPr>
        <w:ind w:left="720" w:hanging="360"/>
      </w:pPr>
      <w:rPr>
        <w:u w:val="none"/>
      </w:rPr>
    </w:lvl>
    <w:lvl w:ilvl="1" w:tplc="4140B99E">
      <w:start w:val="1"/>
      <w:numFmt w:val="bullet"/>
      <w:lvlText w:val="○"/>
      <w:lvlJc w:val="left"/>
      <w:pPr>
        <w:ind w:left="1440" w:hanging="360"/>
      </w:pPr>
      <w:rPr>
        <w:u w:val="none"/>
      </w:rPr>
    </w:lvl>
    <w:lvl w:ilvl="2" w:tplc="88D6EA52">
      <w:start w:val="1"/>
      <w:numFmt w:val="bullet"/>
      <w:lvlText w:val="■"/>
      <w:lvlJc w:val="left"/>
      <w:pPr>
        <w:ind w:left="2160" w:hanging="360"/>
      </w:pPr>
      <w:rPr>
        <w:u w:val="none"/>
      </w:rPr>
    </w:lvl>
    <w:lvl w:ilvl="3" w:tplc="CB96CFDE">
      <w:start w:val="1"/>
      <w:numFmt w:val="bullet"/>
      <w:lvlText w:val="●"/>
      <w:lvlJc w:val="left"/>
      <w:pPr>
        <w:ind w:left="2880" w:hanging="360"/>
      </w:pPr>
      <w:rPr>
        <w:u w:val="none"/>
      </w:rPr>
    </w:lvl>
    <w:lvl w:ilvl="4" w:tplc="2B12A2C0">
      <w:start w:val="1"/>
      <w:numFmt w:val="bullet"/>
      <w:lvlText w:val="○"/>
      <w:lvlJc w:val="left"/>
      <w:pPr>
        <w:ind w:left="3600" w:hanging="360"/>
      </w:pPr>
      <w:rPr>
        <w:u w:val="none"/>
      </w:rPr>
    </w:lvl>
    <w:lvl w:ilvl="5" w:tplc="1DBE61B2">
      <w:start w:val="1"/>
      <w:numFmt w:val="bullet"/>
      <w:lvlText w:val="■"/>
      <w:lvlJc w:val="left"/>
      <w:pPr>
        <w:ind w:left="4320" w:hanging="360"/>
      </w:pPr>
      <w:rPr>
        <w:u w:val="none"/>
      </w:rPr>
    </w:lvl>
    <w:lvl w:ilvl="6" w:tplc="41D017AA">
      <w:start w:val="1"/>
      <w:numFmt w:val="bullet"/>
      <w:lvlText w:val="●"/>
      <w:lvlJc w:val="left"/>
      <w:pPr>
        <w:ind w:left="5040" w:hanging="360"/>
      </w:pPr>
      <w:rPr>
        <w:u w:val="none"/>
      </w:rPr>
    </w:lvl>
    <w:lvl w:ilvl="7" w:tplc="20F227E6">
      <w:start w:val="1"/>
      <w:numFmt w:val="bullet"/>
      <w:lvlText w:val="○"/>
      <w:lvlJc w:val="left"/>
      <w:pPr>
        <w:ind w:left="5760" w:hanging="360"/>
      </w:pPr>
      <w:rPr>
        <w:u w:val="none"/>
      </w:rPr>
    </w:lvl>
    <w:lvl w:ilvl="8" w:tplc="15047CEE">
      <w:start w:val="1"/>
      <w:numFmt w:val="bullet"/>
      <w:lvlText w:val="■"/>
      <w:lvlJc w:val="left"/>
      <w:pPr>
        <w:ind w:left="6480" w:hanging="360"/>
      </w:pPr>
      <w:rPr>
        <w:u w:val="none"/>
      </w:rPr>
    </w:lvl>
  </w:abstractNum>
  <w:abstractNum w:abstractNumId="1" w15:restartNumberingAfterBreak="0">
    <w:nsid w:val="41B89EA9"/>
    <w:multiLevelType w:val="hybridMultilevel"/>
    <w:tmpl w:val="00000000"/>
    <w:lvl w:ilvl="0" w:tplc="96EA2532">
      <w:start w:val="1"/>
      <w:numFmt w:val="bullet"/>
      <w:lvlText w:val="●"/>
      <w:lvlJc w:val="left"/>
      <w:pPr>
        <w:ind w:left="720" w:hanging="360"/>
      </w:pPr>
      <w:rPr>
        <w:u w:val="none"/>
      </w:rPr>
    </w:lvl>
    <w:lvl w:ilvl="1" w:tplc="64AEC71C">
      <w:start w:val="1"/>
      <w:numFmt w:val="bullet"/>
      <w:lvlText w:val="○"/>
      <w:lvlJc w:val="left"/>
      <w:pPr>
        <w:ind w:left="1440" w:hanging="360"/>
      </w:pPr>
      <w:rPr>
        <w:u w:val="none"/>
      </w:rPr>
    </w:lvl>
    <w:lvl w:ilvl="2" w:tplc="149865A6">
      <w:start w:val="1"/>
      <w:numFmt w:val="bullet"/>
      <w:lvlText w:val="■"/>
      <w:lvlJc w:val="left"/>
      <w:pPr>
        <w:ind w:left="2160" w:hanging="360"/>
      </w:pPr>
      <w:rPr>
        <w:u w:val="none"/>
      </w:rPr>
    </w:lvl>
    <w:lvl w:ilvl="3" w:tplc="2CD2C392">
      <w:start w:val="1"/>
      <w:numFmt w:val="bullet"/>
      <w:lvlText w:val="●"/>
      <w:lvlJc w:val="left"/>
      <w:pPr>
        <w:ind w:left="2880" w:hanging="360"/>
      </w:pPr>
      <w:rPr>
        <w:u w:val="none"/>
      </w:rPr>
    </w:lvl>
    <w:lvl w:ilvl="4" w:tplc="334677E2">
      <w:start w:val="1"/>
      <w:numFmt w:val="bullet"/>
      <w:lvlText w:val="○"/>
      <w:lvlJc w:val="left"/>
      <w:pPr>
        <w:ind w:left="3600" w:hanging="360"/>
      </w:pPr>
      <w:rPr>
        <w:u w:val="none"/>
      </w:rPr>
    </w:lvl>
    <w:lvl w:ilvl="5" w:tplc="8114424A">
      <w:start w:val="1"/>
      <w:numFmt w:val="bullet"/>
      <w:lvlText w:val="■"/>
      <w:lvlJc w:val="left"/>
      <w:pPr>
        <w:ind w:left="4320" w:hanging="360"/>
      </w:pPr>
      <w:rPr>
        <w:u w:val="none"/>
      </w:rPr>
    </w:lvl>
    <w:lvl w:ilvl="6" w:tplc="5C84B6A0">
      <w:start w:val="1"/>
      <w:numFmt w:val="bullet"/>
      <w:lvlText w:val="●"/>
      <w:lvlJc w:val="left"/>
      <w:pPr>
        <w:ind w:left="5040" w:hanging="360"/>
      </w:pPr>
      <w:rPr>
        <w:u w:val="none"/>
      </w:rPr>
    </w:lvl>
    <w:lvl w:ilvl="7" w:tplc="B1BE3720">
      <w:start w:val="1"/>
      <w:numFmt w:val="bullet"/>
      <w:lvlText w:val="○"/>
      <w:lvlJc w:val="left"/>
      <w:pPr>
        <w:ind w:left="5760" w:hanging="360"/>
      </w:pPr>
      <w:rPr>
        <w:u w:val="none"/>
      </w:rPr>
    </w:lvl>
    <w:lvl w:ilvl="8" w:tplc="277AD456">
      <w:start w:val="1"/>
      <w:numFmt w:val="bullet"/>
      <w:lvlText w:val="■"/>
      <w:lvlJc w:val="left"/>
      <w:pPr>
        <w:ind w:left="6480" w:hanging="360"/>
      </w:pPr>
      <w:rPr>
        <w:u w:val="none"/>
      </w:rPr>
    </w:lvl>
  </w:abstractNum>
  <w:abstractNum w:abstractNumId="2" w15:restartNumberingAfterBreak="0">
    <w:nsid w:val="6523B069"/>
    <w:multiLevelType w:val="hybridMultilevel"/>
    <w:tmpl w:val="00000000"/>
    <w:lvl w:ilvl="0" w:tplc="B7CC8A82">
      <w:start w:val="1"/>
      <w:numFmt w:val="bullet"/>
      <w:lvlText w:val="●"/>
      <w:lvlJc w:val="left"/>
      <w:pPr>
        <w:ind w:left="720" w:hanging="360"/>
      </w:pPr>
      <w:rPr>
        <w:u w:val="none"/>
      </w:rPr>
    </w:lvl>
    <w:lvl w:ilvl="1" w:tplc="1A44E8D2">
      <w:start w:val="1"/>
      <w:numFmt w:val="bullet"/>
      <w:lvlText w:val="○"/>
      <w:lvlJc w:val="left"/>
      <w:pPr>
        <w:ind w:left="1440" w:hanging="360"/>
      </w:pPr>
      <w:rPr>
        <w:u w:val="none"/>
      </w:rPr>
    </w:lvl>
    <w:lvl w:ilvl="2" w:tplc="406CF480">
      <w:start w:val="1"/>
      <w:numFmt w:val="bullet"/>
      <w:lvlText w:val="■"/>
      <w:lvlJc w:val="left"/>
      <w:pPr>
        <w:ind w:left="2160" w:hanging="360"/>
      </w:pPr>
      <w:rPr>
        <w:u w:val="none"/>
      </w:rPr>
    </w:lvl>
    <w:lvl w:ilvl="3" w:tplc="92BCB8B8">
      <w:start w:val="1"/>
      <w:numFmt w:val="bullet"/>
      <w:lvlText w:val="●"/>
      <w:lvlJc w:val="left"/>
      <w:pPr>
        <w:ind w:left="2880" w:hanging="360"/>
      </w:pPr>
      <w:rPr>
        <w:u w:val="none"/>
      </w:rPr>
    </w:lvl>
    <w:lvl w:ilvl="4" w:tplc="FCDE9096">
      <w:start w:val="1"/>
      <w:numFmt w:val="bullet"/>
      <w:lvlText w:val="○"/>
      <w:lvlJc w:val="left"/>
      <w:pPr>
        <w:ind w:left="3600" w:hanging="360"/>
      </w:pPr>
      <w:rPr>
        <w:u w:val="none"/>
      </w:rPr>
    </w:lvl>
    <w:lvl w:ilvl="5" w:tplc="2CCC1B28">
      <w:start w:val="1"/>
      <w:numFmt w:val="bullet"/>
      <w:lvlText w:val="■"/>
      <w:lvlJc w:val="left"/>
      <w:pPr>
        <w:ind w:left="4320" w:hanging="360"/>
      </w:pPr>
      <w:rPr>
        <w:u w:val="none"/>
      </w:rPr>
    </w:lvl>
    <w:lvl w:ilvl="6" w:tplc="3B48C642">
      <w:start w:val="1"/>
      <w:numFmt w:val="bullet"/>
      <w:lvlText w:val="●"/>
      <w:lvlJc w:val="left"/>
      <w:pPr>
        <w:ind w:left="5040" w:hanging="360"/>
      </w:pPr>
      <w:rPr>
        <w:u w:val="none"/>
      </w:rPr>
    </w:lvl>
    <w:lvl w:ilvl="7" w:tplc="4C70C262">
      <w:start w:val="1"/>
      <w:numFmt w:val="bullet"/>
      <w:lvlText w:val="○"/>
      <w:lvlJc w:val="left"/>
      <w:pPr>
        <w:ind w:left="5760" w:hanging="360"/>
      </w:pPr>
      <w:rPr>
        <w:u w:val="none"/>
      </w:rPr>
    </w:lvl>
    <w:lvl w:ilvl="8" w:tplc="D3C6FE96">
      <w:start w:val="1"/>
      <w:numFmt w:val="bullet"/>
      <w:lvlText w:val="■"/>
      <w:lvlJc w:val="left"/>
      <w:pPr>
        <w:ind w:left="6480" w:hanging="360"/>
      </w:pPr>
      <w:rPr>
        <w:u w:val="none"/>
      </w:rPr>
    </w:lvl>
  </w:abstractNum>
  <w:abstractNum w:abstractNumId="3" w15:restartNumberingAfterBreak="0">
    <w:nsid w:val="78730CF6"/>
    <w:multiLevelType w:val="hybridMultilevel"/>
    <w:tmpl w:val="00000000"/>
    <w:lvl w:ilvl="0" w:tplc="12886C90">
      <w:start w:val="1"/>
      <w:numFmt w:val="bullet"/>
      <w:lvlText w:val="●"/>
      <w:lvlJc w:val="left"/>
      <w:pPr>
        <w:ind w:left="720" w:hanging="360"/>
      </w:pPr>
      <w:rPr>
        <w:u w:val="none"/>
      </w:rPr>
    </w:lvl>
    <w:lvl w:ilvl="1" w:tplc="5050A7EC">
      <w:start w:val="1"/>
      <w:numFmt w:val="bullet"/>
      <w:lvlText w:val="○"/>
      <w:lvlJc w:val="left"/>
      <w:pPr>
        <w:ind w:left="1440" w:hanging="360"/>
      </w:pPr>
      <w:rPr>
        <w:u w:val="none"/>
      </w:rPr>
    </w:lvl>
    <w:lvl w:ilvl="2" w:tplc="7ACA0EE4">
      <w:start w:val="1"/>
      <w:numFmt w:val="bullet"/>
      <w:lvlText w:val="■"/>
      <w:lvlJc w:val="left"/>
      <w:pPr>
        <w:ind w:left="2160" w:hanging="360"/>
      </w:pPr>
      <w:rPr>
        <w:u w:val="none"/>
      </w:rPr>
    </w:lvl>
    <w:lvl w:ilvl="3" w:tplc="887434DA">
      <w:start w:val="1"/>
      <w:numFmt w:val="bullet"/>
      <w:lvlText w:val="●"/>
      <w:lvlJc w:val="left"/>
      <w:pPr>
        <w:ind w:left="2880" w:hanging="360"/>
      </w:pPr>
      <w:rPr>
        <w:u w:val="none"/>
      </w:rPr>
    </w:lvl>
    <w:lvl w:ilvl="4" w:tplc="1D468BA4">
      <w:start w:val="1"/>
      <w:numFmt w:val="bullet"/>
      <w:lvlText w:val="○"/>
      <w:lvlJc w:val="left"/>
      <w:pPr>
        <w:ind w:left="3600" w:hanging="360"/>
      </w:pPr>
      <w:rPr>
        <w:u w:val="none"/>
      </w:rPr>
    </w:lvl>
    <w:lvl w:ilvl="5" w:tplc="AA7CD8A2">
      <w:start w:val="1"/>
      <w:numFmt w:val="bullet"/>
      <w:lvlText w:val="■"/>
      <w:lvlJc w:val="left"/>
      <w:pPr>
        <w:ind w:left="4320" w:hanging="360"/>
      </w:pPr>
      <w:rPr>
        <w:u w:val="none"/>
      </w:rPr>
    </w:lvl>
    <w:lvl w:ilvl="6" w:tplc="7F60F04E">
      <w:start w:val="1"/>
      <w:numFmt w:val="bullet"/>
      <w:lvlText w:val="●"/>
      <w:lvlJc w:val="left"/>
      <w:pPr>
        <w:ind w:left="5040" w:hanging="360"/>
      </w:pPr>
      <w:rPr>
        <w:u w:val="none"/>
      </w:rPr>
    </w:lvl>
    <w:lvl w:ilvl="7" w:tplc="93267C3A">
      <w:start w:val="1"/>
      <w:numFmt w:val="bullet"/>
      <w:lvlText w:val="○"/>
      <w:lvlJc w:val="left"/>
      <w:pPr>
        <w:ind w:left="5760" w:hanging="360"/>
      </w:pPr>
      <w:rPr>
        <w:u w:val="none"/>
      </w:rPr>
    </w:lvl>
    <w:lvl w:ilvl="8" w:tplc="2578EE10">
      <w:start w:val="1"/>
      <w:numFmt w:val="bullet"/>
      <w:lvlText w:val="■"/>
      <w:lvlJc w:val="left"/>
      <w:pPr>
        <w:ind w:left="6480" w:hanging="360"/>
      </w:pPr>
      <w:rPr>
        <w:u w:val="none"/>
      </w:rPr>
    </w:lvl>
  </w:abstractNum>
  <w:num w:numId="1" w16cid:durableId="1112364256">
    <w:abstractNumId w:val="1"/>
  </w:num>
  <w:num w:numId="2" w16cid:durableId="1910840713">
    <w:abstractNumId w:val="0"/>
  </w:num>
  <w:num w:numId="3" w16cid:durableId="1361391253">
    <w:abstractNumId w:val="3"/>
  </w:num>
  <w:num w:numId="4" w16cid:durableId="6813230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3FA0"/>
    <w:rsid w:val="00197BCD"/>
    <w:rsid w:val="008B6A4F"/>
    <w:rsid w:val="008F4FD4"/>
    <w:rsid w:val="00A5053F"/>
    <w:rsid w:val="00AD2078"/>
    <w:rsid w:val="00AD3FA0"/>
    <w:rsid w:val="00CF10AD"/>
    <w:rsid w:val="00D93B91"/>
    <w:rsid w:val="00FA551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A922B"/>
  <w15:docId w15:val="{7AF0CF28-D5E6-4B09-AB99-75D683539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40" w:after="240"/>
      <w:outlineLvl w:val="0"/>
    </w:pPr>
    <w:rPr>
      <w:rFonts w:ascii="Arial" w:eastAsia="Arial" w:hAnsi="Arial" w:cs="Arial"/>
      <w:b/>
      <w:sz w:val="22"/>
      <w:szCs w:val="22"/>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5053F"/>
    <w:pPr>
      <w:tabs>
        <w:tab w:val="center" w:pos="4513"/>
        <w:tab w:val="right" w:pos="9026"/>
      </w:tabs>
      <w:spacing w:line="240" w:lineRule="auto"/>
    </w:pPr>
  </w:style>
  <w:style w:type="character" w:customStyle="1" w:styleId="HeaderChar">
    <w:name w:val="Header Char"/>
    <w:basedOn w:val="DefaultParagraphFont"/>
    <w:link w:val="Header"/>
    <w:uiPriority w:val="99"/>
    <w:rsid w:val="00A5053F"/>
  </w:style>
  <w:style w:type="paragraph" w:styleId="Footer">
    <w:name w:val="footer"/>
    <w:basedOn w:val="Normal"/>
    <w:link w:val="FooterChar"/>
    <w:uiPriority w:val="99"/>
    <w:unhideWhenUsed/>
    <w:rsid w:val="00A5053F"/>
    <w:pPr>
      <w:tabs>
        <w:tab w:val="center" w:pos="4513"/>
        <w:tab w:val="right" w:pos="9026"/>
      </w:tabs>
      <w:spacing w:line="240" w:lineRule="auto"/>
    </w:pPr>
  </w:style>
  <w:style w:type="character" w:customStyle="1" w:styleId="FooterChar">
    <w:name w:val="Footer Char"/>
    <w:basedOn w:val="DefaultParagraphFont"/>
    <w:link w:val="Footer"/>
    <w:uiPriority w:val="99"/>
    <w:rsid w:val="00A50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svg"/><Relationship Id="rId26" Type="http://schemas.openxmlformats.org/officeDocument/2006/relationships/image" Target="media/image14.sv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repository.uin-malang.ac.id/15059/7/15059.pdf" TargetMode="External"/><Relationship Id="rId12" Type="http://schemas.openxmlformats.org/officeDocument/2006/relationships/hyperlink" Target="https://journal.literasisainsnusantara.com/index.php/adman/article/view/24"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svg"/><Relationship Id="rId20" Type="http://schemas.openxmlformats.org/officeDocument/2006/relationships/image" Target="media/image8.sv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923474820300163" TargetMode="External"/><Relationship Id="rId24" Type="http://schemas.openxmlformats.org/officeDocument/2006/relationships/image" Target="media/image12.sv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svg"/><Relationship Id="rId10" Type="http://schemas.openxmlformats.org/officeDocument/2006/relationships/hyperlink" Target="https://www.sciencedirect.com/science/article/pii/S095965262033835X" TargetMode="External"/><Relationship Id="rId19" Type="http://schemas.openxmlformats.org/officeDocument/2006/relationships/image" Target="media/image7.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pii/S0267364923001425" TargetMode="External"/><Relationship Id="rId14" Type="http://schemas.openxmlformats.org/officeDocument/2006/relationships/image" Target="media/image2.svg"/><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image" Target="media/image18.svg"/><Relationship Id="rId8" Type="http://schemas.openxmlformats.org/officeDocument/2006/relationships/hyperlink" Target="https://www.sciencedirect.com/science/article/pii/S00198501210012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3412</Words>
  <Characters>19452</Characters>
  <Application>Microsoft Office Word</Application>
  <DocSecurity>0</DocSecurity>
  <Lines>162</Lines>
  <Paragraphs>45</Paragraphs>
  <ScaleCrop>false</ScaleCrop>
  <Company/>
  <LinksUpToDate>false</LinksUpToDate>
  <CharactersWithSpaces>22819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Lizel Cedeno</dc:creator>
  <cp:lastModifiedBy>Lizel Cedeno</cp:lastModifiedBy>
  <cp:revision>2</cp:revision>
  <dcterms:created xsi:type="dcterms:W3CDTF">2024-09-01T00:05:00Z</dcterms:created>
  <dcterms:modified xsi:type="dcterms:W3CDTF">2024-09-01T00:05:00Z</dcterms:modified>
</cp:coreProperties>
</file>