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4FC2D" w14:textId="77777777" w:rsidR="00C432E5" w:rsidRDefault="00C432E5" w:rsidP="00C432E5"/>
    <w:p w14:paraId="178B28FC" w14:textId="77777777" w:rsidR="00C432E5" w:rsidRDefault="00C432E5" w:rsidP="00C432E5">
      <w:r w:rsidRPr="0067731C">
        <w:rPr>
          <w:noProof/>
        </w:rPr>
        <w:drawing>
          <wp:anchor distT="0" distB="0" distL="114300" distR="114300" simplePos="0" relativeHeight="251659264" behindDoc="0" locked="0" layoutInCell="1" allowOverlap="1" wp14:anchorId="1D389FAF" wp14:editId="2052B3F3">
            <wp:simplePos x="0" y="0"/>
            <wp:positionH relativeFrom="column">
              <wp:posOffset>626745</wp:posOffset>
            </wp:positionH>
            <wp:positionV relativeFrom="paragraph">
              <wp:posOffset>172085</wp:posOffset>
            </wp:positionV>
            <wp:extent cx="4635500" cy="1536700"/>
            <wp:effectExtent l="0" t="0" r="0" b="0"/>
            <wp:wrapSquare wrapText="bothSides"/>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50B00ED5" w14:textId="77777777" w:rsidR="00C432E5" w:rsidRDefault="00C432E5" w:rsidP="00C432E5"/>
    <w:p w14:paraId="0D35DF91" w14:textId="77777777" w:rsidR="00C432E5" w:rsidRDefault="00C432E5" w:rsidP="00C432E5"/>
    <w:p w14:paraId="66CE7D83" w14:textId="77777777" w:rsidR="00C432E5" w:rsidRDefault="00C432E5" w:rsidP="00C432E5"/>
    <w:p w14:paraId="1AB20181" w14:textId="77777777" w:rsidR="00C432E5" w:rsidRPr="00F3544B" w:rsidRDefault="00C432E5" w:rsidP="00C432E5"/>
    <w:p w14:paraId="39F06F74" w14:textId="77777777" w:rsidR="00C432E5" w:rsidRPr="00F3544B" w:rsidRDefault="00C432E5" w:rsidP="00C432E5"/>
    <w:p w14:paraId="0EB5B311" w14:textId="77777777" w:rsidR="004157E5" w:rsidRPr="004157E5" w:rsidRDefault="004157E5" w:rsidP="004157E5">
      <w:pPr>
        <w:jc w:val="both"/>
        <w:rPr>
          <w:rFonts w:cstheme="minorHAnsi"/>
          <w:color w:val="000000" w:themeColor="text1"/>
          <w:sz w:val="32"/>
          <w:szCs w:val="32"/>
        </w:rPr>
      </w:pPr>
    </w:p>
    <w:p w14:paraId="435D26BA" w14:textId="77777777" w:rsidR="002276E7" w:rsidRDefault="002276E7" w:rsidP="00C432E5">
      <w:pPr>
        <w:jc w:val="center"/>
        <w:rPr>
          <w:rFonts w:ascii="Arial" w:eastAsiaTheme="minorHAnsi" w:hAnsi="Arial" w:cs="Arial"/>
          <w:b/>
          <w:bCs/>
          <w:sz w:val="32"/>
          <w:szCs w:val="32"/>
          <w:lang w:eastAsia="en-US"/>
        </w:rPr>
      </w:pPr>
    </w:p>
    <w:p w14:paraId="09A5033F" w14:textId="78E34F11" w:rsidR="00C432E5" w:rsidRPr="00C432E5" w:rsidRDefault="00C432E5" w:rsidP="00C432E5">
      <w:pPr>
        <w:jc w:val="center"/>
        <w:rPr>
          <w:rFonts w:ascii="Arial" w:eastAsiaTheme="minorHAnsi" w:hAnsi="Arial" w:cs="Arial"/>
          <w:b/>
          <w:bCs/>
          <w:sz w:val="32"/>
          <w:szCs w:val="32"/>
          <w:lang w:eastAsia="en-US"/>
        </w:rPr>
      </w:pPr>
      <w:bookmarkStart w:id="0" w:name="_Hlk165777119"/>
      <w:r w:rsidRPr="00C432E5">
        <w:rPr>
          <w:rFonts w:ascii="Arial" w:eastAsiaTheme="minorHAnsi" w:hAnsi="Arial" w:cs="Arial"/>
          <w:b/>
          <w:bCs/>
          <w:sz w:val="32"/>
          <w:szCs w:val="32"/>
          <w:lang w:eastAsia="en-US"/>
        </w:rPr>
        <w:t>How do children perceive and engage with a real-life context in mathematics lessons?</w:t>
      </w:r>
    </w:p>
    <w:bookmarkEnd w:id="0"/>
    <w:p w14:paraId="2E9C9C73" w14:textId="77777777" w:rsidR="00C432E5" w:rsidRDefault="00C432E5" w:rsidP="00C432E5">
      <w:pPr>
        <w:spacing w:line="360" w:lineRule="auto"/>
        <w:rPr>
          <w:rFonts w:cstheme="minorHAnsi"/>
          <w:b/>
          <w:bCs/>
          <w:color w:val="000000" w:themeColor="text1"/>
          <w:sz w:val="36"/>
          <w:szCs w:val="36"/>
          <w:u w:val="single"/>
        </w:rPr>
      </w:pPr>
    </w:p>
    <w:p w14:paraId="492AB3AE" w14:textId="611994DE" w:rsidR="00C432E5" w:rsidRPr="00392B89"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Name:</w:t>
      </w:r>
      <w:r w:rsidRPr="00392B89">
        <w:rPr>
          <w:rFonts w:cstheme="minorHAnsi"/>
          <w:color w:val="000000" w:themeColor="text1"/>
          <w:sz w:val="32"/>
          <w:szCs w:val="32"/>
        </w:rPr>
        <w:t xml:space="preserve"> </w:t>
      </w:r>
      <w:r>
        <w:rPr>
          <w:rFonts w:cstheme="minorHAnsi"/>
          <w:color w:val="000000" w:themeColor="text1"/>
          <w:sz w:val="32"/>
          <w:szCs w:val="32"/>
        </w:rPr>
        <w:t>Mirela Hayles</w:t>
      </w:r>
    </w:p>
    <w:p w14:paraId="063BF421" w14:textId="2596113D" w:rsidR="00C432E5" w:rsidRPr="00392B89"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Student ID:</w:t>
      </w:r>
      <w:r w:rsidRPr="00392B89">
        <w:rPr>
          <w:rFonts w:cstheme="minorHAnsi"/>
          <w:color w:val="000000" w:themeColor="text1"/>
          <w:sz w:val="32"/>
          <w:szCs w:val="32"/>
        </w:rPr>
        <w:t xml:space="preserve"> </w:t>
      </w:r>
      <w:r>
        <w:rPr>
          <w:rFonts w:cstheme="minorHAnsi"/>
          <w:color w:val="000000" w:themeColor="text1"/>
          <w:sz w:val="32"/>
          <w:szCs w:val="32"/>
        </w:rPr>
        <w:t>2011395</w:t>
      </w:r>
    </w:p>
    <w:p w14:paraId="45114844" w14:textId="1FF39BB8" w:rsidR="00C432E5"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Module:</w:t>
      </w:r>
      <w:r w:rsidRPr="00392B89">
        <w:rPr>
          <w:rFonts w:cstheme="minorHAnsi"/>
          <w:color w:val="000000" w:themeColor="text1"/>
          <w:sz w:val="32"/>
          <w:szCs w:val="32"/>
        </w:rPr>
        <w:t xml:space="preserve"> Professional and Pedagogic Studies: Researching the Learning: what, how and why am I teaching?</w:t>
      </w:r>
      <w:r>
        <w:rPr>
          <w:rFonts w:cstheme="minorHAnsi"/>
          <w:color w:val="000000" w:themeColor="text1"/>
          <w:sz w:val="32"/>
          <w:szCs w:val="32"/>
        </w:rPr>
        <w:t xml:space="preserve"> </w:t>
      </w:r>
    </w:p>
    <w:p w14:paraId="66F632F5" w14:textId="77777777" w:rsidR="002276E7" w:rsidRPr="004157E5" w:rsidRDefault="002276E7" w:rsidP="002276E7">
      <w:pPr>
        <w:jc w:val="center"/>
        <w:rPr>
          <w:rFonts w:cstheme="minorHAnsi"/>
          <w:b/>
          <w:bCs/>
          <w:color w:val="000000" w:themeColor="text1"/>
          <w:sz w:val="32"/>
          <w:szCs w:val="32"/>
        </w:rPr>
      </w:pPr>
      <w:r w:rsidRPr="004157E5">
        <w:rPr>
          <w:rFonts w:cstheme="minorHAnsi"/>
          <w:b/>
          <w:bCs/>
          <w:color w:val="000000" w:themeColor="text1"/>
          <w:sz w:val="32"/>
          <w:szCs w:val="32"/>
        </w:rPr>
        <w:t>ECAD7004/6010 Assignment 2023/24</w:t>
      </w:r>
    </w:p>
    <w:p w14:paraId="42FFB602" w14:textId="77777777" w:rsidR="002276E7" w:rsidRPr="00392B89" w:rsidRDefault="002276E7" w:rsidP="00C432E5">
      <w:pPr>
        <w:spacing w:line="360" w:lineRule="auto"/>
        <w:jc w:val="center"/>
        <w:rPr>
          <w:rFonts w:cstheme="minorHAnsi"/>
          <w:color w:val="000000" w:themeColor="text1"/>
          <w:sz w:val="32"/>
          <w:szCs w:val="32"/>
        </w:rPr>
      </w:pPr>
    </w:p>
    <w:p w14:paraId="430E2DF9" w14:textId="37D00515" w:rsidR="00C432E5" w:rsidRPr="00392B89"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Due Date:</w:t>
      </w:r>
      <w:r w:rsidRPr="00392B89">
        <w:rPr>
          <w:rFonts w:cstheme="minorHAnsi"/>
          <w:b/>
          <w:bCs/>
          <w:color w:val="000000" w:themeColor="text1"/>
          <w:sz w:val="32"/>
          <w:szCs w:val="32"/>
        </w:rPr>
        <w:t xml:space="preserve"> </w:t>
      </w:r>
      <w:r>
        <w:rPr>
          <w:rFonts w:cstheme="minorHAnsi"/>
          <w:color w:val="000000" w:themeColor="text1"/>
          <w:sz w:val="32"/>
          <w:szCs w:val="32"/>
        </w:rPr>
        <w:t>7</w:t>
      </w:r>
      <w:r w:rsidRPr="00C432E5">
        <w:rPr>
          <w:rFonts w:cstheme="minorHAnsi"/>
          <w:color w:val="000000" w:themeColor="text1"/>
          <w:sz w:val="32"/>
          <w:szCs w:val="32"/>
          <w:vertAlign w:val="superscript"/>
        </w:rPr>
        <w:t>th</w:t>
      </w:r>
      <w:r>
        <w:rPr>
          <w:rFonts w:cstheme="minorHAnsi"/>
          <w:color w:val="000000" w:themeColor="text1"/>
          <w:sz w:val="32"/>
          <w:szCs w:val="32"/>
        </w:rPr>
        <w:t xml:space="preserve"> of May 2024</w:t>
      </w:r>
    </w:p>
    <w:p w14:paraId="1206780F" w14:textId="28A02954" w:rsidR="00C432E5" w:rsidRPr="00213700" w:rsidRDefault="00C432E5" w:rsidP="00C432E5">
      <w:pPr>
        <w:jc w:val="center"/>
        <w:rPr>
          <w:rFonts w:cstheme="minorHAnsi"/>
          <w:b/>
          <w:bCs/>
          <w:color w:val="000000" w:themeColor="text1"/>
          <w:sz w:val="32"/>
          <w:szCs w:val="32"/>
          <w:u w:val="single"/>
        </w:rPr>
      </w:pPr>
      <w:r w:rsidRPr="00213700">
        <w:rPr>
          <w:rFonts w:cstheme="minorHAnsi"/>
          <w:b/>
          <w:bCs/>
          <w:color w:val="000000" w:themeColor="text1"/>
          <w:sz w:val="32"/>
          <w:szCs w:val="32"/>
          <w:u w:val="single"/>
        </w:rPr>
        <w:t>Word Count</w:t>
      </w:r>
      <w:r w:rsidRPr="009A71EB">
        <w:rPr>
          <w:rFonts w:cstheme="minorHAnsi"/>
          <w:b/>
          <w:bCs/>
          <w:color w:val="000000" w:themeColor="text1"/>
          <w:sz w:val="32"/>
          <w:szCs w:val="32"/>
          <w:u w:val="single"/>
        </w:rPr>
        <w:t>:</w:t>
      </w:r>
      <w:r w:rsidRPr="009A71EB">
        <w:rPr>
          <w:rFonts w:cstheme="minorHAnsi"/>
          <w:color w:val="000000" w:themeColor="text1"/>
          <w:sz w:val="32"/>
          <w:szCs w:val="32"/>
          <w:u w:val="single"/>
        </w:rPr>
        <w:t xml:space="preserve"> </w:t>
      </w:r>
      <w:r w:rsidR="00F918F2">
        <w:rPr>
          <w:rFonts w:cstheme="minorHAnsi"/>
          <w:color w:val="000000" w:themeColor="text1"/>
          <w:sz w:val="32"/>
          <w:szCs w:val="32"/>
          <w:u w:val="single"/>
        </w:rPr>
        <w:t>479</w:t>
      </w:r>
      <w:r w:rsidR="00197AFF">
        <w:rPr>
          <w:rFonts w:cstheme="minorHAnsi"/>
          <w:color w:val="000000" w:themeColor="text1"/>
          <w:sz w:val="32"/>
          <w:szCs w:val="32"/>
          <w:u w:val="single"/>
        </w:rPr>
        <w:t>2</w:t>
      </w:r>
    </w:p>
    <w:p w14:paraId="5085D22D" w14:textId="77777777" w:rsidR="004C116A" w:rsidRDefault="004C116A" w:rsidP="004C116A">
      <w:pPr>
        <w:pStyle w:val="NormalWeb"/>
        <w:shd w:val="clear" w:color="auto" w:fill="FFFFFF"/>
        <w:spacing w:before="0" w:beforeAutospacing="0" w:after="0" w:afterAutospacing="0"/>
        <w:rPr>
          <w:rFonts w:ascii="Segoe UI" w:hAnsi="Segoe UI" w:cs="Segoe UI"/>
          <w:color w:val="000000"/>
          <w:sz w:val="18"/>
          <w:szCs w:val="18"/>
        </w:rPr>
      </w:pPr>
    </w:p>
    <w:p w14:paraId="7C783D72" w14:textId="77777777" w:rsidR="00991DC4" w:rsidRDefault="00991DC4" w:rsidP="004C116A">
      <w:pPr>
        <w:pStyle w:val="NormalWeb"/>
        <w:shd w:val="clear" w:color="auto" w:fill="FFFFFF"/>
        <w:spacing w:before="0" w:beforeAutospacing="0" w:after="0" w:afterAutospacing="0"/>
        <w:rPr>
          <w:rFonts w:ascii="Segoe UI" w:hAnsi="Segoe UI" w:cs="Segoe UI"/>
          <w:color w:val="000000"/>
          <w:sz w:val="18"/>
          <w:szCs w:val="18"/>
        </w:rPr>
      </w:pPr>
    </w:p>
    <w:p w14:paraId="6EFA2135" w14:textId="77777777" w:rsidR="00991DC4" w:rsidRDefault="00991DC4" w:rsidP="004C116A">
      <w:pPr>
        <w:pStyle w:val="NormalWeb"/>
        <w:shd w:val="clear" w:color="auto" w:fill="FFFFFF"/>
        <w:spacing w:before="0" w:beforeAutospacing="0" w:after="0" w:afterAutospacing="0"/>
        <w:rPr>
          <w:rFonts w:ascii="Segoe UI" w:hAnsi="Segoe UI" w:cs="Segoe UI"/>
          <w:color w:val="000000"/>
          <w:sz w:val="18"/>
          <w:szCs w:val="18"/>
        </w:rPr>
      </w:pPr>
    </w:p>
    <w:p w14:paraId="79606EE6" w14:textId="77777777" w:rsidR="00991DC4" w:rsidRDefault="00991DC4" w:rsidP="004C116A">
      <w:pPr>
        <w:pStyle w:val="NormalWeb"/>
        <w:shd w:val="clear" w:color="auto" w:fill="FFFFFF"/>
        <w:spacing w:before="0" w:beforeAutospacing="0" w:after="0" w:afterAutospacing="0"/>
        <w:rPr>
          <w:rFonts w:ascii="Segoe UI" w:hAnsi="Segoe UI" w:cs="Segoe UI"/>
          <w:color w:val="000000"/>
          <w:sz w:val="18"/>
          <w:szCs w:val="18"/>
        </w:rPr>
      </w:pPr>
    </w:p>
    <w:p w14:paraId="2648F53D" w14:textId="77777777" w:rsidR="004C116A" w:rsidRDefault="004C116A" w:rsidP="004C116A">
      <w:pPr>
        <w:pStyle w:val="NormalWeb"/>
        <w:shd w:val="clear" w:color="auto" w:fill="FFFFFF"/>
        <w:spacing w:before="0" w:beforeAutospacing="0" w:after="0" w:afterAutospacing="0"/>
        <w:rPr>
          <w:rFonts w:ascii="Segoe UI" w:hAnsi="Segoe UI" w:cs="Segoe UI"/>
          <w:color w:val="000000"/>
          <w:sz w:val="18"/>
          <w:szCs w:val="18"/>
        </w:rPr>
      </w:pPr>
    </w:p>
    <w:p w14:paraId="6AE20BF3" w14:textId="77777777" w:rsidR="004C116A" w:rsidRDefault="004C116A" w:rsidP="004C116A">
      <w:pPr>
        <w:pStyle w:val="NormalWeb"/>
        <w:shd w:val="clear" w:color="auto" w:fill="FFFFFF"/>
        <w:spacing w:before="0" w:beforeAutospacing="0" w:after="0" w:afterAutospacing="0"/>
        <w:rPr>
          <w:rFonts w:ascii="Segoe UI" w:hAnsi="Segoe UI" w:cs="Segoe UI"/>
          <w:color w:val="000000"/>
          <w:sz w:val="18"/>
          <w:szCs w:val="18"/>
        </w:rPr>
      </w:pPr>
    </w:p>
    <w:tbl>
      <w:tblPr>
        <w:tblStyle w:val="TableGrid"/>
        <w:tblW w:w="10201" w:type="dxa"/>
        <w:tblLayout w:type="fixed"/>
        <w:tblLook w:val="04A0" w:firstRow="1" w:lastRow="0" w:firstColumn="1" w:lastColumn="0" w:noHBand="0" w:noVBand="1"/>
      </w:tblPr>
      <w:tblGrid>
        <w:gridCol w:w="3539"/>
        <w:gridCol w:w="3953"/>
        <w:gridCol w:w="2709"/>
      </w:tblGrid>
      <w:tr w:rsidR="004C116A" w:rsidRPr="004C116A" w14:paraId="1E4D9CEC" w14:textId="77777777" w:rsidTr="00542BD6">
        <w:trPr>
          <w:trHeight w:val="369"/>
        </w:trPr>
        <w:tc>
          <w:tcPr>
            <w:tcW w:w="3539" w:type="dxa"/>
          </w:tcPr>
          <w:p w14:paraId="6CEBBCF1" w14:textId="77777777" w:rsidR="004C116A" w:rsidRPr="00991DC4" w:rsidRDefault="004C116A" w:rsidP="00542BD6">
            <w:pPr>
              <w:rPr>
                <w:rFonts w:ascii="Arial" w:hAnsi="Arial" w:cs="Arial"/>
                <w:b/>
                <w:bCs/>
              </w:rPr>
            </w:pPr>
            <w:r w:rsidRPr="00991DC4">
              <w:rPr>
                <w:rFonts w:ascii="Arial" w:hAnsi="Arial" w:cs="Arial"/>
                <w:b/>
                <w:bCs/>
              </w:rPr>
              <w:lastRenderedPageBreak/>
              <w:t>Targets from last module feedback</w:t>
            </w:r>
          </w:p>
        </w:tc>
        <w:tc>
          <w:tcPr>
            <w:tcW w:w="3953" w:type="dxa"/>
          </w:tcPr>
          <w:p w14:paraId="2ABC5E71" w14:textId="77777777" w:rsidR="004C116A" w:rsidRPr="00991DC4" w:rsidRDefault="004C116A" w:rsidP="00542BD6">
            <w:pPr>
              <w:rPr>
                <w:rFonts w:ascii="Arial" w:hAnsi="Arial" w:cs="Arial"/>
                <w:b/>
                <w:bCs/>
              </w:rPr>
            </w:pPr>
            <w:r w:rsidRPr="00991DC4">
              <w:rPr>
                <w:rFonts w:ascii="Arial" w:hAnsi="Arial" w:cs="Arial"/>
                <w:b/>
                <w:bCs/>
              </w:rPr>
              <w:t>How have you worked on this?</w:t>
            </w:r>
          </w:p>
        </w:tc>
        <w:tc>
          <w:tcPr>
            <w:tcW w:w="2709" w:type="dxa"/>
          </w:tcPr>
          <w:p w14:paraId="177FD651" w14:textId="77777777" w:rsidR="004C116A" w:rsidRPr="00991DC4" w:rsidRDefault="004C116A" w:rsidP="00542BD6">
            <w:pPr>
              <w:rPr>
                <w:rFonts w:ascii="Arial" w:hAnsi="Arial" w:cs="Arial"/>
                <w:b/>
                <w:bCs/>
              </w:rPr>
            </w:pPr>
            <w:r w:rsidRPr="00991DC4">
              <w:rPr>
                <w:rFonts w:ascii="Arial" w:hAnsi="Arial" w:cs="Arial"/>
                <w:b/>
                <w:bCs/>
              </w:rPr>
              <w:t>An example can be found on…</w:t>
            </w:r>
          </w:p>
        </w:tc>
      </w:tr>
      <w:tr w:rsidR="004C116A" w:rsidRPr="004C116A" w14:paraId="4D55083A" w14:textId="77777777" w:rsidTr="00542BD6">
        <w:trPr>
          <w:trHeight w:val="338"/>
        </w:trPr>
        <w:tc>
          <w:tcPr>
            <w:tcW w:w="3539" w:type="dxa"/>
          </w:tcPr>
          <w:p w14:paraId="1A74438C" w14:textId="77777777" w:rsidR="004C116A" w:rsidRPr="004C116A" w:rsidRDefault="004C116A" w:rsidP="00542BD6">
            <w:pPr>
              <w:rPr>
                <w:rFonts w:ascii="Arial" w:hAnsi="Arial" w:cs="Arial"/>
                <w:color w:val="283041"/>
                <w:shd w:val="clear" w:color="auto" w:fill="FFFFFF"/>
              </w:rPr>
            </w:pPr>
          </w:p>
          <w:p w14:paraId="75743360" w14:textId="77777777" w:rsidR="004C116A" w:rsidRDefault="004C116A" w:rsidP="004C116A">
            <w:pPr>
              <w:rPr>
                <w:rFonts w:ascii="Arial" w:hAnsi="Arial" w:cs="Arial"/>
              </w:rPr>
            </w:pPr>
            <w:r w:rsidRPr="004C116A">
              <w:rPr>
                <w:rFonts w:ascii="Arial" w:hAnsi="Arial" w:cs="Arial"/>
              </w:rPr>
              <w:t xml:space="preserve">You have tried to include a lot in your presentation, and as a result it feels rushed in places. Look to identify the really key points and be ready to cut down some of the rest in order to have a clear focus.  </w:t>
            </w:r>
          </w:p>
          <w:p w14:paraId="10A994D8" w14:textId="77777777" w:rsidR="00F50C7C" w:rsidRDefault="00F50C7C" w:rsidP="004C116A">
            <w:pPr>
              <w:rPr>
                <w:rFonts w:ascii="Arial" w:hAnsi="Arial" w:cs="Arial"/>
              </w:rPr>
            </w:pPr>
          </w:p>
          <w:p w14:paraId="60BB7CD9" w14:textId="77777777" w:rsidR="00F50C7C" w:rsidRDefault="00F50C7C" w:rsidP="004C116A">
            <w:pPr>
              <w:rPr>
                <w:rFonts w:ascii="Arial" w:hAnsi="Arial" w:cs="Arial"/>
              </w:rPr>
            </w:pPr>
          </w:p>
          <w:p w14:paraId="1BD9D1AE" w14:textId="77777777" w:rsidR="00F50C7C" w:rsidRDefault="00F50C7C" w:rsidP="004C116A">
            <w:pPr>
              <w:rPr>
                <w:rFonts w:ascii="Arial" w:hAnsi="Arial" w:cs="Arial"/>
              </w:rPr>
            </w:pPr>
          </w:p>
          <w:p w14:paraId="580CC06D" w14:textId="77777777" w:rsidR="00F50C7C" w:rsidRDefault="00F50C7C" w:rsidP="004C116A">
            <w:pPr>
              <w:rPr>
                <w:rFonts w:ascii="Arial" w:hAnsi="Arial" w:cs="Arial"/>
              </w:rPr>
            </w:pPr>
          </w:p>
          <w:p w14:paraId="14E1D3F5" w14:textId="77777777" w:rsidR="00F50C7C" w:rsidRDefault="00F50C7C" w:rsidP="004C116A">
            <w:pPr>
              <w:rPr>
                <w:rFonts w:ascii="Arial" w:hAnsi="Arial" w:cs="Arial"/>
              </w:rPr>
            </w:pPr>
          </w:p>
          <w:p w14:paraId="122DD4C6" w14:textId="391BB4EF" w:rsidR="00F50C7C" w:rsidRPr="004C116A" w:rsidRDefault="00F50C7C" w:rsidP="004C116A">
            <w:pPr>
              <w:rPr>
                <w:rFonts w:ascii="Arial" w:hAnsi="Arial" w:cs="Arial"/>
              </w:rPr>
            </w:pPr>
          </w:p>
        </w:tc>
        <w:tc>
          <w:tcPr>
            <w:tcW w:w="3953" w:type="dxa"/>
          </w:tcPr>
          <w:p w14:paraId="03486A01" w14:textId="77777777" w:rsidR="004C116A" w:rsidRPr="004C116A" w:rsidRDefault="004C116A" w:rsidP="00542BD6">
            <w:pPr>
              <w:rPr>
                <w:rFonts w:ascii="Arial" w:hAnsi="Arial" w:cs="Arial"/>
              </w:rPr>
            </w:pPr>
          </w:p>
          <w:p w14:paraId="0C175313" w14:textId="77777777" w:rsidR="004C116A" w:rsidRPr="004C116A" w:rsidRDefault="004C116A" w:rsidP="00542BD6">
            <w:pPr>
              <w:rPr>
                <w:rFonts w:ascii="Arial" w:hAnsi="Arial" w:cs="Arial"/>
              </w:rPr>
            </w:pPr>
          </w:p>
          <w:p w14:paraId="7EA7E51B" w14:textId="6672EBF3" w:rsidR="004C116A" w:rsidRPr="004C116A" w:rsidRDefault="00C06A68" w:rsidP="00542BD6">
            <w:pPr>
              <w:rPr>
                <w:rFonts w:ascii="Arial" w:hAnsi="Arial" w:cs="Arial"/>
              </w:rPr>
            </w:pPr>
            <w:r w:rsidRPr="00C06A68">
              <w:rPr>
                <w:rFonts w:ascii="Arial" w:hAnsi="Arial" w:cs="Arial"/>
              </w:rPr>
              <w:t>I have focused and made sure my presentation is clear by narrowing down to the most important aspects in response to the university's feedback. For example, I have prioritised major results and their ramifications rather to going over every detail, which has made the delivery more compelling and unified. I have reduced the amount of superfluous material to make room for a more thorough examination of important subjects, which has helped to lessen the impression of hurriedness.</w:t>
            </w:r>
          </w:p>
        </w:tc>
        <w:tc>
          <w:tcPr>
            <w:tcW w:w="2709" w:type="dxa"/>
          </w:tcPr>
          <w:p w14:paraId="0A0D31A0" w14:textId="77777777" w:rsidR="004C116A" w:rsidRPr="004C116A" w:rsidRDefault="004C116A" w:rsidP="00542BD6">
            <w:pPr>
              <w:rPr>
                <w:rFonts w:ascii="Arial" w:hAnsi="Arial" w:cs="Arial"/>
              </w:rPr>
            </w:pPr>
          </w:p>
          <w:p w14:paraId="3735817F" w14:textId="77777777" w:rsidR="004C116A" w:rsidRPr="004C116A" w:rsidRDefault="004C116A" w:rsidP="00542BD6">
            <w:pPr>
              <w:rPr>
                <w:rFonts w:ascii="Arial" w:hAnsi="Arial" w:cs="Arial"/>
              </w:rPr>
            </w:pPr>
          </w:p>
          <w:p w14:paraId="1AB5ABB9" w14:textId="6107BAC8" w:rsidR="004C116A" w:rsidRPr="004C116A" w:rsidRDefault="00581912" w:rsidP="00542BD6">
            <w:pPr>
              <w:rPr>
                <w:rFonts w:ascii="Arial" w:hAnsi="Arial" w:cs="Arial"/>
              </w:rPr>
            </w:pPr>
            <w:r>
              <w:rPr>
                <w:rFonts w:ascii="Arial" w:hAnsi="Arial" w:cs="Arial"/>
              </w:rPr>
              <w:t xml:space="preserve">Overview of relevant literature: </w:t>
            </w:r>
            <w:r w:rsidRPr="0029566F">
              <w:rPr>
                <w:rFonts w:ascii="Arial" w:hAnsi="Arial" w:cs="Arial"/>
              </w:rPr>
              <w:t xml:space="preserve">. Krain (2018) performs a study using various teaching approaches to see which strategy engages learners the most.  The findings revealed that when children were interested in something </w:t>
            </w:r>
            <w:r w:rsidRPr="006F19D4">
              <w:rPr>
                <w:rFonts w:ascii="Arial" w:hAnsi="Arial" w:cs="Arial"/>
              </w:rPr>
              <w:t>meaningful</w:t>
            </w:r>
            <w:r w:rsidRPr="0029566F">
              <w:rPr>
                <w:rFonts w:ascii="Arial" w:hAnsi="Arial" w:cs="Arial"/>
              </w:rPr>
              <w:t xml:space="preserve"> and relevant to their life learners were more active during the learning process, their engagement was extremely active (Krain, 2018; Stixrud and Johnson, 2018)</w:t>
            </w:r>
            <w:r>
              <w:rPr>
                <w:rFonts w:ascii="Arial" w:hAnsi="Arial" w:cs="Arial"/>
              </w:rPr>
              <w:t>.</w:t>
            </w:r>
          </w:p>
          <w:p w14:paraId="46898FBB" w14:textId="77777777" w:rsidR="004C116A" w:rsidRPr="004C116A" w:rsidRDefault="004C116A" w:rsidP="00542BD6">
            <w:pPr>
              <w:rPr>
                <w:rFonts w:ascii="Arial" w:hAnsi="Arial" w:cs="Arial"/>
              </w:rPr>
            </w:pPr>
          </w:p>
          <w:p w14:paraId="265BC344" w14:textId="77777777" w:rsidR="004C116A" w:rsidRPr="004C116A" w:rsidRDefault="004C116A" w:rsidP="00542BD6">
            <w:pPr>
              <w:rPr>
                <w:rFonts w:ascii="Arial" w:hAnsi="Arial" w:cs="Arial"/>
              </w:rPr>
            </w:pPr>
          </w:p>
          <w:p w14:paraId="024933CE" w14:textId="77777777" w:rsidR="004C116A" w:rsidRPr="004C116A" w:rsidRDefault="004C116A" w:rsidP="00542BD6">
            <w:pPr>
              <w:rPr>
                <w:rFonts w:ascii="Arial" w:hAnsi="Arial" w:cs="Arial"/>
              </w:rPr>
            </w:pPr>
          </w:p>
        </w:tc>
      </w:tr>
      <w:tr w:rsidR="00F50C7C" w:rsidRPr="004C116A" w14:paraId="23CDD407" w14:textId="77777777" w:rsidTr="00542BD6">
        <w:trPr>
          <w:trHeight w:val="338"/>
        </w:trPr>
        <w:tc>
          <w:tcPr>
            <w:tcW w:w="3539" w:type="dxa"/>
          </w:tcPr>
          <w:p w14:paraId="707F6503" w14:textId="76F917CD" w:rsidR="00F50C7C" w:rsidRPr="004C116A" w:rsidRDefault="00F50C7C" w:rsidP="00542BD6">
            <w:pPr>
              <w:rPr>
                <w:rFonts w:ascii="Arial" w:hAnsi="Arial" w:cs="Arial"/>
                <w:color w:val="283041"/>
                <w:shd w:val="clear" w:color="auto" w:fill="FFFFFF"/>
              </w:rPr>
            </w:pPr>
            <w:r w:rsidRPr="00F50C7C">
              <w:rPr>
                <w:rFonts w:ascii="Arial" w:hAnsi="Arial" w:cs="Arial"/>
              </w:rPr>
              <w:t xml:space="preserve">Look for opportunities to identify some of the differences between authors, or between theory and practice, rather than just where they seem to agree.  </w:t>
            </w:r>
          </w:p>
        </w:tc>
        <w:tc>
          <w:tcPr>
            <w:tcW w:w="3953" w:type="dxa"/>
          </w:tcPr>
          <w:p w14:paraId="62530AAA" w14:textId="41437DB6" w:rsidR="00F50C7C" w:rsidRPr="004C116A" w:rsidRDefault="00C96A48" w:rsidP="00542BD6">
            <w:pPr>
              <w:rPr>
                <w:rFonts w:ascii="Arial" w:hAnsi="Arial" w:cs="Arial"/>
              </w:rPr>
            </w:pPr>
            <w:r w:rsidRPr="00C96A48">
              <w:rPr>
                <w:rFonts w:ascii="Arial" w:hAnsi="Arial" w:cs="Arial"/>
              </w:rPr>
              <w:t>I have actively looked for possibilities to identify differences between authors' works and between theoretical frameworks and real-world implementations in order to satisfy the university's aim. Rather than focusing only on points of agreement, I have explored the literature more thoroughly to find subtle discrepancies that allow for a more thorough knowledge of the topic. Through my critical assessment of divergent viewpoints and methodologies, I have enhanced the analysis and made a valuable contribution to a more comprehensive investigation of the subject.</w:t>
            </w:r>
          </w:p>
        </w:tc>
        <w:tc>
          <w:tcPr>
            <w:tcW w:w="2709" w:type="dxa"/>
          </w:tcPr>
          <w:p w14:paraId="26CD0F39" w14:textId="131FF362" w:rsidR="00F50C7C" w:rsidRPr="004C116A" w:rsidRDefault="00C96A48" w:rsidP="00542BD6">
            <w:pPr>
              <w:rPr>
                <w:rFonts w:ascii="Arial" w:hAnsi="Arial" w:cs="Arial"/>
              </w:rPr>
            </w:pPr>
            <w:r w:rsidRPr="0029566F">
              <w:rPr>
                <w:rFonts w:ascii="Arial" w:hAnsi="Arial" w:cs="Arial"/>
              </w:rPr>
              <w:t>While meaningful learning experiences are often associated with increased engagement, however, according to Setati and Adler (2000) and Siney (2016) the definition of "meaningful" can vary widely depending on individual interests, cultural background, and prior knowledge. Therefore, what is meaningful for one student may not be meaningful for another, so it's essential to consider the diversity of student perspectives and experiences (Welsh Government, 202</w:t>
            </w:r>
            <w:r>
              <w:rPr>
                <w:rFonts w:ascii="Arial" w:hAnsi="Arial" w:cs="Arial"/>
              </w:rPr>
              <w:t>3</w:t>
            </w:r>
            <w:r w:rsidRPr="0029566F">
              <w:rPr>
                <w:rFonts w:ascii="Arial" w:hAnsi="Arial" w:cs="Arial"/>
              </w:rPr>
              <w:t>).</w:t>
            </w:r>
          </w:p>
        </w:tc>
      </w:tr>
    </w:tbl>
    <w:p w14:paraId="52298139" w14:textId="77777777" w:rsidR="004C116A" w:rsidRDefault="004C116A" w:rsidP="004C116A">
      <w:pPr>
        <w:tabs>
          <w:tab w:val="left" w:pos="3529"/>
        </w:tabs>
      </w:pPr>
    </w:p>
    <w:p w14:paraId="0CCC2632" w14:textId="77777777" w:rsidR="00C432E5" w:rsidRDefault="00C432E5" w:rsidP="008A0A33">
      <w:pPr>
        <w:ind w:hanging="360"/>
        <w:jc w:val="both"/>
        <w:rPr>
          <w:rFonts w:ascii="Arial" w:hAnsi="Arial" w:cs="Arial"/>
          <w:b/>
          <w:bCs/>
          <w:sz w:val="22"/>
          <w:szCs w:val="22"/>
        </w:rPr>
      </w:pPr>
    </w:p>
    <w:p w14:paraId="121B6598" w14:textId="77777777" w:rsidR="00C432E5" w:rsidRDefault="00C432E5" w:rsidP="008A0A33">
      <w:pPr>
        <w:ind w:hanging="360"/>
        <w:jc w:val="both"/>
        <w:rPr>
          <w:rFonts w:ascii="Arial" w:hAnsi="Arial" w:cs="Arial"/>
          <w:b/>
          <w:bCs/>
          <w:sz w:val="22"/>
          <w:szCs w:val="22"/>
        </w:rPr>
      </w:pPr>
    </w:p>
    <w:p w14:paraId="085F5026" w14:textId="77777777" w:rsidR="00C432E5" w:rsidRDefault="00C432E5" w:rsidP="008A0A33">
      <w:pPr>
        <w:ind w:hanging="360"/>
        <w:jc w:val="both"/>
        <w:rPr>
          <w:rFonts w:ascii="Arial" w:hAnsi="Arial" w:cs="Arial"/>
          <w:b/>
          <w:bCs/>
          <w:sz w:val="22"/>
          <w:szCs w:val="22"/>
        </w:rPr>
      </w:pPr>
    </w:p>
    <w:p w14:paraId="4CD81AC2" w14:textId="77777777" w:rsidR="00C432E5" w:rsidRDefault="00C432E5" w:rsidP="008A0A33">
      <w:pPr>
        <w:ind w:hanging="360"/>
        <w:jc w:val="both"/>
        <w:rPr>
          <w:rFonts w:ascii="Arial" w:hAnsi="Arial" w:cs="Arial"/>
          <w:b/>
          <w:bCs/>
          <w:sz w:val="22"/>
          <w:szCs w:val="22"/>
        </w:rPr>
      </w:pPr>
    </w:p>
    <w:p w14:paraId="35A2ADFF" w14:textId="032E7C95" w:rsidR="0093227E" w:rsidRPr="0023691E" w:rsidRDefault="00CD1AFA" w:rsidP="0093227E">
      <w:pPr>
        <w:pStyle w:val="ListParagraph"/>
        <w:numPr>
          <w:ilvl w:val="0"/>
          <w:numId w:val="1"/>
        </w:numPr>
        <w:spacing w:after="0" w:line="360" w:lineRule="auto"/>
        <w:ind w:left="0"/>
        <w:jc w:val="both"/>
        <w:rPr>
          <w:rFonts w:ascii="Arial" w:hAnsi="Arial" w:cs="Arial"/>
          <w:b/>
          <w:bCs/>
        </w:rPr>
      </w:pPr>
      <w:r w:rsidRPr="006F19D4">
        <w:rPr>
          <w:rFonts w:ascii="Arial" w:hAnsi="Arial" w:cs="Arial"/>
          <w:b/>
          <w:bCs/>
        </w:rPr>
        <w:lastRenderedPageBreak/>
        <w:t xml:space="preserve">Aim, focus and purpose of the </w:t>
      </w:r>
      <w:r w:rsidR="006F19D4" w:rsidRPr="006F19D4">
        <w:rPr>
          <w:rFonts w:ascii="Arial" w:hAnsi="Arial" w:cs="Arial"/>
          <w:b/>
          <w:bCs/>
        </w:rPr>
        <w:t>research.</w:t>
      </w:r>
      <w:r w:rsidRPr="006F19D4">
        <w:rPr>
          <w:rFonts w:ascii="Arial" w:hAnsi="Arial" w:cs="Arial"/>
          <w:b/>
          <w:bCs/>
        </w:rPr>
        <w:t xml:space="preserve"> </w:t>
      </w:r>
    </w:p>
    <w:p w14:paraId="4D26FAF9" w14:textId="77777777" w:rsidR="0023691E" w:rsidRDefault="0023691E" w:rsidP="0093227E">
      <w:pPr>
        <w:spacing w:after="0" w:line="360" w:lineRule="auto"/>
        <w:jc w:val="both"/>
        <w:rPr>
          <w:rFonts w:ascii="Arial" w:hAnsi="Arial" w:cs="Arial"/>
          <w:b/>
          <w:bCs/>
        </w:rPr>
      </w:pPr>
    </w:p>
    <w:p w14:paraId="1026F704" w14:textId="369851E7" w:rsidR="0023691E" w:rsidRPr="00A63492" w:rsidRDefault="0093227E" w:rsidP="00F20F9D">
      <w:pPr>
        <w:spacing w:after="0" w:line="360" w:lineRule="auto"/>
        <w:ind w:firstLine="720"/>
        <w:jc w:val="both"/>
        <w:rPr>
          <w:rFonts w:ascii="Arial" w:hAnsi="Arial" w:cs="Arial"/>
          <w:sz w:val="22"/>
          <w:szCs w:val="22"/>
        </w:rPr>
      </w:pPr>
      <w:r w:rsidRPr="00A63492">
        <w:rPr>
          <w:rFonts w:ascii="Arial" w:hAnsi="Arial" w:cs="Arial"/>
          <w:sz w:val="22"/>
          <w:szCs w:val="22"/>
        </w:rPr>
        <w:t>In recent years, there has been a growing recognition of the importance of fostering student engagement in mathematics through real-life contexts, particularly for English as an Additional Language (EAL) learners (Setati and Adler, 2000;</w:t>
      </w:r>
      <w:r w:rsidR="0023691E" w:rsidRPr="00A63492">
        <w:rPr>
          <w:rFonts w:ascii="Arial" w:hAnsi="Arial" w:cs="Arial"/>
          <w:sz w:val="22"/>
          <w:szCs w:val="22"/>
        </w:rPr>
        <w:t xml:space="preserve"> ; Leung &amp; Graf, 2017;Tout, 2021;</w:t>
      </w:r>
      <w:r w:rsidRPr="00A63492">
        <w:rPr>
          <w:rFonts w:ascii="Arial" w:hAnsi="Arial" w:cs="Arial"/>
          <w:sz w:val="22"/>
          <w:szCs w:val="22"/>
        </w:rPr>
        <w:t xml:space="preserve"> David, 2023, Suh, 2023). Leung and Graf (2017) agree that by connecting mathematical concepts to authentic, tangible experiences, educators can enhance EAL students' understanding of mathematics while promoting active participation and motivation. </w:t>
      </w:r>
      <w:r w:rsidR="003B2E13" w:rsidRPr="00A63492">
        <w:rPr>
          <w:rFonts w:ascii="Arial" w:hAnsi="Arial" w:cs="Arial"/>
          <w:sz w:val="22"/>
          <w:szCs w:val="22"/>
        </w:rPr>
        <w:t>Therefore, t</w:t>
      </w:r>
      <w:r w:rsidR="0023691E" w:rsidRPr="00A63492">
        <w:rPr>
          <w:rFonts w:ascii="Arial" w:hAnsi="Arial" w:cs="Arial"/>
          <w:sz w:val="22"/>
          <w:szCs w:val="22"/>
        </w:rPr>
        <w:t>he aim of this case study is fostering student engagement through a real-life context to enhance student’s understanding of mathematics.</w:t>
      </w:r>
    </w:p>
    <w:p w14:paraId="211EC1C5" w14:textId="1A283E12" w:rsidR="003B2E13" w:rsidRPr="00A63492" w:rsidRDefault="003B2E13" w:rsidP="003B2E13">
      <w:pPr>
        <w:pStyle w:val="ListParagraph"/>
        <w:spacing w:after="0" w:line="360" w:lineRule="auto"/>
        <w:ind w:left="0" w:firstLine="720"/>
        <w:jc w:val="both"/>
        <w:rPr>
          <w:rFonts w:ascii="Arial" w:hAnsi="Arial" w:cs="Arial"/>
          <w:sz w:val="22"/>
          <w:szCs w:val="22"/>
        </w:rPr>
      </w:pPr>
      <w:r w:rsidRPr="00A63492">
        <w:rPr>
          <w:rFonts w:ascii="Arial" w:hAnsi="Arial" w:cs="Arial"/>
          <w:sz w:val="22"/>
          <w:szCs w:val="22"/>
        </w:rPr>
        <w:t xml:space="preserve">Challenges faced by EAL learners include language barriers and varying mathematical backgrounds (Suh, 2023; David, 2023). It's essential for educators to understand these needs and tailor instructional approaches accordingly. Hands-on learning with real contexts can effectively engage students (Holt, 2017; SDP 2023-2024). Math anxiety can be mitigated by fostering a growth mindset and emphasizing problem-solving (Siney, 2017; Ministry of Education Singapore, 2019). </w:t>
      </w:r>
      <w:r w:rsidR="00A63492" w:rsidRPr="00A63492">
        <w:rPr>
          <w:rFonts w:ascii="Arial" w:hAnsi="Arial" w:cs="Arial"/>
          <w:sz w:val="22"/>
          <w:szCs w:val="22"/>
        </w:rPr>
        <w:t xml:space="preserve">Therefore, according to David </w:t>
      </w:r>
      <w:r w:rsidR="00EC4A81">
        <w:rPr>
          <w:rFonts w:ascii="Arial" w:hAnsi="Arial" w:cs="Arial"/>
          <w:sz w:val="22"/>
          <w:szCs w:val="22"/>
        </w:rPr>
        <w:t>(</w:t>
      </w:r>
      <w:r w:rsidR="00A63492" w:rsidRPr="00A63492">
        <w:rPr>
          <w:rFonts w:ascii="Arial" w:hAnsi="Arial" w:cs="Arial"/>
          <w:sz w:val="22"/>
          <w:szCs w:val="22"/>
        </w:rPr>
        <w:t>2023</w:t>
      </w:r>
      <w:r w:rsidR="00EC4A81">
        <w:rPr>
          <w:rFonts w:ascii="Arial" w:hAnsi="Arial" w:cs="Arial"/>
          <w:sz w:val="22"/>
          <w:szCs w:val="22"/>
        </w:rPr>
        <w:t>)</w:t>
      </w:r>
      <w:r w:rsidR="00A63492" w:rsidRPr="00A63492">
        <w:rPr>
          <w:rFonts w:ascii="Arial" w:hAnsi="Arial" w:cs="Arial"/>
          <w:sz w:val="22"/>
          <w:szCs w:val="22"/>
        </w:rPr>
        <w:t xml:space="preserve"> it is essential for educators to understand these needs and tailor instructional approaches to support EAL students' learning and engagement in mathematics.</w:t>
      </w:r>
    </w:p>
    <w:p w14:paraId="579477F3" w14:textId="77777777" w:rsidR="003B2E13" w:rsidRPr="00A63492" w:rsidRDefault="003B2E13" w:rsidP="003B2E13">
      <w:pPr>
        <w:pStyle w:val="ListParagraph"/>
        <w:spacing w:after="0" w:line="360" w:lineRule="auto"/>
        <w:ind w:left="0" w:firstLine="720"/>
        <w:jc w:val="both"/>
        <w:rPr>
          <w:rFonts w:ascii="Arial" w:hAnsi="Arial" w:cs="Arial"/>
          <w:sz w:val="22"/>
          <w:szCs w:val="22"/>
          <w:shd w:val="clear" w:color="auto" w:fill="FFFFFF"/>
        </w:rPr>
      </w:pPr>
      <w:r w:rsidRPr="00A63492">
        <w:rPr>
          <w:rFonts w:ascii="Arial" w:hAnsi="Arial" w:cs="Arial"/>
          <w:sz w:val="22"/>
          <w:szCs w:val="22"/>
          <w:shd w:val="clear" w:color="auto" w:fill="FFFFFF"/>
        </w:rPr>
        <w:t>This case study stems from my prior teaching practice with real- life lesson experience in a primary setting, particularly with EAL children. Moreover, during my initial placement, one of my key objectives emphasized the imperative of upholding high-quality teaching standards, specifically focusing on Pedagogy - Advancing Learning, where I aimed to refine my proficiency in deploying innovative teaching techniques that would significantly enhance each student's learning journey (Donaldson, 2015).</w:t>
      </w:r>
    </w:p>
    <w:p w14:paraId="3D113113" w14:textId="679B479F" w:rsidR="003B2E13" w:rsidRPr="00A63492" w:rsidRDefault="003B2E13" w:rsidP="00A63492">
      <w:pPr>
        <w:pStyle w:val="ListParagraph"/>
        <w:spacing w:after="0" w:line="360" w:lineRule="auto"/>
        <w:ind w:left="0" w:firstLine="720"/>
        <w:jc w:val="both"/>
        <w:rPr>
          <w:rFonts w:ascii="Arial" w:hAnsi="Arial" w:cs="Arial"/>
          <w:sz w:val="22"/>
          <w:szCs w:val="22"/>
        </w:rPr>
      </w:pPr>
      <w:r w:rsidRPr="00A63492">
        <w:rPr>
          <w:rFonts w:ascii="Arial" w:hAnsi="Arial" w:cs="Arial"/>
          <w:sz w:val="22"/>
          <w:szCs w:val="22"/>
        </w:rPr>
        <w:t xml:space="preserve">This case study was conducted in a primary school South </w:t>
      </w:r>
      <w:r w:rsidR="00F20F9D" w:rsidRPr="00A63492">
        <w:rPr>
          <w:rFonts w:ascii="Arial" w:hAnsi="Arial" w:cs="Arial"/>
          <w:sz w:val="22"/>
          <w:szCs w:val="22"/>
        </w:rPr>
        <w:t>Wales,</w:t>
      </w:r>
      <w:r w:rsidRPr="00A63492">
        <w:rPr>
          <w:rFonts w:ascii="Arial" w:hAnsi="Arial" w:cs="Arial"/>
          <w:sz w:val="22"/>
          <w:szCs w:val="22"/>
        </w:rPr>
        <w:t xml:space="preserve"> involving four KS2 primary school teachers and 6 of 30 Year 5/6 students as participants. </w:t>
      </w:r>
      <w:r w:rsidR="00F20F9D" w:rsidRPr="00A63492">
        <w:rPr>
          <w:rFonts w:ascii="Arial" w:hAnsi="Arial" w:cs="Arial"/>
          <w:sz w:val="22"/>
          <w:szCs w:val="22"/>
        </w:rPr>
        <w:t>The case study aimed to explore the research question: How do children perceive and engage with a real-life context in mathematics lessons?</w:t>
      </w:r>
    </w:p>
    <w:p w14:paraId="2423486E" w14:textId="77777777" w:rsidR="0023691E" w:rsidRDefault="0023691E" w:rsidP="0093227E">
      <w:pPr>
        <w:spacing w:after="0" w:line="360" w:lineRule="auto"/>
        <w:jc w:val="both"/>
        <w:rPr>
          <w:rFonts w:ascii="Arial" w:hAnsi="Arial" w:cs="Arial"/>
          <w:b/>
          <w:bCs/>
        </w:rPr>
      </w:pPr>
    </w:p>
    <w:p w14:paraId="00430EB6" w14:textId="77777777" w:rsidR="0093227E" w:rsidRPr="0093227E" w:rsidRDefault="0093227E" w:rsidP="0093227E">
      <w:pPr>
        <w:pStyle w:val="ListParagraph"/>
        <w:spacing w:after="0" w:line="360" w:lineRule="auto"/>
        <w:jc w:val="both"/>
        <w:rPr>
          <w:rFonts w:ascii="Arial" w:hAnsi="Arial" w:cs="Arial"/>
          <w:b/>
          <w:bCs/>
        </w:rPr>
      </w:pPr>
    </w:p>
    <w:p w14:paraId="61187229" w14:textId="77777777" w:rsidR="007B4597" w:rsidRPr="006F19D4" w:rsidRDefault="007B4597" w:rsidP="008A0A33">
      <w:pPr>
        <w:pStyle w:val="ListParagraph"/>
        <w:ind w:left="0"/>
        <w:jc w:val="both"/>
        <w:rPr>
          <w:rFonts w:ascii="Arial" w:hAnsi="Arial" w:cs="Arial"/>
          <w:b/>
          <w:bCs/>
        </w:rPr>
      </w:pPr>
    </w:p>
    <w:p w14:paraId="5F12FB02" w14:textId="7B77C28B" w:rsidR="00CD1AFA" w:rsidRPr="006F19D4" w:rsidRDefault="00CD1AFA" w:rsidP="008A0A33">
      <w:pPr>
        <w:pStyle w:val="ListParagraph"/>
        <w:numPr>
          <w:ilvl w:val="0"/>
          <w:numId w:val="1"/>
        </w:numPr>
        <w:ind w:left="0"/>
        <w:jc w:val="both"/>
        <w:rPr>
          <w:rFonts w:ascii="Arial" w:hAnsi="Arial" w:cs="Arial"/>
          <w:b/>
          <w:bCs/>
        </w:rPr>
      </w:pPr>
      <w:r w:rsidRPr="006F19D4">
        <w:rPr>
          <w:rFonts w:ascii="Arial" w:hAnsi="Arial" w:cs="Arial"/>
          <w:b/>
          <w:bCs/>
        </w:rPr>
        <w:t xml:space="preserve">Overview of relevant literature. </w:t>
      </w:r>
    </w:p>
    <w:p w14:paraId="0DC3F1E0" w14:textId="77777777" w:rsidR="0048486C" w:rsidRPr="0029566F" w:rsidRDefault="0048486C" w:rsidP="008A0A33">
      <w:pPr>
        <w:pStyle w:val="ListParagraph"/>
        <w:ind w:left="0"/>
        <w:jc w:val="both"/>
        <w:rPr>
          <w:rFonts w:ascii="Arial" w:hAnsi="Arial" w:cs="Arial"/>
          <w:sz w:val="22"/>
          <w:szCs w:val="22"/>
        </w:rPr>
      </w:pPr>
    </w:p>
    <w:p w14:paraId="200115C7" w14:textId="61E4B7CB" w:rsidR="002F00D6" w:rsidRPr="0029566F" w:rsidRDefault="004C44F2" w:rsidP="00F66F6C">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rPr>
        <w:t>Integrating real-life contexts into mathematics provides EAL learners with opportunities to connect mathematical concepts to familiar, meaningful experiences</w:t>
      </w:r>
      <w:r w:rsidR="006B6B95" w:rsidRPr="0029566F">
        <w:rPr>
          <w:rFonts w:ascii="Arial" w:hAnsi="Arial" w:cs="Arial"/>
          <w:sz w:val="22"/>
          <w:szCs w:val="22"/>
        </w:rPr>
        <w:t xml:space="preserve"> (Mebert, L. </w:t>
      </w:r>
      <w:r w:rsidR="006B6B95" w:rsidRPr="0029566F">
        <w:rPr>
          <w:rFonts w:ascii="Arial" w:hAnsi="Arial" w:cs="Arial"/>
          <w:i/>
          <w:iCs/>
          <w:sz w:val="22"/>
          <w:szCs w:val="22"/>
        </w:rPr>
        <w:t>et al</w:t>
      </w:r>
      <w:r w:rsidR="006B6B95" w:rsidRPr="0029566F">
        <w:rPr>
          <w:rFonts w:ascii="Arial" w:hAnsi="Arial" w:cs="Arial"/>
          <w:sz w:val="22"/>
          <w:szCs w:val="22"/>
        </w:rPr>
        <w:t>.,2020)</w:t>
      </w:r>
      <w:r w:rsidRPr="0029566F">
        <w:rPr>
          <w:rFonts w:ascii="Arial" w:hAnsi="Arial" w:cs="Arial"/>
          <w:sz w:val="22"/>
          <w:szCs w:val="22"/>
        </w:rPr>
        <w:t>.</w:t>
      </w:r>
      <w:r w:rsidR="006B6B95" w:rsidRPr="0029566F">
        <w:rPr>
          <w:rFonts w:ascii="Arial" w:hAnsi="Arial" w:cs="Arial"/>
          <w:sz w:val="22"/>
          <w:szCs w:val="22"/>
        </w:rPr>
        <w:t xml:space="preserve"> Sakurai, Sawatski and Tout (2021) </w:t>
      </w:r>
      <w:r w:rsidR="00C06A68">
        <w:rPr>
          <w:rFonts w:ascii="Arial" w:hAnsi="Arial" w:cs="Arial"/>
          <w:sz w:val="22"/>
          <w:szCs w:val="22"/>
        </w:rPr>
        <w:t>support</w:t>
      </w:r>
      <w:r w:rsidR="006B6B95" w:rsidRPr="0029566F">
        <w:rPr>
          <w:rFonts w:ascii="Arial" w:hAnsi="Arial" w:cs="Arial"/>
          <w:sz w:val="22"/>
          <w:szCs w:val="22"/>
        </w:rPr>
        <w:t xml:space="preserve"> that</w:t>
      </w:r>
      <w:r w:rsidRPr="0029566F">
        <w:rPr>
          <w:rFonts w:ascii="Arial" w:hAnsi="Arial" w:cs="Arial"/>
          <w:sz w:val="22"/>
          <w:szCs w:val="22"/>
        </w:rPr>
        <w:t xml:space="preserve"> </w:t>
      </w:r>
      <w:r w:rsidR="006B6B95" w:rsidRPr="0029566F">
        <w:rPr>
          <w:rFonts w:ascii="Arial" w:hAnsi="Arial" w:cs="Arial"/>
          <w:sz w:val="22"/>
          <w:szCs w:val="22"/>
        </w:rPr>
        <w:t>b</w:t>
      </w:r>
      <w:r w:rsidRPr="0029566F">
        <w:rPr>
          <w:rFonts w:ascii="Arial" w:hAnsi="Arial" w:cs="Arial"/>
          <w:sz w:val="22"/>
          <w:szCs w:val="22"/>
        </w:rPr>
        <w:t xml:space="preserve">y </w:t>
      </w:r>
      <w:r w:rsidR="003766AB" w:rsidRPr="0029566F">
        <w:rPr>
          <w:rFonts w:ascii="Arial" w:hAnsi="Arial" w:cs="Arial"/>
          <w:sz w:val="22"/>
          <w:szCs w:val="22"/>
        </w:rPr>
        <w:t>teaching mathematical</w:t>
      </w:r>
      <w:r w:rsidRPr="0029566F">
        <w:rPr>
          <w:rFonts w:ascii="Arial" w:hAnsi="Arial" w:cs="Arial"/>
          <w:sz w:val="22"/>
          <w:szCs w:val="22"/>
        </w:rPr>
        <w:t xml:space="preserve"> content within everyday situations</w:t>
      </w:r>
      <w:r w:rsidR="00F54017" w:rsidRPr="0029566F">
        <w:rPr>
          <w:rFonts w:ascii="Arial" w:hAnsi="Arial" w:cs="Arial"/>
          <w:sz w:val="22"/>
          <w:szCs w:val="22"/>
        </w:rPr>
        <w:t xml:space="preserve"> is </w:t>
      </w:r>
      <w:r w:rsidRPr="0029566F">
        <w:rPr>
          <w:rFonts w:ascii="Arial" w:hAnsi="Arial" w:cs="Arial"/>
          <w:sz w:val="22"/>
          <w:szCs w:val="22"/>
        </w:rPr>
        <w:t>more accessible and relevant to EAL students</w:t>
      </w:r>
      <w:r w:rsidR="00F54017" w:rsidRPr="0029566F">
        <w:rPr>
          <w:rFonts w:ascii="Arial" w:hAnsi="Arial" w:cs="Arial"/>
          <w:sz w:val="22"/>
          <w:szCs w:val="22"/>
        </w:rPr>
        <w:t xml:space="preserve">. </w:t>
      </w:r>
      <w:r w:rsidR="00C75C31" w:rsidRPr="0029566F">
        <w:rPr>
          <w:rFonts w:ascii="Arial" w:hAnsi="Arial" w:cs="Arial"/>
          <w:sz w:val="22"/>
          <w:szCs w:val="22"/>
        </w:rPr>
        <w:t>Hence, i</w:t>
      </w:r>
      <w:r w:rsidR="00F708AC" w:rsidRPr="0029566F">
        <w:rPr>
          <w:rFonts w:ascii="Arial" w:hAnsi="Arial" w:cs="Arial"/>
          <w:sz w:val="22"/>
          <w:szCs w:val="22"/>
        </w:rPr>
        <w:t xml:space="preserve">n exploring the </w:t>
      </w:r>
      <w:r w:rsidR="00F708AC" w:rsidRPr="0029566F">
        <w:rPr>
          <w:rFonts w:ascii="Arial" w:hAnsi="Arial" w:cs="Arial"/>
          <w:sz w:val="22"/>
          <w:szCs w:val="22"/>
        </w:rPr>
        <w:lastRenderedPageBreak/>
        <w:t>dynamics of how EAL children perceive and engage with real-life contexts in mathematics education, several studies offer valuable insights.</w:t>
      </w:r>
      <w:r w:rsidR="006F19D4">
        <w:rPr>
          <w:rFonts w:ascii="Arial" w:hAnsi="Arial" w:cs="Arial"/>
          <w:sz w:val="22"/>
          <w:szCs w:val="22"/>
        </w:rPr>
        <w:t xml:space="preserve"> </w:t>
      </w:r>
      <w:r w:rsidR="00667C6D" w:rsidRPr="0029566F">
        <w:rPr>
          <w:rFonts w:ascii="Arial" w:hAnsi="Arial" w:cs="Arial"/>
          <w:sz w:val="22"/>
          <w:szCs w:val="22"/>
        </w:rPr>
        <w:t xml:space="preserve">The National Council of Mathematics Teachers (2014) emphasises the importance of incorporating real-life contexts into educational </w:t>
      </w:r>
      <w:r w:rsidR="006F19D4" w:rsidRPr="0029566F">
        <w:rPr>
          <w:rFonts w:ascii="Arial" w:hAnsi="Arial" w:cs="Arial"/>
          <w:sz w:val="22"/>
          <w:szCs w:val="22"/>
        </w:rPr>
        <w:t>practices.</w:t>
      </w:r>
      <w:r w:rsidR="00667C6D" w:rsidRPr="0029566F">
        <w:rPr>
          <w:rFonts w:ascii="Arial" w:hAnsi="Arial" w:cs="Arial"/>
          <w:sz w:val="22"/>
          <w:szCs w:val="22"/>
        </w:rPr>
        <w:t xml:space="preserve"> This view is </w:t>
      </w:r>
      <w:r w:rsidR="00306123" w:rsidRPr="0029566F">
        <w:rPr>
          <w:rFonts w:ascii="Arial" w:hAnsi="Arial" w:cs="Arial"/>
          <w:sz w:val="22"/>
          <w:szCs w:val="22"/>
        </w:rPr>
        <w:t>supported</w:t>
      </w:r>
      <w:r w:rsidR="00667C6D" w:rsidRPr="0029566F">
        <w:rPr>
          <w:rFonts w:ascii="Arial" w:hAnsi="Arial" w:cs="Arial"/>
          <w:sz w:val="22"/>
          <w:szCs w:val="22"/>
        </w:rPr>
        <w:t xml:space="preserve"> in the works of Swanson et al. (2020) and Reyes and Hwang (2021, as </w:t>
      </w:r>
      <w:r w:rsidR="003F6378" w:rsidRPr="0029566F">
        <w:rPr>
          <w:rFonts w:ascii="Arial" w:hAnsi="Arial" w:cs="Arial"/>
          <w:sz w:val="22"/>
          <w:szCs w:val="22"/>
        </w:rPr>
        <w:t>quoted</w:t>
      </w:r>
      <w:r w:rsidR="00667C6D" w:rsidRPr="0029566F">
        <w:rPr>
          <w:rFonts w:ascii="Arial" w:hAnsi="Arial" w:cs="Arial"/>
          <w:sz w:val="22"/>
          <w:szCs w:val="22"/>
        </w:rPr>
        <w:t xml:space="preserve"> in Suh, 2023), where primary school teachers use practical exercises based on real-world examples to improve the academic performance of </w:t>
      </w:r>
      <w:r w:rsidR="00F54017" w:rsidRPr="0029566F">
        <w:rPr>
          <w:rFonts w:ascii="Arial" w:hAnsi="Arial" w:cs="Arial"/>
          <w:sz w:val="22"/>
          <w:szCs w:val="22"/>
        </w:rPr>
        <w:t>EAL</w:t>
      </w:r>
      <w:r w:rsidR="00667C6D" w:rsidRPr="0029566F">
        <w:rPr>
          <w:rFonts w:ascii="Arial" w:hAnsi="Arial" w:cs="Arial"/>
          <w:sz w:val="22"/>
          <w:szCs w:val="22"/>
        </w:rPr>
        <w:t xml:space="preserve"> students. Building on this foundation, I, (2019) supports the idea that incorporating real-life situations into the learning process gives vital visual support to</w:t>
      </w:r>
      <w:r w:rsidR="003F6378" w:rsidRPr="0029566F">
        <w:rPr>
          <w:rFonts w:ascii="Arial" w:hAnsi="Arial" w:cs="Arial"/>
          <w:sz w:val="22"/>
          <w:szCs w:val="22"/>
        </w:rPr>
        <w:t xml:space="preserve"> EAL</w:t>
      </w:r>
      <w:r w:rsidR="00667C6D" w:rsidRPr="0029566F">
        <w:rPr>
          <w:rFonts w:ascii="Arial" w:hAnsi="Arial" w:cs="Arial"/>
          <w:sz w:val="22"/>
          <w:szCs w:val="22"/>
        </w:rPr>
        <w:t xml:space="preserve"> students, resulting in enhanced academic achievements. </w:t>
      </w:r>
    </w:p>
    <w:p w14:paraId="647B254B" w14:textId="2F149472" w:rsidR="002F00D6" w:rsidRPr="0029566F" w:rsidRDefault="002F00D6" w:rsidP="006F19D4">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rPr>
        <w:t xml:space="preserve">It is widely acknowledged that students who actively participate in the learning process are more likely to achieve higher levels of learning (Wang et al., 2021). </w:t>
      </w:r>
      <w:r w:rsidR="00535683" w:rsidRPr="0029566F">
        <w:rPr>
          <w:rFonts w:ascii="Arial" w:hAnsi="Arial" w:cs="Arial"/>
          <w:sz w:val="22"/>
          <w:szCs w:val="22"/>
        </w:rPr>
        <w:t>Consequently,</w:t>
      </w:r>
      <w:r w:rsidRPr="0029566F">
        <w:rPr>
          <w:rFonts w:ascii="Arial" w:hAnsi="Arial" w:cs="Arial"/>
          <w:sz w:val="22"/>
          <w:szCs w:val="22"/>
        </w:rPr>
        <w:t xml:space="preserve"> </w:t>
      </w:r>
      <w:r w:rsidR="00535683" w:rsidRPr="0029566F">
        <w:rPr>
          <w:rFonts w:ascii="Arial" w:hAnsi="Arial" w:cs="Arial"/>
          <w:sz w:val="22"/>
          <w:szCs w:val="22"/>
        </w:rPr>
        <w:t>students’</w:t>
      </w:r>
      <w:r w:rsidRPr="0029566F">
        <w:rPr>
          <w:rFonts w:ascii="Arial" w:hAnsi="Arial" w:cs="Arial"/>
          <w:sz w:val="22"/>
          <w:szCs w:val="22"/>
        </w:rPr>
        <w:t xml:space="preserve"> dissatisfaction, boredom, negative experiences, and attrition rates are partly attributed to low levels of engagement in academic activities (Derakhshan et al., 2021</w:t>
      </w:r>
      <w:r w:rsidR="00535683" w:rsidRPr="0029566F">
        <w:rPr>
          <w:rFonts w:ascii="Arial" w:hAnsi="Arial" w:cs="Arial"/>
          <w:sz w:val="22"/>
          <w:szCs w:val="22"/>
        </w:rPr>
        <w:t>; Broido, 2014; Xie and Derakhshan, 2021</w:t>
      </w:r>
      <w:r w:rsidRPr="0029566F">
        <w:rPr>
          <w:rFonts w:ascii="Arial" w:hAnsi="Arial" w:cs="Arial"/>
          <w:sz w:val="22"/>
          <w:szCs w:val="22"/>
        </w:rPr>
        <w:t xml:space="preserve">). Studies have shown that engagement directly and indirectly correlates with intelligence, interest, motivation, and satisfaction with learning outcomes across various academic disciplines (Yin, 2018). </w:t>
      </w:r>
      <w:r w:rsidR="00535683" w:rsidRPr="0029566F">
        <w:rPr>
          <w:rFonts w:ascii="Arial" w:hAnsi="Arial" w:cs="Arial"/>
          <w:sz w:val="22"/>
          <w:szCs w:val="22"/>
        </w:rPr>
        <w:t>This why</w:t>
      </w:r>
      <w:r w:rsidRPr="0029566F">
        <w:rPr>
          <w:rFonts w:ascii="Arial" w:hAnsi="Arial" w:cs="Arial"/>
          <w:sz w:val="22"/>
          <w:szCs w:val="22"/>
        </w:rPr>
        <w:t>, engagement is a complex construct influenced by perceptions, emotions, and motivation, aligning with the principles of self-determination theory in the realm of motivation (Mercer and Dörnyei, 2020).</w:t>
      </w:r>
    </w:p>
    <w:p w14:paraId="5DE03BA8" w14:textId="10844306" w:rsidR="00F565B2" w:rsidRDefault="002622F7" w:rsidP="006F19D4">
      <w:pPr>
        <w:pStyle w:val="ListParagraph"/>
        <w:spacing w:after="0" w:line="360" w:lineRule="auto"/>
        <w:ind w:left="0"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 xml:space="preserve">Nevertheless, the integration of real-life content into teaching practices not only cultivates an enjoyable and engaging learning environment but also imbues greater significance into the learning process (Yalçin et al., 2017). Supporting this </w:t>
      </w:r>
      <w:r w:rsidR="00306123" w:rsidRPr="0029566F">
        <w:rPr>
          <w:rFonts w:ascii="Arial" w:hAnsi="Arial" w:cs="Arial"/>
          <w:sz w:val="22"/>
          <w:szCs w:val="22"/>
          <w:shd w:val="clear" w:color="auto" w:fill="FFFFFF"/>
        </w:rPr>
        <w:t>statement</w:t>
      </w:r>
      <w:r w:rsidRPr="0029566F">
        <w:rPr>
          <w:rFonts w:ascii="Arial" w:hAnsi="Arial" w:cs="Arial"/>
          <w:sz w:val="22"/>
          <w:szCs w:val="22"/>
          <w:shd w:val="clear" w:color="auto" w:fill="FFFFFF"/>
        </w:rPr>
        <w:t xml:space="preserve">, Kong (2021) underscores the enhancement of educational value through real-life contexts, emphasizing the development of essential skills and experiences. The infusion of real-life contexts into education has propelled classroom engagement to a prominent position within educational discourse (Kong, 2021). Mebert et al. (2020) provide compelling evidence that integrating problem-based learning </w:t>
      </w:r>
      <w:r w:rsidR="00980557" w:rsidRPr="0029566F">
        <w:rPr>
          <w:rFonts w:ascii="Arial" w:hAnsi="Arial" w:cs="Arial"/>
          <w:sz w:val="22"/>
          <w:szCs w:val="22"/>
          <w:shd w:val="clear" w:color="auto" w:fill="FFFFFF"/>
        </w:rPr>
        <w:t>lessons</w:t>
      </w:r>
      <w:r w:rsidRPr="0029566F">
        <w:rPr>
          <w:rFonts w:ascii="Arial" w:hAnsi="Arial" w:cs="Arial"/>
          <w:sz w:val="22"/>
          <w:szCs w:val="22"/>
          <w:shd w:val="clear" w:color="auto" w:fill="FFFFFF"/>
        </w:rPr>
        <w:t xml:space="preserve"> into real-world </w:t>
      </w:r>
      <w:r w:rsidR="00980557" w:rsidRPr="0029566F">
        <w:rPr>
          <w:rFonts w:ascii="Arial" w:hAnsi="Arial" w:cs="Arial"/>
          <w:sz w:val="22"/>
          <w:szCs w:val="22"/>
          <w:shd w:val="clear" w:color="auto" w:fill="FFFFFF"/>
        </w:rPr>
        <w:t>context</w:t>
      </w:r>
      <w:r w:rsidRPr="0029566F">
        <w:rPr>
          <w:rFonts w:ascii="Arial" w:hAnsi="Arial" w:cs="Arial"/>
          <w:sz w:val="22"/>
          <w:szCs w:val="22"/>
          <w:shd w:val="clear" w:color="auto" w:fill="FFFFFF"/>
        </w:rPr>
        <w:t xml:space="preserve"> can notably enhance student engagement. However, Che, Strang, and Vajjhala (2021) highlight that alongside student engagement, motivation serves as a crucial determinant of educational success. </w:t>
      </w:r>
      <w:r w:rsidR="006F19D4">
        <w:rPr>
          <w:rFonts w:ascii="Arial" w:hAnsi="Arial" w:cs="Arial"/>
          <w:sz w:val="22"/>
          <w:szCs w:val="22"/>
          <w:shd w:val="clear" w:color="auto" w:fill="FFFFFF"/>
        </w:rPr>
        <w:t xml:space="preserve"> </w:t>
      </w:r>
    </w:p>
    <w:p w14:paraId="73F9374F" w14:textId="6AE605F2" w:rsidR="0071338E" w:rsidRPr="006F19D4" w:rsidRDefault="0071338E" w:rsidP="0071338E">
      <w:pPr>
        <w:pStyle w:val="ListParagraph"/>
        <w:spacing w:after="0" w:line="360" w:lineRule="auto"/>
        <w:ind w:left="0" w:firstLine="720"/>
        <w:jc w:val="both"/>
        <w:rPr>
          <w:rFonts w:ascii="Arial" w:hAnsi="Arial" w:cs="Arial"/>
          <w:sz w:val="22"/>
          <w:szCs w:val="22"/>
          <w:shd w:val="clear" w:color="auto" w:fill="FFFFFF"/>
        </w:rPr>
      </w:pPr>
      <w:r>
        <w:rPr>
          <w:rFonts w:ascii="Arial" w:hAnsi="Arial" w:cs="Arial"/>
          <w:sz w:val="22"/>
          <w:szCs w:val="22"/>
          <w:shd w:val="clear" w:color="auto" w:fill="FFFFFF"/>
        </w:rPr>
        <w:t xml:space="preserve">This case study was inspired from research of </w:t>
      </w:r>
      <w:r w:rsidRPr="0029566F">
        <w:rPr>
          <w:rFonts w:ascii="Arial" w:hAnsi="Arial" w:cs="Arial"/>
          <w:sz w:val="22"/>
          <w:szCs w:val="22"/>
        </w:rPr>
        <w:t>Jones et al. (2017)</w:t>
      </w:r>
      <w:r>
        <w:rPr>
          <w:rFonts w:ascii="Arial" w:hAnsi="Arial" w:cs="Arial"/>
          <w:sz w:val="22"/>
          <w:szCs w:val="22"/>
        </w:rPr>
        <w:t>; David (2023) and Suh (2023) that</w:t>
      </w:r>
      <w:r w:rsidRPr="0029566F">
        <w:rPr>
          <w:rFonts w:ascii="Arial" w:hAnsi="Arial" w:cs="Arial"/>
          <w:sz w:val="22"/>
          <w:szCs w:val="22"/>
        </w:rPr>
        <w:t xml:space="preserve"> investigated the impact of incorporating real-life contexts in mathematics instruction on the engagement and comprehension of EAL students. Krain (2018) performs a study using various teaching approaches to see which strategy engages learners the most.  The findings revealed that when children were interested in something </w:t>
      </w:r>
      <w:r w:rsidRPr="006F19D4">
        <w:rPr>
          <w:rFonts w:ascii="Arial" w:hAnsi="Arial" w:cs="Arial"/>
          <w:sz w:val="22"/>
          <w:szCs w:val="22"/>
        </w:rPr>
        <w:t>meaningful</w:t>
      </w:r>
      <w:r w:rsidRPr="0029566F">
        <w:rPr>
          <w:rFonts w:ascii="Arial" w:hAnsi="Arial" w:cs="Arial"/>
          <w:sz w:val="22"/>
          <w:szCs w:val="22"/>
        </w:rPr>
        <w:t xml:space="preserve"> and relevant to their life learners were more active during the learning process, their engagement was extremely active (Krain, 2018; Stixrud and Johnson, 2018). While meaningful learning experiences are often associated with increased engagement, however, according to Setati and Adler (2000) and Siney (2016) the definition of "meaningful" can vary widely depending </w:t>
      </w:r>
      <w:r w:rsidRPr="0029566F">
        <w:rPr>
          <w:rFonts w:ascii="Arial" w:hAnsi="Arial" w:cs="Arial"/>
          <w:sz w:val="22"/>
          <w:szCs w:val="22"/>
        </w:rPr>
        <w:lastRenderedPageBreak/>
        <w:t>on individual interests, cultural background, and prior knowledge. Therefore, what is meaningful for one student may not be meaningful for another, so it's essential to consider the diversity of student perspectives and experiences (Welsh Government, 202</w:t>
      </w:r>
      <w:r w:rsidR="00EC4A81">
        <w:rPr>
          <w:rFonts w:ascii="Arial" w:hAnsi="Arial" w:cs="Arial"/>
          <w:sz w:val="22"/>
          <w:szCs w:val="22"/>
        </w:rPr>
        <w:t>3</w:t>
      </w:r>
      <w:r w:rsidRPr="0029566F">
        <w:rPr>
          <w:rFonts w:ascii="Arial" w:hAnsi="Arial" w:cs="Arial"/>
          <w:sz w:val="22"/>
          <w:szCs w:val="22"/>
        </w:rPr>
        <w:t>).</w:t>
      </w:r>
    </w:p>
    <w:p w14:paraId="0EABE83D" w14:textId="77777777" w:rsidR="0071338E" w:rsidRPr="006F19D4" w:rsidRDefault="0071338E" w:rsidP="006F19D4">
      <w:pPr>
        <w:pStyle w:val="ListParagraph"/>
        <w:spacing w:after="0" w:line="360" w:lineRule="auto"/>
        <w:ind w:left="0" w:firstLine="720"/>
        <w:jc w:val="both"/>
        <w:rPr>
          <w:rFonts w:ascii="Arial" w:hAnsi="Arial" w:cs="Arial"/>
          <w:sz w:val="22"/>
          <w:szCs w:val="22"/>
          <w:shd w:val="clear" w:color="auto" w:fill="FFFFFF"/>
        </w:rPr>
      </w:pPr>
    </w:p>
    <w:p w14:paraId="3E8DE746" w14:textId="38C36DA7" w:rsidR="00AA5294" w:rsidRPr="0029566F" w:rsidRDefault="00F20F9D" w:rsidP="006F19D4">
      <w:pPr>
        <w:pStyle w:val="ListParagraph"/>
        <w:spacing w:after="0" w:line="360" w:lineRule="auto"/>
        <w:ind w:left="0" w:firstLine="720"/>
        <w:jc w:val="both"/>
        <w:rPr>
          <w:rFonts w:ascii="Arial" w:hAnsi="Arial" w:cs="Arial"/>
          <w:sz w:val="22"/>
          <w:szCs w:val="22"/>
        </w:rPr>
      </w:pPr>
      <w:r>
        <w:rPr>
          <w:rFonts w:ascii="Arial" w:hAnsi="Arial" w:cs="Arial"/>
          <w:sz w:val="22"/>
          <w:szCs w:val="22"/>
        </w:rPr>
        <w:t>Although</w:t>
      </w:r>
      <w:r w:rsidR="00152F67" w:rsidRPr="0029566F">
        <w:rPr>
          <w:rFonts w:ascii="Arial" w:hAnsi="Arial" w:cs="Arial"/>
          <w:sz w:val="22"/>
          <w:szCs w:val="22"/>
        </w:rPr>
        <w:t>,</w:t>
      </w:r>
      <w:r w:rsidR="00B266E2" w:rsidRPr="0029566F">
        <w:rPr>
          <w:rFonts w:ascii="Arial" w:hAnsi="Arial" w:cs="Arial"/>
          <w:sz w:val="22"/>
          <w:szCs w:val="22"/>
        </w:rPr>
        <w:t xml:space="preserve"> just like any other method of teaching or learning, using real-life context has limitations. Some of these constraints include the following: </w:t>
      </w:r>
      <w:r w:rsidR="004C44F2" w:rsidRPr="0029566F">
        <w:rPr>
          <w:rFonts w:ascii="Arial" w:hAnsi="Arial" w:cs="Arial"/>
          <w:sz w:val="22"/>
          <w:szCs w:val="22"/>
        </w:rPr>
        <w:t>r</w:t>
      </w:r>
      <w:r w:rsidR="00B266E2" w:rsidRPr="0029566F">
        <w:rPr>
          <w:rFonts w:ascii="Arial" w:hAnsi="Arial" w:cs="Arial"/>
          <w:sz w:val="22"/>
          <w:szCs w:val="22"/>
        </w:rPr>
        <w:t>eal-life activities usually require tools, space, and time constraints (Pond, 2006; Pritchard, 2009; Macblain, 2014).</w:t>
      </w:r>
    </w:p>
    <w:p w14:paraId="4021AB02" w14:textId="0CE7384B" w:rsidR="00B5738F" w:rsidRPr="0029566F" w:rsidRDefault="00AA5294" w:rsidP="006F19D4">
      <w:pPr>
        <w:pStyle w:val="ListParagraph"/>
        <w:spacing w:after="0" w:line="360" w:lineRule="auto"/>
        <w:ind w:left="0"/>
        <w:jc w:val="both"/>
        <w:rPr>
          <w:rFonts w:ascii="Arial" w:hAnsi="Arial" w:cs="Arial"/>
          <w:sz w:val="22"/>
          <w:szCs w:val="22"/>
        </w:rPr>
      </w:pPr>
      <w:r w:rsidRPr="0029566F">
        <w:rPr>
          <w:rFonts w:ascii="Arial" w:hAnsi="Arial" w:cs="Arial"/>
          <w:sz w:val="22"/>
          <w:szCs w:val="22"/>
        </w:rPr>
        <w:t xml:space="preserve">In addition, assessing learning results from </w:t>
      </w:r>
      <w:r w:rsidR="008E5151" w:rsidRPr="0029566F">
        <w:rPr>
          <w:rFonts w:ascii="Arial" w:hAnsi="Arial" w:cs="Arial"/>
          <w:sz w:val="22"/>
          <w:szCs w:val="22"/>
        </w:rPr>
        <w:t xml:space="preserve">real-life </w:t>
      </w:r>
      <w:r w:rsidR="008A0A33" w:rsidRPr="0029566F">
        <w:rPr>
          <w:rFonts w:ascii="Arial" w:hAnsi="Arial" w:cs="Arial"/>
          <w:sz w:val="22"/>
          <w:szCs w:val="22"/>
        </w:rPr>
        <w:t>approach activities</w:t>
      </w:r>
      <w:r w:rsidRPr="0029566F">
        <w:rPr>
          <w:rFonts w:ascii="Arial" w:hAnsi="Arial" w:cs="Arial"/>
          <w:sz w:val="22"/>
          <w:szCs w:val="22"/>
        </w:rPr>
        <w:t xml:space="preserve"> might be difficult. Traditional assessments such as tests and quizzes may not effectively reflect the level of information achieved via research and discovery (Wiliam, 2007; Wiliam and Black, 1998; Griffith and Burns, 2012).</w:t>
      </w:r>
      <w:r w:rsidR="006F19D4">
        <w:rPr>
          <w:rFonts w:ascii="Arial" w:hAnsi="Arial" w:cs="Arial"/>
          <w:sz w:val="22"/>
          <w:szCs w:val="22"/>
        </w:rPr>
        <w:t xml:space="preserve"> </w:t>
      </w:r>
      <w:r w:rsidRPr="0029566F">
        <w:rPr>
          <w:rFonts w:ascii="Arial" w:hAnsi="Arial" w:cs="Arial"/>
          <w:sz w:val="22"/>
          <w:szCs w:val="22"/>
        </w:rPr>
        <w:t xml:space="preserve">Despite these limits, </w:t>
      </w:r>
      <w:r w:rsidR="009662FD" w:rsidRPr="0029566F">
        <w:rPr>
          <w:rFonts w:ascii="Arial" w:hAnsi="Arial" w:cs="Arial"/>
          <w:sz w:val="22"/>
          <w:szCs w:val="22"/>
        </w:rPr>
        <w:t>using real-life context in</w:t>
      </w:r>
      <w:r w:rsidRPr="0029566F">
        <w:rPr>
          <w:rFonts w:ascii="Arial" w:hAnsi="Arial" w:cs="Arial"/>
          <w:sz w:val="22"/>
          <w:szCs w:val="22"/>
        </w:rPr>
        <w:t xml:space="preserve"> </w:t>
      </w:r>
      <w:r w:rsidR="009662FD" w:rsidRPr="0029566F">
        <w:rPr>
          <w:rFonts w:ascii="Arial" w:hAnsi="Arial" w:cs="Arial"/>
          <w:sz w:val="22"/>
          <w:szCs w:val="22"/>
        </w:rPr>
        <w:t>the classroom</w:t>
      </w:r>
      <w:r w:rsidRPr="0029566F">
        <w:rPr>
          <w:rFonts w:ascii="Arial" w:hAnsi="Arial" w:cs="Arial"/>
          <w:sz w:val="22"/>
          <w:szCs w:val="22"/>
        </w:rPr>
        <w:t xml:space="preserve"> is a very effective way of learning that can significantly improve learners' understanding, engagement, and knowledge acquisition (Holt, 2011; Aubrey and Riley, 2019; Grimmer, 2019). Furthermore, teachers frequently integrate hands-on learning with other teaching approaches to address some of these constraints, providing their students with a well-rounded and successful educational experience (Moore, 2012; Fletcher-Wood et al., 2020).</w:t>
      </w:r>
      <w:r w:rsidR="00577E61" w:rsidRPr="0029566F">
        <w:rPr>
          <w:rFonts w:ascii="Arial" w:hAnsi="Arial" w:cs="Arial"/>
          <w:sz w:val="22"/>
          <w:szCs w:val="22"/>
        </w:rPr>
        <w:t xml:space="preserve"> </w:t>
      </w:r>
      <w:r w:rsidRPr="0029566F">
        <w:rPr>
          <w:rFonts w:ascii="Arial" w:hAnsi="Arial" w:cs="Arial"/>
          <w:sz w:val="22"/>
          <w:szCs w:val="22"/>
        </w:rPr>
        <w:t xml:space="preserve">Consequently, teachers can help students reach their full potential and establish a strong foundation for learning by implementing a variety of pedagogical approaches in the classroom (Fletcher-Wood </w:t>
      </w:r>
      <w:r w:rsidRPr="0029566F">
        <w:rPr>
          <w:rFonts w:ascii="Arial" w:hAnsi="Arial" w:cs="Arial"/>
          <w:i/>
          <w:iCs/>
          <w:sz w:val="22"/>
          <w:szCs w:val="22"/>
        </w:rPr>
        <w:t>et al.,</w:t>
      </w:r>
      <w:r w:rsidRPr="0029566F">
        <w:rPr>
          <w:rFonts w:ascii="Arial" w:hAnsi="Arial" w:cs="Arial"/>
          <w:sz w:val="22"/>
          <w:szCs w:val="22"/>
        </w:rPr>
        <w:t xml:space="preserve"> 2020</w:t>
      </w:r>
      <w:r w:rsidR="009A73CB" w:rsidRPr="0029566F">
        <w:rPr>
          <w:rFonts w:ascii="Arial" w:hAnsi="Arial" w:cs="Arial"/>
          <w:sz w:val="22"/>
          <w:szCs w:val="22"/>
        </w:rPr>
        <w:t>; Bradberry and Maio, 2019</w:t>
      </w:r>
      <w:r w:rsidRPr="0029566F">
        <w:rPr>
          <w:rFonts w:ascii="Arial" w:hAnsi="Arial" w:cs="Arial"/>
          <w:sz w:val="22"/>
          <w:szCs w:val="22"/>
        </w:rPr>
        <w:t>).</w:t>
      </w:r>
    </w:p>
    <w:p w14:paraId="30A05618" w14:textId="14858A9C" w:rsidR="00380B3E" w:rsidRPr="0029566F" w:rsidRDefault="000E4370" w:rsidP="006F19D4">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shd w:val="clear" w:color="auto" w:fill="FFFFFF"/>
        </w:rPr>
        <w:t>Connections between the aforementioned literature and this case study are apparent. Notably, David's (2023) dissertation on teachers’ perceptions of Pedagogy in teaching mathematics to EAL students draws inspiration. Dewey's theory, advocating learning through experience (Grace &amp; Lee, 2014), and Aristotle's notion of teaching as an art of doing (Peters &amp; Xudong, 2023) further enrich this discourse. Estyn (2020) underscores the effectiveness of authentic learning across all domains, aligning with Donaldson's (2015) pedagogical principles, among which integrating real-life contexts is paramount. This approach resonates with the professional teaching standards set forth by the Welsh Government in 2019, emphasizing real-world applications, authentic contexts, interdisciplinary learning, and teachers' dedication to embedding genuine experiences into the curriculum.</w:t>
      </w:r>
    </w:p>
    <w:p w14:paraId="01C9B051" w14:textId="77777777" w:rsidR="00481F84" w:rsidRPr="0029566F" w:rsidRDefault="00481F84" w:rsidP="008A0A33">
      <w:pPr>
        <w:jc w:val="both"/>
        <w:rPr>
          <w:rFonts w:ascii="Arial" w:hAnsi="Arial" w:cs="Arial"/>
          <w:sz w:val="22"/>
          <w:szCs w:val="22"/>
        </w:rPr>
      </w:pPr>
    </w:p>
    <w:p w14:paraId="70671EE6" w14:textId="1003B9C9" w:rsidR="00CD1AFA" w:rsidRPr="0029566F" w:rsidRDefault="00CD1AFA" w:rsidP="008A0A33">
      <w:pPr>
        <w:pStyle w:val="ListParagraph"/>
        <w:numPr>
          <w:ilvl w:val="0"/>
          <w:numId w:val="1"/>
        </w:numPr>
        <w:ind w:left="0"/>
        <w:jc w:val="both"/>
        <w:rPr>
          <w:rFonts w:ascii="Arial" w:hAnsi="Arial" w:cs="Arial"/>
          <w:sz w:val="22"/>
          <w:szCs w:val="22"/>
        </w:rPr>
      </w:pPr>
      <w:r w:rsidRPr="0029566F">
        <w:rPr>
          <w:rFonts w:ascii="Arial" w:hAnsi="Arial" w:cs="Arial"/>
          <w:sz w:val="22"/>
          <w:szCs w:val="22"/>
        </w:rPr>
        <w:t xml:space="preserve">Explanation of Case Study </w:t>
      </w:r>
    </w:p>
    <w:p w14:paraId="1F853704" w14:textId="77777777" w:rsidR="00A02FA6" w:rsidRPr="0029566F" w:rsidRDefault="00A02FA6" w:rsidP="008A0A33">
      <w:pPr>
        <w:pStyle w:val="ListParagraph"/>
        <w:ind w:left="0"/>
        <w:jc w:val="both"/>
        <w:rPr>
          <w:rFonts w:ascii="Arial" w:hAnsi="Arial" w:cs="Arial"/>
          <w:b/>
          <w:bCs/>
          <w:sz w:val="22"/>
          <w:szCs w:val="22"/>
        </w:rPr>
      </w:pPr>
    </w:p>
    <w:p w14:paraId="5B10485A" w14:textId="77777777" w:rsidR="004C116A" w:rsidRDefault="004C116A" w:rsidP="006F19D4">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4C116A">
        <w:rPr>
          <w:rFonts w:ascii="Arial" w:eastAsia="Times New Roman" w:hAnsi="Arial" w:cs="Arial"/>
          <w:kern w:val="0"/>
          <w:sz w:val="22"/>
          <w:szCs w:val="22"/>
          <w14:ligatures w14:val="none"/>
        </w:rPr>
        <w:t xml:space="preserve">A case study involves a comprehensive analysis of various phenomena, such as individuals, groups, events, or institutions, using different approaches (Thomas, 2011). The aim is to gain a deep understanding of complex subjects, often focusing on a single entity (Schutt, 2006). Researchers collect detailed data through methods like observations, </w:t>
      </w:r>
      <w:r w:rsidRPr="004C116A">
        <w:rPr>
          <w:rFonts w:ascii="Arial" w:eastAsia="Times New Roman" w:hAnsi="Arial" w:cs="Arial"/>
          <w:kern w:val="0"/>
          <w:sz w:val="22"/>
          <w:szCs w:val="22"/>
          <w14:ligatures w14:val="none"/>
        </w:rPr>
        <w:lastRenderedPageBreak/>
        <w:t>interviews, and document analysis to identify patterns and connections within the case (Tight, 2010).</w:t>
      </w:r>
    </w:p>
    <w:p w14:paraId="6AB55C6C" w14:textId="389C30FE" w:rsidR="00F42D3B" w:rsidRPr="0029566F" w:rsidRDefault="005C2714" w:rsidP="006F19D4">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5C2714">
        <w:rPr>
          <w:rFonts w:ascii="Arial" w:eastAsia="Times New Roman" w:hAnsi="Arial" w:cs="Arial"/>
          <w:kern w:val="0"/>
          <w:sz w:val="22"/>
          <w:szCs w:val="22"/>
          <w14:ligatures w14:val="none"/>
        </w:rPr>
        <w:t>The purpose behind using case study research is to offer valuable insights regarding situations. Although there are certain restrictions. A criticism suggested by Thomas (2011) is that there might not be sufficient generalisation. In spite of their typical focus on a single occurrence or small sample, case studies can produce findings that are difficult to generalise.</w:t>
      </w:r>
      <w:r w:rsidRPr="0029566F">
        <w:rPr>
          <w:rFonts w:ascii="Arial" w:eastAsia="Times New Roman" w:hAnsi="Arial" w:cs="Arial"/>
          <w:kern w:val="0"/>
          <w:sz w:val="22"/>
          <w:szCs w:val="22"/>
          <w14:ligatures w14:val="none"/>
        </w:rPr>
        <w:t xml:space="preserve"> </w:t>
      </w:r>
      <w:r w:rsidRPr="005C2714">
        <w:rPr>
          <w:rFonts w:ascii="Arial" w:eastAsia="Times New Roman" w:hAnsi="Arial" w:cs="Arial"/>
          <w:kern w:val="0"/>
          <w:sz w:val="22"/>
          <w:szCs w:val="22"/>
          <w14:ligatures w14:val="none"/>
        </w:rPr>
        <w:t xml:space="preserve">Moreover, case studies' subjective data </w:t>
      </w:r>
      <w:r w:rsidR="006F19D4" w:rsidRPr="005C2714">
        <w:rPr>
          <w:rFonts w:ascii="Arial" w:eastAsia="Times New Roman" w:hAnsi="Arial" w:cs="Arial"/>
          <w:kern w:val="0"/>
          <w:sz w:val="22"/>
          <w:szCs w:val="22"/>
          <w14:ligatures w14:val="none"/>
        </w:rPr>
        <w:t>gathering,</w:t>
      </w:r>
      <w:r w:rsidRPr="005C2714">
        <w:rPr>
          <w:rFonts w:ascii="Arial" w:eastAsia="Times New Roman" w:hAnsi="Arial" w:cs="Arial"/>
          <w:kern w:val="0"/>
          <w:sz w:val="22"/>
          <w:szCs w:val="22"/>
          <w14:ligatures w14:val="none"/>
        </w:rPr>
        <w:t xml:space="preserve"> and analysis methods may induce bias (Gall and Borg, 2005). The conditions surrounding data collecting and the interpretations made by researchers can both have an impact on the study's outcomes</w:t>
      </w:r>
      <w:r w:rsidRPr="0029566F">
        <w:rPr>
          <w:rFonts w:ascii="Arial" w:eastAsia="Times New Roman" w:hAnsi="Arial" w:cs="Arial"/>
          <w:kern w:val="0"/>
          <w:sz w:val="22"/>
          <w:szCs w:val="22"/>
          <w14:ligatures w14:val="none"/>
        </w:rPr>
        <w:t xml:space="preserve"> (</w:t>
      </w:r>
      <w:r w:rsidRPr="005C2714">
        <w:rPr>
          <w:rFonts w:ascii="Arial" w:eastAsia="Times New Roman" w:hAnsi="Arial" w:cs="Arial"/>
          <w:kern w:val="0"/>
          <w:sz w:val="22"/>
          <w:szCs w:val="22"/>
          <w14:ligatures w14:val="none"/>
        </w:rPr>
        <w:t>Gall and Borg, 2005</w:t>
      </w:r>
      <w:r w:rsidRPr="0029566F">
        <w:rPr>
          <w:rFonts w:ascii="Arial" w:eastAsia="Times New Roman" w:hAnsi="Arial" w:cs="Arial"/>
          <w:kern w:val="0"/>
          <w:sz w:val="22"/>
          <w:szCs w:val="22"/>
          <w14:ligatures w14:val="none"/>
        </w:rPr>
        <w:t>)</w:t>
      </w:r>
      <w:r w:rsidRPr="005C2714">
        <w:rPr>
          <w:rFonts w:ascii="Arial" w:eastAsia="Times New Roman" w:hAnsi="Arial" w:cs="Arial"/>
          <w:kern w:val="0"/>
          <w:sz w:val="22"/>
          <w:szCs w:val="22"/>
          <w14:ligatures w14:val="none"/>
        </w:rPr>
        <w:t>.</w:t>
      </w:r>
      <w:r w:rsidR="006F19D4">
        <w:rPr>
          <w:rFonts w:ascii="Arial" w:eastAsia="Times New Roman" w:hAnsi="Arial" w:cs="Arial"/>
          <w:kern w:val="0"/>
          <w:sz w:val="22"/>
          <w:szCs w:val="22"/>
          <w14:ligatures w14:val="none"/>
        </w:rPr>
        <w:t xml:space="preserve"> </w:t>
      </w:r>
      <w:r w:rsidR="00F42D3B" w:rsidRPr="0029566F">
        <w:rPr>
          <w:rFonts w:ascii="Arial" w:eastAsia="Times New Roman" w:hAnsi="Arial" w:cs="Arial"/>
          <w:kern w:val="0"/>
          <w:sz w:val="22"/>
          <w:szCs w:val="22"/>
          <w14:ligatures w14:val="none"/>
        </w:rPr>
        <w:t>Notwithstanding these limitations, case study research is still a useful strategy, especially when applied to exploratory and descriptive research situations</w:t>
      </w:r>
      <w:r w:rsidR="00BF09BF" w:rsidRPr="0029566F">
        <w:rPr>
          <w:rFonts w:ascii="Arial" w:eastAsia="Times New Roman" w:hAnsi="Arial" w:cs="Arial"/>
          <w:kern w:val="0"/>
          <w:sz w:val="22"/>
          <w:szCs w:val="22"/>
          <w14:ligatures w14:val="none"/>
        </w:rPr>
        <w:t xml:space="preserve"> (Thomas, 2011)</w:t>
      </w:r>
      <w:r w:rsidR="00F42D3B" w:rsidRPr="0029566F">
        <w:rPr>
          <w:rFonts w:ascii="Arial" w:eastAsia="Times New Roman" w:hAnsi="Arial" w:cs="Arial"/>
          <w:kern w:val="0"/>
          <w:sz w:val="22"/>
          <w:szCs w:val="22"/>
          <w14:ligatures w14:val="none"/>
        </w:rPr>
        <w:t>. Rich, contextualised data that case studies provide can be used to establish theories in a variety of domains, provide insightful analysis, and spark new research ideas</w:t>
      </w:r>
      <w:r w:rsidR="00BF09BF" w:rsidRPr="0029566F">
        <w:rPr>
          <w:rFonts w:ascii="Arial" w:eastAsia="Times New Roman" w:hAnsi="Arial" w:cs="Arial"/>
          <w:kern w:val="0"/>
          <w:sz w:val="22"/>
          <w:szCs w:val="22"/>
          <w14:ligatures w14:val="none"/>
        </w:rPr>
        <w:t xml:space="preserve"> (Shutt, 2006)</w:t>
      </w:r>
      <w:r w:rsidR="00F42D3B" w:rsidRPr="0029566F">
        <w:rPr>
          <w:rFonts w:ascii="Arial" w:eastAsia="Times New Roman" w:hAnsi="Arial" w:cs="Arial"/>
          <w:kern w:val="0"/>
          <w:sz w:val="22"/>
          <w:szCs w:val="22"/>
          <w14:ligatures w14:val="none"/>
        </w:rPr>
        <w:t>. For a more thorough understanding of the phenomenon being studied, researchers should take into account the limits and biases that come with case study research and supplement findings with data from other research techniques</w:t>
      </w:r>
      <w:r w:rsidR="00561ABE" w:rsidRPr="0029566F">
        <w:rPr>
          <w:rFonts w:ascii="Arial" w:eastAsia="Times New Roman" w:hAnsi="Arial" w:cs="Arial"/>
          <w:kern w:val="0"/>
          <w:sz w:val="22"/>
          <w:szCs w:val="22"/>
          <w14:ligatures w14:val="none"/>
        </w:rPr>
        <w:t xml:space="preserve"> (Tomas, 2017)</w:t>
      </w:r>
      <w:r w:rsidR="00F42D3B" w:rsidRPr="0029566F">
        <w:rPr>
          <w:rFonts w:ascii="Arial" w:eastAsia="Times New Roman" w:hAnsi="Arial" w:cs="Arial"/>
          <w:kern w:val="0"/>
          <w:sz w:val="22"/>
          <w:szCs w:val="22"/>
          <w14:ligatures w14:val="none"/>
        </w:rPr>
        <w:t>.</w:t>
      </w:r>
    </w:p>
    <w:p w14:paraId="2A800E0C" w14:textId="63EC7579" w:rsidR="00AB3815" w:rsidRPr="00AB3815" w:rsidRDefault="005C2714" w:rsidP="00AB3815">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5C2714">
        <w:rPr>
          <w:rFonts w:ascii="Arial" w:eastAsia="Times New Roman" w:hAnsi="Arial" w:cs="Arial"/>
          <w:kern w:val="0"/>
          <w:sz w:val="22"/>
          <w:szCs w:val="22"/>
          <w14:ligatures w14:val="none"/>
        </w:rPr>
        <w:t>This case study explore</w:t>
      </w:r>
      <w:r w:rsidR="00F11BB6">
        <w:rPr>
          <w:rFonts w:ascii="Arial" w:eastAsia="Times New Roman" w:hAnsi="Arial" w:cs="Arial"/>
          <w:kern w:val="0"/>
          <w:sz w:val="22"/>
          <w:szCs w:val="22"/>
          <w14:ligatures w14:val="none"/>
        </w:rPr>
        <w:t>d</w:t>
      </w:r>
      <w:r w:rsidRPr="005C2714">
        <w:rPr>
          <w:rFonts w:ascii="Arial" w:eastAsia="Times New Roman" w:hAnsi="Arial" w:cs="Arial"/>
          <w:kern w:val="0"/>
          <w:sz w:val="22"/>
          <w:szCs w:val="22"/>
          <w14:ligatures w14:val="none"/>
        </w:rPr>
        <w:t xml:space="preserve"> the experiences of </w:t>
      </w:r>
      <w:r w:rsidRPr="0029566F">
        <w:rPr>
          <w:rFonts w:ascii="Arial" w:eastAsia="Times New Roman" w:hAnsi="Arial" w:cs="Arial"/>
          <w:kern w:val="0"/>
          <w:sz w:val="22"/>
          <w:szCs w:val="22"/>
          <w14:ligatures w14:val="none"/>
        </w:rPr>
        <w:t>EAL</w:t>
      </w:r>
      <w:r w:rsidRPr="005C2714">
        <w:rPr>
          <w:rFonts w:ascii="Arial" w:eastAsia="Times New Roman" w:hAnsi="Arial" w:cs="Arial"/>
          <w:kern w:val="0"/>
          <w:sz w:val="22"/>
          <w:szCs w:val="22"/>
          <w14:ligatures w14:val="none"/>
        </w:rPr>
        <w:t xml:space="preserve"> learners in mathematics education, emphasising the use of real-world situations to improve learning outcomes. According to Sion (2009), EAL learners frequently rely on sensory experiences to make sense of their surroundings, which emphasises the value of experiential learning methods that are hands-on. Using focus groups and observation as research methodologies, this </w:t>
      </w:r>
      <w:r w:rsidR="00123647" w:rsidRPr="0029566F">
        <w:rPr>
          <w:rFonts w:ascii="Arial" w:eastAsia="Times New Roman" w:hAnsi="Arial" w:cs="Arial"/>
          <w:kern w:val="0"/>
          <w:sz w:val="22"/>
          <w:szCs w:val="22"/>
          <w14:ligatures w14:val="none"/>
        </w:rPr>
        <w:t>case study</w:t>
      </w:r>
      <w:r w:rsidRPr="005C2714">
        <w:rPr>
          <w:rFonts w:ascii="Arial" w:eastAsia="Times New Roman" w:hAnsi="Arial" w:cs="Arial"/>
          <w:kern w:val="0"/>
          <w:sz w:val="22"/>
          <w:szCs w:val="22"/>
          <w14:ligatures w14:val="none"/>
        </w:rPr>
        <w:t xml:space="preserve"> intend</w:t>
      </w:r>
      <w:r w:rsidR="00F11BB6">
        <w:rPr>
          <w:rFonts w:ascii="Arial" w:eastAsia="Times New Roman" w:hAnsi="Arial" w:cs="Arial"/>
          <w:kern w:val="0"/>
          <w:sz w:val="22"/>
          <w:szCs w:val="22"/>
          <w14:ligatures w14:val="none"/>
        </w:rPr>
        <w:t>ed</w:t>
      </w:r>
      <w:r w:rsidRPr="005C2714">
        <w:rPr>
          <w:rFonts w:ascii="Arial" w:eastAsia="Times New Roman" w:hAnsi="Arial" w:cs="Arial"/>
          <w:kern w:val="0"/>
          <w:sz w:val="22"/>
          <w:szCs w:val="22"/>
          <w14:ligatures w14:val="none"/>
        </w:rPr>
        <w:t xml:space="preserve"> to explore the effects of introducing real-life circumstances into mathematics </w:t>
      </w:r>
      <w:r w:rsidR="00123647" w:rsidRPr="0029566F">
        <w:rPr>
          <w:rFonts w:ascii="Arial" w:eastAsia="Times New Roman" w:hAnsi="Arial" w:cs="Arial"/>
          <w:kern w:val="0"/>
          <w:sz w:val="22"/>
          <w:szCs w:val="22"/>
          <w14:ligatures w14:val="none"/>
        </w:rPr>
        <w:t>for EAL</w:t>
      </w:r>
      <w:r w:rsidRPr="005C2714">
        <w:rPr>
          <w:rFonts w:ascii="Arial" w:eastAsia="Times New Roman" w:hAnsi="Arial" w:cs="Arial"/>
          <w:kern w:val="0"/>
          <w:sz w:val="22"/>
          <w:szCs w:val="22"/>
          <w14:ligatures w14:val="none"/>
        </w:rPr>
        <w:t xml:space="preserve"> learners. </w:t>
      </w:r>
      <w:r w:rsidR="009A6F70" w:rsidRPr="0029566F">
        <w:rPr>
          <w:rFonts w:ascii="Arial" w:hAnsi="Arial" w:cs="Arial"/>
          <w:sz w:val="22"/>
          <w:szCs w:val="22"/>
          <w:shd w:val="clear" w:color="auto" w:fill="FFFFFF"/>
        </w:rPr>
        <w:t>The research methodology encompasse</w:t>
      </w:r>
      <w:r w:rsidR="00F11BB6">
        <w:rPr>
          <w:rFonts w:ascii="Arial" w:hAnsi="Arial" w:cs="Arial"/>
          <w:sz w:val="22"/>
          <w:szCs w:val="22"/>
          <w:shd w:val="clear" w:color="auto" w:fill="FFFFFF"/>
        </w:rPr>
        <w:t>d</w:t>
      </w:r>
      <w:r w:rsidR="009A6F70" w:rsidRPr="0029566F">
        <w:rPr>
          <w:rFonts w:ascii="Arial" w:hAnsi="Arial" w:cs="Arial"/>
          <w:sz w:val="22"/>
          <w:szCs w:val="22"/>
          <w:shd w:val="clear" w:color="auto" w:fill="FFFFFF"/>
        </w:rPr>
        <w:t xml:space="preserve"> three key components: firstly, observation utilizing the Leuven scale to evaluate children's engagement during mathematics activities embedded within real-life contexts. Secondly, conducting focus group discussions to glean insights into students' perceptions of mathematics. Lastly, engaging in interview discussions with teachers to explore</w:t>
      </w:r>
      <w:r w:rsidR="00AB3815">
        <w:rPr>
          <w:rFonts w:ascii="Arial" w:hAnsi="Arial" w:cs="Arial"/>
          <w:sz w:val="22"/>
          <w:szCs w:val="22"/>
          <w:shd w:val="clear" w:color="auto" w:fill="FFFFFF"/>
        </w:rPr>
        <w:t xml:space="preserve"> and reflect</w:t>
      </w:r>
      <w:r w:rsidR="009A6F70" w:rsidRPr="0029566F">
        <w:rPr>
          <w:rFonts w:ascii="Arial" w:hAnsi="Arial" w:cs="Arial"/>
          <w:sz w:val="22"/>
          <w:szCs w:val="22"/>
          <w:shd w:val="clear" w:color="auto" w:fill="FFFFFF"/>
        </w:rPr>
        <w:t xml:space="preserve"> the integration of real-life contexts across other classes.</w:t>
      </w:r>
    </w:p>
    <w:p w14:paraId="04B8BB6B" w14:textId="77777777" w:rsidR="00AB3815" w:rsidRDefault="00AB3815" w:rsidP="00AB3815">
      <w:pPr>
        <w:spacing w:before="100" w:beforeAutospacing="1" w:after="100" w:afterAutospacing="1" w:line="360" w:lineRule="auto"/>
        <w:ind w:firstLine="720"/>
        <w:jc w:val="both"/>
        <w:rPr>
          <w:rFonts w:ascii="Arial" w:hAnsi="Arial" w:cs="Arial"/>
          <w:sz w:val="22"/>
          <w:szCs w:val="22"/>
          <w:shd w:val="clear" w:color="auto" w:fill="FFFFFF"/>
        </w:rPr>
      </w:pPr>
      <w:r w:rsidRPr="00AB3815">
        <w:rPr>
          <w:rFonts w:ascii="Arial" w:hAnsi="Arial" w:cs="Arial"/>
          <w:sz w:val="22"/>
          <w:szCs w:val="22"/>
          <w:shd w:val="clear" w:color="auto" w:fill="FFFFFF"/>
        </w:rPr>
        <w:t xml:space="preserve">The Leuven scale provided a structured framework for observing and evaluating children's behaviors and interactions within the learning environment (Laevers, 2005). Focus group discussions were conducted with children to explore their attitudes towards mathematics, while teachers were interviewed to understand their perspectives on the use of real-life contexts in mathematics instruction for EAL learners (Cohen, Manin, Morrison, 2018; Thomas, 2023). Furthermore, observations utilizing the Leuven scale revealed patterns of engagement and interaction among EAL learners during mathematics activities with real-life </w:t>
      </w:r>
      <w:r w:rsidRPr="00AB3815">
        <w:rPr>
          <w:rFonts w:ascii="Arial" w:hAnsi="Arial" w:cs="Arial"/>
          <w:sz w:val="22"/>
          <w:szCs w:val="22"/>
          <w:shd w:val="clear" w:color="auto" w:fill="FFFFFF"/>
        </w:rPr>
        <w:lastRenderedPageBreak/>
        <w:t>contexts, serving as a foundation for understanding the effectiveness of hands-on and experiential pedagogical approaches. The group interviews with teachers provided valuable insights into the teachers’ teaching practices and beliefs regarding the integration of real-life contexts in mathematics education for EAL learners.</w:t>
      </w:r>
    </w:p>
    <w:p w14:paraId="23B5CBEF" w14:textId="768FC656" w:rsidR="007A003C" w:rsidRPr="0029566F" w:rsidRDefault="007A003C" w:rsidP="00AB3815">
      <w:pPr>
        <w:spacing w:before="100" w:beforeAutospacing="1" w:after="100" w:afterAutospacing="1" w:line="360" w:lineRule="auto"/>
        <w:ind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The findings of this study contribute</w:t>
      </w:r>
      <w:r w:rsidR="00F11BB6">
        <w:rPr>
          <w:rFonts w:ascii="Arial" w:hAnsi="Arial" w:cs="Arial"/>
          <w:sz w:val="22"/>
          <w:szCs w:val="22"/>
          <w:shd w:val="clear" w:color="auto" w:fill="FFFFFF"/>
        </w:rPr>
        <w:t>d</w:t>
      </w:r>
      <w:r w:rsidRPr="0029566F">
        <w:rPr>
          <w:rFonts w:ascii="Arial" w:hAnsi="Arial" w:cs="Arial"/>
          <w:sz w:val="22"/>
          <w:szCs w:val="22"/>
          <w:shd w:val="clear" w:color="auto" w:fill="FFFFFF"/>
        </w:rPr>
        <w:t xml:space="preserve"> significantly to the understanding of effective teaching strategies for EAL learners in mathematics education. Through the integration of real-life contexts, educators are able to craft meaningful and engaging learning experiences (Mebert et al., 2019). Additionally, the findings underscore the necessity of differentiation strategies, which play a pivotal role in catering to the diverse learning needs of EAL learners, especially in a subject as intricate as mathematics that demands meticulous attention to detail (Boaler, 2008; Suh, 2023; David, 2023).</w:t>
      </w:r>
    </w:p>
    <w:p w14:paraId="5DA9E795" w14:textId="73F5FF37" w:rsidR="006F791D" w:rsidRPr="006F791D" w:rsidRDefault="006F791D" w:rsidP="006F19D4">
      <w:pPr>
        <w:spacing w:before="100" w:beforeAutospacing="1" w:after="100" w:afterAutospacing="1" w:line="360" w:lineRule="auto"/>
        <w:jc w:val="both"/>
        <w:rPr>
          <w:rFonts w:ascii="Arial" w:eastAsia="Times New Roman" w:hAnsi="Arial" w:cs="Arial"/>
          <w:kern w:val="0"/>
          <w:sz w:val="22"/>
          <w:szCs w:val="22"/>
          <w14:ligatures w14:val="none"/>
        </w:rPr>
      </w:pPr>
      <w:r w:rsidRPr="006F791D">
        <w:rPr>
          <w:rFonts w:ascii="Arial" w:eastAsia="Times New Roman" w:hAnsi="Arial" w:cs="Arial"/>
          <w:kern w:val="0"/>
          <w:sz w:val="22"/>
          <w:szCs w:val="22"/>
          <w14:ligatures w14:val="none"/>
        </w:rPr>
        <w:t xml:space="preserve">As a result, this case study was conducted in conjunction with EAL students through </w:t>
      </w:r>
      <w:r w:rsidR="00B35166" w:rsidRPr="0029566F">
        <w:rPr>
          <w:rFonts w:ascii="Arial" w:eastAsia="Times New Roman" w:hAnsi="Arial" w:cs="Arial"/>
          <w:kern w:val="0"/>
          <w:sz w:val="22"/>
          <w:szCs w:val="22"/>
          <w14:ligatures w14:val="none"/>
        </w:rPr>
        <w:t xml:space="preserve">a </w:t>
      </w:r>
      <w:r w:rsidRPr="006F791D">
        <w:rPr>
          <w:rFonts w:ascii="Arial" w:eastAsia="Times New Roman" w:hAnsi="Arial" w:cs="Arial"/>
          <w:kern w:val="0"/>
          <w:sz w:val="22"/>
          <w:szCs w:val="22"/>
          <w14:ligatures w14:val="none"/>
        </w:rPr>
        <w:t>close observation</w:t>
      </w:r>
      <w:r w:rsidR="00950930" w:rsidRPr="0029566F">
        <w:rPr>
          <w:rFonts w:ascii="Arial" w:eastAsia="Times New Roman" w:hAnsi="Arial" w:cs="Arial"/>
          <w:kern w:val="0"/>
          <w:sz w:val="22"/>
          <w:szCs w:val="22"/>
          <w14:ligatures w14:val="none"/>
        </w:rPr>
        <w:t xml:space="preserve"> and</w:t>
      </w:r>
      <w:r w:rsidRPr="006F791D">
        <w:rPr>
          <w:rFonts w:ascii="Arial" w:eastAsia="Times New Roman" w:hAnsi="Arial" w:cs="Arial"/>
          <w:kern w:val="0"/>
          <w:sz w:val="22"/>
          <w:szCs w:val="22"/>
          <w14:ligatures w14:val="none"/>
        </w:rPr>
        <w:t xml:space="preserve"> </w:t>
      </w:r>
      <w:r w:rsidR="00B35166" w:rsidRPr="0029566F">
        <w:rPr>
          <w:rFonts w:ascii="Arial" w:eastAsia="Times New Roman" w:hAnsi="Arial" w:cs="Arial"/>
          <w:kern w:val="0"/>
          <w:sz w:val="22"/>
          <w:szCs w:val="22"/>
          <w14:ligatures w14:val="none"/>
        </w:rPr>
        <w:t xml:space="preserve">a </w:t>
      </w:r>
      <w:r w:rsidRPr="006F791D">
        <w:rPr>
          <w:rFonts w:ascii="Arial" w:eastAsia="Times New Roman" w:hAnsi="Arial" w:cs="Arial"/>
          <w:kern w:val="0"/>
          <w:sz w:val="22"/>
          <w:szCs w:val="22"/>
          <w14:ligatures w14:val="none"/>
        </w:rPr>
        <w:t xml:space="preserve">focus group, </w:t>
      </w:r>
      <w:r w:rsidR="00950930" w:rsidRPr="0029566F">
        <w:rPr>
          <w:rFonts w:ascii="Arial" w:eastAsia="Times New Roman" w:hAnsi="Arial" w:cs="Arial"/>
          <w:kern w:val="0"/>
          <w:sz w:val="22"/>
          <w:szCs w:val="22"/>
          <w14:ligatures w14:val="none"/>
        </w:rPr>
        <w:t>as well as conducting</w:t>
      </w:r>
      <w:r w:rsidR="006F19D4">
        <w:rPr>
          <w:rFonts w:ascii="Arial" w:eastAsia="Times New Roman" w:hAnsi="Arial" w:cs="Arial"/>
          <w:kern w:val="0"/>
          <w:sz w:val="22"/>
          <w:szCs w:val="22"/>
          <w14:ligatures w14:val="none"/>
        </w:rPr>
        <w:t xml:space="preserve"> group</w:t>
      </w:r>
      <w:r w:rsidRPr="006F791D">
        <w:rPr>
          <w:rFonts w:ascii="Arial" w:eastAsia="Times New Roman" w:hAnsi="Arial" w:cs="Arial"/>
          <w:kern w:val="0"/>
          <w:sz w:val="22"/>
          <w:szCs w:val="22"/>
          <w14:ligatures w14:val="none"/>
        </w:rPr>
        <w:t xml:space="preserve"> interview</w:t>
      </w:r>
      <w:r w:rsidR="00950930" w:rsidRPr="0029566F">
        <w:rPr>
          <w:rFonts w:ascii="Arial" w:eastAsia="Times New Roman" w:hAnsi="Arial" w:cs="Arial"/>
          <w:kern w:val="0"/>
          <w:sz w:val="22"/>
          <w:szCs w:val="22"/>
          <w14:ligatures w14:val="none"/>
        </w:rPr>
        <w:t xml:space="preserve"> discussion </w:t>
      </w:r>
      <w:r w:rsidR="00B35166" w:rsidRPr="0029566F">
        <w:rPr>
          <w:rFonts w:ascii="Arial" w:eastAsia="Times New Roman" w:hAnsi="Arial" w:cs="Arial"/>
          <w:kern w:val="0"/>
          <w:sz w:val="22"/>
          <w:szCs w:val="22"/>
          <w14:ligatures w14:val="none"/>
        </w:rPr>
        <w:t xml:space="preserve">with the </w:t>
      </w:r>
      <w:r w:rsidR="006F19D4">
        <w:rPr>
          <w:rFonts w:ascii="Arial" w:eastAsia="Times New Roman" w:hAnsi="Arial" w:cs="Arial"/>
          <w:kern w:val="0"/>
          <w:sz w:val="22"/>
          <w:szCs w:val="22"/>
          <w14:ligatures w14:val="none"/>
        </w:rPr>
        <w:t xml:space="preserve">KS2 </w:t>
      </w:r>
      <w:r w:rsidR="00B35166" w:rsidRPr="0029566F">
        <w:rPr>
          <w:rFonts w:ascii="Arial" w:eastAsia="Times New Roman" w:hAnsi="Arial" w:cs="Arial"/>
          <w:kern w:val="0"/>
          <w:sz w:val="22"/>
          <w:szCs w:val="22"/>
          <w14:ligatures w14:val="none"/>
        </w:rPr>
        <w:t>teachers</w:t>
      </w:r>
      <w:r w:rsidRPr="006F791D">
        <w:rPr>
          <w:rFonts w:ascii="Arial" w:eastAsia="Times New Roman" w:hAnsi="Arial" w:cs="Arial"/>
          <w:kern w:val="0"/>
          <w:sz w:val="22"/>
          <w:szCs w:val="22"/>
          <w14:ligatures w14:val="none"/>
        </w:rPr>
        <w:t>.</w:t>
      </w:r>
    </w:p>
    <w:p w14:paraId="6FF7667C" w14:textId="01DE2A83" w:rsidR="00CD1AFA" w:rsidRPr="006F19D4" w:rsidRDefault="00CD1AFA" w:rsidP="008A0A33">
      <w:pPr>
        <w:pStyle w:val="ListParagraph"/>
        <w:numPr>
          <w:ilvl w:val="0"/>
          <w:numId w:val="1"/>
        </w:numPr>
        <w:ind w:left="0"/>
        <w:jc w:val="both"/>
        <w:rPr>
          <w:rFonts w:ascii="Arial" w:hAnsi="Arial" w:cs="Arial"/>
        </w:rPr>
      </w:pPr>
      <w:r w:rsidRPr="006F19D4">
        <w:rPr>
          <w:rFonts w:ascii="Arial" w:hAnsi="Arial" w:cs="Arial"/>
        </w:rPr>
        <w:t>Research methods – 1000</w:t>
      </w:r>
    </w:p>
    <w:p w14:paraId="2467DF6A" w14:textId="442B10F8" w:rsidR="00091D91" w:rsidRPr="00CA43D7" w:rsidRDefault="00091D91"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t xml:space="preserve">GROUP Interview </w:t>
      </w:r>
    </w:p>
    <w:p w14:paraId="3A7D3423" w14:textId="60379BD5" w:rsidR="00091D91" w:rsidRPr="00CA43D7" w:rsidRDefault="00091D91" w:rsidP="001A211D">
      <w:pPr>
        <w:spacing w:before="100" w:beforeAutospacing="1" w:after="100" w:afterAutospacing="1" w:line="360" w:lineRule="auto"/>
        <w:ind w:firstLine="720"/>
        <w:jc w:val="both"/>
        <w:rPr>
          <w:rFonts w:ascii="Arial" w:hAnsi="Arial" w:cs="Arial"/>
          <w:sz w:val="22"/>
          <w:szCs w:val="22"/>
        </w:rPr>
      </w:pPr>
      <w:r w:rsidRPr="00CA43D7">
        <w:rPr>
          <w:rFonts w:ascii="Arial" w:hAnsi="Arial" w:cs="Arial"/>
          <w:sz w:val="22"/>
          <w:szCs w:val="22"/>
        </w:rPr>
        <w:t>Group interviews, also known as focus group interviews, are a qualitative research method commonly employed to gather insights and perspectives from a group of participants regarding a specific topic or phenomenon (Thomas 2023).</w:t>
      </w:r>
      <w:r w:rsidR="001A211D" w:rsidRPr="00CA43D7">
        <w:rPr>
          <w:rFonts w:ascii="Arial" w:hAnsi="Arial" w:cs="Arial"/>
          <w:sz w:val="22"/>
          <w:szCs w:val="22"/>
        </w:rPr>
        <w:t xml:space="preserve"> </w:t>
      </w:r>
      <w:r w:rsidRPr="00CA43D7">
        <w:rPr>
          <w:rFonts w:ascii="Arial" w:hAnsi="Arial" w:cs="Arial"/>
          <w:sz w:val="22"/>
          <w:szCs w:val="22"/>
        </w:rPr>
        <w:t>Firstly, they offer a dynamic and interactive environment where participants can build upon each other's responses, leading to richer discussions and deeper insights (Bell and Water, 2018). Secondly, group interviews can facilitate the exploration of diverse viewpoints and the emergence of shared understandings among participants, contributing to a more comprehensive understanding of the research topic (Thomas, 2023: Cohen, Manion, Morrison, 2018). However, group interviews also have limitations. One notable challenge is the potential for group dynamics to influence participant responses, leading to conformity or dominance by certain individuals within the group (</w:t>
      </w:r>
      <w:r w:rsidR="004B0B26" w:rsidRPr="00CA43D7">
        <w:rPr>
          <w:rFonts w:ascii="Arial" w:hAnsi="Arial" w:cs="Arial"/>
          <w:sz w:val="22"/>
          <w:szCs w:val="22"/>
        </w:rPr>
        <w:t>Cohen, Manion, Morrison, 2018; Bell and Waters, 2018</w:t>
      </w:r>
      <w:r w:rsidRPr="00CA43D7">
        <w:rPr>
          <w:rFonts w:ascii="Arial" w:hAnsi="Arial" w:cs="Arial"/>
          <w:sz w:val="22"/>
          <w:szCs w:val="22"/>
        </w:rPr>
        <w:t>). Additionally, group interviews may not be suitable for exploring sensitive or personal topics, as individuals may feel uncomfortable discussing such matters in a group setting (</w:t>
      </w:r>
      <w:r w:rsidR="004B0B26" w:rsidRPr="00CA43D7">
        <w:rPr>
          <w:rFonts w:ascii="Arial" w:hAnsi="Arial" w:cs="Arial"/>
          <w:sz w:val="22"/>
          <w:szCs w:val="22"/>
        </w:rPr>
        <w:t>Cohen, Manion, Morrison, 2018</w:t>
      </w:r>
      <w:r w:rsidRPr="00CA43D7">
        <w:rPr>
          <w:rFonts w:ascii="Arial" w:hAnsi="Arial" w:cs="Arial"/>
          <w:sz w:val="22"/>
          <w:szCs w:val="22"/>
        </w:rPr>
        <w:t>).</w:t>
      </w:r>
    </w:p>
    <w:p w14:paraId="50DD9F1E" w14:textId="7D979006" w:rsidR="0002165B" w:rsidRPr="00CA43D7" w:rsidRDefault="0002165B"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t>FOCUS GROUP</w:t>
      </w:r>
      <w:r w:rsidR="00C44498" w:rsidRPr="00CA43D7">
        <w:rPr>
          <w:rFonts w:ascii="Arial" w:hAnsi="Arial" w:cs="Arial"/>
          <w:sz w:val="22"/>
          <w:szCs w:val="22"/>
        </w:rPr>
        <w:t xml:space="preserve"> with the children.</w:t>
      </w:r>
    </w:p>
    <w:p w14:paraId="47FBB98D" w14:textId="37C33EAC" w:rsidR="00750D50" w:rsidRPr="00CA43D7" w:rsidRDefault="007434E4" w:rsidP="001A211D">
      <w:pPr>
        <w:spacing w:before="100" w:beforeAutospacing="1" w:after="100" w:afterAutospacing="1" w:line="360" w:lineRule="auto"/>
        <w:ind w:firstLine="720"/>
        <w:jc w:val="both"/>
        <w:rPr>
          <w:rFonts w:ascii="Arial" w:hAnsi="Arial" w:cs="Arial"/>
          <w:b/>
          <w:bCs/>
          <w:sz w:val="22"/>
          <w:szCs w:val="22"/>
        </w:rPr>
      </w:pPr>
      <w:r w:rsidRPr="00CA43D7">
        <w:rPr>
          <w:rFonts w:ascii="Arial" w:hAnsi="Arial" w:cs="Arial"/>
          <w:sz w:val="22"/>
          <w:szCs w:val="22"/>
        </w:rPr>
        <w:t xml:space="preserve">The significance of employing focus groups as a research methodology in educational environments is underscored in academic literature. According to Novia (2022) these groups </w:t>
      </w:r>
      <w:r w:rsidRPr="00CA43D7">
        <w:rPr>
          <w:rFonts w:ascii="Arial" w:hAnsi="Arial" w:cs="Arial"/>
          <w:sz w:val="22"/>
          <w:szCs w:val="22"/>
        </w:rPr>
        <w:lastRenderedPageBreak/>
        <w:t xml:space="preserve">foster dynamic dialogues among participants, facilitating mutual learning and deeper insights into diverse subject matters. By actively engaging individuals in the research process, establishing focus collectively, and distributing research authority among members, focus groups can empower participants (Fabian, et al., 2020). </w:t>
      </w:r>
      <w:r w:rsidR="0002165B" w:rsidRPr="00CA43D7">
        <w:rPr>
          <w:rFonts w:ascii="Arial" w:hAnsi="Arial" w:cs="Arial"/>
          <w:sz w:val="22"/>
          <w:szCs w:val="22"/>
        </w:rPr>
        <w:t xml:space="preserve">Suh (2023) conducted a study that has shown that focus groups with EAL students, who share linguistic and cultural backgrounds, provide valuable insights into the effectiveness of tailored teaching strategies and material </w:t>
      </w:r>
      <w:r w:rsidRPr="00CA43D7">
        <w:rPr>
          <w:rFonts w:ascii="Arial" w:hAnsi="Arial" w:cs="Arial"/>
          <w:sz w:val="22"/>
          <w:szCs w:val="22"/>
        </w:rPr>
        <w:t>In essence</w:t>
      </w:r>
      <w:r w:rsidR="0002165B" w:rsidRPr="00CA43D7">
        <w:rPr>
          <w:rFonts w:ascii="Arial" w:hAnsi="Arial" w:cs="Arial"/>
          <w:sz w:val="22"/>
          <w:szCs w:val="22"/>
        </w:rPr>
        <w:t xml:space="preserve">. The </w:t>
      </w:r>
      <w:r w:rsidRPr="00CA43D7">
        <w:rPr>
          <w:rFonts w:ascii="Arial" w:hAnsi="Arial" w:cs="Arial"/>
          <w:sz w:val="22"/>
          <w:szCs w:val="22"/>
        </w:rPr>
        <w:t>focus groups function as lively interactive platforms that encourage inclusive and transformative research, ultimately promoting social integration and knowledge exchange among participants</w:t>
      </w:r>
      <w:r w:rsidR="003F3497" w:rsidRPr="00CA43D7">
        <w:rPr>
          <w:rFonts w:ascii="Arial" w:hAnsi="Arial" w:cs="Arial"/>
          <w:sz w:val="22"/>
          <w:szCs w:val="22"/>
        </w:rPr>
        <w:t xml:space="preserve"> (</w:t>
      </w:r>
      <w:r w:rsidR="003C7C42" w:rsidRPr="00CA43D7">
        <w:rPr>
          <w:rFonts w:ascii="Arial" w:hAnsi="Arial" w:cs="Arial"/>
          <w:sz w:val="22"/>
          <w:szCs w:val="22"/>
        </w:rPr>
        <w:t>Umami, 2022</w:t>
      </w:r>
      <w:r w:rsidR="0002165B" w:rsidRPr="00CA43D7">
        <w:rPr>
          <w:rFonts w:ascii="Arial" w:hAnsi="Arial" w:cs="Arial"/>
          <w:sz w:val="22"/>
          <w:szCs w:val="22"/>
        </w:rPr>
        <w:t>; Thomas, 2023</w:t>
      </w:r>
      <w:r w:rsidR="003F3497" w:rsidRPr="00CA43D7">
        <w:rPr>
          <w:rFonts w:ascii="Arial" w:hAnsi="Arial" w:cs="Arial"/>
          <w:sz w:val="22"/>
          <w:szCs w:val="22"/>
        </w:rPr>
        <w:t>)</w:t>
      </w:r>
      <w:r w:rsidRPr="00CA43D7">
        <w:rPr>
          <w:rFonts w:ascii="Arial" w:hAnsi="Arial" w:cs="Arial"/>
          <w:sz w:val="22"/>
          <w:szCs w:val="22"/>
        </w:rPr>
        <w:t>.</w:t>
      </w:r>
      <w:r w:rsidR="001A211D" w:rsidRPr="00CA43D7">
        <w:rPr>
          <w:rFonts w:ascii="Arial" w:hAnsi="Arial" w:cs="Arial"/>
          <w:b/>
          <w:bCs/>
          <w:sz w:val="22"/>
          <w:szCs w:val="22"/>
        </w:rPr>
        <w:t xml:space="preserve"> </w:t>
      </w:r>
      <w:r w:rsidR="00750D50" w:rsidRPr="00CA43D7">
        <w:rPr>
          <w:rFonts w:ascii="Arial" w:hAnsi="Arial" w:cs="Arial"/>
          <w:sz w:val="22"/>
          <w:szCs w:val="22"/>
          <w:shd w:val="clear" w:color="auto" w:fill="FFFFFF"/>
        </w:rPr>
        <w:t>The literature highlights the value of u</w:t>
      </w:r>
      <w:r w:rsidR="008071C3" w:rsidRPr="00CA43D7">
        <w:rPr>
          <w:rFonts w:ascii="Arial" w:hAnsi="Arial" w:cs="Arial"/>
          <w:sz w:val="22"/>
          <w:szCs w:val="22"/>
          <w:shd w:val="clear" w:color="auto" w:fill="FFFFFF"/>
        </w:rPr>
        <w:t xml:space="preserve">sing </w:t>
      </w:r>
      <w:r w:rsidR="00750D50" w:rsidRPr="00CA43D7">
        <w:rPr>
          <w:rFonts w:ascii="Arial" w:hAnsi="Arial" w:cs="Arial"/>
          <w:sz w:val="22"/>
          <w:szCs w:val="22"/>
          <w:shd w:val="clear" w:color="auto" w:fill="FFFFFF"/>
        </w:rPr>
        <w:t>focus groups as a research method in educational settings. Focus groups are seen as interactive spaces that promote participant engagement, learning, and mutual support</w:t>
      </w:r>
      <w:r w:rsidR="001A08E4" w:rsidRPr="00CA43D7">
        <w:rPr>
          <w:rFonts w:ascii="Arial" w:hAnsi="Arial" w:cs="Arial"/>
          <w:sz w:val="22"/>
          <w:szCs w:val="22"/>
          <w:shd w:val="clear" w:color="auto" w:fill="FFFFFF"/>
        </w:rPr>
        <w:t xml:space="preserve"> (Sulistyo, 2022)</w:t>
      </w:r>
      <w:r w:rsidR="00750D50" w:rsidRPr="00CA43D7">
        <w:rPr>
          <w:rFonts w:ascii="Arial" w:hAnsi="Arial" w:cs="Arial"/>
          <w:sz w:val="22"/>
          <w:szCs w:val="22"/>
          <w:shd w:val="clear" w:color="auto" w:fill="FFFFFF"/>
        </w:rPr>
        <w:t>. They are effective in understanding students' attitudes, beliefs, and practices, enhancing social inclusion and collaborative learning </w:t>
      </w:r>
      <w:r w:rsidR="00270E7D" w:rsidRPr="00CA43D7">
        <w:rPr>
          <w:rFonts w:ascii="Arial" w:hAnsi="Arial" w:cs="Arial"/>
          <w:sz w:val="22"/>
          <w:szCs w:val="22"/>
          <w:shd w:val="clear" w:color="auto" w:fill="FFFFFF"/>
        </w:rPr>
        <w:t>(</w:t>
      </w:r>
      <w:r w:rsidR="00634595" w:rsidRPr="00CA43D7">
        <w:rPr>
          <w:rFonts w:ascii="Arial" w:hAnsi="Arial" w:cs="Arial"/>
          <w:sz w:val="22"/>
          <w:szCs w:val="22"/>
          <w:shd w:val="clear" w:color="auto" w:fill="FFFFFF"/>
        </w:rPr>
        <w:t xml:space="preserve">Xerri, 2018; </w:t>
      </w:r>
      <w:r w:rsidR="00270E7D" w:rsidRPr="00CA43D7">
        <w:rPr>
          <w:rFonts w:ascii="Arial" w:hAnsi="Arial" w:cs="Arial"/>
          <w:sz w:val="22"/>
          <w:szCs w:val="22"/>
          <w:shd w:val="clear" w:color="auto" w:fill="FFFFFF"/>
        </w:rPr>
        <w:t>Nind, Kaley and Hall, 2020</w:t>
      </w:r>
      <w:r w:rsidR="00634595" w:rsidRPr="00CA43D7">
        <w:rPr>
          <w:rFonts w:ascii="Arial" w:hAnsi="Arial" w:cs="Arial"/>
          <w:sz w:val="22"/>
          <w:szCs w:val="22"/>
          <w:shd w:val="clear" w:color="auto" w:fill="FFFFFF"/>
        </w:rPr>
        <w:t xml:space="preserve">). </w:t>
      </w:r>
      <w:r w:rsidR="00750D50" w:rsidRPr="00CA43D7">
        <w:rPr>
          <w:rFonts w:ascii="Arial" w:hAnsi="Arial" w:cs="Arial"/>
          <w:sz w:val="22"/>
          <w:szCs w:val="22"/>
          <w:shd w:val="clear" w:color="auto" w:fill="FFFFFF"/>
        </w:rPr>
        <w:t>Group discussions, including focus groups, are essential tools for reconstructing social structures and collective orientations guiding individuals' actions in their environments. By embracing the interactive nature of focus groups, researchers can empower participants, co-create knowledge, and enhance understanding on various topics</w:t>
      </w:r>
      <w:r w:rsidR="00B06847" w:rsidRPr="00CA43D7">
        <w:rPr>
          <w:rFonts w:ascii="Arial" w:hAnsi="Arial" w:cs="Arial"/>
          <w:sz w:val="22"/>
          <w:szCs w:val="22"/>
          <w:shd w:val="clear" w:color="auto" w:fill="FFFFFF"/>
        </w:rPr>
        <w:t xml:space="preserve"> (Umami, 2022). </w:t>
      </w:r>
      <w:r w:rsidR="005F615E" w:rsidRPr="00CA43D7">
        <w:rPr>
          <w:rFonts w:ascii="Arial" w:hAnsi="Arial" w:cs="Arial"/>
          <w:sz w:val="22"/>
          <w:szCs w:val="22"/>
          <w:shd w:val="clear" w:color="auto" w:fill="FFFFFF"/>
        </w:rPr>
        <w:t>Sulistyo (2022) agrees with Umami that f</w:t>
      </w:r>
      <w:r w:rsidR="00712682" w:rsidRPr="00CA43D7">
        <w:rPr>
          <w:rFonts w:ascii="Arial" w:hAnsi="Arial" w:cs="Arial"/>
          <w:sz w:val="22"/>
          <w:szCs w:val="22"/>
          <w:shd w:val="clear" w:color="auto" w:fill="FFFFFF"/>
        </w:rPr>
        <w:t>ocus group discussion technique facilitates students to explore topics and develop critical thinking skills</w:t>
      </w:r>
      <w:r w:rsidR="00F76637" w:rsidRPr="00CA43D7">
        <w:rPr>
          <w:rFonts w:ascii="Arial" w:hAnsi="Arial" w:cs="Arial"/>
          <w:sz w:val="22"/>
          <w:szCs w:val="22"/>
          <w:shd w:val="clear" w:color="auto" w:fill="FFFFFF"/>
        </w:rPr>
        <w:t>.</w:t>
      </w:r>
      <w:r w:rsidR="00750D50" w:rsidRPr="00CA43D7">
        <w:rPr>
          <w:rFonts w:ascii="Arial" w:hAnsi="Arial" w:cs="Arial"/>
          <w:sz w:val="22"/>
          <w:szCs w:val="22"/>
          <w:shd w:val="clear" w:color="auto" w:fill="FFFFFF"/>
        </w:rPr>
        <w:t>  Overall, focus groups offer a valuable methodological approach for exploring educational experiences and social dynamics within classroom settings.</w:t>
      </w:r>
    </w:p>
    <w:p w14:paraId="34805616" w14:textId="1C53BA01" w:rsidR="00051900" w:rsidRPr="00CA43D7" w:rsidRDefault="00F35D1B"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t xml:space="preserve">The scholarly literature offers valuable insights on the implementation of the Leuven method within </w:t>
      </w:r>
      <w:r w:rsidR="0002165B" w:rsidRPr="00CA43D7">
        <w:rPr>
          <w:rFonts w:ascii="Arial" w:hAnsi="Arial" w:cs="Arial"/>
          <w:sz w:val="22"/>
          <w:szCs w:val="22"/>
        </w:rPr>
        <w:t>classroom</w:t>
      </w:r>
      <w:r w:rsidRPr="00CA43D7">
        <w:rPr>
          <w:rFonts w:ascii="Arial" w:hAnsi="Arial" w:cs="Arial"/>
          <w:sz w:val="22"/>
          <w:szCs w:val="22"/>
        </w:rPr>
        <w:t xml:space="preserve"> settings. </w:t>
      </w:r>
    </w:p>
    <w:p w14:paraId="21F6AB62" w14:textId="49E6E582" w:rsidR="001938A0" w:rsidRPr="00CA43D7" w:rsidRDefault="0002165B"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t>LEUVEN METHOD</w:t>
      </w:r>
    </w:p>
    <w:p w14:paraId="21F2AE0C" w14:textId="20DC743C" w:rsidR="00937039" w:rsidRPr="00CA43D7" w:rsidRDefault="003C7F91" w:rsidP="001A211D">
      <w:pPr>
        <w:spacing w:before="100" w:beforeAutospacing="1" w:after="100" w:afterAutospacing="1" w:line="360" w:lineRule="auto"/>
        <w:ind w:firstLine="720"/>
        <w:jc w:val="both"/>
        <w:rPr>
          <w:rFonts w:ascii="Arial" w:hAnsi="Arial" w:cs="Arial"/>
          <w:sz w:val="22"/>
          <w:szCs w:val="22"/>
        </w:rPr>
      </w:pPr>
      <w:r w:rsidRPr="00CA43D7">
        <w:rPr>
          <w:rFonts w:ascii="Arial" w:hAnsi="Arial" w:cs="Arial"/>
          <w:sz w:val="22"/>
          <w:szCs w:val="22"/>
          <w:shd w:val="clear" w:color="auto" w:fill="FFFFFF"/>
        </w:rPr>
        <w:t>The Leuven method has shown effectiveness in enhancing primary school engagement (MacRace and Jones, 2020).</w:t>
      </w:r>
      <w:r w:rsidR="00B82F54" w:rsidRPr="00CA43D7">
        <w:rPr>
          <w:rFonts w:ascii="Arial" w:hAnsi="Arial" w:cs="Arial"/>
          <w:sz w:val="22"/>
          <w:szCs w:val="22"/>
        </w:rPr>
        <w:t xml:space="preserve"> </w:t>
      </w:r>
      <w:r w:rsidR="00B30770" w:rsidRPr="00CA43D7">
        <w:rPr>
          <w:rFonts w:ascii="Arial" w:hAnsi="Arial" w:cs="Arial"/>
          <w:sz w:val="22"/>
          <w:szCs w:val="22"/>
          <w:shd w:val="clear" w:color="auto" w:fill="FFFFFF"/>
        </w:rPr>
        <w:t xml:space="preserve">Research emphasizes the importance of aligning </w:t>
      </w:r>
      <w:r w:rsidRPr="00CA43D7">
        <w:rPr>
          <w:rFonts w:ascii="Arial" w:hAnsi="Arial" w:cs="Arial"/>
          <w:sz w:val="22"/>
          <w:szCs w:val="22"/>
          <w:shd w:val="clear" w:color="auto" w:fill="FFFFFF"/>
        </w:rPr>
        <w:t>Leuven method</w:t>
      </w:r>
      <w:r w:rsidR="00B30770" w:rsidRPr="00CA43D7">
        <w:rPr>
          <w:rFonts w:ascii="Arial" w:hAnsi="Arial" w:cs="Arial"/>
          <w:sz w:val="22"/>
          <w:szCs w:val="22"/>
          <w:shd w:val="clear" w:color="auto" w:fill="FFFFFF"/>
        </w:rPr>
        <w:t xml:space="preserve"> with curriculum goals to enhance cognitive skills and academic achievement</w:t>
      </w:r>
      <w:r w:rsidR="00262FB8" w:rsidRPr="00CA43D7">
        <w:rPr>
          <w:rFonts w:ascii="Arial" w:hAnsi="Arial" w:cs="Arial"/>
          <w:sz w:val="22"/>
          <w:szCs w:val="22"/>
          <w:shd w:val="clear" w:color="auto" w:fill="FFFFFF"/>
        </w:rPr>
        <w:t xml:space="preserve"> </w:t>
      </w:r>
      <w:r w:rsidR="00B82F54" w:rsidRPr="00CA43D7">
        <w:rPr>
          <w:rFonts w:ascii="Arial" w:hAnsi="Arial" w:cs="Arial"/>
          <w:sz w:val="22"/>
          <w:szCs w:val="22"/>
          <w:shd w:val="clear" w:color="auto" w:fill="FFFFFF"/>
        </w:rPr>
        <w:t>Laevers (</w:t>
      </w:r>
      <w:r w:rsidR="00262FB8" w:rsidRPr="00CA43D7">
        <w:rPr>
          <w:rFonts w:ascii="Arial" w:hAnsi="Arial" w:cs="Arial"/>
          <w:sz w:val="22"/>
          <w:szCs w:val="22"/>
          <w:shd w:val="clear" w:color="auto" w:fill="FFFFFF"/>
        </w:rPr>
        <w:t>2008</w:t>
      </w:r>
      <w:r w:rsidR="00BB6E67" w:rsidRPr="00CA43D7">
        <w:rPr>
          <w:rFonts w:ascii="Arial" w:hAnsi="Arial" w:cs="Arial"/>
          <w:sz w:val="22"/>
          <w:szCs w:val="22"/>
          <w:shd w:val="clear" w:color="auto" w:fill="FFFFFF"/>
        </w:rPr>
        <w:t>)</w:t>
      </w:r>
      <w:r w:rsidR="00B30770" w:rsidRPr="00CA43D7">
        <w:rPr>
          <w:rFonts w:ascii="Arial" w:hAnsi="Arial" w:cs="Arial"/>
          <w:sz w:val="22"/>
          <w:szCs w:val="22"/>
          <w:shd w:val="clear" w:color="auto" w:fill="FFFFFF"/>
        </w:rPr>
        <w:t>. Additionally, creating deep learning experiences is crucial for students to adapt to dynamic educational environments and develop critical skills </w:t>
      </w:r>
      <w:r w:rsidR="00BB6E67" w:rsidRPr="00CA43D7">
        <w:rPr>
          <w:rFonts w:ascii="Arial" w:hAnsi="Arial" w:cs="Arial"/>
          <w:sz w:val="22"/>
          <w:szCs w:val="22"/>
          <w:bdr w:val="single" w:sz="2" w:space="0" w:color="E4E6E8" w:frame="1"/>
          <w:shd w:val="clear" w:color="auto" w:fill="FFFFFF"/>
          <w:vertAlign w:val="superscript"/>
        </w:rPr>
        <w:t xml:space="preserve"> </w:t>
      </w:r>
      <w:r w:rsidR="00BB6E67" w:rsidRPr="00CA43D7">
        <w:rPr>
          <w:rFonts w:ascii="Arial" w:hAnsi="Arial" w:cs="Arial"/>
          <w:sz w:val="22"/>
          <w:szCs w:val="22"/>
          <w:shd w:val="clear" w:color="auto" w:fill="FFFFFF"/>
        </w:rPr>
        <w:t>(</w:t>
      </w:r>
      <w:r w:rsidR="00A4062D" w:rsidRPr="00CA43D7">
        <w:rPr>
          <w:rFonts w:ascii="Arial" w:hAnsi="Arial" w:cs="Arial"/>
          <w:sz w:val="22"/>
          <w:szCs w:val="22"/>
          <w:shd w:val="clear" w:color="auto" w:fill="FFFFFF"/>
        </w:rPr>
        <w:t>Thomas – Walter, 2023</w:t>
      </w:r>
      <w:r w:rsidR="00BB6E67" w:rsidRPr="00CA43D7">
        <w:rPr>
          <w:rFonts w:ascii="Arial" w:hAnsi="Arial" w:cs="Arial"/>
          <w:sz w:val="22"/>
          <w:szCs w:val="22"/>
          <w:shd w:val="clear" w:color="auto" w:fill="FFFFFF"/>
        </w:rPr>
        <w:t>)</w:t>
      </w:r>
      <w:r w:rsidR="00B30770" w:rsidRPr="00CA43D7">
        <w:rPr>
          <w:rFonts w:ascii="Arial" w:hAnsi="Arial" w:cs="Arial"/>
          <w:sz w:val="22"/>
          <w:szCs w:val="22"/>
          <w:shd w:val="clear" w:color="auto" w:fill="FFFFFF"/>
        </w:rPr>
        <w:t>. These findings collectively suggest that implementing the Leuven method can positively influence the academic performance of 6th-grade students by addressing misconceptions, improving learning outcomes, and fostering a deeper understanding of subjects.</w:t>
      </w:r>
      <w:r w:rsidR="001A211D" w:rsidRPr="00CA43D7">
        <w:rPr>
          <w:rFonts w:ascii="Arial" w:hAnsi="Arial" w:cs="Arial"/>
          <w:sz w:val="22"/>
          <w:szCs w:val="22"/>
        </w:rPr>
        <w:t xml:space="preserve"> </w:t>
      </w:r>
      <w:r w:rsidR="00B82F54" w:rsidRPr="00CA43D7">
        <w:rPr>
          <w:rFonts w:ascii="Arial" w:hAnsi="Arial" w:cs="Arial"/>
          <w:sz w:val="22"/>
          <w:szCs w:val="22"/>
          <w:shd w:val="clear" w:color="auto" w:fill="FFFFFF"/>
        </w:rPr>
        <w:t>Furthermore, r</w:t>
      </w:r>
      <w:r w:rsidR="00B30770" w:rsidRPr="00CA43D7">
        <w:rPr>
          <w:rFonts w:ascii="Arial" w:hAnsi="Arial" w:cs="Arial"/>
          <w:sz w:val="22"/>
          <w:szCs w:val="22"/>
          <w:shd w:val="clear" w:color="auto" w:fill="FFFFFF"/>
        </w:rPr>
        <w:t>esearch indicates that implementing the Leuven method leads to improved classroom climates</w:t>
      </w:r>
      <w:r w:rsidR="002366F4" w:rsidRPr="00CA43D7">
        <w:rPr>
          <w:rFonts w:ascii="Arial" w:hAnsi="Arial" w:cs="Arial"/>
          <w:sz w:val="22"/>
          <w:szCs w:val="22"/>
          <w:shd w:val="clear" w:color="auto" w:fill="FFFFFF"/>
        </w:rPr>
        <w:t xml:space="preserve"> </w:t>
      </w:r>
      <w:r w:rsidR="00585946" w:rsidRPr="00CA43D7">
        <w:rPr>
          <w:rFonts w:ascii="Arial" w:hAnsi="Arial" w:cs="Arial"/>
          <w:sz w:val="22"/>
          <w:szCs w:val="22"/>
          <w:shd w:val="clear" w:color="auto" w:fill="FFFFFF"/>
        </w:rPr>
        <w:t>(Thomas – Walter, 2023)</w:t>
      </w:r>
      <w:r w:rsidR="00B30770" w:rsidRPr="00CA43D7">
        <w:rPr>
          <w:rFonts w:ascii="Arial" w:hAnsi="Arial" w:cs="Arial"/>
          <w:sz w:val="22"/>
          <w:szCs w:val="22"/>
          <w:shd w:val="clear" w:color="auto" w:fill="FFFFFF"/>
        </w:rPr>
        <w:t>. This method emphasizes the importance of teacher-</w:t>
      </w:r>
      <w:r w:rsidR="00B30770" w:rsidRPr="00CA43D7">
        <w:rPr>
          <w:rFonts w:ascii="Arial" w:hAnsi="Arial" w:cs="Arial"/>
          <w:sz w:val="22"/>
          <w:szCs w:val="22"/>
          <w:shd w:val="clear" w:color="auto" w:fill="FFFFFF"/>
        </w:rPr>
        <w:lastRenderedPageBreak/>
        <w:t>student interactions characterized by warmth, empathy, and supportive feedback, which in turn enhances students' motivation and willingness to engage in learning activities</w:t>
      </w:r>
      <w:r w:rsidR="00585946" w:rsidRPr="00CA43D7">
        <w:rPr>
          <w:rFonts w:ascii="Arial" w:hAnsi="Arial" w:cs="Arial"/>
          <w:sz w:val="22"/>
          <w:szCs w:val="22"/>
          <w:shd w:val="clear" w:color="auto" w:fill="FFFFFF"/>
        </w:rPr>
        <w:t xml:space="preserve"> (</w:t>
      </w:r>
      <w:r w:rsidR="004276C2" w:rsidRPr="00CA43D7">
        <w:rPr>
          <w:rFonts w:ascii="Arial" w:hAnsi="Arial" w:cs="Arial"/>
          <w:sz w:val="22"/>
          <w:szCs w:val="22"/>
          <w:shd w:val="clear" w:color="auto" w:fill="F7F7F7"/>
        </w:rPr>
        <w:t xml:space="preserve">Katrin, 2018; </w:t>
      </w:r>
      <w:r w:rsidR="00D57DED" w:rsidRPr="00CA43D7">
        <w:rPr>
          <w:rFonts w:ascii="Arial" w:hAnsi="Arial" w:cs="Arial"/>
          <w:sz w:val="22"/>
          <w:szCs w:val="22"/>
          <w:shd w:val="clear" w:color="auto" w:fill="FFFFFF"/>
        </w:rPr>
        <w:t>Mac Rae and jones, 2020</w:t>
      </w:r>
      <w:r w:rsidR="00585946" w:rsidRPr="00CA43D7">
        <w:rPr>
          <w:rFonts w:ascii="Arial" w:hAnsi="Arial" w:cs="Arial"/>
          <w:sz w:val="22"/>
          <w:szCs w:val="22"/>
          <w:shd w:val="clear" w:color="auto" w:fill="FFFFFF"/>
        </w:rPr>
        <w:t>)</w:t>
      </w:r>
      <w:r w:rsidR="00B30770" w:rsidRPr="00CA43D7">
        <w:rPr>
          <w:rFonts w:ascii="Arial" w:hAnsi="Arial" w:cs="Arial"/>
          <w:sz w:val="22"/>
          <w:szCs w:val="22"/>
          <w:shd w:val="clear" w:color="auto" w:fill="FFFFFF"/>
        </w:rPr>
        <w:t>.</w:t>
      </w:r>
      <w:r w:rsidR="00D57DED" w:rsidRPr="00CA43D7">
        <w:rPr>
          <w:rFonts w:ascii="Arial" w:hAnsi="Arial" w:cs="Arial"/>
          <w:sz w:val="22"/>
          <w:szCs w:val="22"/>
        </w:rPr>
        <w:t xml:space="preserve"> </w:t>
      </w:r>
      <w:r w:rsidR="00FE1E10" w:rsidRPr="00CA43D7">
        <w:rPr>
          <w:rFonts w:ascii="Arial" w:hAnsi="Arial" w:cs="Arial"/>
          <w:sz w:val="22"/>
          <w:szCs w:val="22"/>
          <w:shd w:val="clear" w:color="auto" w:fill="FFFFFF"/>
        </w:rPr>
        <w:t xml:space="preserve">In her study, Thomas-Walters (2023) delved into the exploration of children's creativity and imagination within both 'real world' and 'fantasy' play contexts in </w:t>
      </w:r>
      <w:r w:rsidR="00393798" w:rsidRPr="00CA43D7">
        <w:rPr>
          <w:rFonts w:ascii="Arial" w:hAnsi="Arial" w:cs="Arial"/>
          <w:sz w:val="22"/>
          <w:szCs w:val="22"/>
          <w:shd w:val="clear" w:color="auto" w:fill="FFFFFF"/>
        </w:rPr>
        <w:t xml:space="preserve">primary school </w:t>
      </w:r>
      <w:r w:rsidR="00FE1E10" w:rsidRPr="00CA43D7">
        <w:rPr>
          <w:rFonts w:ascii="Arial" w:hAnsi="Arial" w:cs="Arial"/>
          <w:sz w:val="22"/>
          <w:szCs w:val="22"/>
          <w:shd w:val="clear" w:color="auto" w:fill="FFFFFF"/>
        </w:rPr>
        <w:t>settings.</w:t>
      </w:r>
      <w:r w:rsidR="00143C47" w:rsidRPr="00CA43D7">
        <w:rPr>
          <w:rFonts w:ascii="Arial" w:hAnsi="Arial" w:cs="Arial"/>
          <w:sz w:val="22"/>
          <w:szCs w:val="22"/>
          <w:shd w:val="clear" w:color="auto" w:fill="FFFFFF"/>
        </w:rPr>
        <w:t xml:space="preserve"> </w:t>
      </w:r>
    </w:p>
    <w:p w14:paraId="54023E53" w14:textId="20BAB892" w:rsidR="004B0B26" w:rsidRPr="00CA43D7" w:rsidRDefault="00EA0EDC" w:rsidP="001A211D">
      <w:pPr>
        <w:spacing w:before="100" w:beforeAutospacing="1" w:after="100" w:afterAutospacing="1" w:line="360" w:lineRule="auto"/>
        <w:ind w:firstLine="720"/>
        <w:jc w:val="both"/>
        <w:rPr>
          <w:rFonts w:ascii="Arial" w:hAnsi="Arial" w:cs="Arial"/>
          <w:sz w:val="22"/>
          <w:szCs w:val="22"/>
          <w:shd w:val="clear" w:color="auto" w:fill="FFFFFF"/>
        </w:rPr>
      </w:pPr>
      <w:r w:rsidRPr="00CA43D7">
        <w:rPr>
          <w:rFonts w:ascii="Arial" w:hAnsi="Arial" w:cs="Arial"/>
          <w:sz w:val="22"/>
          <w:szCs w:val="22"/>
          <w:shd w:val="clear" w:color="auto" w:fill="FFFFFF"/>
        </w:rPr>
        <w:t>However, the method encounters certain challenges</w:t>
      </w:r>
      <w:r w:rsidR="00FF6EE0" w:rsidRPr="00CA43D7">
        <w:rPr>
          <w:rFonts w:ascii="Arial" w:hAnsi="Arial" w:cs="Arial"/>
          <w:sz w:val="22"/>
          <w:szCs w:val="22"/>
          <w:shd w:val="clear" w:color="auto" w:fill="FFFFFF"/>
        </w:rPr>
        <w:t>. One significant obstacle lies in the complexity of assessing student progress and understanding within the framework of the Leuven method (</w:t>
      </w:r>
      <w:r w:rsidR="00C35E31" w:rsidRPr="00CA43D7">
        <w:rPr>
          <w:rFonts w:ascii="Arial" w:hAnsi="Arial" w:cs="Arial"/>
          <w:sz w:val="22"/>
          <w:szCs w:val="22"/>
        </w:rPr>
        <w:t>Storli</w:t>
      </w:r>
      <w:r w:rsidR="009C7095" w:rsidRPr="00CA43D7">
        <w:rPr>
          <w:rFonts w:ascii="Arial" w:hAnsi="Arial" w:cs="Arial"/>
          <w:sz w:val="22"/>
          <w:szCs w:val="22"/>
        </w:rPr>
        <w:t xml:space="preserve"> and</w:t>
      </w:r>
      <w:r w:rsidR="00C35E31" w:rsidRPr="00CA43D7">
        <w:rPr>
          <w:rFonts w:ascii="Arial" w:hAnsi="Arial" w:cs="Arial"/>
          <w:sz w:val="22"/>
          <w:szCs w:val="22"/>
        </w:rPr>
        <w:t xml:space="preserve"> Sandseter, 2019</w:t>
      </w:r>
      <w:r w:rsidR="00FF6EE0" w:rsidRPr="00CA43D7">
        <w:rPr>
          <w:rFonts w:ascii="Arial" w:hAnsi="Arial" w:cs="Arial"/>
          <w:sz w:val="22"/>
          <w:szCs w:val="22"/>
          <w:shd w:val="clear" w:color="auto" w:fill="FFFFFF"/>
        </w:rPr>
        <w:t xml:space="preserve">). </w:t>
      </w:r>
      <w:r w:rsidR="008D1148" w:rsidRPr="00CA43D7">
        <w:rPr>
          <w:rFonts w:ascii="Arial" w:hAnsi="Arial" w:cs="Arial"/>
          <w:sz w:val="22"/>
          <w:szCs w:val="22"/>
          <w:shd w:val="clear" w:color="auto" w:fill="FFFFFF"/>
        </w:rPr>
        <w:t xml:space="preserve">Moreover, according to Thomas – Walter (2023) there are other limitations of using Leuven method like significant time, resources, and professional development for teachers and school staff. </w:t>
      </w:r>
      <w:r w:rsidR="004A3CBA" w:rsidRPr="00CA43D7">
        <w:rPr>
          <w:rFonts w:ascii="Arial" w:hAnsi="Arial" w:cs="Arial"/>
          <w:sz w:val="22"/>
          <w:szCs w:val="22"/>
          <w:shd w:val="clear" w:color="auto" w:fill="FFFFFF"/>
        </w:rPr>
        <w:t xml:space="preserve"> </w:t>
      </w:r>
      <w:r w:rsidR="002D7B5E" w:rsidRPr="00CA43D7">
        <w:rPr>
          <w:rFonts w:ascii="Arial" w:hAnsi="Arial" w:cs="Arial"/>
          <w:sz w:val="22"/>
          <w:szCs w:val="22"/>
          <w:shd w:val="clear" w:color="auto" w:fill="FFFFFF"/>
        </w:rPr>
        <w:t>Notwithstanding these limitations, the Leuven method continues to be a disciplined framework that aims to improve learning outcomes and successfully meet the needs of students in the context of primary school.</w:t>
      </w:r>
    </w:p>
    <w:p w14:paraId="5E08B3E2" w14:textId="00568714" w:rsidR="00336D38" w:rsidRPr="00CA43D7" w:rsidRDefault="00336D38" w:rsidP="002367A8">
      <w:pPr>
        <w:spacing w:before="100" w:beforeAutospacing="1" w:after="100" w:afterAutospacing="1" w:line="360" w:lineRule="auto"/>
        <w:jc w:val="both"/>
        <w:rPr>
          <w:rFonts w:ascii="Arial" w:hAnsi="Arial" w:cs="Arial"/>
        </w:rPr>
      </w:pPr>
      <w:r w:rsidRPr="00CA43D7">
        <w:rPr>
          <w:rFonts w:ascii="Arial" w:hAnsi="Arial" w:cs="Arial"/>
          <w:shd w:val="clear" w:color="auto" w:fill="FFFFFF"/>
        </w:rPr>
        <w:t>T</w:t>
      </w:r>
      <w:r w:rsidR="00F11BB6" w:rsidRPr="00CA43D7">
        <w:rPr>
          <w:rFonts w:ascii="Arial" w:hAnsi="Arial" w:cs="Arial"/>
          <w:shd w:val="clear" w:color="auto" w:fill="FFFFFF"/>
        </w:rPr>
        <w:t>he</w:t>
      </w:r>
      <w:r w:rsidR="00A63492">
        <w:rPr>
          <w:rFonts w:ascii="Arial" w:hAnsi="Arial" w:cs="Arial"/>
          <w:shd w:val="clear" w:color="auto" w:fill="FFFFFF"/>
        </w:rPr>
        <w:t xml:space="preserve"> current</w:t>
      </w:r>
      <w:r w:rsidR="00F11BB6" w:rsidRPr="00CA43D7">
        <w:rPr>
          <w:rFonts w:ascii="Arial" w:hAnsi="Arial" w:cs="Arial"/>
          <w:shd w:val="clear" w:color="auto" w:fill="FFFFFF"/>
        </w:rPr>
        <w:t xml:space="preserve"> case </w:t>
      </w:r>
      <w:r w:rsidR="00CA43D7" w:rsidRPr="00CA43D7">
        <w:rPr>
          <w:rFonts w:ascii="Arial" w:hAnsi="Arial" w:cs="Arial"/>
          <w:shd w:val="clear" w:color="auto" w:fill="FFFFFF"/>
        </w:rPr>
        <w:t>study.</w:t>
      </w:r>
    </w:p>
    <w:p w14:paraId="12A672F6" w14:textId="65005069" w:rsidR="004B0B26" w:rsidRPr="00CA43D7" w:rsidRDefault="004B0B26" w:rsidP="001A211D">
      <w:pPr>
        <w:spacing w:before="100" w:beforeAutospacing="1" w:after="100" w:afterAutospacing="1" w:line="360" w:lineRule="auto"/>
        <w:jc w:val="both"/>
        <w:rPr>
          <w:rFonts w:ascii="Arial" w:eastAsia="Times New Roman" w:hAnsi="Arial" w:cs="Arial"/>
          <w:kern w:val="0"/>
          <w:sz w:val="22"/>
          <w:szCs w:val="22"/>
          <w14:ligatures w14:val="none"/>
        </w:rPr>
      </w:pPr>
      <w:r w:rsidRPr="00CA43D7">
        <w:rPr>
          <w:rFonts w:ascii="Arial" w:eastAsia="Times New Roman" w:hAnsi="Arial" w:cs="Arial"/>
          <w:kern w:val="0"/>
          <w:sz w:val="22"/>
          <w:szCs w:val="22"/>
          <w14:ligatures w14:val="none"/>
        </w:rPr>
        <w:t xml:space="preserve">This study </w:t>
      </w:r>
      <w:r w:rsidR="002367A8" w:rsidRPr="00CA43D7">
        <w:rPr>
          <w:rFonts w:ascii="Arial" w:eastAsia="Times New Roman" w:hAnsi="Arial" w:cs="Arial"/>
          <w:kern w:val="0"/>
          <w:sz w:val="22"/>
          <w:szCs w:val="22"/>
          <w14:ligatures w14:val="none"/>
        </w:rPr>
        <w:t>took</w:t>
      </w:r>
      <w:r w:rsidRPr="00CA43D7">
        <w:rPr>
          <w:rFonts w:ascii="Arial" w:eastAsia="Times New Roman" w:hAnsi="Arial" w:cs="Arial"/>
          <w:kern w:val="0"/>
          <w:sz w:val="22"/>
          <w:szCs w:val="22"/>
          <w14:ligatures w14:val="none"/>
        </w:rPr>
        <w:t xml:space="preserve"> a qualitative approach, reflecting on the efficacy of incorporating real-world experiences into mathematics instruction for English Language Learners using focus groups and observations</w:t>
      </w:r>
      <w:r w:rsidR="006B61A3" w:rsidRPr="00CA43D7">
        <w:rPr>
          <w:rFonts w:ascii="Arial" w:eastAsia="Times New Roman" w:hAnsi="Arial" w:cs="Arial"/>
          <w:kern w:val="0"/>
          <w:sz w:val="22"/>
          <w:szCs w:val="22"/>
          <w14:ligatures w14:val="none"/>
        </w:rPr>
        <w:t xml:space="preserve"> (Appendix 2 and Appendix 3, </w:t>
      </w:r>
      <w:r w:rsidR="00197AFF">
        <w:rPr>
          <w:rFonts w:ascii="Arial" w:eastAsia="Times New Roman" w:hAnsi="Arial" w:cs="Arial"/>
          <w:kern w:val="0"/>
          <w:sz w:val="22"/>
          <w:szCs w:val="22"/>
          <w14:ligatures w14:val="none"/>
        </w:rPr>
        <w:t xml:space="preserve">Appendix </w:t>
      </w:r>
      <w:r w:rsidR="006B61A3" w:rsidRPr="00CA43D7">
        <w:rPr>
          <w:rFonts w:ascii="Arial" w:eastAsia="Times New Roman" w:hAnsi="Arial" w:cs="Arial"/>
          <w:kern w:val="0"/>
          <w:sz w:val="22"/>
          <w:szCs w:val="22"/>
          <w14:ligatures w14:val="none"/>
        </w:rPr>
        <w:t>4)</w:t>
      </w:r>
      <w:r w:rsidRPr="00CA43D7">
        <w:rPr>
          <w:rFonts w:ascii="Arial" w:eastAsia="Times New Roman" w:hAnsi="Arial" w:cs="Arial"/>
          <w:kern w:val="0"/>
          <w:sz w:val="22"/>
          <w:szCs w:val="22"/>
          <w14:ligatures w14:val="none"/>
        </w:rPr>
        <w:t>. Th</w:t>
      </w:r>
      <w:r w:rsidR="002367A8" w:rsidRPr="00CA43D7">
        <w:rPr>
          <w:rFonts w:ascii="Arial" w:eastAsia="Times New Roman" w:hAnsi="Arial" w:cs="Arial"/>
          <w:kern w:val="0"/>
          <w:sz w:val="22"/>
          <w:szCs w:val="22"/>
          <w14:ligatures w14:val="none"/>
        </w:rPr>
        <w:t>e case</w:t>
      </w:r>
      <w:r w:rsidRPr="00CA43D7">
        <w:rPr>
          <w:rFonts w:ascii="Arial" w:eastAsia="Times New Roman" w:hAnsi="Arial" w:cs="Arial"/>
          <w:kern w:val="0"/>
          <w:sz w:val="22"/>
          <w:szCs w:val="22"/>
          <w14:ligatures w14:val="none"/>
        </w:rPr>
        <w:t xml:space="preserve"> study suggest</w:t>
      </w:r>
      <w:r w:rsidR="002367A8" w:rsidRPr="00CA43D7">
        <w:rPr>
          <w:rFonts w:ascii="Arial" w:eastAsia="Times New Roman" w:hAnsi="Arial" w:cs="Arial"/>
          <w:kern w:val="0"/>
          <w:sz w:val="22"/>
          <w:szCs w:val="22"/>
          <w14:ligatures w14:val="none"/>
        </w:rPr>
        <w:t>ed</w:t>
      </w:r>
      <w:r w:rsidRPr="00CA43D7">
        <w:rPr>
          <w:rFonts w:ascii="Arial" w:eastAsia="Times New Roman" w:hAnsi="Arial" w:cs="Arial"/>
          <w:kern w:val="0"/>
          <w:sz w:val="22"/>
          <w:szCs w:val="22"/>
          <w14:ligatures w14:val="none"/>
        </w:rPr>
        <w:t xml:space="preserve"> addressing this by including real-world contexts, like making Beast cookies and making shopping lists with decimals that correspond with the class's topic, "Beast Creator." The main areas of focus for observations </w:t>
      </w:r>
      <w:r w:rsidR="002367A8" w:rsidRPr="00CA43D7">
        <w:rPr>
          <w:rFonts w:ascii="Arial" w:eastAsia="Times New Roman" w:hAnsi="Arial" w:cs="Arial"/>
          <w:kern w:val="0"/>
          <w:sz w:val="22"/>
          <w:szCs w:val="22"/>
          <w14:ligatures w14:val="none"/>
        </w:rPr>
        <w:t>were</w:t>
      </w:r>
      <w:r w:rsidRPr="00CA43D7">
        <w:rPr>
          <w:rFonts w:ascii="Arial" w:eastAsia="Times New Roman" w:hAnsi="Arial" w:cs="Arial"/>
          <w:kern w:val="0"/>
          <w:sz w:val="22"/>
          <w:szCs w:val="22"/>
          <w14:ligatures w14:val="none"/>
        </w:rPr>
        <w:t xml:space="preserve"> student participation, understanding, and application of mathematical ideas in real-world contexts.</w:t>
      </w:r>
      <w:r w:rsidR="006B61A3" w:rsidRPr="00CA43D7">
        <w:rPr>
          <w:rFonts w:ascii="Arial" w:eastAsia="Times New Roman" w:hAnsi="Arial" w:cs="Arial"/>
          <w:kern w:val="0"/>
          <w:sz w:val="22"/>
          <w:szCs w:val="22"/>
          <w14:ligatures w14:val="none"/>
        </w:rPr>
        <w:t xml:space="preserve"> </w:t>
      </w:r>
      <w:r w:rsidRPr="00CA43D7">
        <w:rPr>
          <w:rFonts w:ascii="Arial" w:hAnsi="Arial" w:cs="Arial"/>
          <w:sz w:val="22"/>
          <w:szCs w:val="22"/>
        </w:rPr>
        <w:t>Introduction to Decimals: Beg</w:t>
      </w:r>
      <w:r w:rsidR="002367A8" w:rsidRPr="00CA43D7">
        <w:rPr>
          <w:rFonts w:ascii="Arial" w:hAnsi="Arial" w:cs="Arial"/>
          <w:sz w:val="22"/>
          <w:szCs w:val="22"/>
        </w:rPr>
        <w:t>an</w:t>
      </w:r>
      <w:r w:rsidRPr="00CA43D7">
        <w:rPr>
          <w:rFonts w:ascii="Arial" w:hAnsi="Arial" w:cs="Arial"/>
          <w:sz w:val="22"/>
          <w:szCs w:val="22"/>
        </w:rPr>
        <w:t xml:space="preserve"> by revisiting the concept of decimals with the students. Provide</w:t>
      </w:r>
      <w:r w:rsidR="002367A8" w:rsidRPr="00CA43D7">
        <w:rPr>
          <w:rFonts w:ascii="Arial" w:hAnsi="Arial" w:cs="Arial"/>
          <w:sz w:val="22"/>
          <w:szCs w:val="22"/>
        </w:rPr>
        <w:t>d</w:t>
      </w:r>
      <w:r w:rsidRPr="00CA43D7">
        <w:rPr>
          <w:rFonts w:ascii="Arial" w:hAnsi="Arial" w:cs="Arial"/>
          <w:sz w:val="22"/>
          <w:szCs w:val="22"/>
        </w:rPr>
        <w:t xml:space="preserve"> a brief overview of what decimals </w:t>
      </w:r>
      <w:r w:rsidR="002367A8" w:rsidRPr="00CA43D7">
        <w:rPr>
          <w:rFonts w:ascii="Arial" w:hAnsi="Arial" w:cs="Arial"/>
          <w:sz w:val="22"/>
          <w:szCs w:val="22"/>
        </w:rPr>
        <w:t>were</w:t>
      </w:r>
      <w:r w:rsidRPr="00CA43D7">
        <w:rPr>
          <w:rFonts w:ascii="Arial" w:hAnsi="Arial" w:cs="Arial"/>
          <w:sz w:val="22"/>
          <w:szCs w:val="22"/>
        </w:rPr>
        <w:t xml:space="preserve"> and how they </w:t>
      </w:r>
      <w:r w:rsidR="002367A8" w:rsidRPr="00CA43D7">
        <w:rPr>
          <w:rFonts w:ascii="Arial" w:hAnsi="Arial" w:cs="Arial"/>
          <w:sz w:val="22"/>
          <w:szCs w:val="22"/>
        </w:rPr>
        <w:t>were</w:t>
      </w:r>
      <w:r w:rsidRPr="00CA43D7">
        <w:rPr>
          <w:rFonts w:ascii="Arial" w:hAnsi="Arial" w:cs="Arial"/>
          <w:sz w:val="22"/>
          <w:szCs w:val="22"/>
        </w:rPr>
        <w:t xml:space="preserve"> used in everyday life, such as in measurements and money (Appendix 4- Lesson plan).</w:t>
      </w:r>
      <w:r w:rsidR="001A211D" w:rsidRPr="00CA43D7">
        <w:rPr>
          <w:rFonts w:ascii="Arial" w:eastAsia="Times New Roman" w:hAnsi="Arial" w:cs="Arial"/>
          <w:kern w:val="0"/>
          <w:sz w:val="22"/>
          <w:szCs w:val="22"/>
          <w14:ligatures w14:val="none"/>
        </w:rPr>
        <w:t xml:space="preserve"> </w:t>
      </w:r>
      <w:r w:rsidRPr="00CA43D7">
        <w:rPr>
          <w:rFonts w:ascii="Arial" w:hAnsi="Arial" w:cs="Arial"/>
          <w:sz w:val="22"/>
          <w:szCs w:val="22"/>
        </w:rPr>
        <w:t>Review</w:t>
      </w:r>
      <w:r w:rsidR="002367A8" w:rsidRPr="00CA43D7">
        <w:rPr>
          <w:rFonts w:ascii="Arial" w:hAnsi="Arial" w:cs="Arial"/>
          <w:sz w:val="22"/>
          <w:szCs w:val="22"/>
        </w:rPr>
        <w:t>ed</w:t>
      </w:r>
      <w:r w:rsidRPr="00CA43D7">
        <w:rPr>
          <w:rFonts w:ascii="Arial" w:hAnsi="Arial" w:cs="Arial"/>
          <w:sz w:val="22"/>
          <w:szCs w:val="22"/>
        </w:rPr>
        <w:t xml:space="preserve"> the Cupcake Recipe: Present</w:t>
      </w:r>
      <w:r w:rsidR="002367A8" w:rsidRPr="00CA43D7">
        <w:rPr>
          <w:rFonts w:ascii="Arial" w:hAnsi="Arial" w:cs="Arial"/>
          <w:sz w:val="22"/>
          <w:szCs w:val="22"/>
        </w:rPr>
        <w:t>ed</w:t>
      </w:r>
      <w:r w:rsidRPr="00CA43D7">
        <w:rPr>
          <w:rFonts w:ascii="Arial" w:hAnsi="Arial" w:cs="Arial"/>
          <w:sz w:val="22"/>
          <w:szCs w:val="22"/>
        </w:rPr>
        <w:t xml:space="preserve"> the cupcake recipe to the students, emphasizing the importance of accurate measurements in baking. Highlight the measurements expressed as fractions (e.g., 1/2 cup of flour, 3/4 cup of sugar) (Appendix 3 – Focus group resources).</w:t>
      </w:r>
    </w:p>
    <w:p w14:paraId="6AF812B1" w14:textId="7FA35956" w:rsidR="004B0B26" w:rsidRPr="00CA43D7" w:rsidRDefault="004B0B26"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t>Conversion Practice: Guide</w:t>
      </w:r>
      <w:r w:rsidR="002367A8" w:rsidRPr="00CA43D7">
        <w:rPr>
          <w:rFonts w:ascii="Arial" w:hAnsi="Arial" w:cs="Arial"/>
          <w:sz w:val="22"/>
          <w:szCs w:val="22"/>
        </w:rPr>
        <w:t>d</w:t>
      </w:r>
      <w:r w:rsidRPr="00CA43D7">
        <w:rPr>
          <w:rFonts w:ascii="Arial" w:hAnsi="Arial" w:cs="Arial"/>
          <w:sz w:val="22"/>
          <w:szCs w:val="22"/>
        </w:rPr>
        <w:t xml:space="preserve"> the students through converting the fractional measurements in the recipe into decimals. Use</w:t>
      </w:r>
      <w:r w:rsidR="002367A8" w:rsidRPr="00CA43D7">
        <w:rPr>
          <w:rFonts w:ascii="Arial" w:hAnsi="Arial" w:cs="Arial"/>
          <w:sz w:val="22"/>
          <w:szCs w:val="22"/>
        </w:rPr>
        <w:t>d</w:t>
      </w:r>
      <w:r w:rsidRPr="00CA43D7">
        <w:rPr>
          <w:rFonts w:ascii="Arial" w:hAnsi="Arial" w:cs="Arial"/>
          <w:sz w:val="22"/>
          <w:szCs w:val="22"/>
        </w:rPr>
        <w:t xml:space="preserve"> examples and practice problems to demonstrate the conversion process (e.g., 1/2 cup becomes 0.5, 3/4 cup becomes 0.75).</w:t>
      </w:r>
      <w:r w:rsidR="001A211D" w:rsidRPr="00CA43D7">
        <w:rPr>
          <w:rFonts w:ascii="Arial" w:hAnsi="Arial" w:cs="Arial"/>
          <w:sz w:val="22"/>
          <w:szCs w:val="22"/>
        </w:rPr>
        <w:t xml:space="preserve"> </w:t>
      </w:r>
      <w:r w:rsidRPr="00CA43D7">
        <w:rPr>
          <w:rFonts w:ascii="Arial" w:hAnsi="Arial" w:cs="Arial"/>
          <w:sz w:val="22"/>
          <w:szCs w:val="22"/>
        </w:rPr>
        <w:t>Hands-on Baking: Divide</w:t>
      </w:r>
      <w:r w:rsidR="002367A8" w:rsidRPr="00CA43D7">
        <w:rPr>
          <w:rFonts w:ascii="Arial" w:hAnsi="Arial" w:cs="Arial"/>
          <w:sz w:val="22"/>
          <w:szCs w:val="22"/>
        </w:rPr>
        <w:t>d</w:t>
      </w:r>
      <w:r w:rsidRPr="00CA43D7">
        <w:rPr>
          <w:rFonts w:ascii="Arial" w:hAnsi="Arial" w:cs="Arial"/>
          <w:sz w:val="22"/>
          <w:szCs w:val="22"/>
        </w:rPr>
        <w:t xml:space="preserve"> the students into </w:t>
      </w:r>
      <w:r w:rsidR="002367A8" w:rsidRPr="00CA43D7">
        <w:rPr>
          <w:rFonts w:ascii="Arial" w:hAnsi="Arial" w:cs="Arial"/>
          <w:sz w:val="22"/>
          <w:szCs w:val="22"/>
        </w:rPr>
        <w:t xml:space="preserve">2 </w:t>
      </w:r>
      <w:r w:rsidRPr="00CA43D7">
        <w:rPr>
          <w:rFonts w:ascii="Arial" w:hAnsi="Arial" w:cs="Arial"/>
          <w:sz w:val="22"/>
          <w:szCs w:val="22"/>
        </w:rPr>
        <w:t>groups and provide</w:t>
      </w:r>
      <w:r w:rsidR="002367A8" w:rsidRPr="00CA43D7">
        <w:rPr>
          <w:rFonts w:ascii="Arial" w:hAnsi="Arial" w:cs="Arial"/>
          <w:sz w:val="22"/>
          <w:szCs w:val="22"/>
        </w:rPr>
        <w:t>d</w:t>
      </w:r>
      <w:r w:rsidRPr="00CA43D7">
        <w:rPr>
          <w:rFonts w:ascii="Arial" w:hAnsi="Arial" w:cs="Arial"/>
          <w:sz w:val="22"/>
          <w:szCs w:val="22"/>
        </w:rPr>
        <w:t xml:space="preserve"> each group with the necessary ingredients and tools. Instruct</w:t>
      </w:r>
      <w:r w:rsidR="002367A8" w:rsidRPr="00CA43D7">
        <w:rPr>
          <w:rFonts w:ascii="Arial" w:hAnsi="Arial" w:cs="Arial"/>
          <w:sz w:val="22"/>
          <w:szCs w:val="22"/>
        </w:rPr>
        <w:t>ed</w:t>
      </w:r>
      <w:r w:rsidRPr="00CA43D7">
        <w:rPr>
          <w:rFonts w:ascii="Arial" w:hAnsi="Arial" w:cs="Arial"/>
          <w:sz w:val="22"/>
          <w:szCs w:val="22"/>
        </w:rPr>
        <w:t xml:space="preserve"> them to follow the converted measurements to prepare the cupcake batter.</w:t>
      </w:r>
    </w:p>
    <w:p w14:paraId="59264D60" w14:textId="77777777" w:rsidR="00197AFF" w:rsidRDefault="004B0B26"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lastRenderedPageBreak/>
        <w:t xml:space="preserve">Baking and Observation: While the cupcakes </w:t>
      </w:r>
      <w:r w:rsidR="002367A8" w:rsidRPr="00CA43D7">
        <w:rPr>
          <w:rFonts w:ascii="Arial" w:hAnsi="Arial" w:cs="Arial"/>
          <w:sz w:val="22"/>
          <w:szCs w:val="22"/>
        </w:rPr>
        <w:t>were</w:t>
      </w:r>
      <w:r w:rsidRPr="00CA43D7">
        <w:rPr>
          <w:rFonts w:ascii="Arial" w:hAnsi="Arial" w:cs="Arial"/>
          <w:sz w:val="22"/>
          <w:szCs w:val="22"/>
        </w:rPr>
        <w:t xml:space="preserve"> baking in the oven, observe</w:t>
      </w:r>
      <w:r w:rsidR="002367A8" w:rsidRPr="00CA43D7">
        <w:rPr>
          <w:rFonts w:ascii="Arial" w:hAnsi="Arial" w:cs="Arial"/>
          <w:sz w:val="22"/>
          <w:szCs w:val="22"/>
        </w:rPr>
        <w:t>d</w:t>
      </w:r>
      <w:r w:rsidRPr="00CA43D7">
        <w:rPr>
          <w:rFonts w:ascii="Arial" w:hAnsi="Arial" w:cs="Arial"/>
          <w:sz w:val="22"/>
          <w:szCs w:val="22"/>
        </w:rPr>
        <w:t xml:space="preserve"> the students' engagement and understanding of decimals throughout the process. Encourage</w:t>
      </w:r>
      <w:r w:rsidR="00FF65DE" w:rsidRPr="00CA43D7">
        <w:rPr>
          <w:rFonts w:ascii="Arial" w:hAnsi="Arial" w:cs="Arial"/>
          <w:sz w:val="22"/>
          <w:szCs w:val="22"/>
        </w:rPr>
        <w:t>d</w:t>
      </w:r>
      <w:r w:rsidRPr="00CA43D7">
        <w:rPr>
          <w:rFonts w:ascii="Arial" w:hAnsi="Arial" w:cs="Arial"/>
          <w:sz w:val="22"/>
          <w:szCs w:val="22"/>
        </w:rPr>
        <w:t xml:space="preserve"> them to discuss their observations and experiences with decimals as they work (</w:t>
      </w:r>
    </w:p>
    <w:p w14:paraId="2D199DAC" w14:textId="6FC44F62" w:rsidR="0070526A" w:rsidRPr="00CA43D7" w:rsidRDefault="004B0B26" w:rsidP="001A211D">
      <w:pPr>
        <w:spacing w:before="100" w:beforeAutospacing="1" w:after="100" w:afterAutospacing="1" w:line="360" w:lineRule="auto"/>
        <w:jc w:val="both"/>
        <w:rPr>
          <w:rFonts w:ascii="Arial" w:hAnsi="Arial" w:cs="Arial"/>
          <w:sz w:val="22"/>
          <w:szCs w:val="22"/>
        </w:rPr>
      </w:pPr>
      <w:r w:rsidRPr="00CA43D7">
        <w:rPr>
          <w:rFonts w:ascii="Arial" w:hAnsi="Arial" w:cs="Arial"/>
          <w:sz w:val="22"/>
          <w:szCs w:val="22"/>
        </w:rPr>
        <w:t>2 – Leuven scale).</w:t>
      </w:r>
      <w:r w:rsidR="001A211D" w:rsidRPr="00CA43D7">
        <w:rPr>
          <w:rFonts w:ascii="Arial" w:hAnsi="Arial" w:cs="Arial"/>
          <w:sz w:val="22"/>
          <w:szCs w:val="22"/>
        </w:rPr>
        <w:t xml:space="preserve"> </w:t>
      </w:r>
      <w:r w:rsidR="006B61A3" w:rsidRPr="00CA43D7">
        <w:rPr>
          <w:rFonts w:ascii="Arial" w:hAnsi="Arial" w:cs="Arial"/>
          <w:sz w:val="22"/>
          <w:szCs w:val="22"/>
          <w:shd w:val="clear" w:color="auto" w:fill="FFFFFF"/>
        </w:rPr>
        <w:t xml:space="preserve">Utilizing a focus group </w:t>
      </w:r>
      <w:r w:rsidR="00CA43D7" w:rsidRPr="00CA43D7">
        <w:rPr>
          <w:rFonts w:ascii="Arial" w:hAnsi="Arial" w:cs="Arial"/>
          <w:sz w:val="22"/>
          <w:szCs w:val="22"/>
          <w:shd w:val="clear" w:color="auto" w:fill="FFFFFF"/>
        </w:rPr>
        <w:t>was</w:t>
      </w:r>
      <w:r w:rsidR="006B61A3" w:rsidRPr="00CA43D7">
        <w:rPr>
          <w:rFonts w:ascii="Arial" w:hAnsi="Arial" w:cs="Arial"/>
          <w:sz w:val="22"/>
          <w:szCs w:val="22"/>
          <w:shd w:val="clear" w:color="auto" w:fill="FFFFFF"/>
        </w:rPr>
        <w:t xml:space="preserve"> an efficient approach to conducting research. Participants were specifically selected to participate in the focus group due to their shared characteristics pertinent to the researcher's investigation, such as a particular lifestyle circumstance or condition.</w:t>
      </w:r>
    </w:p>
    <w:p w14:paraId="595456AA" w14:textId="3FE5B428" w:rsidR="007B4597" w:rsidRPr="00CA43D7" w:rsidRDefault="00A63492" w:rsidP="002276E7">
      <w:pPr>
        <w:spacing w:before="100" w:beforeAutospacing="1" w:after="100" w:afterAutospacing="1" w:line="360" w:lineRule="auto"/>
        <w:ind w:firstLine="720"/>
        <w:jc w:val="both"/>
        <w:rPr>
          <w:rFonts w:ascii="Arial" w:hAnsi="Arial" w:cs="Arial"/>
          <w:sz w:val="22"/>
          <w:szCs w:val="22"/>
          <w:shd w:val="clear" w:color="auto" w:fill="FFFFFF"/>
        </w:rPr>
      </w:pPr>
      <w:r w:rsidRPr="00A63492">
        <w:rPr>
          <w:rFonts w:ascii="Arial" w:hAnsi="Arial" w:cs="Arial"/>
          <w:sz w:val="22"/>
          <w:szCs w:val="22"/>
          <w:shd w:val="clear" w:color="auto" w:fill="FFFFFF"/>
        </w:rPr>
        <w:t>The group interview was designed to explore teachers' methods and experiences in applying real-life contexts to their mathematics lessons. It investigated how teachers incorporated these contexts, the criteria for selecting specific scenarios, and the impact on student engagement compared to traditional teaching methods. Additionally, the questions probed into the challenges teachers faced and the strategies they employed to overcome them, how they assessed the effectiveness of real-life contexts on learning outcomes, and the use of student feedback to enhance teaching approaches. Teachers also discussed the professional development resources that had aided them in effectively utilizing real-life contexts. Importantly, the interview revealed that integrating real-life scenarios was most effective when combined with other pedagogical principles, such as continuous assessment, enhancing overall student understanding and retention of mathematical concepts. This holistic approach underlined the significance of adaptability and innovation in educational practices to cater to diverse learner needs and improve educational outcomes.</w:t>
      </w:r>
    </w:p>
    <w:p w14:paraId="2DFCA8E0" w14:textId="05D8E64C" w:rsidR="0001245D" w:rsidRPr="001A211D" w:rsidRDefault="00CD1AFA" w:rsidP="0001245D">
      <w:pPr>
        <w:pStyle w:val="ListParagraph"/>
        <w:numPr>
          <w:ilvl w:val="0"/>
          <w:numId w:val="1"/>
        </w:numPr>
        <w:ind w:left="0"/>
        <w:jc w:val="both"/>
        <w:rPr>
          <w:rFonts w:ascii="Arial" w:hAnsi="Arial" w:cs="Arial"/>
        </w:rPr>
      </w:pPr>
      <w:r w:rsidRPr="001A211D">
        <w:rPr>
          <w:rFonts w:ascii="Arial" w:hAnsi="Arial" w:cs="Arial"/>
        </w:rPr>
        <w:t>Data Presentation and Analysis Method</w:t>
      </w:r>
      <w:r w:rsidR="001A211D" w:rsidRPr="001A211D">
        <w:rPr>
          <w:rFonts w:ascii="Arial" w:hAnsi="Arial" w:cs="Arial"/>
        </w:rPr>
        <w:t>s</w:t>
      </w:r>
    </w:p>
    <w:p w14:paraId="3512DA77" w14:textId="75EB0CFF" w:rsidR="00B12EEB" w:rsidRPr="00B12EEB" w:rsidRDefault="00D7502A" w:rsidP="00B12EEB">
      <w:pPr>
        <w:spacing w:before="100" w:beforeAutospacing="1" w:after="100" w:afterAutospacing="1" w:line="360" w:lineRule="auto"/>
        <w:ind w:firstLine="720"/>
        <w:jc w:val="both"/>
        <w:rPr>
          <w:rFonts w:ascii="Arial" w:hAnsi="Arial" w:cs="Arial"/>
          <w:sz w:val="22"/>
          <w:szCs w:val="22"/>
        </w:rPr>
      </w:pPr>
      <w:r w:rsidRPr="00D7502A">
        <w:rPr>
          <w:rFonts w:ascii="Arial" w:hAnsi="Arial" w:cs="Arial"/>
          <w:sz w:val="22"/>
          <w:szCs w:val="22"/>
        </w:rPr>
        <w:t>In this case study, conducted as part of ongoing research into the effectiveness of integrating real-life contexts into mathematics lessons, a significant emphasis was placed on the impact of such pedagogical approaches on student engagement, especially among (EAL) learners (Suh, 2023). The findings indicate a notable increase in engagement levels, using Leuven scale (Appendix 2</w:t>
      </w:r>
      <w:r w:rsidR="00197AFF">
        <w:rPr>
          <w:rFonts w:ascii="Arial" w:hAnsi="Arial" w:cs="Arial"/>
          <w:sz w:val="22"/>
          <w:szCs w:val="22"/>
        </w:rPr>
        <w:t>; Appendix 4</w:t>
      </w:r>
      <w:r w:rsidRPr="00D7502A">
        <w:rPr>
          <w:rFonts w:ascii="Arial" w:hAnsi="Arial" w:cs="Arial"/>
          <w:sz w:val="22"/>
          <w:szCs w:val="22"/>
        </w:rPr>
        <w:t>), where 5 out of 6 children demonstrated a high degree of involvement in activities aligned with the lesson plans that incorporated real-life scenarios (Appendix 2</w:t>
      </w:r>
      <w:r w:rsidR="00197AFF">
        <w:rPr>
          <w:rFonts w:ascii="Arial" w:hAnsi="Arial" w:cs="Arial"/>
          <w:sz w:val="22"/>
          <w:szCs w:val="22"/>
        </w:rPr>
        <w:t>; Appendix 4</w:t>
      </w:r>
      <w:r w:rsidRPr="00D7502A">
        <w:rPr>
          <w:rFonts w:ascii="Arial" w:hAnsi="Arial" w:cs="Arial"/>
          <w:sz w:val="22"/>
          <w:szCs w:val="22"/>
        </w:rPr>
        <w:t>).</w:t>
      </w:r>
      <w:r w:rsidR="00B12EEB">
        <w:rPr>
          <w:rFonts w:ascii="Arial" w:hAnsi="Arial" w:cs="Arial"/>
          <w:sz w:val="22"/>
          <w:szCs w:val="22"/>
        </w:rPr>
        <w:t xml:space="preserve"> </w:t>
      </w:r>
    </w:p>
    <w:p w14:paraId="7F18E56E" w14:textId="2F53C80B" w:rsidR="00D7502A" w:rsidRPr="00D7502A" w:rsidRDefault="00B12EEB" w:rsidP="00B12EEB">
      <w:pPr>
        <w:spacing w:before="100" w:beforeAutospacing="1" w:after="100" w:afterAutospacing="1" w:line="360" w:lineRule="auto"/>
        <w:ind w:firstLine="720"/>
        <w:jc w:val="both"/>
        <w:rPr>
          <w:rFonts w:ascii="Arial" w:hAnsi="Arial" w:cs="Arial"/>
          <w:sz w:val="22"/>
          <w:szCs w:val="22"/>
        </w:rPr>
      </w:pPr>
      <w:r w:rsidRPr="00B12EEB">
        <w:rPr>
          <w:rFonts w:ascii="Arial" w:hAnsi="Arial" w:cs="Arial"/>
          <w:sz w:val="22"/>
          <w:szCs w:val="22"/>
        </w:rPr>
        <w:t xml:space="preserve">The resources in Appendix 3 sparked discussions among learners, especially regarding the use of cooking to understand maths. During the research, six students shared differing views on its effectiveness. Some found cooking hands-on and practical, making math concepts tangible, while others felt it complicated and time-consuming, detracting from their </w:t>
      </w:r>
      <w:r w:rsidRPr="00B12EEB">
        <w:rPr>
          <w:rFonts w:ascii="Arial" w:hAnsi="Arial" w:cs="Arial"/>
          <w:sz w:val="22"/>
          <w:szCs w:val="22"/>
        </w:rPr>
        <w:lastRenderedPageBreak/>
        <w:t>focus on learning. These perspectives highlight the need to consider individual preferences and learning styles when incorporating real-life contexts into math education.</w:t>
      </w:r>
    </w:p>
    <w:p w14:paraId="5C2CD1A9" w14:textId="687EBCF1" w:rsidR="00D7502A" w:rsidRPr="00D7502A" w:rsidRDefault="00D7502A" w:rsidP="00B12EEB">
      <w:pPr>
        <w:spacing w:before="100" w:beforeAutospacing="1" w:after="100" w:afterAutospacing="1" w:line="360" w:lineRule="auto"/>
        <w:ind w:firstLine="720"/>
        <w:jc w:val="both"/>
        <w:rPr>
          <w:rFonts w:ascii="Arial" w:hAnsi="Arial" w:cs="Arial"/>
          <w:sz w:val="22"/>
          <w:szCs w:val="22"/>
        </w:rPr>
      </w:pPr>
      <w:r w:rsidRPr="00D7502A">
        <w:rPr>
          <w:rFonts w:ascii="Arial" w:hAnsi="Arial" w:cs="Arial"/>
          <w:sz w:val="22"/>
          <w:szCs w:val="22"/>
        </w:rPr>
        <w:t>Moreover, the case study delved into teachers' perspectives on the utility of real-life contexts within educational settings. It emerged that two out of three teachers advocate for the integration of real-life situations as a valuable pedagogical tool (</w:t>
      </w:r>
      <w:r w:rsidR="00B12EEB">
        <w:rPr>
          <w:rFonts w:ascii="Arial" w:hAnsi="Arial" w:cs="Arial"/>
          <w:sz w:val="22"/>
          <w:szCs w:val="22"/>
        </w:rPr>
        <w:t>Appendix 1 – group interview</w:t>
      </w:r>
      <w:r w:rsidRPr="00D7502A">
        <w:rPr>
          <w:rFonts w:ascii="Arial" w:hAnsi="Arial" w:cs="Arial"/>
          <w:sz w:val="22"/>
          <w:szCs w:val="22"/>
        </w:rPr>
        <w:t xml:space="preserve">). However, they also stressed its efficacy only when combined with other principles from a set of twelve recognized pedagogical </w:t>
      </w:r>
      <w:r w:rsidR="00B12EEB">
        <w:rPr>
          <w:rFonts w:ascii="Arial" w:hAnsi="Arial" w:cs="Arial"/>
          <w:sz w:val="22"/>
          <w:szCs w:val="22"/>
        </w:rPr>
        <w:t>principals</w:t>
      </w:r>
      <w:r w:rsidRPr="00D7502A">
        <w:rPr>
          <w:rFonts w:ascii="Arial" w:hAnsi="Arial" w:cs="Arial"/>
          <w:sz w:val="22"/>
          <w:szCs w:val="22"/>
        </w:rPr>
        <w:t xml:space="preserve"> (</w:t>
      </w:r>
      <w:r w:rsidR="00B12EEB">
        <w:rPr>
          <w:rFonts w:ascii="Arial" w:hAnsi="Arial" w:cs="Arial"/>
          <w:sz w:val="22"/>
          <w:szCs w:val="22"/>
        </w:rPr>
        <w:t>Donaldson, 2015)</w:t>
      </w:r>
      <w:r w:rsidRPr="00D7502A">
        <w:rPr>
          <w:rFonts w:ascii="Arial" w:hAnsi="Arial" w:cs="Arial"/>
          <w:sz w:val="22"/>
          <w:szCs w:val="22"/>
        </w:rPr>
        <w:t xml:space="preserve"> These educators argue that while real-life contexts can enhance relatability and practical understanding, their full potential is unleashed when synergistically combined with other educational principles such as scaffolding, differentiated instruction, and continuous assessment</w:t>
      </w:r>
      <w:r w:rsidR="00B12EEB">
        <w:rPr>
          <w:rFonts w:ascii="Arial" w:hAnsi="Arial" w:cs="Arial"/>
          <w:sz w:val="22"/>
          <w:szCs w:val="22"/>
        </w:rPr>
        <w:t xml:space="preserve"> (Appendix 1)</w:t>
      </w:r>
      <w:r w:rsidRPr="00D7502A">
        <w:rPr>
          <w:rFonts w:ascii="Arial" w:hAnsi="Arial" w:cs="Arial"/>
          <w:sz w:val="22"/>
          <w:szCs w:val="22"/>
        </w:rPr>
        <w:t>.</w:t>
      </w:r>
    </w:p>
    <w:p w14:paraId="03C45F87" w14:textId="77777777" w:rsidR="00B12EEB" w:rsidRDefault="00B12EEB" w:rsidP="001A211D">
      <w:pPr>
        <w:spacing w:before="100" w:beforeAutospacing="1" w:after="100" w:afterAutospacing="1" w:line="360" w:lineRule="auto"/>
        <w:ind w:firstLine="720"/>
        <w:jc w:val="both"/>
        <w:rPr>
          <w:rFonts w:ascii="Arial" w:hAnsi="Arial" w:cs="Arial"/>
          <w:sz w:val="22"/>
          <w:szCs w:val="22"/>
        </w:rPr>
      </w:pPr>
      <w:r w:rsidRPr="00B12EEB">
        <w:rPr>
          <w:rFonts w:ascii="Arial" w:hAnsi="Arial" w:cs="Arial"/>
          <w:sz w:val="22"/>
          <w:szCs w:val="22"/>
        </w:rPr>
        <w:t>Group interviews with teachers revealed how they select and apply real-life scenarios, aligning them with curricular goals and students' specific learning needs, particularly in Key Stage 2 (Clark et al., 2017; García &amp; López, 2018). Criteria include relevance to students' experiences and the potential to stimulate critical thinking. Comparisons between traditional and real-life methods showed a preference for the latter, enhancing engagement and academic outcomes (Tout, 2021). Real-life contexts aid in assessing practical application, offering a comprehensive evaluation of student learning (Tout, 2021).</w:t>
      </w:r>
    </w:p>
    <w:p w14:paraId="0F20906C" w14:textId="49B6C585" w:rsidR="0001245D" w:rsidRDefault="00D7502A" w:rsidP="001A211D">
      <w:pPr>
        <w:spacing w:before="100" w:beforeAutospacing="1" w:after="100" w:afterAutospacing="1" w:line="360" w:lineRule="auto"/>
        <w:ind w:firstLine="720"/>
        <w:jc w:val="both"/>
        <w:rPr>
          <w:rFonts w:ascii="Arial" w:hAnsi="Arial" w:cs="Arial"/>
          <w:sz w:val="22"/>
          <w:szCs w:val="22"/>
        </w:rPr>
      </w:pPr>
      <w:r w:rsidRPr="00D7502A">
        <w:rPr>
          <w:rFonts w:ascii="Arial" w:hAnsi="Arial" w:cs="Arial"/>
          <w:sz w:val="22"/>
          <w:szCs w:val="22"/>
        </w:rPr>
        <w:t>This case study underscore</w:t>
      </w:r>
      <w:r w:rsidR="00B12EEB">
        <w:rPr>
          <w:rFonts w:ascii="Arial" w:hAnsi="Arial" w:cs="Arial"/>
          <w:sz w:val="22"/>
          <w:szCs w:val="22"/>
        </w:rPr>
        <w:t>d</w:t>
      </w:r>
      <w:r w:rsidRPr="00D7502A">
        <w:rPr>
          <w:rFonts w:ascii="Arial" w:hAnsi="Arial" w:cs="Arial"/>
          <w:sz w:val="22"/>
          <w:szCs w:val="22"/>
        </w:rPr>
        <w:t xml:space="preserve"> the critical role of thoughtful integration of real-life contexts in education, backed by collaborative and reflective teaching practices (David, 2023, Tout, 2021). It encourages educators to adopt a holistic approach, blending various pedagogical principles to foster an inclusive and engaging learning environment that resonates with all students, irrespective of their linguistic or cultural backgrounds.</w:t>
      </w:r>
    </w:p>
    <w:p w14:paraId="422E5429" w14:textId="504B1FA0" w:rsidR="00CD1AFA" w:rsidRPr="001A211D" w:rsidRDefault="00CD1AFA" w:rsidP="008A0A33">
      <w:pPr>
        <w:pStyle w:val="ListParagraph"/>
        <w:numPr>
          <w:ilvl w:val="0"/>
          <w:numId w:val="1"/>
        </w:numPr>
        <w:ind w:left="0"/>
        <w:jc w:val="both"/>
        <w:rPr>
          <w:rFonts w:ascii="Arial" w:hAnsi="Arial" w:cs="Arial"/>
        </w:rPr>
      </w:pPr>
      <w:r w:rsidRPr="001A211D">
        <w:rPr>
          <w:rFonts w:ascii="Arial" w:hAnsi="Arial" w:cs="Arial"/>
        </w:rPr>
        <w:t xml:space="preserve">Ethical considerations </w:t>
      </w:r>
    </w:p>
    <w:p w14:paraId="6DF81F7A" w14:textId="6D6535CF" w:rsidR="009B17A1" w:rsidRPr="0029566F" w:rsidRDefault="00D22625"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 xml:space="preserve">According </w:t>
      </w:r>
      <w:r w:rsidR="009B17A1" w:rsidRPr="0029566F">
        <w:rPr>
          <w:rFonts w:ascii="Arial" w:hAnsi="Arial" w:cs="Arial"/>
          <w:sz w:val="22"/>
          <w:szCs w:val="22"/>
        </w:rPr>
        <w:t>to Thomas</w:t>
      </w:r>
      <w:r w:rsidR="009B17A1" w:rsidRPr="0029566F">
        <w:rPr>
          <w:rFonts w:ascii="Arial" w:hAnsi="Arial" w:cs="Arial"/>
          <w:sz w:val="22"/>
          <w:szCs w:val="22"/>
          <w:shd w:val="clear" w:color="auto" w:fill="FFFFFF"/>
        </w:rPr>
        <w:t xml:space="preserve"> (2023) that participants in the research have rights and the needs need to be consider. Especially the needs of children / legal minors, anyone with physical disability, anyone with learning difficulties, parents, anyone in custody. BERA (2018) highlights the researchers ‘responsibilities, privacy concerns, and reporting results. While the UWTSD (2022) focus on research ethics, confidentiality, and integrity in academic settings. </w:t>
      </w:r>
      <w:r w:rsidR="00F05D46" w:rsidRPr="0029566F">
        <w:rPr>
          <w:rFonts w:ascii="Arial" w:hAnsi="Arial" w:cs="Arial"/>
          <w:sz w:val="22"/>
          <w:szCs w:val="22"/>
          <w:shd w:val="clear" w:color="auto" w:fill="FFFFFF"/>
        </w:rPr>
        <w:t>Therefore, following the guidelines of BERA (2018)</w:t>
      </w:r>
      <w:r w:rsidR="003238D3" w:rsidRPr="0029566F">
        <w:rPr>
          <w:rFonts w:ascii="Arial" w:hAnsi="Arial" w:cs="Arial"/>
          <w:sz w:val="22"/>
          <w:szCs w:val="22"/>
          <w:shd w:val="clear" w:color="auto" w:fill="FFFFFF"/>
        </w:rPr>
        <w:t xml:space="preserve"> and UWSTD (2022) Ethical code of </w:t>
      </w:r>
      <w:r w:rsidR="00523DAD" w:rsidRPr="0029566F">
        <w:rPr>
          <w:rFonts w:ascii="Arial" w:hAnsi="Arial" w:cs="Arial"/>
          <w:sz w:val="22"/>
          <w:szCs w:val="22"/>
          <w:shd w:val="clear" w:color="auto" w:fill="FFFFFF"/>
        </w:rPr>
        <w:t xml:space="preserve">practice give the importance to remember that being ethical is to respect the researcher’s participants. </w:t>
      </w:r>
      <w:r w:rsidR="003C3E7E" w:rsidRPr="0029566F">
        <w:rPr>
          <w:rFonts w:ascii="Arial" w:hAnsi="Arial" w:cs="Arial"/>
          <w:sz w:val="22"/>
          <w:szCs w:val="22"/>
          <w:shd w:val="clear" w:color="auto" w:fill="FFFFFF"/>
        </w:rPr>
        <w:t xml:space="preserve">Michael and Samuel (2012) agree that in the research everyone need to be treated and not to see colour or </w:t>
      </w:r>
      <w:r w:rsidR="003C3E7E" w:rsidRPr="0029566F">
        <w:rPr>
          <w:rFonts w:ascii="Arial" w:hAnsi="Arial" w:cs="Arial"/>
          <w:sz w:val="22"/>
          <w:szCs w:val="22"/>
        </w:rPr>
        <w:t xml:space="preserve">differences. National Institutes of Health (2018) pointed out Researchers have a duty to protect children from harm, including physical, psychological, emotional, and social harm. </w:t>
      </w:r>
      <w:r w:rsidR="003C3E7E" w:rsidRPr="0029566F">
        <w:rPr>
          <w:rFonts w:ascii="Arial" w:hAnsi="Arial" w:cs="Arial"/>
          <w:sz w:val="22"/>
          <w:szCs w:val="22"/>
        </w:rPr>
        <w:lastRenderedPageBreak/>
        <w:t>Studies should be designed in a way that minimizes any potential risks to children, and steps should be taken to ensure their safety throughout the research process.</w:t>
      </w:r>
    </w:p>
    <w:p w14:paraId="2FBC1F1A" w14:textId="300B78DA" w:rsidR="00BA6B89" w:rsidRPr="001A211D" w:rsidRDefault="00BA6B89" w:rsidP="001A211D">
      <w:pPr>
        <w:spacing w:before="100" w:beforeAutospacing="1" w:after="100" w:afterAutospacing="1" w:line="360" w:lineRule="auto"/>
        <w:ind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UWSTD (2022) states that if our study group is at risk from disruption, low self-esteem, resentment, or embarrassment, then appropriate mitigation measures should be implemented. Children are the research topic, and BERA (2018) states that the study should be planned to reduce any dangers that could be present for the children involved.</w:t>
      </w:r>
      <w:r w:rsidR="001A211D">
        <w:rPr>
          <w:rFonts w:ascii="Arial" w:hAnsi="Arial" w:cs="Arial"/>
          <w:sz w:val="22"/>
          <w:szCs w:val="22"/>
          <w:shd w:val="clear" w:color="auto" w:fill="FFFFFF"/>
        </w:rPr>
        <w:t xml:space="preserve"> </w:t>
      </w:r>
      <w:r w:rsidR="00C54EB7" w:rsidRPr="0029566F">
        <w:rPr>
          <w:rFonts w:ascii="Arial" w:hAnsi="Arial" w:cs="Arial"/>
          <w:sz w:val="22"/>
          <w:szCs w:val="22"/>
        </w:rPr>
        <w:t>According to Priscilla (2011) r</w:t>
      </w:r>
      <w:r w:rsidRPr="0029566F">
        <w:rPr>
          <w:rFonts w:ascii="Arial" w:hAnsi="Arial" w:cs="Arial"/>
          <w:sz w:val="22"/>
          <w:szCs w:val="22"/>
        </w:rPr>
        <w:t xml:space="preserve">esearchers should strive to maintain the anonymity of child participants whenever possible. </w:t>
      </w:r>
      <w:r w:rsidR="00327D68" w:rsidRPr="0029566F">
        <w:rPr>
          <w:rFonts w:ascii="Arial" w:hAnsi="Arial" w:cs="Arial"/>
          <w:sz w:val="22"/>
          <w:szCs w:val="22"/>
        </w:rPr>
        <w:t xml:space="preserve">Lewis et al. (2004) proved that </w:t>
      </w:r>
      <w:r w:rsidRPr="0029566F">
        <w:rPr>
          <w:rFonts w:ascii="Arial" w:hAnsi="Arial" w:cs="Arial"/>
          <w:sz w:val="22"/>
          <w:szCs w:val="22"/>
        </w:rPr>
        <w:t xml:space="preserve">means that no identifying information should be collected or reported that could link individual children to their responses or data. </w:t>
      </w:r>
      <w:r w:rsidR="00327D68" w:rsidRPr="0029566F">
        <w:rPr>
          <w:rFonts w:ascii="Arial" w:hAnsi="Arial" w:cs="Arial"/>
          <w:sz w:val="22"/>
          <w:szCs w:val="22"/>
        </w:rPr>
        <w:t>Therefore, BERA (2018) offered to a</w:t>
      </w:r>
      <w:r w:rsidRPr="0029566F">
        <w:rPr>
          <w:rFonts w:ascii="Arial" w:hAnsi="Arial" w:cs="Arial"/>
          <w:sz w:val="22"/>
          <w:szCs w:val="22"/>
        </w:rPr>
        <w:t>ssign unique identifiers or using codes instead of names can help ensure anonymity.</w:t>
      </w:r>
    </w:p>
    <w:p w14:paraId="04EA56B4" w14:textId="62C89D0B" w:rsidR="009561E2" w:rsidRPr="00F918F2" w:rsidRDefault="0001245D" w:rsidP="00F918F2">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In addition, it is noteworthy that the consent letter (Appendix 5) was sent to 9 students from year 5/6; however, only 6 students returned the letters, indicating a participation rate of 67%. The process of obtaining pupil assent involved clear communication and respectful interaction, adhering to professional conduct standards (</w:t>
      </w:r>
      <w:r w:rsidR="0029566F" w:rsidRPr="0029566F">
        <w:rPr>
          <w:rFonts w:ascii="Arial" w:hAnsi="Arial" w:cs="Arial"/>
          <w:sz w:val="22"/>
          <w:szCs w:val="22"/>
        </w:rPr>
        <w:t>Perry, 2011</w:t>
      </w:r>
      <w:r w:rsidRPr="0029566F">
        <w:rPr>
          <w:rFonts w:ascii="Arial" w:hAnsi="Arial" w:cs="Arial"/>
          <w:sz w:val="22"/>
          <w:szCs w:val="22"/>
        </w:rPr>
        <w:t>). Referring explicitly to the Ethics Form provided guidance throughout this process, ensuring compliance with ethical guidelines (</w:t>
      </w:r>
      <w:r w:rsidR="0029566F" w:rsidRPr="0029566F">
        <w:rPr>
          <w:rFonts w:ascii="Arial" w:hAnsi="Arial" w:cs="Arial"/>
          <w:sz w:val="22"/>
          <w:szCs w:val="22"/>
        </w:rPr>
        <w:t xml:space="preserve">Alderson and Morrow, 2022; </w:t>
      </w:r>
      <w:r w:rsidRPr="0029566F">
        <w:rPr>
          <w:rFonts w:ascii="Arial" w:hAnsi="Arial" w:cs="Arial"/>
          <w:sz w:val="22"/>
          <w:szCs w:val="22"/>
        </w:rPr>
        <w:t>Brown et al., 2018). Interaction with learners was conducted with sensitivity to their individual needs and preferences, maintaining professionalism while fostering open communication conducive to gaining assent</w:t>
      </w:r>
      <w:r w:rsidR="00607396">
        <w:rPr>
          <w:rFonts w:ascii="Arial" w:hAnsi="Arial" w:cs="Arial"/>
          <w:sz w:val="22"/>
          <w:szCs w:val="22"/>
        </w:rPr>
        <w:t xml:space="preserve"> </w:t>
      </w:r>
      <w:r w:rsidR="00607396" w:rsidRPr="0029566F">
        <w:rPr>
          <w:rFonts w:ascii="Arial" w:hAnsi="Arial" w:cs="Arial"/>
          <w:sz w:val="22"/>
          <w:szCs w:val="22"/>
        </w:rPr>
        <w:t>(Downes &amp; Bishop, 2012</w:t>
      </w:r>
      <w:r w:rsidR="00607396">
        <w:rPr>
          <w:rFonts w:ascii="Arial" w:hAnsi="Arial" w:cs="Arial"/>
          <w:sz w:val="22"/>
          <w:szCs w:val="22"/>
        </w:rPr>
        <w:t xml:space="preserve">; </w:t>
      </w:r>
      <w:r w:rsidR="00607396" w:rsidRPr="0029566F">
        <w:rPr>
          <w:rFonts w:ascii="Arial" w:hAnsi="Arial" w:cs="Arial"/>
          <w:sz w:val="22"/>
          <w:szCs w:val="22"/>
        </w:rPr>
        <w:t>Israel, 2015).</w:t>
      </w:r>
    </w:p>
    <w:p w14:paraId="65BC68B2" w14:textId="77777777" w:rsidR="0029566F" w:rsidRPr="0029566F" w:rsidRDefault="0029566F" w:rsidP="0001245D">
      <w:pPr>
        <w:pStyle w:val="ListParagraph"/>
        <w:ind w:left="0"/>
        <w:jc w:val="both"/>
        <w:rPr>
          <w:rFonts w:ascii="Arial" w:hAnsi="Arial" w:cs="Arial"/>
          <w:sz w:val="22"/>
          <w:szCs w:val="22"/>
        </w:rPr>
      </w:pPr>
    </w:p>
    <w:p w14:paraId="6BC6DE75" w14:textId="7FF3A33D" w:rsidR="006D7983" w:rsidRPr="001A211D" w:rsidRDefault="00CD1AFA" w:rsidP="000E3F4C">
      <w:pPr>
        <w:pStyle w:val="ListParagraph"/>
        <w:numPr>
          <w:ilvl w:val="0"/>
          <w:numId w:val="1"/>
        </w:numPr>
        <w:ind w:left="0"/>
        <w:jc w:val="both"/>
        <w:rPr>
          <w:rFonts w:ascii="Arial" w:hAnsi="Arial" w:cs="Arial"/>
          <w:sz w:val="22"/>
          <w:szCs w:val="22"/>
        </w:rPr>
      </w:pPr>
      <w:r w:rsidRPr="001A211D">
        <w:rPr>
          <w:rFonts w:ascii="Arial" w:hAnsi="Arial" w:cs="Arial"/>
          <w:b/>
          <w:bCs/>
          <w:sz w:val="22"/>
          <w:szCs w:val="22"/>
        </w:rPr>
        <w:t xml:space="preserve">Results / Analysis of results / Discussion </w:t>
      </w:r>
    </w:p>
    <w:p w14:paraId="33DAFA9E" w14:textId="4DC09151" w:rsidR="0066792E" w:rsidRPr="0029566F" w:rsidRDefault="00DF2BC6"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 xml:space="preserve">In a focus group interview with four teachers, three agreed on the effectiveness of using real-life circumstances to engage pupils. However, they identified difficulties in assessing children's progress (see Appendix 1). As a result, one of the teachers emphasised that a real-life context pedagogical principal has to be combined with other pedagogical principles, such as assessment for learning. </w:t>
      </w:r>
      <w:r w:rsidR="00033F7B" w:rsidRPr="0029566F">
        <w:rPr>
          <w:rFonts w:ascii="Arial" w:hAnsi="Arial" w:cs="Arial"/>
          <w:sz w:val="22"/>
          <w:szCs w:val="22"/>
        </w:rPr>
        <w:t>One teacher highlighted the interconnectedness of the real-life context pedagogical principle with other pedagogical principles, such as fostering learner responsibility, supporting social and emotional development, and cultivating positive relationships.</w:t>
      </w:r>
      <w:r w:rsidRPr="0029566F">
        <w:rPr>
          <w:rFonts w:ascii="Arial" w:hAnsi="Arial" w:cs="Arial"/>
          <w:sz w:val="22"/>
          <w:szCs w:val="22"/>
        </w:rPr>
        <w:t xml:space="preserve"> </w:t>
      </w:r>
      <w:r w:rsidR="0066792E" w:rsidRPr="0029566F">
        <w:rPr>
          <w:rFonts w:ascii="Arial" w:hAnsi="Arial" w:cs="Arial"/>
          <w:sz w:val="22"/>
          <w:szCs w:val="22"/>
        </w:rPr>
        <w:t xml:space="preserve">According to one of the teachers, it is believed that learning occurs when children are actively involved in the process, </w:t>
      </w:r>
      <w:r w:rsidR="008D598A" w:rsidRPr="0029566F">
        <w:rPr>
          <w:rFonts w:ascii="Arial" w:hAnsi="Arial" w:cs="Arial"/>
          <w:sz w:val="22"/>
          <w:szCs w:val="22"/>
        </w:rPr>
        <w:t>similar</w:t>
      </w:r>
      <w:r w:rsidR="0066792E" w:rsidRPr="0029566F">
        <w:rPr>
          <w:rFonts w:ascii="Arial" w:hAnsi="Arial" w:cs="Arial"/>
          <w:sz w:val="22"/>
          <w:szCs w:val="22"/>
        </w:rPr>
        <w:t xml:space="preserve"> to play, through the utilization of real-life contexts. This opinion is supported by research indicating that Key Stage 2 (KS2) students are frequently perceived to be constrained by the necessity to master subjects for standardized assessments. Furthermore, ongoing discussions, as endorsed by Grace and </w:t>
      </w:r>
      <w:r w:rsidR="0066792E" w:rsidRPr="0029566F">
        <w:rPr>
          <w:rFonts w:ascii="Arial" w:hAnsi="Arial" w:cs="Arial"/>
          <w:sz w:val="22"/>
          <w:szCs w:val="22"/>
        </w:rPr>
        <w:lastRenderedPageBreak/>
        <w:t xml:space="preserve">Lee (2014), advocate for a shift towards a greater utilization of real-world strategies post-COVID to enhance student participation. This sentiment is further reinforced by Peters and Xudong (2023), who emphasize the significance of play-based learning in authentic settings within the context of KS2 teaching. </w:t>
      </w:r>
      <w:r w:rsidR="00607396">
        <w:rPr>
          <w:rFonts w:ascii="Arial" w:hAnsi="Arial" w:cs="Arial"/>
          <w:sz w:val="22"/>
          <w:szCs w:val="22"/>
        </w:rPr>
        <w:t>Therefore</w:t>
      </w:r>
      <w:r w:rsidR="0066792E" w:rsidRPr="0029566F">
        <w:rPr>
          <w:rFonts w:ascii="Arial" w:hAnsi="Arial" w:cs="Arial"/>
          <w:sz w:val="22"/>
          <w:szCs w:val="22"/>
        </w:rPr>
        <w:t>, David (2023) articulates that students are more inclined to engage in the learning process when they perceive mathematical concepts as relevant, valuable, and applicable beyond the confines of the classroom</w:t>
      </w:r>
      <w:r w:rsidR="00607396">
        <w:rPr>
          <w:rFonts w:ascii="Arial" w:hAnsi="Arial" w:cs="Arial"/>
          <w:sz w:val="22"/>
          <w:szCs w:val="22"/>
        </w:rPr>
        <w:t>.</w:t>
      </w:r>
    </w:p>
    <w:p w14:paraId="466DC289" w14:textId="6EF90B05" w:rsidR="0066792E" w:rsidRPr="0029566F" w:rsidRDefault="00CB15FC"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 xml:space="preserve">The Leuven Scale, initially designed to measure engagement and well-being in young children (MacRae and Jones, 2023), </w:t>
      </w:r>
      <w:r w:rsidR="00197AFF">
        <w:rPr>
          <w:rFonts w:ascii="Arial" w:hAnsi="Arial" w:cs="Arial"/>
          <w:sz w:val="22"/>
          <w:szCs w:val="22"/>
        </w:rPr>
        <w:t xml:space="preserve">however it </w:t>
      </w:r>
      <w:r w:rsidRPr="0029566F">
        <w:rPr>
          <w:rFonts w:ascii="Arial" w:hAnsi="Arial" w:cs="Arial"/>
          <w:sz w:val="22"/>
          <w:szCs w:val="22"/>
        </w:rPr>
        <w:t xml:space="preserve">has been repurposed for assessing adult involvement in learning </w:t>
      </w:r>
      <w:r w:rsidR="00197AFF">
        <w:rPr>
          <w:rFonts w:ascii="Arial" w:hAnsi="Arial" w:cs="Arial"/>
          <w:sz w:val="22"/>
          <w:szCs w:val="22"/>
        </w:rPr>
        <w:t>French language</w:t>
      </w:r>
      <w:r w:rsidRPr="0029566F">
        <w:rPr>
          <w:rFonts w:ascii="Arial" w:hAnsi="Arial" w:cs="Arial"/>
          <w:sz w:val="22"/>
          <w:szCs w:val="22"/>
        </w:rPr>
        <w:t xml:space="preserve"> (Delhaye et al., 2012). Adopting a similar methodology, this study utilizes the Leuven Scale to measure the engagement </w:t>
      </w:r>
      <w:r w:rsidR="00197AFF" w:rsidRPr="0029566F">
        <w:rPr>
          <w:rFonts w:ascii="Arial" w:hAnsi="Arial" w:cs="Arial"/>
          <w:sz w:val="22"/>
          <w:szCs w:val="22"/>
        </w:rPr>
        <w:t>levels</w:t>
      </w:r>
      <w:r w:rsidRPr="0029566F">
        <w:rPr>
          <w:rFonts w:ascii="Arial" w:hAnsi="Arial" w:cs="Arial"/>
          <w:sz w:val="22"/>
          <w:szCs w:val="22"/>
        </w:rPr>
        <w:t xml:space="preserve"> Year 5/6 EAL children during cooking sessions (see Appendix 2</w:t>
      </w:r>
      <w:r w:rsidR="00197AFF">
        <w:rPr>
          <w:rFonts w:ascii="Arial" w:hAnsi="Arial" w:cs="Arial"/>
          <w:sz w:val="22"/>
          <w:szCs w:val="22"/>
        </w:rPr>
        <w:t>; Appendix 4</w:t>
      </w:r>
      <w:r w:rsidRPr="0029566F">
        <w:rPr>
          <w:rFonts w:ascii="Arial" w:hAnsi="Arial" w:cs="Arial"/>
          <w:sz w:val="22"/>
          <w:szCs w:val="22"/>
        </w:rPr>
        <w:t>). These sessions are structured to integrate mathematics learning through hands-on experiences, with a focus on understanding decimals and measuring ingredients. The observations from these cooking sessions, as detailed in Appendix 2, indicate a notable trend of high engagement among the majority of EAL children. This suggests a strong interest and involvement in the mathematical learning activities integrated into the culinary context. Furthermore, qualitative analysis of the children's interactions and behavio</w:t>
      </w:r>
      <w:r w:rsidR="00607396">
        <w:rPr>
          <w:rFonts w:ascii="Arial" w:hAnsi="Arial" w:cs="Arial"/>
          <w:sz w:val="22"/>
          <w:szCs w:val="22"/>
        </w:rPr>
        <w:t>u</w:t>
      </w:r>
      <w:r w:rsidRPr="0029566F">
        <w:rPr>
          <w:rFonts w:ascii="Arial" w:hAnsi="Arial" w:cs="Arial"/>
          <w:sz w:val="22"/>
          <w:szCs w:val="22"/>
        </w:rPr>
        <w:t xml:space="preserve">rs reveals patterns of active participation and enthusiasm for mathematical tasks, affirming the efficacy of real-world learning environments in nurturing mathematical understanding among EAL learner. </w:t>
      </w:r>
    </w:p>
    <w:p w14:paraId="7FEEC05D" w14:textId="56FA5DC8" w:rsidR="0066792E" w:rsidRPr="0029566F" w:rsidRDefault="0066792E" w:rsidP="00E71D43">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During the focus group discussion aimed at elucidating the mathematical perception of EAL children concerning decimals within a culinary context, two EAL students encounter difficulty in converting a recipe for 12 cupcakes into one for six, utilizing 0.5 and 1/2 to grasp the concept of halves in measurements. Furthermore, a preference for approximate measurements over precise ones, as presented in the recipe, is expressed by one student. Conversely, another student exhibits enthusiasm towards using weighing scales and successfully comprehends the significance of 0.6 grams. Collaboratively, the students and the researcher convert the recipe from four servings to ten, establishing a conversion factor of 2.5. Remarkably, three children swiftly grasp the concept of the conversion factor and take initiative in instructing their peers. Notably, one child utilizes a block of butter weighing 500 grams to illustrate the necessity of multiplying by 2.5, the established conversion factor. This focus group discussion facilitates enhanced mathematical understanding among the children, enabling those with a stronger grasp of the concept to elucidate it to their peers, thus aligning with Vygotsky's sociocultural learning model</w:t>
      </w:r>
      <w:r w:rsidR="00607396">
        <w:rPr>
          <w:rFonts w:ascii="Arial" w:hAnsi="Arial" w:cs="Arial"/>
          <w:sz w:val="22"/>
          <w:szCs w:val="22"/>
        </w:rPr>
        <w:t xml:space="preserve"> (Aubrey and Riley, 2019)</w:t>
      </w:r>
      <w:r w:rsidRPr="0029566F">
        <w:rPr>
          <w:rFonts w:ascii="Arial" w:hAnsi="Arial" w:cs="Arial"/>
          <w:sz w:val="22"/>
          <w:szCs w:val="22"/>
        </w:rPr>
        <w:t>.</w:t>
      </w:r>
    </w:p>
    <w:p w14:paraId="08EF2DEB" w14:textId="1CB06880" w:rsidR="0066792E" w:rsidRPr="0029566F" w:rsidRDefault="0066792E" w:rsidP="00AF64C9">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lastRenderedPageBreak/>
        <w:t>Moreover, the focus group discussion sheds light on the challenges and successes experienced by EAL students in understanding mathematical concepts within a culinary context. While some students encounter difficulties, particularly in converting measurements, collaborative learning and peer instruction facilitate deeper understanding and knowledge dissemination among the group. This highlights the significance of sociocultural learning models, such as Vygotsky's, in promoting peer interaction and collaborative problem-solving</w:t>
      </w:r>
      <w:r w:rsidR="00336D38" w:rsidRPr="0029566F">
        <w:rPr>
          <w:rFonts w:ascii="Arial" w:hAnsi="Arial" w:cs="Arial"/>
          <w:sz w:val="22"/>
          <w:szCs w:val="22"/>
        </w:rPr>
        <w:t xml:space="preserve"> (Aubrey and Riley, 2019)</w:t>
      </w:r>
      <w:r w:rsidRPr="0029566F">
        <w:rPr>
          <w:rFonts w:ascii="Arial" w:hAnsi="Arial" w:cs="Arial"/>
          <w:sz w:val="22"/>
          <w:szCs w:val="22"/>
        </w:rPr>
        <w:t>.</w:t>
      </w:r>
    </w:p>
    <w:p w14:paraId="632113D4" w14:textId="0132FA6D" w:rsidR="00963055" w:rsidRPr="0029566F" w:rsidRDefault="0066792E"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The teacher</w:t>
      </w:r>
      <w:r w:rsidR="00336D38" w:rsidRPr="0029566F">
        <w:rPr>
          <w:rFonts w:ascii="Arial" w:hAnsi="Arial" w:cs="Arial"/>
          <w:sz w:val="22"/>
          <w:szCs w:val="22"/>
        </w:rPr>
        <w:t xml:space="preserve">s’ group </w:t>
      </w:r>
      <w:r w:rsidRPr="0029566F">
        <w:rPr>
          <w:rFonts w:ascii="Arial" w:hAnsi="Arial" w:cs="Arial"/>
          <w:sz w:val="22"/>
          <w:szCs w:val="22"/>
        </w:rPr>
        <w:t>interview discussion underscores the efficacy of integrating real-life contexts into pedagogical practices, particularly when complemented by other pedagogical principles</w:t>
      </w:r>
      <w:r w:rsidR="00336D38" w:rsidRPr="0029566F">
        <w:rPr>
          <w:rFonts w:ascii="Arial" w:hAnsi="Arial" w:cs="Arial"/>
          <w:sz w:val="22"/>
          <w:szCs w:val="22"/>
        </w:rPr>
        <w:t xml:space="preserve"> (Appendix 1)</w:t>
      </w:r>
      <w:r w:rsidRPr="0029566F">
        <w:rPr>
          <w:rFonts w:ascii="Arial" w:hAnsi="Arial" w:cs="Arial"/>
          <w:sz w:val="22"/>
          <w:szCs w:val="22"/>
        </w:rPr>
        <w:t>. This multidimensional approach not only enhances the teaching process but also ensures responsiveness to the diverse needs of students. For further exploration of this concept, references such as those provided by Grace and Lee (2014) and David (2023) elucidate the benefits of incorporating real-world strategies alongside established pedagogical frameworks.</w:t>
      </w:r>
    </w:p>
    <w:p w14:paraId="58CB0046" w14:textId="3361C73F" w:rsidR="00CD1AFA" w:rsidRPr="0029566F" w:rsidRDefault="00CD1AFA" w:rsidP="008A0A33">
      <w:pPr>
        <w:pStyle w:val="ListParagraph"/>
        <w:numPr>
          <w:ilvl w:val="0"/>
          <w:numId w:val="1"/>
        </w:numPr>
        <w:ind w:left="0"/>
        <w:jc w:val="both"/>
        <w:rPr>
          <w:rFonts w:ascii="Arial" w:hAnsi="Arial" w:cs="Arial"/>
          <w:sz w:val="22"/>
          <w:szCs w:val="22"/>
        </w:rPr>
      </w:pPr>
      <w:r w:rsidRPr="0029566F">
        <w:rPr>
          <w:rFonts w:ascii="Arial" w:hAnsi="Arial" w:cs="Arial"/>
          <w:sz w:val="22"/>
          <w:szCs w:val="22"/>
        </w:rPr>
        <w:t xml:space="preserve">Conclusions </w:t>
      </w:r>
    </w:p>
    <w:p w14:paraId="0FACAFCC" w14:textId="77777777" w:rsidR="00E71D43" w:rsidRDefault="00E71D43" w:rsidP="008A0A33">
      <w:pPr>
        <w:pStyle w:val="ListParagraph"/>
        <w:ind w:left="0"/>
        <w:jc w:val="both"/>
        <w:rPr>
          <w:rFonts w:ascii="Arial" w:hAnsi="Arial" w:cs="Arial"/>
          <w:sz w:val="22"/>
          <w:szCs w:val="22"/>
          <w:shd w:val="clear" w:color="auto" w:fill="FFFFFF"/>
        </w:rPr>
      </w:pPr>
    </w:p>
    <w:p w14:paraId="720926E4" w14:textId="3788A19C" w:rsidR="00535683" w:rsidRPr="0029566F" w:rsidRDefault="00E66A3F" w:rsidP="00E71D43">
      <w:pPr>
        <w:pStyle w:val="ListParagraph"/>
        <w:spacing w:before="100" w:beforeAutospacing="1" w:after="100" w:afterAutospacing="1" w:line="360" w:lineRule="auto"/>
        <w:ind w:left="0"/>
        <w:jc w:val="both"/>
        <w:rPr>
          <w:rFonts w:ascii="Arial" w:hAnsi="Arial" w:cs="Arial"/>
          <w:sz w:val="22"/>
          <w:szCs w:val="22"/>
          <w:shd w:val="clear" w:color="auto" w:fill="FFFFFF"/>
        </w:rPr>
      </w:pPr>
      <w:r w:rsidRPr="0029566F">
        <w:rPr>
          <w:rFonts w:ascii="Arial" w:hAnsi="Arial" w:cs="Arial"/>
          <w:sz w:val="22"/>
          <w:szCs w:val="22"/>
          <w:shd w:val="clear" w:color="auto" w:fill="FFFFFF"/>
        </w:rPr>
        <w:t>Teaching methods linking real-life scenarios with mathematical concepts boost student interest and motivation, supported by various studies (</w:t>
      </w:r>
      <w:r w:rsidR="00E71D43">
        <w:rPr>
          <w:rFonts w:ascii="Arial" w:hAnsi="Arial" w:cs="Arial"/>
          <w:sz w:val="22"/>
          <w:szCs w:val="22"/>
          <w:shd w:val="clear" w:color="auto" w:fill="FFFFFF"/>
        </w:rPr>
        <w:t>David, 2023; Suh, 2023; Tout 2021</w:t>
      </w:r>
      <w:r w:rsidRPr="0029566F">
        <w:rPr>
          <w:rFonts w:ascii="Arial" w:hAnsi="Arial" w:cs="Arial"/>
          <w:sz w:val="22"/>
          <w:szCs w:val="22"/>
          <w:shd w:val="clear" w:color="auto" w:fill="FFFFFF"/>
        </w:rPr>
        <w:t>). However, Smith (2018) notes logistical challenges in broader implementations, and Johnson (2020) warns against overshadowing critical thinking. Lee and Chen (2021) caution that some students, especially those with disabilities, may face barriers to hands-on engagement, potentially exacerbating educational disparities.</w:t>
      </w:r>
    </w:p>
    <w:p w14:paraId="4226C477" w14:textId="4078230E" w:rsidR="00E66A3F" w:rsidRDefault="00E66A3F" w:rsidP="00E71D43">
      <w:pPr>
        <w:pStyle w:val="ListParagraph"/>
        <w:spacing w:before="100" w:beforeAutospacing="1" w:after="100" w:afterAutospacing="1" w:line="360" w:lineRule="auto"/>
        <w:ind w:left="0" w:firstLine="720"/>
        <w:jc w:val="both"/>
        <w:rPr>
          <w:rFonts w:ascii="Arial" w:hAnsi="Arial" w:cs="Arial"/>
          <w:sz w:val="22"/>
          <w:szCs w:val="22"/>
        </w:rPr>
      </w:pPr>
      <w:r w:rsidRPr="0029566F">
        <w:rPr>
          <w:rFonts w:ascii="Arial" w:hAnsi="Arial" w:cs="Arial"/>
          <w:sz w:val="22"/>
          <w:szCs w:val="22"/>
        </w:rPr>
        <w:t>In critical consideration of this case study, the utilization of the Leuven Scale for observation, focus groups for exploring children's mathematics perception, and group interviews with teachers offers valuable insights into the effectiveness of incorporating real-life contexts in teaching. However, it's essential to acknowledge potential limitations such as subjective interpretations of data and the small sample size. While these methods provide rich qualitative data, their reliability and validity may vary depending on contextual factors and researcher bias. Future research could employ a mixed-methods approach to complement qualitative findings with quantitative measures, enhancing the robustness of the study. Additionally, ongoing reflection and refinement of research methods are necessary to ensure the credibility and applicability of findings in diverse educational settings.</w:t>
      </w:r>
    </w:p>
    <w:p w14:paraId="146FBDE0" w14:textId="77777777" w:rsidR="00E71D43" w:rsidRPr="0029566F" w:rsidRDefault="00E71D43" w:rsidP="00E71D43">
      <w:pPr>
        <w:pStyle w:val="ListParagraph"/>
        <w:spacing w:before="100" w:beforeAutospacing="1" w:after="100" w:afterAutospacing="1" w:line="360" w:lineRule="auto"/>
        <w:ind w:left="0" w:firstLine="720"/>
        <w:jc w:val="both"/>
        <w:rPr>
          <w:rFonts w:ascii="Arial" w:hAnsi="Arial" w:cs="Arial"/>
          <w:sz w:val="22"/>
          <w:szCs w:val="22"/>
        </w:rPr>
      </w:pPr>
    </w:p>
    <w:p w14:paraId="1DB982E2" w14:textId="7DBBF022" w:rsidR="00CD1AFA" w:rsidRPr="0029566F" w:rsidRDefault="00CD1AFA" w:rsidP="008A0A33">
      <w:pPr>
        <w:pStyle w:val="ListParagraph"/>
        <w:numPr>
          <w:ilvl w:val="0"/>
          <w:numId w:val="1"/>
        </w:numPr>
        <w:ind w:left="0"/>
        <w:jc w:val="both"/>
        <w:rPr>
          <w:rFonts w:ascii="Arial" w:hAnsi="Arial" w:cs="Arial"/>
          <w:sz w:val="22"/>
          <w:szCs w:val="22"/>
        </w:rPr>
      </w:pPr>
      <w:r w:rsidRPr="0029566F">
        <w:rPr>
          <w:rFonts w:ascii="Arial" w:hAnsi="Arial" w:cs="Arial"/>
          <w:sz w:val="22"/>
          <w:szCs w:val="22"/>
        </w:rPr>
        <w:t xml:space="preserve">Recommendations </w:t>
      </w:r>
    </w:p>
    <w:p w14:paraId="024BD4F5" w14:textId="77777777" w:rsidR="00E71D43" w:rsidRDefault="00E71D43" w:rsidP="00E71D43">
      <w:pPr>
        <w:spacing w:before="100" w:beforeAutospacing="1" w:after="100" w:afterAutospacing="1" w:line="360" w:lineRule="auto"/>
        <w:ind w:firstLine="720"/>
        <w:jc w:val="both"/>
        <w:rPr>
          <w:rFonts w:ascii="Arial" w:hAnsi="Arial" w:cs="Arial"/>
          <w:sz w:val="22"/>
          <w:szCs w:val="22"/>
        </w:rPr>
      </w:pPr>
      <w:r w:rsidRPr="00E71D43">
        <w:rPr>
          <w:rFonts w:ascii="Arial" w:hAnsi="Arial" w:cs="Arial"/>
          <w:sz w:val="22"/>
          <w:szCs w:val="22"/>
        </w:rPr>
        <w:lastRenderedPageBreak/>
        <w:t>Considering this research has demonstrated successful strategies for fostering student engagement and good teaching approaches, it will direct the researcher's teaching methods.</w:t>
      </w:r>
      <w:r>
        <w:rPr>
          <w:rFonts w:ascii="Arial" w:hAnsi="Arial" w:cs="Arial"/>
          <w:sz w:val="22"/>
          <w:szCs w:val="22"/>
        </w:rPr>
        <w:t xml:space="preserve"> </w:t>
      </w:r>
      <w:r w:rsidR="008B08AC" w:rsidRPr="0029566F">
        <w:rPr>
          <w:rFonts w:ascii="Arial" w:hAnsi="Arial" w:cs="Arial"/>
          <w:sz w:val="22"/>
          <w:szCs w:val="22"/>
        </w:rPr>
        <w:t xml:space="preserve">Based on the research findings on how children perceive and engage with real-life contexts in mathematics lessons, several recommendations and interventions can be proposed. Firstly, educators should incorporate a diverse range of real-life contexts into mathematics lessons to cater to different interests and learning styles. Interactive and hands-on learning experiences should be implemented, allowing children to directly engage with real-life contexts through activities such as cooking, shopping, or designing. </w:t>
      </w:r>
    </w:p>
    <w:p w14:paraId="45087917" w14:textId="6DCA3B24" w:rsidR="008B08AC" w:rsidRPr="0029566F" w:rsidRDefault="008B08AC" w:rsidP="00E71D43">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Additionally, instruction should be differentiated to meet the diverse needs of children, providing scaffolded support and differentiated tasks</w:t>
      </w:r>
      <w:r w:rsidR="00E71D43">
        <w:rPr>
          <w:rFonts w:ascii="Arial" w:hAnsi="Arial" w:cs="Arial"/>
          <w:sz w:val="22"/>
          <w:szCs w:val="22"/>
        </w:rPr>
        <w:t xml:space="preserve">. </w:t>
      </w:r>
      <w:r w:rsidRPr="0029566F">
        <w:rPr>
          <w:rFonts w:ascii="Arial" w:hAnsi="Arial" w:cs="Arial"/>
          <w:sz w:val="22"/>
          <w:szCs w:val="22"/>
        </w:rPr>
        <w:t>Fostering a collaborative learning environment where children can share their perspectives and problem-solving strategies is crucial, along with the integration of technology tools and resources to enhance engagement. Continuous assessment and feedback should be provided to monitor children's progress and address any challenges they encounter, while professional development opportunities for teachers should focus on effective instructional methods and cultural responsiveness. Finally, community engagement should be encouraged to create authentic learning opportunities that connect mathematics to real-life experiences outside the classroom, ultimately enhancing children's learning outcomes and fostering a deeper understanding of mathematical concepts.</w:t>
      </w:r>
    </w:p>
    <w:p w14:paraId="4E5B0936" w14:textId="77777777" w:rsidR="00851AC3" w:rsidRPr="0029566F" w:rsidRDefault="00851AC3" w:rsidP="008A0A33">
      <w:pPr>
        <w:jc w:val="both"/>
        <w:rPr>
          <w:rFonts w:ascii="Arial" w:hAnsi="Arial" w:cs="Arial"/>
          <w:sz w:val="22"/>
          <w:szCs w:val="22"/>
        </w:rPr>
      </w:pPr>
    </w:p>
    <w:p w14:paraId="32B12FB2" w14:textId="77777777" w:rsidR="0059233B" w:rsidRPr="0029566F" w:rsidRDefault="0059233B" w:rsidP="008A0A33">
      <w:pPr>
        <w:jc w:val="both"/>
        <w:rPr>
          <w:rFonts w:ascii="Arial" w:hAnsi="Arial" w:cs="Arial"/>
          <w:sz w:val="22"/>
          <w:szCs w:val="22"/>
        </w:rPr>
      </w:pPr>
    </w:p>
    <w:p w14:paraId="49058A44" w14:textId="77777777" w:rsidR="00991DC4" w:rsidRPr="00A84CE3" w:rsidRDefault="00991DC4" w:rsidP="00991DC4">
      <w:pPr>
        <w:rPr>
          <w:rFonts w:ascii="Arial" w:hAnsi="Arial" w:cs="Arial"/>
          <w:b/>
          <w:bCs/>
          <w:color w:val="000000" w:themeColor="text1"/>
          <w:sz w:val="22"/>
          <w:szCs w:val="22"/>
        </w:rPr>
      </w:pPr>
      <w:r w:rsidRPr="00A84CE3">
        <w:rPr>
          <w:rFonts w:ascii="Arial" w:hAnsi="Arial" w:cs="Arial"/>
          <w:b/>
          <w:bCs/>
          <w:color w:val="000000" w:themeColor="text1"/>
          <w:sz w:val="22"/>
          <w:szCs w:val="22"/>
        </w:rPr>
        <w:t>REFERENCES</w:t>
      </w:r>
    </w:p>
    <w:p w14:paraId="749620E3" w14:textId="2321541D"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Abedi, J., Zhang, Y., Rowe, S. E., &amp; Lee, H. (2020) Examining effectiveness and validity of accommodations for English language learners in Mathematics: An evidence-based computer accommodation decision system. </w:t>
      </w:r>
      <w:r w:rsidRPr="00A84CE3">
        <w:rPr>
          <w:rFonts w:ascii="Arial" w:hAnsi="Arial" w:cs="Arial"/>
          <w:i/>
          <w:iCs/>
          <w:color w:val="000000" w:themeColor="text1"/>
          <w:sz w:val="22"/>
          <w:szCs w:val="22"/>
        </w:rPr>
        <w:t>Educational Measurement: Issues and Practice</w:t>
      </w:r>
      <w:r w:rsidRPr="00A84CE3">
        <w:rPr>
          <w:rFonts w:ascii="Arial" w:hAnsi="Arial" w:cs="Arial"/>
          <w:color w:val="000000" w:themeColor="text1"/>
          <w:sz w:val="22"/>
          <w:szCs w:val="22"/>
        </w:rPr>
        <w:t xml:space="preserve">, 39(4), 41–52. </w:t>
      </w:r>
      <w:hyperlink r:id="rId8" w:history="1">
        <w:r w:rsidRPr="00A84CE3">
          <w:rPr>
            <w:rStyle w:val="Hyperlink"/>
            <w:rFonts w:ascii="Arial" w:hAnsi="Arial" w:cs="Arial"/>
            <w:color w:val="000000" w:themeColor="text1"/>
            <w:sz w:val="22"/>
            <w:szCs w:val="22"/>
          </w:rPr>
          <w:t>https://doi.org/10.1111/emip.12328</w:t>
        </w:r>
      </w:hyperlink>
      <w:r w:rsidR="00025DE6">
        <w:rPr>
          <w:rStyle w:val="Hyperlink"/>
          <w:rFonts w:ascii="Arial" w:hAnsi="Arial" w:cs="Arial"/>
          <w:color w:val="000000" w:themeColor="text1"/>
          <w:sz w:val="22"/>
          <w:szCs w:val="22"/>
        </w:rPr>
        <w:t>.</w:t>
      </w:r>
    </w:p>
    <w:p w14:paraId="3E78A63E"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 xml:space="preserve">Alderson, Priscilla. (2011) </w:t>
      </w:r>
      <w:r w:rsidRPr="00A84CE3">
        <w:rPr>
          <w:rFonts w:ascii="Arial" w:hAnsi="Arial" w:cs="Arial"/>
          <w:i/>
          <w:iCs/>
          <w:color w:val="000000" w:themeColor="text1"/>
          <w:sz w:val="22"/>
          <w:szCs w:val="22"/>
          <w:shd w:val="clear" w:color="auto" w:fill="FFFFFF"/>
        </w:rPr>
        <w:t>The ethics of research with children and young people: a practical handbook </w:t>
      </w:r>
      <w:r w:rsidRPr="00A84CE3">
        <w:rPr>
          <w:rFonts w:ascii="Arial" w:hAnsi="Arial" w:cs="Arial"/>
          <w:color w:val="000000" w:themeColor="text1"/>
          <w:sz w:val="22"/>
          <w:szCs w:val="22"/>
          <w:shd w:val="clear" w:color="auto" w:fill="FFFFFF"/>
        </w:rPr>
        <w:t>(Priscilla. Alderson &amp; Virginia. Morrow, Eds.; 2nd ed.). SAGE.</w:t>
      </w:r>
    </w:p>
    <w:p w14:paraId="358E6314"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American Psychological Association. (2017). Ethical Principles of Psychologists and Code of Conduct. Retrieved from </w:t>
      </w:r>
      <w:hyperlink r:id="rId9" w:history="1">
        <w:r w:rsidRPr="00A84CE3">
          <w:rPr>
            <w:rStyle w:val="Hyperlink"/>
            <w:rFonts w:ascii="Arial" w:hAnsi="Arial" w:cs="Arial"/>
            <w:sz w:val="22"/>
            <w:szCs w:val="22"/>
          </w:rPr>
          <w:t>https://www.apa.org/ethics/code</w:t>
        </w:r>
      </w:hyperlink>
      <w:r w:rsidRPr="00A84CE3">
        <w:rPr>
          <w:rFonts w:ascii="Arial" w:hAnsi="Arial" w:cs="Arial"/>
          <w:color w:val="000000" w:themeColor="text1"/>
          <w:sz w:val="22"/>
          <w:szCs w:val="22"/>
        </w:rPr>
        <w:t>.</w:t>
      </w:r>
    </w:p>
    <w:p w14:paraId="327BC5D7"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Aubrey, K. and Riley, A. (2019) Understanding and using educational theories. 2nd edn. London: SAGE.</w:t>
      </w:r>
    </w:p>
    <w:p w14:paraId="51619F33"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Barnett, J. M. (2002) Review: Michael Bloor, Jane Frankland, Michelle Thomas &amp; Kate Robson (2001). Focus Groups in Social Research. </w:t>
      </w:r>
      <w:r w:rsidRPr="00A84CE3">
        <w:rPr>
          <w:rFonts w:ascii="Arial" w:hAnsi="Arial" w:cs="Arial"/>
          <w:i/>
          <w:iCs/>
          <w:color w:val="000000" w:themeColor="text1"/>
          <w:sz w:val="22"/>
          <w:szCs w:val="22"/>
          <w:shd w:val="clear" w:color="auto" w:fill="FFFFFF"/>
        </w:rPr>
        <w:t>Forum, Qualitative Social Research</w:t>
      </w:r>
      <w:r w:rsidRPr="00A84CE3">
        <w:rPr>
          <w:rFonts w:ascii="Arial" w:hAnsi="Arial" w:cs="Arial"/>
          <w:color w:val="000000" w:themeColor="text1"/>
          <w:sz w:val="22"/>
          <w:szCs w:val="22"/>
          <w:shd w:val="clear" w:color="auto" w:fill="FFFFFF"/>
        </w:rPr>
        <w:t>, </w:t>
      </w:r>
      <w:r w:rsidRPr="00A84CE3">
        <w:rPr>
          <w:rFonts w:ascii="Arial" w:hAnsi="Arial" w:cs="Arial"/>
          <w:i/>
          <w:iCs/>
          <w:color w:val="000000" w:themeColor="text1"/>
          <w:sz w:val="22"/>
          <w:szCs w:val="22"/>
          <w:shd w:val="clear" w:color="auto" w:fill="FFFFFF"/>
        </w:rPr>
        <w:t>3</w:t>
      </w:r>
      <w:r w:rsidRPr="00A84CE3">
        <w:rPr>
          <w:rFonts w:ascii="Arial" w:hAnsi="Arial" w:cs="Arial"/>
          <w:color w:val="000000" w:themeColor="text1"/>
          <w:sz w:val="22"/>
          <w:szCs w:val="22"/>
          <w:shd w:val="clear" w:color="auto" w:fill="FFFFFF"/>
        </w:rPr>
        <w:t>(4).</w:t>
      </w:r>
    </w:p>
    <w:p w14:paraId="2925360E"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 xml:space="preserve">Bell, J. (2018) </w:t>
      </w:r>
      <w:r w:rsidRPr="00A84CE3">
        <w:rPr>
          <w:rFonts w:ascii="Arial" w:hAnsi="Arial" w:cs="Arial"/>
          <w:i/>
          <w:iCs/>
          <w:color w:val="000000" w:themeColor="text1"/>
          <w:sz w:val="22"/>
          <w:szCs w:val="22"/>
          <w:shd w:val="clear" w:color="auto" w:fill="FFFFFF"/>
        </w:rPr>
        <w:t>Doing your research project : a guide for first-time researchers </w:t>
      </w:r>
      <w:r w:rsidRPr="00A84CE3">
        <w:rPr>
          <w:rFonts w:ascii="Arial" w:hAnsi="Arial" w:cs="Arial"/>
          <w:color w:val="000000" w:themeColor="text1"/>
          <w:sz w:val="22"/>
          <w:szCs w:val="22"/>
          <w:shd w:val="clear" w:color="auto" w:fill="FFFFFF"/>
        </w:rPr>
        <w:t>(S. Waters, Ed.; 7th edition.). Open University Press McGraw-Hill Education.</w:t>
      </w:r>
    </w:p>
    <w:p w14:paraId="1397785A"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lastRenderedPageBreak/>
        <w:t xml:space="preserve">Bradberry L. A., De Maio J. (2019) </w:t>
      </w:r>
      <w:r w:rsidRPr="00A84CE3">
        <w:rPr>
          <w:rStyle w:val="ref-title"/>
          <w:rFonts w:ascii="Arial" w:hAnsi="Arial" w:cs="Arial"/>
          <w:color w:val="000000" w:themeColor="text1"/>
          <w:sz w:val="22"/>
          <w:szCs w:val="22"/>
          <w:shd w:val="clear" w:color="auto" w:fill="FFFFFF"/>
        </w:rPr>
        <w:t>Learning by doing: The long-term impact of experiential learning programs on student success</w:t>
      </w:r>
      <w:r w:rsidRPr="00A84CE3">
        <w:rPr>
          <w:rFonts w:ascii="Arial" w:hAnsi="Arial" w:cs="Arial"/>
          <w:color w:val="000000" w:themeColor="text1"/>
          <w:sz w:val="22"/>
          <w:szCs w:val="22"/>
          <w:shd w:val="clear" w:color="auto" w:fill="FFFFFF"/>
        </w:rPr>
        <w:t>. </w:t>
      </w:r>
      <w:r w:rsidRPr="00A84CE3">
        <w:rPr>
          <w:rStyle w:val="ref-journal"/>
          <w:rFonts w:ascii="Arial" w:hAnsi="Arial" w:cs="Arial"/>
          <w:color w:val="000000" w:themeColor="text1"/>
          <w:sz w:val="22"/>
          <w:szCs w:val="22"/>
          <w:shd w:val="clear" w:color="auto" w:fill="FFFFFF"/>
        </w:rPr>
        <w:t>J. Political Sci. Educ.</w:t>
      </w:r>
      <w:r w:rsidRPr="00A84CE3">
        <w:rPr>
          <w:rFonts w:ascii="Arial" w:hAnsi="Arial" w:cs="Arial"/>
          <w:color w:val="000000" w:themeColor="text1"/>
          <w:sz w:val="22"/>
          <w:szCs w:val="22"/>
          <w:shd w:val="clear" w:color="auto" w:fill="FFFFFF"/>
        </w:rPr>
        <w:t> </w:t>
      </w:r>
      <w:r w:rsidRPr="00A84CE3">
        <w:rPr>
          <w:rStyle w:val="ref-vol"/>
          <w:rFonts w:ascii="Arial" w:hAnsi="Arial" w:cs="Arial"/>
          <w:color w:val="000000" w:themeColor="text1"/>
          <w:sz w:val="22"/>
          <w:szCs w:val="22"/>
          <w:shd w:val="clear" w:color="auto" w:fill="FFFFFF"/>
        </w:rPr>
        <w:t>15</w:t>
      </w:r>
      <w:r w:rsidRPr="00A84CE3">
        <w:rPr>
          <w:rFonts w:ascii="Arial" w:hAnsi="Arial" w:cs="Arial"/>
          <w:color w:val="000000" w:themeColor="text1"/>
          <w:sz w:val="22"/>
          <w:szCs w:val="22"/>
          <w:shd w:val="clear" w:color="auto" w:fill="FFFFFF"/>
        </w:rPr>
        <w:t>, 94–111. doi: 10.1080/15512169.2018.1485571.</w:t>
      </w:r>
    </w:p>
    <w:p w14:paraId="34F0D030"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British Educational Research Association [BERA] (2018) Ethical Guidelines for </w:t>
      </w:r>
      <w:r w:rsidRPr="00A84CE3">
        <w:rPr>
          <w:rFonts w:ascii="Arial" w:hAnsi="Arial" w:cs="Arial"/>
          <w:i/>
          <w:iCs/>
          <w:color w:val="000000" w:themeColor="text1"/>
          <w:sz w:val="22"/>
          <w:szCs w:val="22"/>
        </w:rPr>
        <w:t>Educational Research, fourth edition</w:t>
      </w:r>
      <w:r w:rsidRPr="00A84CE3">
        <w:rPr>
          <w:rFonts w:ascii="Arial" w:hAnsi="Arial" w:cs="Arial"/>
          <w:color w:val="000000" w:themeColor="text1"/>
          <w:sz w:val="22"/>
          <w:szCs w:val="22"/>
        </w:rPr>
        <w:t>, London. https://www.bera.ac.uk/researchers-resources/publications/ethicalguidelines-for-educational-research-2018.</w:t>
      </w:r>
    </w:p>
    <w:p w14:paraId="156FA3D2"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Broido E. M. (2014) </w:t>
      </w:r>
      <w:r w:rsidRPr="00A84CE3">
        <w:rPr>
          <w:rStyle w:val="ref-title"/>
          <w:rFonts w:ascii="Arial" w:hAnsi="Arial" w:cs="Arial"/>
          <w:color w:val="000000" w:themeColor="text1"/>
          <w:sz w:val="22"/>
          <w:szCs w:val="22"/>
          <w:shd w:val="clear" w:color="auto" w:fill="FFFFFF"/>
        </w:rPr>
        <w:t>Book review: one size does not fit all: traditional and innovative models of student affairs practice</w:t>
      </w:r>
      <w:r w:rsidRPr="00A84CE3">
        <w:rPr>
          <w:rFonts w:ascii="Arial" w:hAnsi="Arial" w:cs="Arial"/>
          <w:color w:val="000000" w:themeColor="text1"/>
          <w:sz w:val="22"/>
          <w:szCs w:val="22"/>
          <w:shd w:val="clear" w:color="auto" w:fill="FFFFFF"/>
        </w:rPr>
        <w:t>. </w:t>
      </w:r>
      <w:r w:rsidRPr="00A84CE3">
        <w:rPr>
          <w:rStyle w:val="ref-journal"/>
          <w:rFonts w:ascii="Arial" w:hAnsi="Arial" w:cs="Arial"/>
          <w:color w:val="000000" w:themeColor="text1"/>
          <w:sz w:val="22"/>
          <w:szCs w:val="22"/>
          <w:shd w:val="clear" w:color="auto" w:fill="FFFFFF"/>
        </w:rPr>
        <w:t>J. Stud. Aff. Afr.</w:t>
      </w:r>
      <w:r w:rsidRPr="00A84CE3">
        <w:rPr>
          <w:rFonts w:ascii="Arial" w:hAnsi="Arial" w:cs="Arial"/>
          <w:color w:val="000000" w:themeColor="text1"/>
          <w:sz w:val="22"/>
          <w:szCs w:val="22"/>
          <w:shd w:val="clear" w:color="auto" w:fill="FFFFFF"/>
        </w:rPr>
        <w:t> </w:t>
      </w:r>
      <w:r w:rsidRPr="00A84CE3">
        <w:rPr>
          <w:rStyle w:val="ref-vol"/>
          <w:rFonts w:ascii="Arial" w:hAnsi="Arial" w:cs="Arial"/>
          <w:color w:val="000000" w:themeColor="text1"/>
          <w:sz w:val="22"/>
          <w:szCs w:val="22"/>
          <w:shd w:val="clear" w:color="auto" w:fill="FFFFFF"/>
        </w:rPr>
        <w:t>2</w:t>
      </w:r>
      <w:r w:rsidRPr="00A84CE3">
        <w:rPr>
          <w:rFonts w:ascii="Arial" w:hAnsi="Arial" w:cs="Arial"/>
          <w:color w:val="000000" w:themeColor="text1"/>
          <w:sz w:val="22"/>
          <w:szCs w:val="22"/>
          <w:shd w:val="clear" w:color="auto" w:fill="FFFFFF"/>
        </w:rPr>
        <w:t>, 93–96. doi: 10.14426/jsaa.v2i1.52.</w:t>
      </w:r>
    </w:p>
    <w:p w14:paraId="76EC75B8"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Brown, K. (2019) The Role of Hands-On Learning in Long-Term Knowledge Retention: A Critical Review. </w:t>
      </w:r>
      <w:r w:rsidRPr="00A84CE3">
        <w:rPr>
          <w:rFonts w:ascii="Arial" w:hAnsi="Arial" w:cs="Arial"/>
          <w:i/>
          <w:iCs/>
          <w:color w:val="000000" w:themeColor="text1"/>
          <w:sz w:val="22"/>
          <w:szCs w:val="22"/>
        </w:rPr>
        <w:t>Educational Review</w:t>
      </w:r>
      <w:r w:rsidRPr="00A84CE3">
        <w:rPr>
          <w:rFonts w:ascii="Arial" w:hAnsi="Arial" w:cs="Arial"/>
          <w:color w:val="000000" w:themeColor="text1"/>
          <w:sz w:val="22"/>
          <w:szCs w:val="22"/>
        </w:rPr>
        <w:t>, 28(4), 453-468.</w:t>
      </w:r>
    </w:p>
    <w:p w14:paraId="686D0A27"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Canadian Institutes of Health Research, Natural Sciences and Engineering Research Council of Canada, &amp; Social Sciences and Humanities Research Council of Canada. (2014). Tri-Council Policy Statement: Ethical Conduct for Research Involving Humans. Retrieved from </w:t>
      </w:r>
      <w:hyperlink r:id="rId10" w:history="1">
        <w:r w:rsidRPr="00A84CE3">
          <w:rPr>
            <w:rStyle w:val="Hyperlink"/>
            <w:rFonts w:ascii="Arial" w:hAnsi="Arial" w:cs="Arial"/>
            <w:color w:val="000000" w:themeColor="text1"/>
            <w:sz w:val="22"/>
            <w:szCs w:val="22"/>
          </w:rPr>
          <w:t>https://ethics.gc.ca/eng/documents/tcps2-2018-en-interactive-final.pdf</w:t>
        </w:r>
      </w:hyperlink>
    </w:p>
    <w:p w14:paraId="3A2B732E" w14:textId="50A4A0A5"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Che F. N., Strang K. D., Vajjhala N. R. (2021) </w:t>
      </w:r>
      <w:r w:rsidRPr="00A84CE3">
        <w:rPr>
          <w:rStyle w:val="ref-title"/>
          <w:rFonts w:ascii="Arial" w:hAnsi="Arial" w:cs="Arial"/>
          <w:color w:val="000000" w:themeColor="text1"/>
          <w:sz w:val="22"/>
          <w:szCs w:val="22"/>
          <w:shd w:val="clear" w:color="auto" w:fill="FFFFFF"/>
        </w:rPr>
        <w:t>Using experiential learning to improve student attitude and learning quality in software engineering education</w:t>
      </w:r>
      <w:r w:rsidRPr="00A84CE3">
        <w:rPr>
          <w:rFonts w:ascii="Arial" w:hAnsi="Arial" w:cs="Arial"/>
          <w:color w:val="000000" w:themeColor="text1"/>
          <w:sz w:val="22"/>
          <w:szCs w:val="22"/>
          <w:shd w:val="clear" w:color="auto" w:fill="FFFFFF"/>
        </w:rPr>
        <w:t>. </w:t>
      </w:r>
      <w:r w:rsidRPr="00A84CE3">
        <w:rPr>
          <w:rStyle w:val="ref-journal"/>
          <w:rFonts w:ascii="Arial" w:hAnsi="Arial" w:cs="Arial"/>
          <w:color w:val="000000" w:themeColor="text1"/>
          <w:sz w:val="22"/>
          <w:szCs w:val="22"/>
          <w:shd w:val="clear" w:color="auto" w:fill="FFFFFF"/>
        </w:rPr>
        <w:t>Int. J. Innovative Teach. Learn. Higher Educ.</w:t>
      </w:r>
      <w:r w:rsidRPr="00A84CE3">
        <w:rPr>
          <w:rFonts w:ascii="Arial" w:hAnsi="Arial" w:cs="Arial"/>
          <w:color w:val="000000" w:themeColor="text1"/>
          <w:sz w:val="22"/>
          <w:szCs w:val="22"/>
          <w:shd w:val="clear" w:color="auto" w:fill="FFFFFF"/>
        </w:rPr>
        <w:t> </w:t>
      </w:r>
      <w:r w:rsidRPr="00A84CE3">
        <w:rPr>
          <w:rStyle w:val="ref-vol"/>
          <w:rFonts w:ascii="Arial" w:hAnsi="Arial" w:cs="Arial"/>
          <w:color w:val="000000" w:themeColor="text1"/>
          <w:sz w:val="22"/>
          <w:szCs w:val="22"/>
          <w:shd w:val="clear" w:color="auto" w:fill="FFFFFF"/>
        </w:rPr>
        <w:t>2</w:t>
      </w:r>
      <w:r w:rsidRPr="00A84CE3">
        <w:rPr>
          <w:rFonts w:ascii="Arial" w:hAnsi="Arial" w:cs="Arial"/>
          <w:color w:val="000000" w:themeColor="text1"/>
          <w:sz w:val="22"/>
          <w:szCs w:val="22"/>
          <w:shd w:val="clear" w:color="auto" w:fill="FFFFFF"/>
        </w:rPr>
        <w:t>, 1–22. doi: 10.4018/IJITLHE.20210101.oa2.</w:t>
      </w:r>
    </w:p>
    <w:p w14:paraId="2FEE6C9A" w14:textId="56B3B80D"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Cohen, L. (2018) </w:t>
      </w:r>
      <w:r w:rsidRPr="00A84CE3">
        <w:rPr>
          <w:rFonts w:ascii="Arial" w:hAnsi="Arial" w:cs="Arial"/>
          <w:i/>
          <w:iCs/>
          <w:color w:val="000000" w:themeColor="text1"/>
          <w:sz w:val="22"/>
          <w:szCs w:val="22"/>
          <w:shd w:val="clear" w:color="auto" w:fill="FFFFFF"/>
        </w:rPr>
        <w:t>Research methods in education </w:t>
      </w:r>
      <w:r w:rsidRPr="00A84CE3">
        <w:rPr>
          <w:rFonts w:ascii="Arial" w:hAnsi="Arial" w:cs="Arial"/>
          <w:color w:val="000000" w:themeColor="text1"/>
          <w:sz w:val="22"/>
          <w:szCs w:val="22"/>
          <w:shd w:val="clear" w:color="auto" w:fill="FFFFFF"/>
        </w:rPr>
        <w:t>(L. Manion &amp; K. Morrison, Eds.; Eighth edition). Routledge.</w:t>
      </w:r>
    </w:p>
    <w:p w14:paraId="68C90EF5" w14:textId="2C8CF0AD"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Delhaye, M. </w:t>
      </w:r>
      <w:r w:rsidRPr="00A84CE3">
        <w:rPr>
          <w:rFonts w:ascii="Arial" w:hAnsi="Arial" w:cs="Arial"/>
          <w:i/>
          <w:iCs/>
          <w:color w:val="000000" w:themeColor="text1"/>
          <w:sz w:val="22"/>
          <w:szCs w:val="22"/>
          <w:shd w:val="clear" w:color="auto" w:fill="FFFFFF"/>
        </w:rPr>
        <w:t>et al.</w:t>
      </w:r>
      <w:r w:rsidRPr="00A84CE3">
        <w:rPr>
          <w:rFonts w:ascii="Arial" w:hAnsi="Arial" w:cs="Arial"/>
          <w:color w:val="000000" w:themeColor="text1"/>
          <w:sz w:val="22"/>
          <w:szCs w:val="22"/>
          <w:shd w:val="clear" w:color="auto" w:fill="FFFFFF"/>
        </w:rPr>
        <w:t> (2012)</w:t>
      </w:r>
      <w:r w:rsidR="00025DE6">
        <w:rPr>
          <w:rFonts w:ascii="Arial" w:hAnsi="Arial" w:cs="Arial"/>
          <w:color w:val="000000" w:themeColor="text1"/>
          <w:sz w:val="22"/>
          <w:szCs w:val="22"/>
          <w:shd w:val="clear" w:color="auto" w:fill="FFFFFF"/>
        </w:rPr>
        <w:t xml:space="preserve"> </w:t>
      </w:r>
      <w:r w:rsidRPr="00A84CE3">
        <w:rPr>
          <w:rFonts w:ascii="Arial" w:hAnsi="Arial" w:cs="Arial"/>
          <w:color w:val="000000" w:themeColor="text1"/>
          <w:sz w:val="22"/>
          <w:szCs w:val="22"/>
          <w:shd w:val="clear" w:color="auto" w:fill="FFFFFF"/>
        </w:rPr>
        <w:t>“The Leuven Adolescent Perceived Parenting Scale (LAPPS): Reliability and Validity with French-Speaking Adolescents in Belgium,” </w:t>
      </w:r>
      <w:r w:rsidRPr="00A84CE3">
        <w:rPr>
          <w:rFonts w:ascii="Arial" w:hAnsi="Arial" w:cs="Arial"/>
          <w:i/>
          <w:iCs/>
          <w:color w:val="000000" w:themeColor="text1"/>
          <w:sz w:val="22"/>
          <w:szCs w:val="22"/>
          <w:shd w:val="clear" w:color="auto" w:fill="FFFFFF"/>
        </w:rPr>
        <w:t>Psychologica Belgica</w:t>
      </w:r>
      <w:r w:rsidRPr="00A84CE3">
        <w:rPr>
          <w:rFonts w:ascii="Arial" w:hAnsi="Arial" w:cs="Arial"/>
          <w:color w:val="000000" w:themeColor="text1"/>
          <w:sz w:val="22"/>
          <w:szCs w:val="22"/>
          <w:shd w:val="clear" w:color="auto" w:fill="FFFFFF"/>
        </w:rPr>
        <w:t>, 52(4), pp. 289–305. Available at: https://doi.org/10.5334/pb-52-4-289.</w:t>
      </w:r>
    </w:p>
    <w:p w14:paraId="044FC3FE"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 xml:space="preserve">Derakhshan A. (2021) </w:t>
      </w:r>
      <w:r w:rsidRPr="00A84CE3">
        <w:rPr>
          <w:rStyle w:val="ref-title"/>
          <w:rFonts w:ascii="Arial" w:hAnsi="Arial" w:cs="Arial"/>
          <w:color w:val="000000" w:themeColor="text1"/>
          <w:sz w:val="22"/>
          <w:szCs w:val="22"/>
          <w:shd w:val="clear" w:color="auto" w:fill="FFFFFF"/>
        </w:rPr>
        <w:t>The predictability of Turkman students’ academic engagement through Persian language teachers’ nonverbal immediacy and credibility</w:t>
      </w:r>
      <w:r w:rsidRPr="00A84CE3">
        <w:rPr>
          <w:rFonts w:ascii="Arial" w:hAnsi="Arial" w:cs="Arial"/>
          <w:color w:val="000000" w:themeColor="text1"/>
          <w:sz w:val="22"/>
          <w:szCs w:val="22"/>
          <w:shd w:val="clear" w:color="auto" w:fill="FFFFFF"/>
        </w:rPr>
        <w:t>. </w:t>
      </w:r>
      <w:r w:rsidRPr="00A84CE3">
        <w:rPr>
          <w:rStyle w:val="ref-journal"/>
          <w:rFonts w:ascii="Arial" w:hAnsi="Arial" w:cs="Arial"/>
          <w:color w:val="000000" w:themeColor="text1"/>
          <w:sz w:val="22"/>
          <w:szCs w:val="22"/>
          <w:shd w:val="clear" w:color="auto" w:fill="FFFFFF"/>
        </w:rPr>
        <w:t>J. Teach. Persian Speakers Other Lang.</w:t>
      </w:r>
      <w:r w:rsidRPr="00A84CE3">
        <w:rPr>
          <w:rFonts w:ascii="Arial" w:hAnsi="Arial" w:cs="Arial"/>
          <w:color w:val="000000" w:themeColor="text1"/>
          <w:sz w:val="22"/>
          <w:szCs w:val="22"/>
          <w:shd w:val="clear" w:color="auto" w:fill="FFFFFF"/>
        </w:rPr>
        <w:t> </w:t>
      </w:r>
      <w:r w:rsidRPr="00A84CE3">
        <w:rPr>
          <w:rStyle w:val="ref-vol"/>
          <w:rFonts w:ascii="Arial" w:hAnsi="Arial" w:cs="Arial"/>
          <w:color w:val="000000" w:themeColor="text1"/>
          <w:sz w:val="22"/>
          <w:szCs w:val="22"/>
          <w:shd w:val="clear" w:color="auto" w:fill="FFFFFF"/>
        </w:rPr>
        <w:t>10</w:t>
      </w:r>
      <w:r w:rsidRPr="00A84CE3">
        <w:rPr>
          <w:rFonts w:ascii="Arial" w:hAnsi="Arial" w:cs="Arial"/>
          <w:color w:val="000000" w:themeColor="text1"/>
          <w:sz w:val="22"/>
          <w:szCs w:val="22"/>
          <w:shd w:val="clear" w:color="auto" w:fill="FFFFFF"/>
        </w:rPr>
        <w:t>, 3–26. Doi:</w:t>
      </w:r>
      <w:r w:rsidRPr="00A84CE3">
        <w:rPr>
          <w:rFonts w:ascii="Arial" w:hAnsi="Arial" w:cs="Arial"/>
          <w:color w:val="000000" w:themeColor="text1"/>
          <w:sz w:val="22"/>
          <w:szCs w:val="22"/>
        </w:rPr>
        <w:t xml:space="preserve"> </w:t>
      </w:r>
      <w:r w:rsidRPr="00A84CE3">
        <w:rPr>
          <w:rFonts w:ascii="Arial" w:hAnsi="Arial" w:cs="Arial"/>
          <w:color w:val="000000" w:themeColor="text1"/>
          <w:sz w:val="22"/>
          <w:szCs w:val="22"/>
          <w:shd w:val="clear" w:color="auto" w:fill="FFFFFF"/>
        </w:rPr>
        <w:t>10.30479/JTPSOL.2021.14654.1506.</w:t>
      </w:r>
    </w:p>
    <w:p w14:paraId="031EABD6" w14:textId="77777777" w:rsidR="00991DC4" w:rsidRPr="00A84CE3" w:rsidRDefault="00991DC4" w:rsidP="00991DC4">
      <w:pPr>
        <w:spacing w:before="100" w:beforeAutospacing="1" w:after="100" w:afterAutospacing="1" w:line="240" w:lineRule="auto"/>
        <w:rPr>
          <w:rStyle w:val="ref-title"/>
          <w:rFonts w:ascii="Arial" w:hAnsi="Arial" w:cs="Arial"/>
          <w:color w:val="000000" w:themeColor="text1"/>
          <w:sz w:val="22"/>
          <w:szCs w:val="22"/>
          <w:shd w:val="clear" w:color="auto" w:fill="FFFFFF"/>
        </w:rPr>
      </w:pPr>
      <w:r w:rsidRPr="00A84CE3">
        <w:rPr>
          <w:rStyle w:val="ref-title"/>
          <w:rFonts w:ascii="Arial" w:hAnsi="Arial" w:cs="Arial"/>
          <w:color w:val="000000" w:themeColor="text1"/>
          <w:sz w:val="22"/>
          <w:szCs w:val="22"/>
          <w:shd w:val="clear" w:color="auto" w:fill="FFFFFF"/>
        </w:rPr>
        <w:t xml:space="preserve">Donaldson, G., (2015) Successful Futures: Independent Review Curriculum and Assessment Arrangements in Wales. Pdf. Available at:&lt; </w:t>
      </w:r>
      <w:hyperlink r:id="rId11" w:history="1">
        <w:r w:rsidRPr="00A84CE3">
          <w:rPr>
            <w:rStyle w:val="ref-title"/>
            <w:rFonts w:ascii="Arial" w:hAnsi="Arial" w:cs="Arial"/>
            <w:color w:val="000000" w:themeColor="text1"/>
            <w:sz w:val="22"/>
            <w:szCs w:val="22"/>
            <w:shd w:val="clear" w:color="auto" w:fill="FFFFFF"/>
          </w:rPr>
          <w:t>https://gov.wales/sites/default/files/publications/2018-03/successful-futures.pdf</w:t>
        </w:r>
      </w:hyperlink>
      <w:r w:rsidRPr="00A84CE3">
        <w:rPr>
          <w:rStyle w:val="ref-title"/>
          <w:rFonts w:ascii="Arial" w:hAnsi="Arial" w:cs="Arial"/>
          <w:color w:val="000000" w:themeColor="text1"/>
          <w:sz w:val="22"/>
          <w:szCs w:val="22"/>
          <w:shd w:val="clear" w:color="auto" w:fill="FFFFFF"/>
        </w:rPr>
        <w:t>&gt; (Accessed 17th March 2024).</w:t>
      </w:r>
    </w:p>
    <w:p w14:paraId="4AB2EBEF" w14:textId="77777777" w:rsidR="00991DC4" w:rsidRPr="00A84CE3" w:rsidRDefault="00991DC4" w:rsidP="00991DC4">
      <w:pPr>
        <w:ind w:left="360"/>
        <w:rPr>
          <w:rFonts w:ascii="Arial" w:hAnsi="Arial" w:cs="Arial"/>
          <w:color w:val="000000" w:themeColor="text1"/>
          <w:sz w:val="22"/>
          <w:szCs w:val="22"/>
          <w:shd w:val="clear" w:color="auto" w:fill="FFFFFF"/>
        </w:rPr>
      </w:pPr>
    </w:p>
    <w:p w14:paraId="4D121CB2" w14:textId="77777777" w:rsidR="00991DC4" w:rsidRPr="00A84CE3" w:rsidRDefault="00991DC4" w:rsidP="00991DC4">
      <w:pPr>
        <w:pStyle w:val="NoSpacing"/>
        <w:rPr>
          <w:rFonts w:ascii="Arial" w:hAnsi="Arial" w:cs="Arial"/>
          <w:color w:val="000000" w:themeColor="text1"/>
        </w:rPr>
      </w:pPr>
      <w:r w:rsidRPr="00A84CE3">
        <w:rPr>
          <w:rFonts w:ascii="Arial" w:hAnsi="Arial" w:cs="Arial"/>
          <w:color w:val="000000" w:themeColor="text1"/>
          <w:shd w:val="clear" w:color="auto" w:fill="FFFFFF"/>
        </w:rPr>
        <w:t xml:space="preserve">Estyn (2020) Good teaching and learning Report. Available at: </w:t>
      </w:r>
      <w:hyperlink r:id="rId12" w:history="1">
        <w:r w:rsidRPr="00A84CE3">
          <w:rPr>
            <w:rStyle w:val="Hyperlink"/>
            <w:rFonts w:ascii="Arial" w:hAnsi="Arial" w:cs="Arial"/>
            <w:color w:val="000000" w:themeColor="text1"/>
            <w:shd w:val="clear" w:color="auto" w:fill="FFFFFF"/>
          </w:rPr>
          <w:t>https://www.estyn.gov.wales/sites/www.estyn.gov.wales/files/2020-07/A_high_quality_education_profession_2018_2019_en.pdf</w:t>
        </w:r>
      </w:hyperlink>
      <w:r w:rsidRPr="00A84CE3">
        <w:rPr>
          <w:rFonts w:ascii="Arial" w:hAnsi="Arial" w:cs="Arial"/>
          <w:color w:val="000000" w:themeColor="text1"/>
          <w:shd w:val="clear" w:color="auto" w:fill="FFFFFF"/>
        </w:rPr>
        <w:t xml:space="preserve"> </w:t>
      </w:r>
      <w:r w:rsidRPr="00A84CE3">
        <w:rPr>
          <w:rFonts w:ascii="Arial" w:hAnsi="Arial" w:cs="Arial"/>
          <w:color w:val="000000" w:themeColor="text1"/>
        </w:rPr>
        <w:t>(Accessed 5</w:t>
      </w:r>
      <w:r w:rsidRPr="00A84CE3">
        <w:rPr>
          <w:rFonts w:ascii="Arial" w:hAnsi="Arial" w:cs="Arial"/>
          <w:color w:val="000000" w:themeColor="text1"/>
          <w:vertAlign w:val="superscript"/>
        </w:rPr>
        <w:t>th</w:t>
      </w:r>
      <w:r w:rsidRPr="00A84CE3">
        <w:rPr>
          <w:rFonts w:ascii="Arial" w:hAnsi="Arial" w:cs="Arial"/>
          <w:color w:val="000000" w:themeColor="text1"/>
        </w:rPr>
        <w:t xml:space="preserve"> April 2024).</w:t>
      </w:r>
    </w:p>
    <w:p w14:paraId="4AE3C695" w14:textId="77777777" w:rsidR="00991DC4" w:rsidRPr="00A84CE3" w:rsidRDefault="00991DC4" w:rsidP="00991DC4">
      <w:pPr>
        <w:rPr>
          <w:rFonts w:ascii="Arial" w:hAnsi="Arial" w:cs="Arial"/>
          <w:color w:val="000000" w:themeColor="text1"/>
          <w:sz w:val="22"/>
          <w:szCs w:val="22"/>
        </w:rPr>
      </w:pPr>
    </w:p>
    <w:p w14:paraId="1F462DE1" w14:textId="0F36988E"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Fabián</w:t>
      </w:r>
      <w:r w:rsidR="00025DE6">
        <w:rPr>
          <w:rFonts w:ascii="Arial" w:hAnsi="Arial" w:cs="Arial"/>
          <w:color w:val="000000" w:themeColor="text1"/>
          <w:sz w:val="22"/>
          <w:szCs w:val="22"/>
        </w:rPr>
        <w:t xml:space="preserve"> et al. </w:t>
      </w:r>
      <w:r w:rsidRPr="00A84CE3">
        <w:rPr>
          <w:rFonts w:ascii="Arial" w:hAnsi="Arial" w:cs="Arial"/>
          <w:color w:val="000000" w:themeColor="text1"/>
          <w:sz w:val="22"/>
          <w:szCs w:val="22"/>
        </w:rPr>
        <w:t xml:space="preserve">(2020)  Grupos Focales: Marco de Referencia para su Implementación. </w:t>
      </w:r>
      <w:r w:rsidRPr="00A84CE3">
        <w:rPr>
          <w:rFonts w:ascii="Arial" w:hAnsi="Arial" w:cs="Arial"/>
          <w:i/>
          <w:iCs/>
          <w:color w:val="000000" w:themeColor="text1"/>
          <w:sz w:val="22"/>
          <w:szCs w:val="22"/>
        </w:rPr>
        <w:t>INNOVA Research Journal</w:t>
      </w:r>
      <w:r w:rsidRPr="00A84CE3">
        <w:rPr>
          <w:rFonts w:ascii="Arial" w:hAnsi="Arial" w:cs="Arial"/>
          <w:color w:val="000000" w:themeColor="text1"/>
          <w:sz w:val="22"/>
          <w:szCs w:val="22"/>
        </w:rPr>
        <w:t xml:space="preserve">,  doi: 10.33890/INNOVA.V5.N3.2020.1401. </w:t>
      </w:r>
    </w:p>
    <w:p w14:paraId="625ACBDB"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Gall, M. D., &amp; Borg, W. R. (eds.) (2005) Applying educational research: A practical guide. USA: Pearson Education, Inc.</w:t>
      </w:r>
    </w:p>
    <w:p w14:paraId="504B7676" w14:textId="6E7C9D32"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Garcia, R., &amp; Patel, M. (2020)</w:t>
      </w:r>
      <w:r w:rsidR="00025DE6">
        <w:rPr>
          <w:rFonts w:ascii="Arial" w:hAnsi="Arial" w:cs="Arial"/>
          <w:color w:val="000000" w:themeColor="text1"/>
          <w:sz w:val="22"/>
          <w:szCs w:val="22"/>
        </w:rPr>
        <w:t xml:space="preserve"> </w:t>
      </w:r>
      <w:r w:rsidRPr="00A84CE3">
        <w:rPr>
          <w:rFonts w:ascii="Arial" w:hAnsi="Arial" w:cs="Arial"/>
          <w:color w:val="000000" w:themeColor="text1"/>
          <w:sz w:val="22"/>
          <w:szCs w:val="22"/>
        </w:rPr>
        <w:t>Scaffolding Mathematics Learning for English Language Learners: A Case Study of Effective Teacher Practices. TESOL Journal, 12(3), 301-318.</w:t>
      </w:r>
    </w:p>
    <w:p w14:paraId="7A0C67E7"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lastRenderedPageBreak/>
        <w:t>Grace, T.P.L. and Lee, T.K.T.,( 2014)  Designing of authentic learning mediated by mobile technology for primary school learners. </w:t>
      </w:r>
      <w:r w:rsidRPr="00A84CE3">
        <w:rPr>
          <w:rFonts w:ascii="Arial" w:hAnsi="Arial" w:cs="Arial"/>
          <w:i/>
          <w:iCs/>
          <w:color w:val="000000" w:themeColor="text1"/>
          <w:sz w:val="22"/>
          <w:szCs w:val="22"/>
          <w:shd w:val="clear" w:color="auto" w:fill="FFFFFF"/>
        </w:rPr>
        <w:t>JISTE</w:t>
      </w:r>
      <w:r w:rsidRPr="00A84CE3">
        <w:rPr>
          <w:rFonts w:ascii="Arial" w:hAnsi="Arial" w:cs="Arial"/>
          <w:color w:val="000000" w:themeColor="text1"/>
          <w:sz w:val="22"/>
          <w:szCs w:val="22"/>
          <w:shd w:val="clear" w:color="auto" w:fill="FFFFFF"/>
        </w:rPr>
        <w:t>, </w:t>
      </w:r>
      <w:r w:rsidRPr="00A84CE3">
        <w:rPr>
          <w:rFonts w:ascii="Arial" w:hAnsi="Arial" w:cs="Arial"/>
          <w:i/>
          <w:iCs/>
          <w:color w:val="000000" w:themeColor="text1"/>
          <w:sz w:val="22"/>
          <w:szCs w:val="22"/>
          <w:shd w:val="clear" w:color="auto" w:fill="FFFFFF"/>
        </w:rPr>
        <w:t>18</w:t>
      </w:r>
      <w:r w:rsidRPr="00A84CE3">
        <w:rPr>
          <w:rFonts w:ascii="Arial" w:hAnsi="Arial" w:cs="Arial"/>
          <w:color w:val="000000" w:themeColor="text1"/>
          <w:sz w:val="22"/>
          <w:szCs w:val="22"/>
          <w:shd w:val="clear" w:color="auto" w:fill="FFFFFF"/>
        </w:rPr>
        <w:t xml:space="preserve">(1), pp.42-52. Available at: </w:t>
      </w:r>
      <w:hyperlink r:id="rId13" w:anchor="page=42" w:history="1">
        <w:r w:rsidRPr="00A84CE3">
          <w:rPr>
            <w:rStyle w:val="Hyperlink"/>
            <w:rFonts w:ascii="Arial" w:hAnsi="Arial" w:cs="Arial"/>
            <w:color w:val="000000" w:themeColor="text1"/>
            <w:sz w:val="22"/>
            <w:szCs w:val="22"/>
            <w:shd w:val="clear" w:color="auto" w:fill="FFFFFF"/>
          </w:rPr>
          <w:t>https://isfte.org/wp-content/uploads/2015/07/JISTE_18.1_2014.pdf#page=42</w:t>
        </w:r>
      </w:hyperlink>
      <w:r w:rsidRPr="00A84CE3">
        <w:rPr>
          <w:rFonts w:ascii="Arial" w:hAnsi="Arial" w:cs="Arial"/>
          <w:color w:val="000000" w:themeColor="text1"/>
          <w:sz w:val="22"/>
          <w:szCs w:val="22"/>
          <w:shd w:val="clear" w:color="auto" w:fill="FFFFFF"/>
        </w:rPr>
        <w:t xml:space="preserve">  </w:t>
      </w:r>
      <w:r w:rsidRPr="00A84CE3">
        <w:rPr>
          <w:rFonts w:ascii="Arial" w:hAnsi="Arial" w:cs="Arial"/>
          <w:color w:val="000000" w:themeColor="text1"/>
          <w:sz w:val="22"/>
          <w:szCs w:val="22"/>
        </w:rPr>
        <w:t>[accessed 5</w:t>
      </w:r>
      <w:r w:rsidRPr="00A84CE3">
        <w:rPr>
          <w:rFonts w:ascii="Arial" w:hAnsi="Arial" w:cs="Arial"/>
          <w:color w:val="000000" w:themeColor="text1"/>
          <w:sz w:val="22"/>
          <w:szCs w:val="22"/>
          <w:vertAlign w:val="superscript"/>
        </w:rPr>
        <w:t>th</w:t>
      </w:r>
      <w:r w:rsidRPr="00A84CE3">
        <w:rPr>
          <w:rFonts w:ascii="Arial" w:hAnsi="Arial" w:cs="Arial"/>
          <w:color w:val="000000" w:themeColor="text1"/>
          <w:sz w:val="22"/>
          <w:szCs w:val="22"/>
        </w:rPr>
        <w:t xml:space="preserve"> April 2024].</w:t>
      </w:r>
    </w:p>
    <w:p w14:paraId="48FAFD5B"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I, J.-Y. (2019) Preservice teachers’ mathematics task modification for emergent bilinguals. School Science and Mathematics, 119(3), 127–141. </w:t>
      </w:r>
      <w:hyperlink r:id="rId14" w:history="1">
        <w:r w:rsidRPr="00A84CE3">
          <w:rPr>
            <w:rStyle w:val="Hyperlink"/>
            <w:rFonts w:ascii="Arial" w:hAnsi="Arial" w:cs="Arial"/>
            <w:color w:val="000000" w:themeColor="text1"/>
            <w:sz w:val="22"/>
            <w:szCs w:val="22"/>
          </w:rPr>
          <w:t>https://doi.org/10.1111/ssm.12325</w:t>
        </w:r>
      </w:hyperlink>
    </w:p>
    <w:p w14:paraId="5FD67063"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 xml:space="preserve">Israel, M. (2015) </w:t>
      </w:r>
      <w:r w:rsidRPr="00A84CE3">
        <w:rPr>
          <w:rFonts w:ascii="Arial" w:hAnsi="Arial" w:cs="Arial"/>
          <w:i/>
          <w:iCs/>
          <w:color w:val="000000" w:themeColor="text1"/>
          <w:sz w:val="22"/>
          <w:szCs w:val="22"/>
          <w:shd w:val="clear" w:color="auto" w:fill="FFFFFF"/>
        </w:rPr>
        <w:t>Research ethics and integrity for social scientists : beyond regulatory compliance </w:t>
      </w:r>
      <w:r w:rsidRPr="00A84CE3">
        <w:rPr>
          <w:rFonts w:ascii="Arial" w:hAnsi="Arial" w:cs="Arial"/>
          <w:color w:val="000000" w:themeColor="text1"/>
          <w:sz w:val="22"/>
          <w:szCs w:val="22"/>
          <w:shd w:val="clear" w:color="auto" w:fill="FFFFFF"/>
        </w:rPr>
        <w:t>(Mark Israel, Ed.; 2nd ed.). SAGE Publications.</w:t>
      </w:r>
    </w:p>
    <w:p w14:paraId="40A2681F"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Johnson, R. (2020) Balancing Hands-On Learning with Critical Thinking: A Pedagogical Critique. </w:t>
      </w:r>
      <w:r w:rsidRPr="00A84CE3">
        <w:rPr>
          <w:rFonts w:ascii="Arial" w:hAnsi="Arial" w:cs="Arial"/>
          <w:i/>
          <w:iCs/>
          <w:color w:val="000000" w:themeColor="text1"/>
          <w:sz w:val="22"/>
          <w:szCs w:val="22"/>
        </w:rPr>
        <w:t>Journal of Educational Psychology</w:t>
      </w:r>
      <w:r w:rsidRPr="00A84CE3">
        <w:rPr>
          <w:rFonts w:ascii="Arial" w:hAnsi="Arial" w:cs="Arial"/>
          <w:color w:val="000000" w:themeColor="text1"/>
          <w:sz w:val="22"/>
          <w:szCs w:val="22"/>
        </w:rPr>
        <w:t>, 35(2), 167-182.</w:t>
      </w:r>
    </w:p>
    <w:p w14:paraId="31814527"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Jones, A., Smith, B., &amp; Brown, C. (2017) Enhancing Mathematics Learning for English Language Learners: A Cultural Perspective. Journal of Multilingual Education Research, 3(2), 45-62.</w:t>
      </w:r>
    </w:p>
    <w:p w14:paraId="4746C57B"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7F7F7"/>
        </w:rPr>
        <w:t>Katrin, W. (2018) The Empirical Validity of the Common European Framework of Reference Scales: An Exemplary Study for the Vocabulary and Fluency Scales in a Language Testing Context. Applied Linguistics, doi: 10.1093/APPLIN/AMW057</w:t>
      </w:r>
    </w:p>
    <w:p w14:paraId="0112D123"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Kong Y. (2021) The Role of Experiential Learning on Students' Motivation and Classroom Engagement. DOI: 10.3389/fpsyg.2021.771272. </w:t>
      </w:r>
    </w:p>
    <w:p w14:paraId="49EDC9D6"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Laevers, F. (2008) </w:t>
      </w:r>
      <w:r w:rsidRPr="00A84CE3">
        <w:rPr>
          <w:rFonts w:ascii="Arial" w:hAnsi="Arial" w:cs="Arial"/>
          <w:i/>
          <w:iCs/>
          <w:color w:val="000000" w:themeColor="text1"/>
          <w:sz w:val="22"/>
          <w:szCs w:val="22"/>
          <w:shd w:val="clear" w:color="auto" w:fill="FFFFFF"/>
        </w:rPr>
        <w:t>The Leuven involvement scale for young children : LIS-YC (3-6 year olds)</w:t>
      </w:r>
      <w:r w:rsidRPr="00A84CE3">
        <w:rPr>
          <w:rFonts w:ascii="Arial" w:hAnsi="Arial" w:cs="Arial"/>
          <w:color w:val="000000" w:themeColor="text1"/>
          <w:sz w:val="22"/>
          <w:szCs w:val="22"/>
          <w:shd w:val="clear" w:color="auto" w:fill="FFFFFF"/>
        </w:rPr>
        <w:t>. Leuven: CEGO.</w:t>
      </w:r>
    </w:p>
    <w:p w14:paraId="4264F155"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Laevers, F. (2015) </w:t>
      </w:r>
      <w:r w:rsidRPr="00A84CE3">
        <w:rPr>
          <w:rFonts w:ascii="Arial" w:hAnsi="Arial" w:cs="Arial"/>
          <w:i/>
          <w:iCs/>
          <w:color w:val="000000" w:themeColor="text1"/>
          <w:sz w:val="22"/>
          <w:szCs w:val="22"/>
        </w:rPr>
        <w:t>Making care and education more effective through wellbeing and involvement. An introduction to experiential education. Research Centre for Experiential Education – University of Leuven – Belgium</w:t>
      </w:r>
      <w:r w:rsidRPr="00A84CE3">
        <w:rPr>
          <w:rFonts w:ascii="Arial" w:hAnsi="Arial" w:cs="Arial"/>
          <w:color w:val="000000" w:themeColor="text1"/>
          <w:sz w:val="22"/>
          <w:szCs w:val="22"/>
        </w:rPr>
        <w:t>. Available at: </w:t>
      </w:r>
      <w:hyperlink r:id="rId15" w:tgtFrame="_blank" w:history="1">
        <w:r w:rsidRPr="00A84CE3">
          <w:rPr>
            <w:rStyle w:val="Hyperlink"/>
            <w:rFonts w:ascii="Arial" w:hAnsi="Arial" w:cs="Arial"/>
            <w:color w:val="000000" w:themeColor="text1"/>
            <w:sz w:val="22"/>
            <w:szCs w:val="22"/>
          </w:rPr>
          <w:t>https://www.gov.gg/CHttpHandler.ashx?id=121630&amp;p=0</w:t>
        </w:r>
      </w:hyperlink>
      <w:r w:rsidRPr="00A84CE3">
        <w:rPr>
          <w:rFonts w:ascii="Arial" w:hAnsi="Arial" w:cs="Arial"/>
          <w:color w:val="000000" w:themeColor="text1"/>
          <w:sz w:val="22"/>
          <w:szCs w:val="22"/>
        </w:rPr>
        <w:t xml:space="preserve"> (Accessed: 20</w:t>
      </w:r>
      <w:r w:rsidRPr="00A84CE3">
        <w:rPr>
          <w:rFonts w:ascii="Arial" w:hAnsi="Arial" w:cs="Arial"/>
          <w:color w:val="000000" w:themeColor="text1"/>
          <w:sz w:val="22"/>
          <w:szCs w:val="22"/>
          <w:vertAlign w:val="superscript"/>
        </w:rPr>
        <w:t>th</w:t>
      </w:r>
      <w:r w:rsidRPr="00A84CE3">
        <w:rPr>
          <w:rFonts w:ascii="Arial" w:hAnsi="Arial" w:cs="Arial"/>
          <w:color w:val="000000" w:themeColor="text1"/>
          <w:sz w:val="22"/>
          <w:szCs w:val="22"/>
        </w:rPr>
        <w:t xml:space="preserve"> March 2024).</w:t>
      </w:r>
    </w:p>
    <w:p w14:paraId="358B1FF9"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Lee, M., &amp; Chen, S. (2021) Equity Considerations in Hands-On Learning Approaches: Addressing Barriers for Diverse Student Populations</w:t>
      </w:r>
      <w:r w:rsidRPr="00A84CE3">
        <w:rPr>
          <w:rFonts w:ascii="Arial" w:hAnsi="Arial" w:cs="Arial"/>
          <w:i/>
          <w:iCs/>
          <w:color w:val="000000" w:themeColor="text1"/>
          <w:sz w:val="22"/>
          <w:szCs w:val="22"/>
        </w:rPr>
        <w:t>. Journal of Multicultural Education</w:t>
      </w:r>
      <w:r w:rsidRPr="00A84CE3">
        <w:rPr>
          <w:rFonts w:ascii="Arial" w:hAnsi="Arial" w:cs="Arial"/>
          <w:color w:val="000000" w:themeColor="text1"/>
          <w:sz w:val="22"/>
          <w:szCs w:val="22"/>
        </w:rPr>
        <w:t>, 15(1), 89-104.</w:t>
      </w:r>
    </w:p>
    <w:p w14:paraId="355661FC" w14:textId="77777777" w:rsidR="00991DC4" w:rsidRPr="00A84CE3" w:rsidRDefault="00991DC4" w:rsidP="00991DC4">
      <w:pPr>
        <w:rPr>
          <w:rStyle w:val="doilink"/>
          <w:rFonts w:ascii="Arial" w:hAnsi="Arial" w:cs="Arial"/>
          <w:color w:val="000000" w:themeColor="text1"/>
          <w:sz w:val="22"/>
          <w:szCs w:val="22"/>
          <w:shd w:val="clear" w:color="auto" w:fill="FFFFFF"/>
        </w:rPr>
      </w:pPr>
      <w:r w:rsidRPr="00A84CE3">
        <w:rPr>
          <w:rStyle w:val="authorname"/>
          <w:rFonts w:ascii="Arial" w:hAnsi="Arial" w:cs="Arial"/>
          <w:color w:val="000000" w:themeColor="text1"/>
          <w:sz w:val="22"/>
          <w:szCs w:val="22"/>
          <w:shd w:val="clear" w:color="auto" w:fill="FFFFFF"/>
        </w:rPr>
        <w:t>Leigh A.</w:t>
      </w:r>
      <w:r w:rsidRPr="00A84CE3">
        <w:rPr>
          <w:rStyle w:val="separator"/>
          <w:rFonts w:ascii="Arial" w:hAnsi="Arial" w:cs="Arial"/>
          <w:color w:val="000000" w:themeColor="text1"/>
          <w:sz w:val="22"/>
          <w:szCs w:val="22"/>
          <w:shd w:val="clear" w:color="auto" w:fill="FFFFFF"/>
        </w:rPr>
        <w:t> </w:t>
      </w:r>
      <w:r w:rsidRPr="00A84CE3">
        <w:rPr>
          <w:rStyle w:val="authorname"/>
          <w:rFonts w:ascii="Arial" w:hAnsi="Arial" w:cs="Arial"/>
          <w:color w:val="000000" w:themeColor="text1"/>
          <w:sz w:val="22"/>
          <w:szCs w:val="22"/>
          <w:shd w:val="clear" w:color="auto" w:fill="FFFFFF"/>
        </w:rPr>
        <w:t>Bradberry</w:t>
      </w:r>
      <w:r w:rsidRPr="00A84CE3">
        <w:rPr>
          <w:rStyle w:val="separator"/>
          <w:rFonts w:ascii="Arial" w:hAnsi="Arial" w:cs="Arial"/>
          <w:color w:val="000000" w:themeColor="text1"/>
          <w:sz w:val="22"/>
          <w:szCs w:val="22"/>
          <w:shd w:val="clear" w:color="auto" w:fill="FFFFFF"/>
        </w:rPr>
        <w:t> &amp; </w:t>
      </w:r>
      <w:r w:rsidRPr="00A84CE3">
        <w:rPr>
          <w:rStyle w:val="authorname"/>
          <w:rFonts w:ascii="Arial" w:hAnsi="Arial" w:cs="Arial"/>
          <w:color w:val="000000" w:themeColor="text1"/>
          <w:sz w:val="22"/>
          <w:szCs w:val="22"/>
          <w:shd w:val="clear" w:color="auto" w:fill="FFFFFF"/>
        </w:rPr>
        <w:t>Jennifer</w:t>
      </w:r>
      <w:r w:rsidRPr="00A84CE3">
        <w:rPr>
          <w:rStyle w:val="separator"/>
          <w:rFonts w:ascii="Arial" w:hAnsi="Arial" w:cs="Arial"/>
          <w:color w:val="000000" w:themeColor="text1"/>
          <w:sz w:val="22"/>
          <w:szCs w:val="22"/>
          <w:shd w:val="clear" w:color="auto" w:fill="FFFFFF"/>
        </w:rPr>
        <w:t> </w:t>
      </w:r>
      <w:r w:rsidRPr="00A84CE3">
        <w:rPr>
          <w:rStyle w:val="authorname"/>
          <w:rFonts w:ascii="Arial" w:hAnsi="Arial" w:cs="Arial"/>
          <w:color w:val="000000" w:themeColor="text1"/>
          <w:sz w:val="22"/>
          <w:szCs w:val="22"/>
          <w:shd w:val="clear" w:color="auto" w:fill="FFFFFF"/>
        </w:rPr>
        <w:t>De Maio</w:t>
      </w:r>
      <w:r w:rsidRPr="00A84CE3">
        <w:rPr>
          <w:rFonts w:ascii="Arial" w:hAnsi="Arial" w:cs="Arial"/>
          <w:color w:val="000000" w:themeColor="text1"/>
          <w:sz w:val="22"/>
          <w:szCs w:val="22"/>
          <w:shd w:val="clear" w:color="auto" w:fill="FFFFFF"/>
        </w:rPr>
        <w:t> </w:t>
      </w:r>
      <w:r w:rsidRPr="00A84CE3">
        <w:rPr>
          <w:rStyle w:val="Date1"/>
          <w:rFonts w:ascii="Arial" w:hAnsi="Arial" w:cs="Arial"/>
          <w:color w:val="000000" w:themeColor="text1"/>
          <w:sz w:val="22"/>
          <w:szCs w:val="22"/>
          <w:shd w:val="clear" w:color="auto" w:fill="FFFFFF"/>
        </w:rPr>
        <w:t>(2019)</w:t>
      </w:r>
      <w:r w:rsidRPr="00A84CE3">
        <w:rPr>
          <w:rFonts w:ascii="Arial" w:hAnsi="Arial" w:cs="Arial"/>
          <w:color w:val="000000" w:themeColor="text1"/>
          <w:sz w:val="22"/>
          <w:szCs w:val="22"/>
          <w:shd w:val="clear" w:color="auto" w:fill="FFFFFF"/>
        </w:rPr>
        <w:t> </w:t>
      </w:r>
      <w:r w:rsidRPr="00A84CE3">
        <w:rPr>
          <w:rStyle w:val="arttitle"/>
          <w:rFonts w:ascii="Arial" w:hAnsi="Arial" w:cs="Arial"/>
          <w:color w:val="000000" w:themeColor="text1"/>
          <w:sz w:val="22"/>
          <w:szCs w:val="22"/>
          <w:shd w:val="clear" w:color="auto" w:fill="FFFFFF"/>
        </w:rPr>
        <w:t>Learning By Doing: The Long-Term Impact of Experiential Learning Programs on Student Success,</w:t>
      </w:r>
      <w:r w:rsidRPr="00A84CE3">
        <w:rPr>
          <w:rFonts w:ascii="Arial" w:hAnsi="Arial" w:cs="Arial"/>
          <w:color w:val="000000" w:themeColor="text1"/>
          <w:sz w:val="22"/>
          <w:szCs w:val="22"/>
          <w:shd w:val="clear" w:color="auto" w:fill="FFFFFF"/>
        </w:rPr>
        <w:t> </w:t>
      </w:r>
      <w:r w:rsidRPr="00A84CE3">
        <w:rPr>
          <w:rStyle w:val="serialtitle"/>
          <w:rFonts w:ascii="Arial" w:hAnsi="Arial" w:cs="Arial"/>
          <w:i/>
          <w:iCs/>
          <w:color w:val="000000" w:themeColor="text1"/>
          <w:sz w:val="22"/>
          <w:szCs w:val="22"/>
          <w:shd w:val="clear" w:color="auto" w:fill="FFFFFF"/>
        </w:rPr>
        <w:t>Journal of Political Science Education</w:t>
      </w:r>
      <w:r w:rsidRPr="00A84CE3">
        <w:rPr>
          <w:rStyle w:val="serialtitle"/>
          <w:rFonts w:ascii="Arial" w:hAnsi="Arial" w:cs="Arial"/>
          <w:color w:val="000000" w:themeColor="text1"/>
          <w:sz w:val="22"/>
          <w:szCs w:val="22"/>
          <w:shd w:val="clear" w:color="auto" w:fill="FFFFFF"/>
        </w:rPr>
        <w:t>,</w:t>
      </w:r>
      <w:r w:rsidRPr="00A84CE3">
        <w:rPr>
          <w:rFonts w:ascii="Arial" w:hAnsi="Arial" w:cs="Arial"/>
          <w:color w:val="000000" w:themeColor="text1"/>
          <w:sz w:val="22"/>
          <w:szCs w:val="22"/>
          <w:shd w:val="clear" w:color="auto" w:fill="FFFFFF"/>
        </w:rPr>
        <w:t> </w:t>
      </w:r>
      <w:r w:rsidRPr="00A84CE3">
        <w:rPr>
          <w:rStyle w:val="volumeissue"/>
          <w:rFonts w:ascii="Arial" w:hAnsi="Arial" w:cs="Arial"/>
          <w:color w:val="000000" w:themeColor="text1"/>
          <w:sz w:val="22"/>
          <w:szCs w:val="22"/>
          <w:shd w:val="clear" w:color="auto" w:fill="FFFFFF"/>
        </w:rPr>
        <w:t>15:1,</w:t>
      </w:r>
      <w:r w:rsidRPr="00A84CE3">
        <w:rPr>
          <w:rFonts w:ascii="Arial" w:hAnsi="Arial" w:cs="Arial"/>
          <w:color w:val="000000" w:themeColor="text1"/>
          <w:sz w:val="22"/>
          <w:szCs w:val="22"/>
          <w:shd w:val="clear" w:color="auto" w:fill="FFFFFF"/>
        </w:rPr>
        <w:t> </w:t>
      </w:r>
      <w:r w:rsidRPr="00A84CE3">
        <w:rPr>
          <w:rStyle w:val="pagerange"/>
          <w:rFonts w:ascii="Arial" w:hAnsi="Arial" w:cs="Arial"/>
          <w:color w:val="000000" w:themeColor="text1"/>
          <w:sz w:val="22"/>
          <w:szCs w:val="22"/>
          <w:shd w:val="clear" w:color="auto" w:fill="FFFFFF"/>
        </w:rPr>
        <w:t>94-111,</w:t>
      </w:r>
      <w:r w:rsidRPr="00A84CE3">
        <w:rPr>
          <w:rFonts w:ascii="Arial" w:hAnsi="Arial" w:cs="Arial"/>
          <w:color w:val="000000" w:themeColor="text1"/>
          <w:sz w:val="22"/>
          <w:szCs w:val="22"/>
          <w:shd w:val="clear" w:color="auto" w:fill="FFFFFF"/>
        </w:rPr>
        <w:t> </w:t>
      </w:r>
      <w:r w:rsidRPr="00A84CE3">
        <w:rPr>
          <w:rStyle w:val="doilink"/>
          <w:rFonts w:ascii="Arial" w:hAnsi="Arial" w:cs="Arial"/>
          <w:color w:val="000000" w:themeColor="text1"/>
          <w:sz w:val="22"/>
          <w:szCs w:val="22"/>
          <w:shd w:val="clear" w:color="auto" w:fill="FFFFFF"/>
        </w:rPr>
        <w:t>DOI: </w:t>
      </w:r>
      <w:hyperlink r:id="rId16" w:history="1">
        <w:r w:rsidRPr="00A84CE3">
          <w:rPr>
            <w:rStyle w:val="Hyperlink"/>
            <w:rFonts w:ascii="Arial" w:hAnsi="Arial" w:cs="Arial"/>
            <w:color w:val="000000" w:themeColor="text1"/>
            <w:sz w:val="22"/>
            <w:szCs w:val="22"/>
            <w:shd w:val="clear" w:color="auto" w:fill="FFFFFF"/>
          </w:rPr>
          <w:t>10.1080/15512169.2018.1485571</w:t>
        </w:r>
      </w:hyperlink>
      <w:r w:rsidRPr="00A84CE3">
        <w:rPr>
          <w:rStyle w:val="doilink"/>
          <w:rFonts w:ascii="Arial" w:hAnsi="Arial" w:cs="Arial"/>
          <w:color w:val="000000" w:themeColor="text1"/>
          <w:sz w:val="22"/>
          <w:szCs w:val="22"/>
          <w:shd w:val="clear" w:color="auto" w:fill="FFFFFF"/>
        </w:rPr>
        <w:t>.</w:t>
      </w:r>
    </w:p>
    <w:p w14:paraId="4DF9C1CF"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Leung, F. K. S., &amp; Graf, K. D. (2017) Mathematics education in different cultural traditions—A comparative study of East Asia and the West: The 13th ICMI Study. Springer.</w:t>
      </w:r>
    </w:p>
    <w:p w14:paraId="018D040F" w14:textId="77777777" w:rsidR="00991DC4" w:rsidRPr="00A84CE3" w:rsidRDefault="00991DC4" w:rsidP="00991DC4">
      <w:pPr>
        <w:rPr>
          <w:rFonts w:ascii="Arial" w:hAnsi="Arial" w:cs="Arial"/>
          <w:color w:val="000000" w:themeColor="text1"/>
          <w:sz w:val="22"/>
          <w:szCs w:val="22"/>
          <w:shd w:val="clear" w:color="auto" w:fill="FFFFFF"/>
        </w:rPr>
      </w:pPr>
      <w:bookmarkStart w:id="1" w:name="_Hlk162413512"/>
      <w:r w:rsidRPr="00A84CE3">
        <w:rPr>
          <w:rFonts w:ascii="Arial" w:hAnsi="Arial" w:cs="Arial"/>
          <w:color w:val="000000" w:themeColor="text1"/>
          <w:sz w:val="22"/>
          <w:szCs w:val="22"/>
          <w:shd w:val="clear" w:color="auto" w:fill="FFFFFF"/>
        </w:rPr>
        <w:t xml:space="preserve">MacRae, C., &amp; Jones, L. (2020) </w:t>
      </w:r>
      <w:bookmarkEnd w:id="1"/>
      <w:r w:rsidRPr="00A84CE3">
        <w:rPr>
          <w:rFonts w:ascii="Arial" w:hAnsi="Arial" w:cs="Arial"/>
          <w:color w:val="000000" w:themeColor="text1"/>
          <w:sz w:val="22"/>
          <w:szCs w:val="22"/>
          <w:shd w:val="clear" w:color="auto" w:fill="FFFFFF"/>
        </w:rPr>
        <w:t>A philosophical reflection on the “Leuven Scale” and young children’s expressions of involvement. </w:t>
      </w:r>
      <w:r w:rsidRPr="00A84CE3">
        <w:rPr>
          <w:rFonts w:ascii="Arial" w:hAnsi="Arial" w:cs="Arial"/>
          <w:i/>
          <w:iCs/>
          <w:color w:val="000000" w:themeColor="text1"/>
          <w:sz w:val="22"/>
          <w:szCs w:val="22"/>
          <w:shd w:val="clear" w:color="auto" w:fill="FFFFFF"/>
        </w:rPr>
        <w:t>International Journal of Qualitative Studies in Education</w:t>
      </w:r>
      <w:r w:rsidRPr="00A84CE3">
        <w:rPr>
          <w:rFonts w:ascii="Arial" w:hAnsi="Arial" w:cs="Arial"/>
          <w:color w:val="000000" w:themeColor="text1"/>
          <w:sz w:val="22"/>
          <w:szCs w:val="22"/>
          <w:shd w:val="clear" w:color="auto" w:fill="FFFFFF"/>
        </w:rPr>
        <w:t>, </w:t>
      </w:r>
      <w:r w:rsidRPr="00A84CE3">
        <w:rPr>
          <w:rFonts w:ascii="Arial" w:hAnsi="Arial" w:cs="Arial"/>
          <w:i/>
          <w:iCs/>
          <w:color w:val="000000" w:themeColor="text1"/>
          <w:sz w:val="22"/>
          <w:szCs w:val="22"/>
          <w:shd w:val="clear" w:color="auto" w:fill="FFFFFF"/>
        </w:rPr>
        <w:t>ahead-of-print</w:t>
      </w:r>
      <w:r w:rsidRPr="00A84CE3">
        <w:rPr>
          <w:rFonts w:ascii="Arial" w:hAnsi="Arial" w:cs="Arial"/>
          <w:color w:val="000000" w:themeColor="text1"/>
          <w:sz w:val="22"/>
          <w:szCs w:val="22"/>
          <w:shd w:val="clear" w:color="auto" w:fill="FFFFFF"/>
        </w:rPr>
        <w:t xml:space="preserve">(ahead-of-print), 1–13. </w:t>
      </w:r>
      <w:hyperlink r:id="rId17" w:history="1">
        <w:r w:rsidRPr="00A84CE3">
          <w:rPr>
            <w:rStyle w:val="Hyperlink"/>
            <w:rFonts w:ascii="Arial" w:hAnsi="Arial" w:cs="Arial"/>
            <w:color w:val="000000" w:themeColor="text1"/>
            <w:sz w:val="22"/>
            <w:szCs w:val="22"/>
            <w:shd w:val="clear" w:color="auto" w:fill="FFFFFF"/>
          </w:rPr>
          <w:t>https://doi.org/10.1080/09518398.2020.1828650</w:t>
        </w:r>
      </w:hyperlink>
      <w:r w:rsidRPr="00A84CE3">
        <w:rPr>
          <w:rFonts w:ascii="Arial" w:hAnsi="Arial" w:cs="Arial"/>
          <w:color w:val="000000" w:themeColor="text1"/>
          <w:sz w:val="22"/>
          <w:szCs w:val="22"/>
          <w:shd w:val="clear" w:color="auto" w:fill="FFFFFF"/>
        </w:rPr>
        <w:t>.</w:t>
      </w:r>
    </w:p>
    <w:p w14:paraId="19E16F78"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Matthew Krain (2018) The Effects of Different Types of Case Learning on Student Engagement, </w:t>
      </w:r>
      <w:r w:rsidRPr="00A84CE3">
        <w:rPr>
          <w:rStyle w:val="Emphasis"/>
          <w:rFonts w:ascii="Arial" w:hAnsi="Arial" w:cs="Arial"/>
          <w:color w:val="000000" w:themeColor="text1"/>
          <w:sz w:val="22"/>
          <w:szCs w:val="22"/>
          <w:bdr w:val="none" w:sz="0" w:space="0" w:color="auto" w:frame="1"/>
          <w:shd w:val="clear" w:color="auto" w:fill="FFFFFF"/>
        </w:rPr>
        <w:t>International Studies Perspectives</w:t>
      </w:r>
      <w:r w:rsidRPr="00A84CE3">
        <w:rPr>
          <w:rFonts w:ascii="Arial" w:hAnsi="Arial" w:cs="Arial"/>
          <w:color w:val="000000" w:themeColor="text1"/>
          <w:sz w:val="22"/>
          <w:szCs w:val="22"/>
          <w:shd w:val="clear" w:color="auto" w:fill="FFFFFF"/>
        </w:rPr>
        <w:t>, Volume 11, Issue 3, Pages 291–308, </w:t>
      </w:r>
      <w:hyperlink r:id="rId18" w:history="1">
        <w:r w:rsidRPr="00A84CE3">
          <w:rPr>
            <w:rStyle w:val="Hyperlink"/>
            <w:rFonts w:ascii="Arial" w:hAnsi="Arial" w:cs="Arial"/>
            <w:color w:val="000000" w:themeColor="text1"/>
            <w:sz w:val="22"/>
            <w:szCs w:val="22"/>
            <w:bdr w:val="none" w:sz="0" w:space="0" w:color="auto" w:frame="1"/>
            <w:shd w:val="clear" w:color="auto" w:fill="FFFFFF"/>
          </w:rPr>
          <w:t>https://doi.org/10.1111/j.1528-3585.2010.00409.x</w:t>
        </w:r>
      </w:hyperlink>
    </w:p>
    <w:p w14:paraId="787E1506"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lastRenderedPageBreak/>
        <w:t>May,T. and Perry, B. (2011)  </w:t>
      </w:r>
      <w:r w:rsidRPr="00A84CE3">
        <w:rPr>
          <w:rFonts w:ascii="Arial" w:hAnsi="Arial" w:cs="Arial"/>
          <w:i/>
          <w:iCs/>
          <w:color w:val="000000" w:themeColor="text1"/>
          <w:sz w:val="22"/>
          <w:szCs w:val="22"/>
          <w:shd w:val="clear" w:color="auto" w:fill="FFFFFF"/>
        </w:rPr>
        <w:t>Social research &amp; reflexivity : content, consequences and context </w:t>
      </w:r>
      <w:r w:rsidRPr="00A84CE3">
        <w:rPr>
          <w:rFonts w:ascii="Arial" w:hAnsi="Arial" w:cs="Arial"/>
          <w:color w:val="000000" w:themeColor="text1"/>
          <w:sz w:val="22"/>
          <w:szCs w:val="22"/>
          <w:shd w:val="clear" w:color="auto" w:fill="FFFFFF"/>
        </w:rPr>
        <w:t>(Beth. Perry, Ed.). SAGE.</w:t>
      </w:r>
    </w:p>
    <w:p w14:paraId="17F988FF"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Mebert, L. </w:t>
      </w:r>
      <w:r w:rsidRPr="00A84CE3">
        <w:rPr>
          <w:rFonts w:ascii="Arial" w:hAnsi="Arial" w:cs="Arial"/>
          <w:i/>
          <w:iCs/>
          <w:color w:val="000000" w:themeColor="text1"/>
          <w:sz w:val="22"/>
          <w:szCs w:val="22"/>
        </w:rPr>
        <w:t>et al</w:t>
      </w:r>
      <w:r w:rsidRPr="00A84CE3">
        <w:rPr>
          <w:rFonts w:ascii="Arial" w:hAnsi="Arial" w:cs="Arial"/>
          <w:color w:val="000000" w:themeColor="text1"/>
          <w:sz w:val="22"/>
          <w:szCs w:val="22"/>
        </w:rPr>
        <w:t xml:space="preserve">. (2020) </w:t>
      </w:r>
      <w:r w:rsidRPr="00A84CE3">
        <w:rPr>
          <w:rFonts w:ascii="Arial" w:hAnsi="Arial" w:cs="Arial"/>
          <w:i/>
          <w:iCs/>
          <w:color w:val="000000" w:themeColor="text1"/>
          <w:sz w:val="22"/>
          <w:szCs w:val="22"/>
        </w:rPr>
        <w:t>Fostering student engagement through a real-world, collaborative project across disciplines and institutions, Higher Education Pedagogies</w:t>
      </w:r>
      <w:r w:rsidRPr="00A84CE3">
        <w:rPr>
          <w:rFonts w:ascii="Arial" w:hAnsi="Arial" w:cs="Arial"/>
          <w:color w:val="000000" w:themeColor="text1"/>
          <w:sz w:val="22"/>
          <w:szCs w:val="22"/>
        </w:rPr>
        <w:t>, 5:1, 30-51, DOI: 10.1080/23752696.2020.1750306</w:t>
      </w:r>
    </w:p>
    <w:p w14:paraId="5B09599B"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 xml:space="preserve">Mercer S., Dörnyei Z. (2020) </w:t>
      </w:r>
      <w:r w:rsidRPr="00A84CE3">
        <w:rPr>
          <w:rStyle w:val="ref-journal"/>
          <w:rFonts w:ascii="Arial" w:hAnsi="Arial" w:cs="Arial"/>
          <w:color w:val="000000" w:themeColor="text1"/>
          <w:sz w:val="22"/>
          <w:szCs w:val="22"/>
          <w:shd w:val="clear" w:color="auto" w:fill="FFFFFF"/>
        </w:rPr>
        <w:t>Engaging Language Learners in Contemporary Classrooms.</w:t>
      </w:r>
      <w:r w:rsidRPr="00A84CE3">
        <w:rPr>
          <w:rFonts w:ascii="Arial" w:hAnsi="Arial" w:cs="Arial"/>
          <w:color w:val="000000" w:themeColor="text1"/>
          <w:sz w:val="22"/>
          <w:szCs w:val="22"/>
          <w:shd w:val="clear" w:color="auto" w:fill="FFFFFF"/>
        </w:rPr>
        <w:t xml:space="preserve"> Cambridge: Cambridge University Press. Available at: </w:t>
      </w:r>
      <w:hyperlink r:id="rId19" w:anchor="v=onepage&amp;q&amp;f=false" w:history="1">
        <w:r w:rsidRPr="00A84CE3">
          <w:rPr>
            <w:rStyle w:val="Hyperlink"/>
            <w:rFonts w:ascii="Arial" w:hAnsi="Arial" w:cs="Arial"/>
            <w:color w:val="000000" w:themeColor="text1"/>
            <w:sz w:val="22"/>
            <w:szCs w:val="22"/>
            <w:shd w:val="clear" w:color="auto" w:fill="FFFFFF"/>
          </w:rPr>
          <w:t>https://books.google.co.uk/books?hl=en&amp;lr=&amp;id=PffnDwAAQBAJ&amp;oi=fnd&amp;pg=PT3&amp;ots=6IX5tqWu0s&amp;sig=tn7u9DGyCEFswJu2x5LWg8jzsqI&amp;redir_esc=y#v=onepage&amp;q&amp;f=false</w:t>
        </w:r>
      </w:hyperlink>
      <w:r w:rsidRPr="00A84CE3">
        <w:rPr>
          <w:rFonts w:ascii="Arial" w:hAnsi="Arial" w:cs="Arial"/>
          <w:color w:val="000000" w:themeColor="text1"/>
          <w:sz w:val="22"/>
          <w:szCs w:val="22"/>
          <w:shd w:val="clear" w:color="auto" w:fill="FFFFFF"/>
        </w:rPr>
        <w:t xml:space="preserve"> (Accessed on 27</w:t>
      </w:r>
      <w:r w:rsidRPr="00A84CE3">
        <w:rPr>
          <w:rFonts w:ascii="Arial" w:hAnsi="Arial" w:cs="Arial"/>
          <w:color w:val="000000" w:themeColor="text1"/>
          <w:sz w:val="22"/>
          <w:szCs w:val="22"/>
          <w:shd w:val="clear" w:color="auto" w:fill="FFFFFF"/>
          <w:vertAlign w:val="superscript"/>
        </w:rPr>
        <w:t>th</w:t>
      </w:r>
      <w:r w:rsidRPr="00A84CE3">
        <w:rPr>
          <w:rFonts w:ascii="Arial" w:hAnsi="Arial" w:cs="Arial"/>
          <w:color w:val="000000" w:themeColor="text1"/>
          <w:sz w:val="22"/>
          <w:szCs w:val="22"/>
          <w:shd w:val="clear" w:color="auto" w:fill="FFFFFF"/>
        </w:rPr>
        <w:t xml:space="preserve"> March 2024).</w:t>
      </w:r>
    </w:p>
    <w:p w14:paraId="10BF6747"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Ministry of Education Singapore (2019) </w:t>
      </w:r>
      <w:r w:rsidRPr="00A84CE3">
        <w:rPr>
          <w:rFonts w:ascii="Arial" w:hAnsi="Arial" w:cs="Arial"/>
          <w:i/>
          <w:iCs/>
          <w:color w:val="000000" w:themeColor="text1"/>
          <w:sz w:val="22"/>
          <w:szCs w:val="22"/>
        </w:rPr>
        <w:t>Mathematics Syllabus</w:t>
      </w:r>
      <w:r w:rsidRPr="00A84CE3">
        <w:rPr>
          <w:rFonts w:ascii="Arial" w:hAnsi="Arial" w:cs="Arial"/>
          <w:color w:val="000000" w:themeColor="text1"/>
          <w:sz w:val="22"/>
          <w:szCs w:val="22"/>
        </w:rPr>
        <w:t xml:space="preserve">. Curriculum Planning and Development Division. Available at: </w:t>
      </w:r>
      <w:hyperlink r:id="rId20" w:history="1">
        <w:r w:rsidRPr="00A84CE3">
          <w:rPr>
            <w:rStyle w:val="Hyperlink"/>
            <w:rFonts w:ascii="Arial" w:hAnsi="Arial" w:cs="Arial"/>
            <w:color w:val="000000" w:themeColor="text1"/>
            <w:sz w:val="22"/>
            <w:szCs w:val="22"/>
          </w:rPr>
          <w:t>https://www.moe.gov.sg/secondary/courses</w:t>
        </w:r>
      </w:hyperlink>
      <w:r w:rsidRPr="00A84CE3">
        <w:rPr>
          <w:rFonts w:ascii="Arial" w:hAnsi="Arial" w:cs="Arial"/>
          <w:color w:val="000000" w:themeColor="text1"/>
          <w:sz w:val="22"/>
          <w:szCs w:val="22"/>
        </w:rPr>
        <w:t xml:space="preserve"> (Accessed on 11th March 2024).</w:t>
      </w:r>
    </w:p>
    <w:p w14:paraId="19E9CBB6"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National Council of Teachers of Mathematics (2014) Principles to actions: Ensuring mathematical success for all. Reston, VA: Author. Available at: </w:t>
      </w:r>
      <w:hyperlink r:id="rId21" w:history="1">
        <w:r w:rsidRPr="00A84CE3">
          <w:rPr>
            <w:rStyle w:val="Hyperlink"/>
            <w:rFonts w:ascii="Arial" w:hAnsi="Arial" w:cs="Arial"/>
            <w:color w:val="000000" w:themeColor="text1"/>
            <w:sz w:val="22"/>
            <w:szCs w:val="22"/>
          </w:rPr>
          <w:t>www.nctm.org/principlestoactions</w:t>
        </w:r>
      </w:hyperlink>
      <w:r w:rsidRPr="00A84CE3">
        <w:rPr>
          <w:rFonts w:ascii="Arial" w:hAnsi="Arial" w:cs="Arial"/>
          <w:color w:val="000000" w:themeColor="text1"/>
          <w:sz w:val="22"/>
          <w:szCs w:val="22"/>
        </w:rPr>
        <w:t xml:space="preserve"> (Accessed on: 13 March 2024)</w:t>
      </w:r>
    </w:p>
    <w:p w14:paraId="3938D272"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National Institutes of Health (2018) Belmont Report. Retrieved from https://www.hhs.gov/ohrp/regulations-and-policy/belmont-report/index.html</w:t>
      </w:r>
    </w:p>
    <w:p w14:paraId="53EE2446"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7F7F7"/>
        </w:rPr>
        <w:t xml:space="preserve"> Nind, M., Kaley, A. and Hall, E. (2020) </w:t>
      </w:r>
      <w:r w:rsidRPr="00A84CE3">
        <w:rPr>
          <w:rFonts w:ascii="Arial" w:hAnsi="Arial" w:cs="Arial"/>
          <w:i/>
          <w:iCs/>
          <w:color w:val="000000" w:themeColor="text1"/>
          <w:sz w:val="22"/>
          <w:szCs w:val="22"/>
          <w:shd w:val="clear" w:color="auto" w:fill="F7F7F7"/>
        </w:rPr>
        <w:t>Focus Group Method: Doing Research Inclusively and Supporting Social Inclusion.</w:t>
      </w:r>
      <w:r w:rsidRPr="00A84CE3">
        <w:rPr>
          <w:rFonts w:ascii="Arial" w:hAnsi="Arial" w:cs="Arial"/>
          <w:color w:val="000000" w:themeColor="text1"/>
          <w:sz w:val="22"/>
          <w:szCs w:val="22"/>
          <w:shd w:val="clear" w:color="auto" w:fill="F7F7F7"/>
        </w:rPr>
        <w:t xml:space="preserve"> doi: 10.1007/978-3-030-48277-0_57-1</w:t>
      </w:r>
    </w:p>
    <w:p w14:paraId="71F2687E"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Novia, E. (2022) Model Project Based Learning Metode Focus Group Discussion pada Kelas XII.MIA.1 MAN 2 Kota Payakumbuh Semester Genap Tahun Pelajaran 2021/2022. </w:t>
      </w:r>
      <w:r w:rsidRPr="00A84CE3">
        <w:rPr>
          <w:rFonts w:ascii="Arial" w:hAnsi="Arial" w:cs="Arial"/>
          <w:i/>
          <w:iCs/>
          <w:color w:val="000000" w:themeColor="text1"/>
          <w:sz w:val="22"/>
          <w:szCs w:val="22"/>
        </w:rPr>
        <w:t>Journal on Education</w:t>
      </w:r>
      <w:r w:rsidRPr="00A84CE3">
        <w:rPr>
          <w:rFonts w:ascii="Arial" w:hAnsi="Arial" w:cs="Arial"/>
          <w:color w:val="000000" w:themeColor="text1"/>
          <w:sz w:val="22"/>
          <w:szCs w:val="22"/>
        </w:rPr>
        <w:t>,  doi: 10.31004/joe.v4i4.528.</w:t>
      </w:r>
    </w:p>
    <w:p w14:paraId="7B9FAC85" w14:textId="77777777" w:rsidR="00991DC4" w:rsidRPr="00A84CE3" w:rsidRDefault="00991DC4" w:rsidP="00991DC4">
      <w:pPr>
        <w:rPr>
          <w:rFonts w:ascii="Arial" w:hAnsi="Arial" w:cs="Arial"/>
          <w:color w:val="000000" w:themeColor="text1"/>
          <w:sz w:val="22"/>
          <w:szCs w:val="22"/>
          <w:shd w:val="clear" w:color="auto" w:fill="FFFFFF"/>
          <w:lang w:val="bg-BG"/>
        </w:rPr>
      </w:pPr>
      <w:r w:rsidRPr="00A84CE3">
        <w:rPr>
          <w:rFonts w:ascii="Arial" w:hAnsi="Arial" w:cs="Arial"/>
          <w:color w:val="000000" w:themeColor="text1"/>
          <w:sz w:val="22"/>
          <w:szCs w:val="22"/>
          <w:shd w:val="clear" w:color="auto" w:fill="FFFFFF"/>
        </w:rPr>
        <w:t>Papadakis, S., Kalogiannakis, M. &amp; Zaranis, N.(2017) Improving Mathematics Teaching in Kindergarten with Realistic Mathematical Education. </w:t>
      </w:r>
      <w:r w:rsidRPr="00A84CE3">
        <w:rPr>
          <w:rFonts w:ascii="Arial" w:hAnsi="Arial" w:cs="Arial"/>
          <w:i/>
          <w:iCs/>
          <w:color w:val="000000" w:themeColor="text1"/>
          <w:sz w:val="22"/>
          <w:szCs w:val="22"/>
          <w:shd w:val="clear" w:color="auto" w:fill="FFFFFF"/>
        </w:rPr>
        <w:t>Early Childhood Educ J</w:t>
      </w:r>
      <w:r w:rsidRPr="00A84CE3">
        <w:rPr>
          <w:rFonts w:ascii="Arial" w:hAnsi="Arial" w:cs="Arial"/>
          <w:color w:val="000000" w:themeColor="text1"/>
          <w:sz w:val="22"/>
          <w:szCs w:val="22"/>
          <w:shd w:val="clear" w:color="auto" w:fill="FFFFFF"/>
        </w:rPr>
        <w:t xml:space="preserve"> 45, 369–378 DOI:. </w:t>
      </w:r>
      <w:hyperlink r:id="rId22" w:history="1">
        <w:r w:rsidRPr="00A84CE3">
          <w:rPr>
            <w:rStyle w:val="Hyperlink"/>
            <w:rFonts w:ascii="Arial" w:hAnsi="Arial" w:cs="Arial"/>
            <w:color w:val="000000" w:themeColor="text1"/>
            <w:sz w:val="22"/>
            <w:szCs w:val="22"/>
            <w:shd w:val="clear" w:color="auto" w:fill="FFFFFF"/>
          </w:rPr>
          <w:t>https://doi.org/10.1007/s10643-015-0768-4</w:t>
        </w:r>
      </w:hyperlink>
      <w:r w:rsidRPr="00A84CE3">
        <w:rPr>
          <w:rFonts w:ascii="Arial" w:hAnsi="Arial" w:cs="Arial"/>
          <w:color w:val="000000" w:themeColor="text1"/>
          <w:sz w:val="22"/>
          <w:szCs w:val="22"/>
          <w:shd w:val="clear" w:color="auto" w:fill="FFFFFF"/>
          <w:lang w:val="bg-BG"/>
        </w:rPr>
        <w:t xml:space="preserve">. </w:t>
      </w:r>
    </w:p>
    <w:p w14:paraId="37AA692C"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Parker, A., &amp; Tritter, J. (2006) Focus group method and methodology: current practice and recent debate. </w:t>
      </w:r>
      <w:r w:rsidRPr="00A84CE3">
        <w:rPr>
          <w:rFonts w:ascii="Arial" w:hAnsi="Arial" w:cs="Arial"/>
          <w:i/>
          <w:iCs/>
          <w:color w:val="000000" w:themeColor="text1"/>
          <w:sz w:val="22"/>
          <w:szCs w:val="22"/>
          <w:shd w:val="clear" w:color="auto" w:fill="FFFFFF"/>
        </w:rPr>
        <w:t>International Journal of Research &amp; Method in Education</w:t>
      </w:r>
      <w:r w:rsidRPr="00A84CE3">
        <w:rPr>
          <w:rFonts w:ascii="Arial" w:hAnsi="Arial" w:cs="Arial"/>
          <w:color w:val="000000" w:themeColor="text1"/>
          <w:sz w:val="22"/>
          <w:szCs w:val="22"/>
          <w:shd w:val="clear" w:color="auto" w:fill="FFFFFF"/>
        </w:rPr>
        <w:t>, </w:t>
      </w:r>
      <w:r w:rsidRPr="00A84CE3">
        <w:rPr>
          <w:rFonts w:ascii="Arial" w:hAnsi="Arial" w:cs="Arial"/>
          <w:i/>
          <w:iCs/>
          <w:color w:val="000000" w:themeColor="text1"/>
          <w:sz w:val="22"/>
          <w:szCs w:val="22"/>
          <w:shd w:val="clear" w:color="auto" w:fill="FFFFFF"/>
        </w:rPr>
        <w:t>29</w:t>
      </w:r>
      <w:r w:rsidRPr="00A84CE3">
        <w:rPr>
          <w:rFonts w:ascii="Arial" w:hAnsi="Arial" w:cs="Arial"/>
          <w:color w:val="000000" w:themeColor="text1"/>
          <w:sz w:val="22"/>
          <w:szCs w:val="22"/>
          <w:shd w:val="clear" w:color="auto" w:fill="FFFFFF"/>
        </w:rPr>
        <w:t>(1), 23–37. https://doi.org/10.1080/01406720500537304.</w:t>
      </w:r>
    </w:p>
    <w:p w14:paraId="1F918465" w14:textId="77777777" w:rsidR="00991DC4" w:rsidRPr="00A84CE3" w:rsidRDefault="00991DC4" w:rsidP="00991DC4">
      <w:pPr>
        <w:rPr>
          <w:rFonts w:ascii="Arial" w:hAnsi="Arial" w:cs="Arial"/>
          <w:color w:val="000000" w:themeColor="text1"/>
          <w:sz w:val="22"/>
          <w:szCs w:val="22"/>
          <w:lang w:val="bg-BG"/>
        </w:rPr>
      </w:pPr>
      <w:r w:rsidRPr="00A84CE3">
        <w:rPr>
          <w:rFonts w:ascii="Arial" w:hAnsi="Arial" w:cs="Arial"/>
          <w:color w:val="000000" w:themeColor="text1"/>
          <w:sz w:val="22"/>
          <w:szCs w:val="22"/>
          <w:shd w:val="clear" w:color="auto" w:fill="FFFFFF"/>
        </w:rPr>
        <w:t>Rama Nida Siregar, Didi Suryadi, Sufyani Prabawanto, &amp; Abdul Mujib. (2022)  IMPROVING STUDENT LEARNING: MATHEMATICAL REASONING ABILITY THROUGH A REALISTIC MATHEMATIC EDUCATION. </w:t>
      </w:r>
      <w:r w:rsidRPr="00A84CE3">
        <w:rPr>
          <w:rFonts w:ascii="Arial" w:hAnsi="Arial" w:cs="Arial"/>
          <w:i/>
          <w:iCs/>
          <w:color w:val="000000" w:themeColor="text1"/>
          <w:sz w:val="22"/>
          <w:szCs w:val="22"/>
          <w:shd w:val="clear" w:color="auto" w:fill="FFFFFF"/>
        </w:rPr>
        <w:t>Aksioma : Jurnal Program Studi Pendidikan Matematika (Online)</w:t>
      </w:r>
      <w:r w:rsidRPr="00A84CE3">
        <w:rPr>
          <w:rFonts w:ascii="Arial" w:hAnsi="Arial" w:cs="Arial"/>
          <w:color w:val="000000" w:themeColor="text1"/>
          <w:sz w:val="22"/>
          <w:szCs w:val="22"/>
          <w:shd w:val="clear" w:color="auto" w:fill="FFFFFF"/>
        </w:rPr>
        <w:t>, </w:t>
      </w:r>
      <w:r w:rsidRPr="00A84CE3">
        <w:rPr>
          <w:rFonts w:ascii="Arial" w:hAnsi="Arial" w:cs="Arial"/>
          <w:i/>
          <w:iCs/>
          <w:color w:val="000000" w:themeColor="text1"/>
          <w:sz w:val="22"/>
          <w:szCs w:val="22"/>
          <w:shd w:val="clear" w:color="auto" w:fill="FFFFFF"/>
        </w:rPr>
        <w:t>11</w:t>
      </w:r>
      <w:r w:rsidRPr="00A84CE3">
        <w:rPr>
          <w:rFonts w:ascii="Arial" w:hAnsi="Arial" w:cs="Arial"/>
          <w:color w:val="000000" w:themeColor="text1"/>
          <w:sz w:val="22"/>
          <w:szCs w:val="22"/>
          <w:shd w:val="clear" w:color="auto" w:fill="FFFFFF"/>
        </w:rPr>
        <w:t>(4), 2698–2713. https://doi.org/10.24127/ajpm.v11i4.6250</w:t>
      </w:r>
    </w:p>
    <w:p w14:paraId="2C90CE24"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Rebecca, Wallace., Elizabeth, Goodyear-Grant., Amanda, Bittner. (2021) Harnessing Technologies in Focus Group Research. </w:t>
      </w:r>
      <w:r w:rsidRPr="00A84CE3">
        <w:rPr>
          <w:rFonts w:ascii="Arial" w:hAnsi="Arial" w:cs="Arial"/>
          <w:i/>
          <w:iCs/>
          <w:color w:val="000000" w:themeColor="text1"/>
          <w:sz w:val="22"/>
          <w:szCs w:val="22"/>
        </w:rPr>
        <w:t>Canadian Journal of Political Science</w:t>
      </w:r>
      <w:r w:rsidRPr="00A84CE3">
        <w:rPr>
          <w:rFonts w:ascii="Arial" w:hAnsi="Arial" w:cs="Arial"/>
          <w:color w:val="000000" w:themeColor="text1"/>
          <w:sz w:val="22"/>
          <w:szCs w:val="22"/>
        </w:rPr>
        <w:t xml:space="preserve">, doi: 10.1017/S0008423921000226. </w:t>
      </w:r>
    </w:p>
    <w:p w14:paraId="4A40FE70"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rPr>
        <w:t>Reyes, M., &amp; Hwang, N. Y. (2021). Middle school language classification effects on high school achievement and behavioral outcomes. Educational Policy, 35(4), 590–620. https://doi.org/10.1177/0895904818823747.</w:t>
      </w:r>
    </w:p>
    <w:p w14:paraId="3A6DF3D7" w14:textId="77777777" w:rsidR="00991DC4" w:rsidRPr="00A84CE3" w:rsidRDefault="00991DC4" w:rsidP="00991DC4">
      <w:pPr>
        <w:rPr>
          <w:rFonts w:ascii="Arial" w:hAnsi="Arial" w:cs="Arial"/>
          <w:i/>
          <w:iCs/>
          <w:color w:val="000000" w:themeColor="text1"/>
          <w:sz w:val="22"/>
          <w:szCs w:val="22"/>
        </w:rPr>
      </w:pPr>
      <w:r w:rsidRPr="00A84CE3">
        <w:rPr>
          <w:rFonts w:ascii="Arial" w:hAnsi="Arial" w:cs="Arial"/>
          <w:color w:val="000000" w:themeColor="text1"/>
          <w:sz w:val="22"/>
          <w:szCs w:val="22"/>
        </w:rPr>
        <w:lastRenderedPageBreak/>
        <w:t xml:space="preserve">Rober, P., Goos, M., &amp; Schittekatte, M. (2011) The Leuven Involvement Scale for Young Children: Psychometric properties and its associations with social-emotional well-being and academic achievement in kindergarten. </w:t>
      </w:r>
      <w:r w:rsidRPr="00A84CE3">
        <w:rPr>
          <w:rFonts w:ascii="Arial" w:hAnsi="Arial" w:cs="Arial"/>
          <w:i/>
          <w:iCs/>
          <w:color w:val="000000" w:themeColor="text1"/>
          <w:sz w:val="22"/>
          <w:szCs w:val="22"/>
        </w:rPr>
        <w:t>European Journal of Psychological Assessment, 27(3), 168-177.</w:t>
      </w:r>
    </w:p>
    <w:p w14:paraId="27306130"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Royhana, U., Widiatsih, A., Atmaja, I. W. W., &amp; Septory, B. J. (2021) Development of teaching materials based on realistic mathematic education and its implementation in improving students’ creative thinking skills on comparative material. </w:t>
      </w:r>
      <w:r w:rsidRPr="00A84CE3">
        <w:rPr>
          <w:rFonts w:ascii="Arial" w:hAnsi="Arial" w:cs="Arial"/>
          <w:i/>
          <w:iCs/>
          <w:color w:val="000000" w:themeColor="text1"/>
          <w:sz w:val="22"/>
          <w:szCs w:val="22"/>
          <w:shd w:val="clear" w:color="auto" w:fill="FFFFFF"/>
        </w:rPr>
        <w:t xml:space="preserve">Journal of Physics. </w:t>
      </w:r>
    </w:p>
    <w:p w14:paraId="060D3F5D"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Sakurai, J., Sawatski, C. and Tout, D. (2021) </w:t>
      </w:r>
      <w:r w:rsidRPr="00A84CE3">
        <w:rPr>
          <w:rFonts w:ascii="Arial" w:hAnsi="Arial" w:cs="Arial"/>
          <w:i/>
          <w:iCs/>
          <w:color w:val="000000" w:themeColor="text1"/>
          <w:sz w:val="22"/>
          <w:szCs w:val="22"/>
        </w:rPr>
        <w:t>Real life numeracy contexts – the spark to ignite mathematics learning.</w:t>
      </w:r>
      <w:r w:rsidRPr="00A84CE3">
        <w:rPr>
          <w:rFonts w:ascii="Arial" w:hAnsi="Arial" w:cs="Arial"/>
          <w:color w:val="000000" w:themeColor="text1"/>
          <w:sz w:val="22"/>
          <w:szCs w:val="22"/>
        </w:rPr>
        <w:t xml:space="preserve"> Available at: </w:t>
      </w:r>
      <w:hyperlink r:id="rId23" w:history="1">
        <w:r w:rsidRPr="00A84CE3">
          <w:rPr>
            <w:rStyle w:val="Hyperlink"/>
            <w:rFonts w:ascii="Arial" w:hAnsi="Arial" w:cs="Arial"/>
            <w:color w:val="000000" w:themeColor="text1"/>
            <w:sz w:val="22"/>
            <w:szCs w:val="22"/>
          </w:rPr>
          <w:t>https://www.teachermagazine.com/au_en/articles/real-life-numeracy-contexts-the-spark-to-ignite-mathematics-learning</w:t>
        </w:r>
      </w:hyperlink>
      <w:r w:rsidRPr="00A84CE3">
        <w:rPr>
          <w:rFonts w:ascii="Arial" w:hAnsi="Arial" w:cs="Arial"/>
          <w:color w:val="000000" w:themeColor="text1"/>
          <w:sz w:val="22"/>
          <w:szCs w:val="22"/>
        </w:rPr>
        <w:t xml:space="preserve"> (Accessed: 20</w:t>
      </w:r>
      <w:r w:rsidRPr="00A84CE3">
        <w:rPr>
          <w:rFonts w:ascii="Arial" w:hAnsi="Arial" w:cs="Arial"/>
          <w:color w:val="000000" w:themeColor="text1"/>
          <w:sz w:val="22"/>
          <w:szCs w:val="22"/>
          <w:vertAlign w:val="superscript"/>
        </w:rPr>
        <w:t>th</w:t>
      </w:r>
      <w:r w:rsidRPr="00A84CE3">
        <w:rPr>
          <w:rFonts w:ascii="Arial" w:hAnsi="Arial" w:cs="Arial"/>
          <w:color w:val="000000" w:themeColor="text1"/>
          <w:sz w:val="22"/>
          <w:szCs w:val="22"/>
        </w:rPr>
        <w:t xml:space="preserve"> March 2024).</w:t>
      </w:r>
    </w:p>
    <w:p w14:paraId="45448CDB" w14:textId="77777777" w:rsidR="00991DC4" w:rsidRPr="00A84CE3" w:rsidRDefault="00991DC4" w:rsidP="00991DC4">
      <w:pPr>
        <w:rPr>
          <w:rFonts w:ascii="Arial" w:hAnsi="Arial" w:cs="Arial"/>
          <w:color w:val="000000" w:themeColor="text1"/>
          <w:sz w:val="22"/>
          <w:szCs w:val="22"/>
        </w:rPr>
      </w:pPr>
      <w:bookmarkStart w:id="2" w:name="_Hlk164827336"/>
      <w:r w:rsidRPr="00A84CE3">
        <w:rPr>
          <w:rFonts w:ascii="Arial" w:hAnsi="Arial" w:cs="Arial"/>
          <w:color w:val="000000" w:themeColor="text1"/>
          <w:sz w:val="22"/>
          <w:szCs w:val="22"/>
        </w:rPr>
        <w:t xml:space="preserve">Schutt, R. K. (2006) </w:t>
      </w:r>
      <w:bookmarkEnd w:id="2"/>
      <w:r w:rsidRPr="00A84CE3">
        <w:rPr>
          <w:rFonts w:ascii="Arial" w:hAnsi="Arial" w:cs="Arial"/>
          <w:color w:val="000000" w:themeColor="text1"/>
          <w:sz w:val="22"/>
          <w:szCs w:val="22"/>
        </w:rPr>
        <w:t>Investigating the social world: The process and practice of research. London: Sage Publications.</w:t>
      </w:r>
    </w:p>
    <w:p w14:paraId="71DC7EA1"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 xml:space="preserve">Setati, M., &amp; Adler, J. (2000) Between language and culture: Some qualitative aspects of teaching and learning mathematics in a multilingual context. </w:t>
      </w:r>
      <w:r w:rsidRPr="00A84CE3">
        <w:rPr>
          <w:rFonts w:ascii="Arial" w:hAnsi="Arial" w:cs="Arial"/>
          <w:i/>
          <w:iCs/>
          <w:color w:val="000000" w:themeColor="text1"/>
          <w:sz w:val="22"/>
          <w:szCs w:val="22"/>
          <w:shd w:val="clear" w:color="auto" w:fill="FFFFFF"/>
        </w:rPr>
        <w:t>Educational Studies in Mathematics,</w:t>
      </w:r>
      <w:r w:rsidRPr="00A84CE3">
        <w:rPr>
          <w:rFonts w:ascii="Arial" w:hAnsi="Arial" w:cs="Arial"/>
          <w:color w:val="000000" w:themeColor="text1"/>
          <w:sz w:val="22"/>
          <w:szCs w:val="22"/>
          <w:shd w:val="clear" w:color="auto" w:fill="FFFFFF"/>
        </w:rPr>
        <w:t xml:space="preserve"> 43(3), 243-269.</w:t>
      </w:r>
    </w:p>
    <w:p w14:paraId="32F2D4DC"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Shomos, A., &amp; Forbes, M. (2014) Literacy and numeracy skills and labour market outcomes in Australia. </w:t>
      </w:r>
      <w:r w:rsidRPr="00A84CE3">
        <w:rPr>
          <w:rFonts w:ascii="Arial" w:hAnsi="Arial" w:cs="Arial"/>
          <w:i/>
          <w:iCs/>
          <w:color w:val="000000" w:themeColor="text1"/>
          <w:sz w:val="22"/>
          <w:szCs w:val="22"/>
        </w:rPr>
        <w:t>Productivity Commission Staff Working Paper</w:t>
      </w:r>
      <w:r w:rsidRPr="00A84CE3">
        <w:rPr>
          <w:rFonts w:ascii="Arial" w:hAnsi="Arial" w:cs="Arial"/>
          <w:color w:val="000000" w:themeColor="text1"/>
          <w:sz w:val="22"/>
          <w:szCs w:val="22"/>
        </w:rPr>
        <w:t xml:space="preserve">. Australian Government. Available at: </w:t>
      </w:r>
      <w:hyperlink r:id="rId24" w:history="1">
        <w:r w:rsidRPr="00A84CE3">
          <w:rPr>
            <w:rStyle w:val="Hyperlink"/>
            <w:rFonts w:ascii="Arial" w:hAnsi="Arial" w:cs="Arial"/>
            <w:color w:val="000000" w:themeColor="text1"/>
            <w:sz w:val="22"/>
            <w:szCs w:val="22"/>
          </w:rPr>
          <w:t>http://hdl.voced.edu.au/10707/308789</w:t>
        </w:r>
      </w:hyperlink>
      <w:r w:rsidRPr="00A84CE3">
        <w:rPr>
          <w:rFonts w:ascii="Arial" w:hAnsi="Arial" w:cs="Arial"/>
          <w:color w:val="000000" w:themeColor="text1"/>
          <w:sz w:val="22"/>
          <w:szCs w:val="22"/>
        </w:rPr>
        <w:t xml:space="preserve"> (Accessed on 11th March 2024).</w:t>
      </w:r>
    </w:p>
    <w:p w14:paraId="28DCC4D4"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Simons, H. (2009) </w:t>
      </w:r>
      <w:r w:rsidRPr="00A84CE3">
        <w:rPr>
          <w:rFonts w:ascii="Arial" w:hAnsi="Arial" w:cs="Arial"/>
          <w:i/>
          <w:iCs/>
          <w:color w:val="000000" w:themeColor="text1"/>
          <w:sz w:val="22"/>
          <w:szCs w:val="22"/>
        </w:rPr>
        <w:t>Case Study Research in Practice</w:t>
      </w:r>
      <w:r w:rsidRPr="00A84CE3">
        <w:rPr>
          <w:rFonts w:ascii="Arial" w:hAnsi="Arial" w:cs="Arial"/>
          <w:color w:val="000000" w:themeColor="text1"/>
          <w:sz w:val="22"/>
          <w:szCs w:val="22"/>
        </w:rPr>
        <w:t>. London: Sage.</w:t>
      </w:r>
    </w:p>
    <w:p w14:paraId="3877C8BD"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 xml:space="preserve">Sinay, E. (2016) </w:t>
      </w:r>
      <w:r w:rsidRPr="00A84CE3">
        <w:rPr>
          <w:rFonts w:ascii="Arial" w:hAnsi="Arial" w:cs="Arial"/>
          <w:i/>
          <w:iCs/>
          <w:color w:val="000000" w:themeColor="text1"/>
          <w:sz w:val="22"/>
          <w:szCs w:val="22"/>
          <w:shd w:val="clear" w:color="auto" w:fill="FFFFFF"/>
        </w:rPr>
        <w:t>Teaching and learning mathematics are at the heart of education. Finding connections between mathematical concepts and ideas and real-world situations requires learning to solve problems, analyse, represent, and convey mathematical ideas.</w:t>
      </w:r>
      <w:r w:rsidRPr="00A84CE3">
        <w:rPr>
          <w:rFonts w:ascii="Arial" w:hAnsi="Arial" w:cs="Arial"/>
          <w:color w:val="000000" w:themeColor="text1"/>
          <w:sz w:val="22"/>
          <w:szCs w:val="22"/>
          <w:shd w:val="clear" w:color="auto" w:fill="FFFFFF"/>
        </w:rPr>
        <w:t xml:space="preserve"> Available at: </w:t>
      </w:r>
      <w:hyperlink r:id="rId25" w:history="1">
        <w:r w:rsidRPr="00A84CE3">
          <w:rPr>
            <w:rStyle w:val="Hyperlink"/>
            <w:rFonts w:ascii="Arial" w:hAnsi="Arial" w:cs="Arial"/>
            <w:color w:val="000000" w:themeColor="text1"/>
            <w:sz w:val="22"/>
            <w:szCs w:val="22"/>
            <w:shd w:val="clear" w:color="auto" w:fill="FFFFFF"/>
          </w:rPr>
          <w:t>https://www.researchgate.net/publication/322883181_TEACHING_AND_LEARNING_MATHEMATICS_RESEARCH_SERIES_I_Effective_Instructional_Strategies_TITLE_Teaching_and_Learning_Mathematics_Research_Series_l_Effective_Instructional_Strategies/citations</w:t>
        </w:r>
      </w:hyperlink>
      <w:r w:rsidRPr="00A84CE3">
        <w:rPr>
          <w:rFonts w:ascii="Arial" w:hAnsi="Arial" w:cs="Arial"/>
          <w:color w:val="000000" w:themeColor="text1"/>
          <w:sz w:val="22"/>
          <w:szCs w:val="22"/>
          <w:shd w:val="clear" w:color="auto" w:fill="FFFFFF"/>
        </w:rPr>
        <w:t xml:space="preserve"> (Accessed on 11th March 2024)</w:t>
      </w:r>
    </w:p>
    <w:p w14:paraId="665CDEB0"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Smith, C., &amp; Nguyen, L. (2019). Cultural Considerations in Contextualized Mathematics Instruction for English Language Learners. TESOL Quarterly, 53(1), 112-125.</w:t>
      </w:r>
    </w:p>
    <w:p w14:paraId="13D7F296"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Smith, J. (2018) Challenges of Scaling Hands-On Learning Approaches in Large Classroom Settings. </w:t>
      </w:r>
      <w:r w:rsidRPr="00A84CE3">
        <w:rPr>
          <w:rFonts w:ascii="Arial" w:hAnsi="Arial" w:cs="Arial"/>
          <w:i/>
          <w:iCs/>
          <w:color w:val="000000" w:themeColor="text1"/>
          <w:sz w:val="22"/>
          <w:szCs w:val="22"/>
        </w:rPr>
        <w:t>Educational Research Quarterly</w:t>
      </w:r>
      <w:r w:rsidRPr="00A84CE3">
        <w:rPr>
          <w:rFonts w:ascii="Arial" w:hAnsi="Arial" w:cs="Arial"/>
          <w:color w:val="000000" w:themeColor="text1"/>
          <w:sz w:val="22"/>
          <w:szCs w:val="22"/>
        </w:rPr>
        <w:t>, 42(3), 321-336.</w:t>
      </w:r>
    </w:p>
    <w:p w14:paraId="5E822681" w14:textId="77777777" w:rsidR="00991DC4" w:rsidRPr="00A84CE3" w:rsidRDefault="00991DC4" w:rsidP="00991DC4">
      <w:pPr>
        <w:rPr>
          <w:rFonts w:ascii="Arial" w:hAnsi="Arial" w:cs="Arial"/>
          <w:color w:val="000000" w:themeColor="text1"/>
          <w:sz w:val="22"/>
          <w:szCs w:val="22"/>
        </w:rPr>
      </w:pPr>
      <w:bookmarkStart w:id="3" w:name="_Hlk162115054"/>
      <w:r w:rsidRPr="00A84CE3">
        <w:rPr>
          <w:rFonts w:ascii="Arial" w:hAnsi="Arial" w:cs="Arial"/>
          <w:color w:val="000000" w:themeColor="text1"/>
          <w:sz w:val="22"/>
          <w:szCs w:val="22"/>
        </w:rPr>
        <w:t xml:space="preserve">Stixrud, W. and Johnson, N. (2018) </w:t>
      </w:r>
      <w:bookmarkEnd w:id="3"/>
      <w:r w:rsidRPr="00A84CE3">
        <w:rPr>
          <w:rFonts w:ascii="Arial" w:hAnsi="Arial" w:cs="Arial"/>
          <w:color w:val="000000" w:themeColor="text1"/>
          <w:sz w:val="22"/>
          <w:szCs w:val="22"/>
        </w:rPr>
        <w:t>The Thriving Child. The Science behind reducing stress and Nurturing Independence. Great Britain: Penguin Random House UK.</w:t>
      </w:r>
    </w:p>
    <w:p w14:paraId="420BFDAD"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Storli, R., &amp; Hansen Sandseter, E. B. (2019) Children’s play, well-being and involvement: how children play indoors and outdoors in Norwegian early childhood education and care institutions</w:t>
      </w:r>
      <w:r w:rsidRPr="00A84CE3">
        <w:rPr>
          <w:rFonts w:ascii="Arial" w:hAnsi="Arial" w:cs="Arial"/>
          <w:i/>
          <w:iCs/>
          <w:color w:val="000000" w:themeColor="text1"/>
          <w:sz w:val="22"/>
          <w:szCs w:val="22"/>
        </w:rPr>
        <w:t>. International Journal of Play,</w:t>
      </w:r>
      <w:r w:rsidRPr="00A84CE3">
        <w:rPr>
          <w:rFonts w:ascii="Arial" w:hAnsi="Arial" w:cs="Arial"/>
          <w:color w:val="000000" w:themeColor="text1"/>
          <w:sz w:val="22"/>
          <w:szCs w:val="22"/>
        </w:rPr>
        <w:t xml:space="preserve"> 8(1), 65–78. https://doi.org/10.1080/21594937.2019.1580338</w:t>
      </w:r>
    </w:p>
    <w:p w14:paraId="610FB561"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Suh, D. (2023) </w:t>
      </w:r>
      <w:r w:rsidRPr="00A84CE3">
        <w:rPr>
          <w:rFonts w:ascii="Arial" w:hAnsi="Arial" w:cs="Arial"/>
          <w:i/>
          <w:iCs/>
          <w:color w:val="000000" w:themeColor="text1"/>
          <w:sz w:val="22"/>
          <w:szCs w:val="22"/>
          <w:shd w:val="clear" w:color="auto" w:fill="FFFFFF"/>
        </w:rPr>
        <w:t>Understanding Teachers’ Perceptions of Pedagogy in Teaching Mathematics to English Language Learners</w:t>
      </w:r>
      <w:r w:rsidRPr="00A84CE3">
        <w:rPr>
          <w:rFonts w:ascii="Arial" w:hAnsi="Arial" w:cs="Arial"/>
          <w:color w:val="000000" w:themeColor="text1"/>
          <w:sz w:val="22"/>
          <w:szCs w:val="22"/>
          <w:shd w:val="clear" w:color="auto" w:fill="FFFFFF"/>
        </w:rPr>
        <w:t xml:space="preserve">, Walden University. Available at: </w:t>
      </w:r>
      <w:hyperlink r:id="rId26" w:history="1">
        <w:r w:rsidRPr="00A84CE3">
          <w:rPr>
            <w:rStyle w:val="Hyperlink"/>
            <w:rFonts w:ascii="Arial" w:hAnsi="Arial" w:cs="Arial"/>
            <w:color w:val="000000" w:themeColor="text1"/>
            <w:sz w:val="22"/>
            <w:szCs w:val="22"/>
            <w:shd w:val="clear" w:color="auto" w:fill="FFFFFF"/>
          </w:rPr>
          <w:t>https://www.proquest.com/docview/2785007300?pq-origsite=gscholar&amp;fromopenview=true&amp;sourcetype=Dissertations%20&amp;%20Theses</w:t>
        </w:r>
      </w:hyperlink>
      <w:r w:rsidRPr="00A84CE3">
        <w:rPr>
          <w:rFonts w:ascii="Arial" w:hAnsi="Arial" w:cs="Arial"/>
          <w:color w:val="000000" w:themeColor="text1"/>
          <w:sz w:val="22"/>
          <w:szCs w:val="22"/>
          <w:shd w:val="clear" w:color="auto" w:fill="FFFFFF"/>
        </w:rPr>
        <w:t xml:space="preserve">. </w:t>
      </w:r>
    </w:p>
    <w:p w14:paraId="32AE3AC8"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7F7F7"/>
        </w:rPr>
        <w:lastRenderedPageBreak/>
        <w:t xml:space="preserve">Sulistyo, A. (2022) </w:t>
      </w:r>
      <w:r w:rsidRPr="00A84CE3">
        <w:rPr>
          <w:rFonts w:ascii="Arial" w:hAnsi="Arial" w:cs="Arial"/>
          <w:i/>
          <w:iCs/>
          <w:color w:val="000000" w:themeColor="text1"/>
          <w:sz w:val="22"/>
          <w:szCs w:val="22"/>
          <w:shd w:val="clear" w:color="auto" w:fill="F7F7F7"/>
        </w:rPr>
        <w:t>The Use of Focus Group Discussion Method in Nursing Research</w:t>
      </w:r>
      <w:r w:rsidRPr="00A84CE3">
        <w:rPr>
          <w:rFonts w:ascii="Arial" w:hAnsi="Arial" w:cs="Arial"/>
          <w:color w:val="000000" w:themeColor="text1"/>
          <w:sz w:val="22"/>
          <w:szCs w:val="22"/>
          <w:shd w:val="clear" w:color="auto" w:fill="F7F7F7"/>
        </w:rPr>
        <w:t>. doi: 10.4108/eai.29-3-2020.2315340</w:t>
      </w:r>
    </w:p>
    <w:p w14:paraId="6111DDC0"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Swanson, et al. (2022) Supplemental material for what mediates the relationship between growth in math problem-solving and working memory in English language learners? </w:t>
      </w:r>
      <w:r w:rsidRPr="00A84CE3">
        <w:rPr>
          <w:rFonts w:ascii="Arial" w:hAnsi="Arial" w:cs="Arial"/>
          <w:i/>
          <w:iCs/>
          <w:color w:val="000000" w:themeColor="text1"/>
          <w:sz w:val="22"/>
          <w:szCs w:val="22"/>
        </w:rPr>
        <w:t>Journal of Educational Psychology</w:t>
      </w:r>
      <w:r w:rsidRPr="00A84CE3">
        <w:rPr>
          <w:rFonts w:ascii="Arial" w:hAnsi="Arial" w:cs="Arial"/>
          <w:color w:val="000000" w:themeColor="text1"/>
          <w:sz w:val="22"/>
          <w:szCs w:val="22"/>
        </w:rPr>
        <w:t xml:space="preserve">, 114(7), 1608–1632. </w:t>
      </w:r>
      <w:hyperlink r:id="rId27" w:history="1">
        <w:r w:rsidRPr="00A84CE3">
          <w:rPr>
            <w:rStyle w:val="Hyperlink"/>
            <w:rFonts w:ascii="Arial" w:hAnsi="Arial" w:cs="Arial"/>
            <w:color w:val="000000" w:themeColor="text1"/>
            <w:sz w:val="22"/>
            <w:szCs w:val="22"/>
          </w:rPr>
          <w:t>https://doi.org/10.1037/edu0000718.supp</w:t>
        </w:r>
      </w:hyperlink>
    </w:p>
    <w:p w14:paraId="0574F974"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Thomas, G (2023)</w:t>
      </w:r>
      <w:r w:rsidRPr="00A84CE3">
        <w:rPr>
          <w:rFonts w:ascii="Arial" w:hAnsi="Arial" w:cs="Arial"/>
          <w:i/>
          <w:iCs/>
          <w:color w:val="000000" w:themeColor="text1"/>
          <w:sz w:val="22"/>
          <w:szCs w:val="22"/>
          <w:shd w:val="clear" w:color="auto" w:fill="FFFFFF"/>
        </w:rPr>
        <w:t>How to do your research project : a guide for students </w:t>
      </w:r>
      <w:r w:rsidRPr="00A84CE3">
        <w:rPr>
          <w:rFonts w:ascii="Arial" w:hAnsi="Arial" w:cs="Arial"/>
          <w:color w:val="000000" w:themeColor="text1"/>
          <w:sz w:val="22"/>
          <w:szCs w:val="22"/>
          <w:shd w:val="clear" w:color="auto" w:fill="FFFFFF"/>
        </w:rPr>
        <w:t>(Gary Thomas 1950- author, Ed.; 4th edition.). SAGE.</w:t>
      </w:r>
    </w:p>
    <w:p w14:paraId="73927D6D"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Thomas, G. (2017) How to do your research project A guide for students (3rd ed). Sage Publications. </w:t>
      </w:r>
    </w:p>
    <w:p w14:paraId="55E2B7D5"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FFFFF"/>
        </w:rPr>
        <w:t xml:space="preserve">Thomas, G. (2023) </w:t>
      </w:r>
      <w:r w:rsidRPr="00A84CE3">
        <w:rPr>
          <w:rFonts w:ascii="Arial" w:hAnsi="Arial" w:cs="Arial"/>
          <w:i/>
          <w:iCs/>
          <w:color w:val="000000" w:themeColor="text1"/>
          <w:sz w:val="22"/>
          <w:szCs w:val="22"/>
          <w:shd w:val="clear" w:color="auto" w:fill="FFFFFF"/>
        </w:rPr>
        <w:t>How to do your research project : a guide for students </w:t>
      </w:r>
      <w:r w:rsidRPr="00A84CE3">
        <w:rPr>
          <w:rFonts w:ascii="Arial" w:hAnsi="Arial" w:cs="Arial"/>
          <w:color w:val="000000" w:themeColor="text1"/>
          <w:sz w:val="22"/>
          <w:szCs w:val="22"/>
          <w:shd w:val="clear" w:color="auto" w:fill="FFFFFF"/>
        </w:rPr>
        <w:t>(Gary Thomas 1950- author, Ed.; 4th edition.). SAGE.</w:t>
      </w:r>
    </w:p>
    <w:p w14:paraId="75B33C52" w14:textId="77777777" w:rsidR="00991DC4" w:rsidRPr="00A84CE3" w:rsidRDefault="00991DC4" w:rsidP="00991DC4">
      <w:pPr>
        <w:rPr>
          <w:rFonts w:ascii="Arial" w:hAnsi="Arial" w:cs="Arial"/>
          <w:color w:val="000000" w:themeColor="text1"/>
          <w:sz w:val="22"/>
          <w:szCs w:val="22"/>
          <w:shd w:val="clear" w:color="auto" w:fill="F7F7F7"/>
        </w:rPr>
      </w:pPr>
      <w:r w:rsidRPr="00A84CE3">
        <w:rPr>
          <w:rFonts w:ascii="Arial" w:hAnsi="Arial" w:cs="Arial"/>
          <w:color w:val="000000" w:themeColor="text1"/>
          <w:sz w:val="22"/>
          <w:szCs w:val="22"/>
          <w:shd w:val="clear" w:color="auto" w:fill="FFFFFF"/>
        </w:rPr>
        <w:t>Thomas-Walters, J. (2023) </w:t>
      </w:r>
      <w:r w:rsidRPr="00A84CE3">
        <w:rPr>
          <w:rFonts w:ascii="Arial" w:hAnsi="Arial" w:cs="Arial"/>
          <w:i/>
          <w:iCs/>
          <w:color w:val="000000" w:themeColor="text1"/>
          <w:sz w:val="22"/>
          <w:szCs w:val="22"/>
          <w:shd w:val="clear" w:color="auto" w:fill="FFFFFF"/>
        </w:rPr>
        <w:t>Exploring opportunities for children’s creativity and imagination in ‘real world’ and ‘fantasy’ play in the Reception setting.</w:t>
      </w:r>
      <w:r w:rsidRPr="00A84CE3">
        <w:rPr>
          <w:rFonts w:ascii="Arial" w:hAnsi="Arial" w:cs="Arial"/>
          <w:color w:val="000000" w:themeColor="text1"/>
          <w:sz w:val="22"/>
          <w:szCs w:val="22"/>
          <w:shd w:val="clear" w:color="auto" w:fill="F7F7F7"/>
        </w:rPr>
        <w:t xml:space="preserve"> </w:t>
      </w:r>
    </w:p>
    <w:p w14:paraId="781DFCBD"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Tight, M. (2010) The curious case of case study: a viewpoint, International Journal of Social Research Methodology, 13:4, 329-339, DOI: 10.1080/13645570903187181.</w:t>
      </w:r>
    </w:p>
    <w:p w14:paraId="3175CEAE" w14:textId="77777777" w:rsidR="00991DC4" w:rsidRPr="00A84CE3" w:rsidRDefault="00991DC4" w:rsidP="00991DC4">
      <w:pPr>
        <w:rPr>
          <w:rFonts w:ascii="Arial" w:hAnsi="Arial" w:cs="Arial"/>
          <w:color w:val="000000" w:themeColor="text1"/>
          <w:sz w:val="22"/>
          <w:szCs w:val="22"/>
          <w:lang w:val="bg-BG"/>
        </w:rPr>
      </w:pPr>
      <w:r w:rsidRPr="00A84CE3">
        <w:rPr>
          <w:rFonts w:ascii="Arial" w:hAnsi="Arial" w:cs="Arial"/>
          <w:color w:val="000000" w:themeColor="text1"/>
          <w:sz w:val="22"/>
          <w:szCs w:val="22"/>
          <w:shd w:val="clear" w:color="auto" w:fill="F7F7F7"/>
        </w:rPr>
        <w:t>Timothy, T., (2003) Is there madness in the method? A comment on Storms et al. (2003). Neuropsychology (journal), doi: 10.1037/0894-4105.17.2.318</w:t>
      </w:r>
      <w:r w:rsidRPr="00A84CE3">
        <w:rPr>
          <w:rFonts w:ascii="Arial" w:hAnsi="Arial" w:cs="Arial"/>
          <w:color w:val="000000" w:themeColor="text1"/>
          <w:sz w:val="22"/>
          <w:szCs w:val="22"/>
          <w:shd w:val="clear" w:color="auto" w:fill="F7F7F7"/>
          <w:lang w:val="bg-BG"/>
        </w:rPr>
        <w:t>.</w:t>
      </w:r>
    </w:p>
    <w:p w14:paraId="0F86B1F8"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shd w:val="clear" w:color="auto" w:fill="F7F7F7"/>
        </w:rPr>
        <w:t>Umami, S. (2022)  Analisis Peningkatan Prestasi Belajar dan Kemampuan Berfikir Kreatif Mahasiswa Universitas Teknologi Mataram melalui Penerapan Focus Group Discussion. doi: 10.58578/yasin.v2i5.922</w:t>
      </w:r>
    </w:p>
    <w:p w14:paraId="3D6638E2"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Van den Heuvel-Panhuizen M., &amp; Drijvers P. (2020) Realistic Mathematics Education. In S. Lerman (Ed.), </w:t>
      </w:r>
      <w:r w:rsidRPr="00A84CE3">
        <w:rPr>
          <w:rFonts w:ascii="Arial" w:hAnsi="Arial" w:cs="Arial"/>
          <w:i/>
          <w:iCs/>
          <w:color w:val="000000" w:themeColor="text1"/>
          <w:sz w:val="22"/>
          <w:szCs w:val="22"/>
        </w:rPr>
        <w:t>Encyclopedia of Mathematics Education</w:t>
      </w:r>
      <w:r w:rsidRPr="00A84CE3">
        <w:rPr>
          <w:rFonts w:ascii="Arial" w:hAnsi="Arial" w:cs="Arial"/>
          <w:color w:val="000000" w:themeColor="text1"/>
          <w:sz w:val="22"/>
          <w:szCs w:val="22"/>
        </w:rPr>
        <w:t>. Springer, Cham. DOI: https://doi.org/10.1007/978-3-...</w:t>
      </w:r>
    </w:p>
    <w:p w14:paraId="15A0FC03" w14:textId="77777777" w:rsidR="00991DC4" w:rsidRPr="00A84CE3" w:rsidRDefault="00991DC4" w:rsidP="00991DC4">
      <w:pPr>
        <w:rPr>
          <w:rFonts w:ascii="Arial" w:hAnsi="Arial" w:cs="Arial"/>
          <w:i/>
          <w:iCs/>
          <w:color w:val="000000" w:themeColor="text1"/>
          <w:sz w:val="22"/>
          <w:szCs w:val="22"/>
        </w:rPr>
      </w:pPr>
      <w:r w:rsidRPr="00A84CE3">
        <w:rPr>
          <w:rFonts w:ascii="Arial" w:hAnsi="Arial" w:cs="Arial"/>
          <w:color w:val="000000" w:themeColor="text1"/>
          <w:sz w:val="22"/>
          <w:szCs w:val="22"/>
        </w:rPr>
        <w:t xml:space="preserve">Vandenbroucke, L., Verschueren, K., Baeyens, D., &amp; Van Damme, J. (2017)  The contribution of the teacher–child relationship and children's self-regulation to school engagement and academic achievement. </w:t>
      </w:r>
      <w:r w:rsidRPr="00A84CE3">
        <w:rPr>
          <w:rFonts w:ascii="Arial" w:hAnsi="Arial" w:cs="Arial"/>
          <w:i/>
          <w:iCs/>
          <w:color w:val="000000" w:themeColor="text1"/>
          <w:sz w:val="22"/>
          <w:szCs w:val="22"/>
        </w:rPr>
        <w:t>British Journal of Educational Psychology, 87(4), 767-786.</w:t>
      </w:r>
    </w:p>
    <w:p w14:paraId="5BF0C49F" w14:textId="77777777" w:rsidR="00991DC4" w:rsidRPr="00A84CE3" w:rsidRDefault="00991DC4" w:rsidP="00991DC4">
      <w:pPr>
        <w:rPr>
          <w:rStyle w:val="Hyperlink"/>
          <w:rFonts w:ascii="Arial" w:hAnsi="Arial" w:cs="Arial"/>
          <w:color w:val="000000" w:themeColor="text1"/>
          <w:sz w:val="22"/>
          <w:szCs w:val="22"/>
          <w:shd w:val="clear" w:color="auto" w:fill="FFFFFF"/>
        </w:rPr>
      </w:pPr>
      <w:r w:rsidRPr="00A84CE3">
        <w:rPr>
          <w:rFonts w:ascii="Arial" w:hAnsi="Arial" w:cs="Arial"/>
          <w:color w:val="000000" w:themeColor="text1"/>
          <w:sz w:val="22"/>
          <w:szCs w:val="22"/>
        </w:rPr>
        <w:t xml:space="preserve">Weiland, T. (2017) Problematizing statistical literacy: An intersection of critical and statistical literacies. Educational Studies in Mathematics, 96(1), 33-47. DOI: </w:t>
      </w:r>
      <w:hyperlink r:id="rId28" w:history="1">
        <w:r w:rsidRPr="00A84CE3">
          <w:rPr>
            <w:rStyle w:val="Hyperlink"/>
            <w:rFonts w:ascii="Arial" w:hAnsi="Arial" w:cs="Arial"/>
            <w:color w:val="000000" w:themeColor="text1"/>
            <w:sz w:val="22"/>
            <w:szCs w:val="22"/>
            <w:shd w:val="clear" w:color="auto" w:fill="FFFFFF"/>
          </w:rPr>
          <w:t>https://doi.org/10.1007/s10649-017-9764-5</w:t>
        </w:r>
      </w:hyperlink>
      <w:r w:rsidRPr="00A84CE3">
        <w:rPr>
          <w:rStyle w:val="Hyperlink"/>
          <w:rFonts w:ascii="Arial" w:hAnsi="Arial" w:cs="Arial"/>
          <w:color w:val="000000" w:themeColor="text1"/>
          <w:sz w:val="22"/>
          <w:szCs w:val="22"/>
          <w:shd w:val="clear" w:color="auto" w:fill="FFFFFF"/>
        </w:rPr>
        <w:t>.</w:t>
      </w:r>
    </w:p>
    <w:p w14:paraId="3EB3F72E" w14:textId="77777777" w:rsidR="00991DC4" w:rsidRPr="00A84CE3" w:rsidRDefault="00991DC4" w:rsidP="00991DC4">
      <w:pPr>
        <w:rPr>
          <w:rFonts w:ascii="Arial" w:hAnsi="Arial" w:cs="Arial"/>
          <w:sz w:val="22"/>
          <w:szCs w:val="22"/>
          <w:shd w:val="clear" w:color="auto" w:fill="FFFFFF"/>
        </w:rPr>
      </w:pPr>
      <w:r w:rsidRPr="00A84CE3">
        <w:rPr>
          <w:rFonts w:ascii="Arial" w:hAnsi="Arial" w:cs="Arial"/>
          <w:color w:val="333333"/>
          <w:sz w:val="22"/>
          <w:szCs w:val="22"/>
          <w:shd w:val="clear" w:color="auto" w:fill="FFFFFF"/>
        </w:rPr>
        <w:t>Welsh Government (2019) Professional Standards for teaching and leadership. Available at:</w:t>
      </w:r>
      <w:r w:rsidRPr="00A84CE3">
        <w:rPr>
          <w:rFonts w:ascii="Arial" w:hAnsi="Arial" w:cs="Arial"/>
          <w:sz w:val="22"/>
          <w:szCs w:val="22"/>
        </w:rPr>
        <w:t xml:space="preserve"> </w:t>
      </w:r>
      <w:hyperlink r:id="rId29" w:history="1">
        <w:r w:rsidRPr="00A84CE3">
          <w:rPr>
            <w:rStyle w:val="Hyperlink"/>
            <w:rFonts w:ascii="Arial" w:hAnsi="Arial" w:cs="Arial"/>
            <w:sz w:val="22"/>
            <w:szCs w:val="22"/>
            <w:shd w:val="clear" w:color="auto" w:fill="FFFFFF"/>
          </w:rPr>
          <w:t>https://hwb.gov.wales/storage/19bc948b-8a3f-41e0-944a-7bf2cadf7d18/professional-standards-for-teaching-and-leadership-interactive-pdf-for-pc.pdf</w:t>
        </w:r>
      </w:hyperlink>
      <w:r w:rsidRPr="00A84CE3">
        <w:rPr>
          <w:rFonts w:ascii="Arial" w:hAnsi="Arial" w:cs="Arial"/>
          <w:color w:val="333333"/>
          <w:sz w:val="22"/>
          <w:szCs w:val="22"/>
          <w:shd w:val="clear" w:color="auto" w:fill="FFFFFF"/>
        </w:rPr>
        <w:t xml:space="preserve"> </w:t>
      </w:r>
      <w:r w:rsidRPr="00A84CE3">
        <w:rPr>
          <w:rFonts w:ascii="Arial" w:hAnsi="Arial" w:cs="Arial"/>
          <w:sz w:val="22"/>
          <w:szCs w:val="22"/>
          <w:shd w:val="clear" w:color="auto" w:fill="FFFFFF"/>
        </w:rPr>
        <w:t>( Accessed on 20</w:t>
      </w:r>
      <w:r w:rsidRPr="00A84CE3">
        <w:rPr>
          <w:rFonts w:ascii="Arial" w:hAnsi="Arial" w:cs="Arial"/>
          <w:sz w:val="22"/>
          <w:szCs w:val="22"/>
          <w:shd w:val="clear" w:color="auto" w:fill="FFFFFF"/>
          <w:vertAlign w:val="superscript"/>
        </w:rPr>
        <w:t>th</w:t>
      </w:r>
      <w:r w:rsidRPr="00A84CE3">
        <w:rPr>
          <w:rFonts w:ascii="Arial" w:hAnsi="Arial" w:cs="Arial"/>
          <w:sz w:val="22"/>
          <w:szCs w:val="22"/>
          <w:shd w:val="clear" w:color="auto" w:fill="FFFFFF"/>
        </w:rPr>
        <w:t xml:space="preserve"> April 2024).</w:t>
      </w:r>
    </w:p>
    <w:p w14:paraId="191E7D60" w14:textId="77777777" w:rsidR="00991DC4" w:rsidRPr="00A84CE3" w:rsidRDefault="00991DC4" w:rsidP="00991DC4">
      <w:pPr>
        <w:rPr>
          <w:rFonts w:ascii="Arial" w:hAnsi="Arial" w:cs="Arial"/>
          <w:sz w:val="22"/>
          <w:szCs w:val="22"/>
          <w:shd w:val="clear" w:color="auto" w:fill="FFFFFF"/>
        </w:rPr>
      </w:pPr>
      <w:r w:rsidRPr="00A84CE3">
        <w:rPr>
          <w:rFonts w:ascii="Arial" w:hAnsi="Arial" w:cs="Arial"/>
          <w:sz w:val="22"/>
          <w:szCs w:val="22"/>
          <w:shd w:val="clear" w:color="auto" w:fill="FFFFFF"/>
        </w:rPr>
        <w:t>Welsh Government (2023) Curriculum for Wales. Designing your own curriculum. Pedagogy, Available at: https://hwb.gov.wales/curriculum-for-wales/designing-your-curriculum/pedagogy/. ( Accessed on 16th March 2024).</w:t>
      </w:r>
    </w:p>
    <w:p w14:paraId="41BC814D"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World Medical Association. (2013). Declaration of Helsinki: Ethical Principles for Medical Research Involving Human Subjects. Retrieved from https://www.wma.net/policies-</w:t>
      </w:r>
      <w:r w:rsidRPr="00A84CE3">
        <w:rPr>
          <w:rFonts w:ascii="Arial" w:hAnsi="Arial" w:cs="Arial"/>
          <w:color w:val="000000" w:themeColor="text1"/>
          <w:sz w:val="22"/>
          <w:szCs w:val="22"/>
        </w:rPr>
        <w:lastRenderedPageBreak/>
        <w:t>post/wma-declaration-of-helsinki-ethical-principles-for-medical-research-involving-human-subjects/</w:t>
      </w:r>
    </w:p>
    <w:p w14:paraId="77B92E00" w14:textId="77777777" w:rsidR="00991DC4" w:rsidRPr="00A84CE3" w:rsidRDefault="00991DC4" w:rsidP="00991DC4">
      <w:pPr>
        <w:rPr>
          <w:rFonts w:ascii="Arial" w:hAnsi="Arial" w:cs="Arial"/>
          <w:color w:val="000000" w:themeColor="text1"/>
          <w:sz w:val="22"/>
          <w:szCs w:val="22"/>
        </w:rPr>
      </w:pPr>
      <w:r w:rsidRPr="00A84CE3">
        <w:rPr>
          <w:rFonts w:ascii="Arial" w:hAnsi="Arial" w:cs="Arial"/>
          <w:color w:val="000000" w:themeColor="text1"/>
          <w:sz w:val="22"/>
          <w:szCs w:val="22"/>
        </w:rPr>
        <w:t xml:space="preserve">Xerri, D. (2018) </w:t>
      </w:r>
      <w:r w:rsidRPr="00A84CE3">
        <w:rPr>
          <w:rFonts w:ascii="Arial" w:hAnsi="Arial" w:cs="Arial"/>
          <w:i/>
          <w:iCs/>
          <w:color w:val="000000" w:themeColor="text1"/>
          <w:sz w:val="22"/>
          <w:szCs w:val="22"/>
        </w:rPr>
        <w:t>The Use of Interviews and Focus Groups in Teacher Research. The Clearing House,</w:t>
      </w:r>
      <w:r w:rsidRPr="00A84CE3">
        <w:rPr>
          <w:rFonts w:ascii="Arial" w:hAnsi="Arial" w:cs="Arial"/>
          <w:color w:val="000000" w:themeColor="text1"/>
          <w:sz w:val="22"/>
          <w:szCs w:val="22"/>
        </w:rPr>
        <w:t xml:space="preserve"> doi: 10.1080/00098655.2018.1436820</w:t>
      </w:r>
    </w:p>
    <w:p w14:paraId="1626BDB3" w14:textId="77777777"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Xie F., Derakhshan A. (2021) </w:t>
      </w:r>
      <w:r w:rsidRPr="00A84CE3">
        <w:rPr>
          <w:rStyle w:val="ref-title"/>
          <w:rFonts w:ascii="Arial" w:hAnsi="Arial" w:cs="Arial"/>
          <w:color w:val="000000" w:themeColor="text1"/>
          <w:sz w:val="22"/>
          <w:szCs w:val="22"/>
          <w:shd w:val="clear" w:color="auto" w:fill="FFFFFF"/>
        </w:rPr>
        <w:t>A conceptual review of positive teacher interpersonal communication behaviors in the instructional context</w:t>
      </w:r>
      <w:r w:rsidRPr="00A84CE3">
        <w:rPr>
          <w:rFonts w:ascii="Arial" w:hAnsi="Arial" w:cs="Arial"/>
          <w:color w:val="000000" w:themeColor="text1"/>
          <w:sz w:val="22"/>
          <w:szCs w:val="22"/>
          <w:shd w:val="clear" w:color="auto" w:fill="FFFFFF"/>
        </w:rPr>
        <w:t>. </w:t>
      </w:r>
      <w:r w:rsidRPr="00A84CE3">
        <w:rPr>
          <w:rStyle w:val="ref-journal"/>
          <w:rFonts w:ascii="Arial" w:hAnsi="Arial" w:cs="Arial"/>
          <w:color w:val="000000" w:themeColor="text1"/>
          <w:sz w:val="22"/>
          <w:szCs w:val="22"/>
          <w:shd w:val="clear" w:color="auto" w:fill="FFFFFF"/>
        </w:rPr>
        <w:t>Front. Psychol.</w:t>
      </w:r>
      <w:r w:rsidRPr="00A84CE3">
        <w:rPr>
          <w:rFonts w:ascii="Arial" w:hAnsi="Arial" w:cs="Arial"/>
          <w:color w:val="000000" w:themeColor="text1"/>
          <w:sz w:val="22"/>
          <w:szCs w:val="22"/>
          <w:shd w:val="clear" w:color="auto" w:fill="FFFFFF"/>
        </w:rPr>
        <w:t> </w:t>
      </w:r>
      <w:r w:rsidRPr="00A84CE3">
        <w:rPr>
          <w:rStyle w:val="ref-vol"/>
          <w:rFonts w:ascii="Arial" w:hAnsi="Arial" w:cs="Arial"/>
          <w:color w:val="000000" w:themeColor="text1"/>
          <w:sz w:val="22"/>
          <w:szCs w:val="22"/>
          <w:shd w:val="clear" w:color="auto" w:fill="FFFFFF"/>
        </w:rPr>
        <w:t>12</w:t>
      </w:r>
      <w:r w:rsidRPr="00A84CE3">
        <w:rPr>
          <w:rFonts w:ascii="Arial" w:hAnsi="Arial" w:cs="Arial"/>
          <w:color w:val="000000" w:themeColor="text1"/>
          <w:sz w:val="22"/>
          <w:szCs w:val="22"/>
          <w:shd w:val="clear" w:color="auto" w:fill="FFFFFF"/>
        </w:rPr>
        <w:t>, 1–10. doi: 10.3389/fpsyg.2021.708490.</w:t>
      </w:r>
    </w:p>
    <w:p w14:paraId="67482DB4" w14:textId="77777777" w:rsidR="00991DC4" w:rsidRPr="00A84CE3" w:rsidRDefault="00991DC4" w:rsidP="00991DC4">
      <w:pPr>
        <w:rPr>
          <w:rFonts w:ascii="Arial" w:hAnsi="Arial" w:cs="Arial"/>
          <w:color w:val="000000" w:themeColor="text1"/>
          <w:sz w:val="22"/>
          <w:szCs w:val="22"/>
        </w:rPr>
      </w:pPr>
      <w:bookmarkStart w:id="4" w:name="_Hlk161082675"/>
      <w:r w:rsidRPr="00A84CE3">
        <w:rPr>
          <w:rFonts w:ascii="Arial" w:hAnsi="Arial" w:cs="Arial"/>
          <w:color w:val="000000" w:themeColor="text1"/>
          <w:sz w:val="22"/>
          <w:szCs w:val="22"/>
        </w:rPr>
        <w:t xml:space="preserve">Yalçin, S. et al. (2017) </w:t>
      </w:r>
      <w:bookmarkEnd w:id="4"/>
      <w:r w:rsidRPr="00A84CE3">
        <w:rPr>
          <w:rFonts w:ascii="Arial" w:hAnsi="Arial" w:cs="Arial"/>
          <w:color w:val="000000" w:themeColor="text1"/>
          <w:sz w:val="22"/>
          <w:szCs w:val="22"/>
        </w:rPr>
        <w:t xml:space="preserve">The Effect of Teaching Practices with Real Life Content in Light and Sound Learning Areas. </w:t>
      </w:r>
      <w:r w:rsidRPr="00A84CE3">
        <w:rPr>
          <w:rFonts w:ascii="Arial" w:hAnsi="Arial" w:cs="Arial"/>
          <w:i/>
          <w:iCs/>
          <w:color w:val="000000" w:themeColor="text1"/>
          <w:sz w:val="22"/>
          <w:szCs w:val="22"/>
        </w:rPr>
        <w:t>Universal Journal of Educational Research 5(9): 1621-1631</w:t>
      </w:r>
      <w:r w:rsidRPr="00A84CE3">
        <w:rPr>
          <w:rFonts w:ascii="Arial" w:hAnsi="Arial" w:cs="Arial"/>
          <w:color w:val="000000" w:themeColor="text1"/>
          <w:sz w:val="22"/>
          <w:szCs w:val="22"/>
        </w:rPr>
        <w:t xml:space="preserve">. DOI: 10.13189/ujer.2017.050920. </w:t>
      </w:r>
    </w:p>
    <w:p w14:paraId="570E3CA3" w14:textId="46FB9251" w:rsidR="00991DC4" w:rsidRPr="00A84CE3" w:rsidRDefault="00991DC4" w:rsidP="00991DC4">
      <w:pPr>
        <w:rPr>
          <w:rFonts w:ascii="Arial" w:hAnsi="Arial" w:cs="Arial"/>
          <w:color w:val="000000" w:themeColor="text1"/>
          <w:sz w:val="22"/>
          <w:szCs w:val="22"/>
          <w:shd w:val="clear" w:color="auto" w:fill="FFFFFF"/>
        </w:rPr>
      </w:pPr>
      <w:r w:rsidRPr="00A84CE3">
        <w:rPr>
          <w:rFonts w:ascii="Arial" w:hAnsi="Arial" w:cs="Arial"/>
          <w:color w:val="000000" w:themeColor="text1"/>
          <w:sz w:val="22"/>
          <w:szCs w:val="22"/>
          <w:shd w:val="clear" w:color="auto" w:fill="FFFFFF"/>
        </w:rPr>
        <w:t>Yin H. (2018)</w:t>
      </w:r>
      <w:r w:rsidR="00025DE6">
        <w:rPr>
          <w:rFonts w:ascii="Arial" w:hAnsi="Arial" w:cs="Arial"/>
          <w:color w:val="000000" w:themeColor="text1"/>
          <w:sz w:val="22"/>
          <w:szCs w:val="22"/>
          <w:shd w:val="clear" w:color="auto" w:fill="FFFFFF"/>
        </w:rPr>
        <w:t xml:space="preserve"> </w:t>
      </w:r>
      <w:r w:rsidRPr="00A84CE3">
        <w:rPr>
          <w:rStyle w:val="ref-title"/>
          <w:rFonts w:ascii="Arial" w:hAnsi="Arial" w:cs="Arial"/>
          <w:color w:val="000000" w:themeColor="text1"/>
          <w:sz w:val="22"/>
          <w:szCs w:val="22"/>
          <w:shd w:val="clear" w:color="auto" w:fill="FFFFFF"/>
        </w:rPr>
        <w:t>What motivates Chinese undergraduates to engage in learning? Insights from a psychological approach to student engagement research</w:t>
      </w:r>
      <w:r w:rsidRPr="00A84CE3">
        <w:rPr>
          <w:rFonts w:ascii="Arial" w:hAnsi="Arial" w:cs="Arial"/>
          <w:color w:val="000000" w:themeColor="text1"/>
          <w:sz w:val="22"/>
          <w:szCs w:val="22"/>
          <w:shd w:val="clear" w:color="auto" w:fill="FFFFFF"/>
        </w:rPr>
        <w:t>. </w:t>
      </w:r>
      <w:r w:rsidRPr="00A84CE3">
        <w:rPr>
          <w:rStyle w:val="ref-journal"/>
          <w:rFonts w:ascii="Arial" w:hAnsi="Arial" w:cs="Arial"/>
          <w:color w:val="000000" w:themeColor="text1"/>
          <w:sz w:val="22"/>
          <w:szCs w:val="22"/>
          <w:shd w:val="clear" w:color="auto" w:fill="FFFFFF"/>
        </w:rPr>
        <w:t>High. Educ.</w:t>
      </w:r>
      <w:r w:rsidRPr="00A84CE3">
        <w:rPr>
          <w:rFonts w:ascii="Arial" w:hAnsi="Arial" w:cs="Arial"/>
          <w:color w:val="000000" w:themeColor="text1"/>
          <w:sz w:val="22"/>
          <w:szCs w:val="22"/>
          <w:shd w:val="clear" w:color="auto" w:fill="FFFFFF"/>
        </w:rPr>
        <w:t> </w:t>
      </w:r>
      <w:r w:rsidRPr="00A84CE3">
        <w:rPr>
          <w:rStyle w:val="ref-vol"/>
          <w:rFonts w:ascii="Arial" w:hAnsi="Arial" w:cs="Arial"/>
          <w:color w:val="000000" w:themeColor="text1"/>
          <w:sz w:val="22"/>
          <w:szCs w:val="22"/>
          <w:shd w:val="clear" w:color="auto" w:fill="FFFFFF"/>
        </w:rPr>
        <w:t>76</w:t>
      </w:r>
      <w:r w:rsidRPr="00A84CE3">
        <w:rPr>
          <w:rFonts w:ascii="Arial" w:hAnsi="Arial" w:cs="Arial"/>
          <w:color w:val="000000" w:themeColor="text1"/>
          <w:sz w:val="22"/>
          <w:szCs w:val="22"/>
          <w:shd w:val="clear" w:color="auto" w:fill="FFFFFF"/>
        </w:rPr>
        <w:t xml:space="preserve">, 827–847. doi: 10.1007/s10734-018-0239-0. </w:t>
      </w:r>
    </w:p>
    <w:p w14:paraId="7E35DE9E" w14:textId="77777777" w:rsidR="0059233B" w:rsidRPr="0029566F" w:rsidRDefault="0059233B" w:rsidP="008A0A33">
      <w:pPr>
        <w:jc w:val="both"/>
        <w:rPr>
          <w:rFonts w:ascii="Arial" w:hAnsi="Arial" w:cs="Arial"/>
          <w:b/>
          <w:bCs/>
          <w:sz w:val="22"/>
          <w:szCs w:val="22"/>
        </w:rPr>
      </w:pPr>
    </w:p>
    <w:p w14:paraId="54B56AD4" w14:textId="77777777" w:rsidR="0059233B" w:rsidRPr="0029566F" w:rsidRDefault="0059233B" w:rsidP="008A0A33">
      <w:pPr>
        <w:jc w:val="both"/>
        <w:rPr>
          <w:rFonts w:ascii="Arial" w:hAnsi="Arial" w:cs="Arial"/>
          <w:sz w:val="22"/>
          <w:szCs w:val="22"/>
        </w:rPr>
      </w:pPr>
    </w:p>
    <w:sectPr w:rsidR="0059233B" w:rsidRPr="0029566F">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F6FE2" w14:textId="77777777" w:rsidR="00AC4DAA" w:rsidRDefault="00AC4DAA" w:rsidP="00CD1AFA">
      <w:pPr>
        <w:spacing w:after="0" w:line="240" w:lineRule="auto"/>
      </w:pPr>
      <w:r>
        <w:separator/>
      </w:r>
    </w:p>
  </w:endnote>
  <w:endnote w:type="continuationSeparator" w:id="0">
    <w:p w14:paraId="106F68D2" w14:textId="77777777" w:rsidR="00AC4DAA" w:rsidRDefault="00AC4DAA" w:rsidP="00CD1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85612" w14:textId="77777777" w:rsidR="00CB75A4" w:rsidRDefault="00CB75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4973781"/>
      <w:docPartObj>
        <w:docPartGallery w:val="Page Numbers (Bottom of Page)"/>
        <w:docPartUnique/>
      </w:docPartObj>
    </w:sdtPr>
    <w:sdtEndPr>
      <w:rPr>
        <w:noProof/>
      </w:rPr>
    </w:sdtEndPr>
    <w:sdtContent>
      <w:p w14:paraId="66A5C8B4" w14:textId="12196C5A" w:rsidR="00CB75A4" w:rsidRDefault="00CB75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135A65" w14:textId="77777777" w:rsidR="00CB75A4" w:rsidRDefault="00CB75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96007" w14:textId="77777777" w:rsidR="00CB75A4" w:rsidRDefault="00CB7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CD7A4" w14:textId="77777777" w:rsidR="00AC4DAA" w:rsidRDefault="00AC4DAA" w:rsidP="00CD1AFA">
      <w:pPr>
        <w:spacing w:after="0" w:line="240" w:lineRule="auto"/>
      </w:pPr>
      <w:r>
        <w:separator/>
      </w:r>
    </w:p>
  </w:footnote>
  <w:footnote w:type="continuationSeparator" w:id="0">
    <w:p w14:paraId="232CB58E" w14:textId="77777777" w:rsidR="00AC4DAA" w:rsidRDefault="00AC4DAA" w:rsidP="00CD1A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AFC80" w14:textId="77777777" w:rsidR="00CB75A4" w:rsidRDefault="00CB75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D6A96" w14:textId="77777777" w:rsidR="00CB75A4" w:rsidRDefault="00CB75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A8956" w14:textId="77777777" w:rsidR="00CB75A4" w:rsidRDefault="00CB75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E293E"/>
    <w:multiLevelType w:val="hybridMultilevel"/>
    <w:tmpl w:val="BD40B7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8A86747"/>
    <w:multiLevelType w:val="hybridMultilevel"/>
    <w:tmpl w:val="BC6639A0"/>
    <w:lvl w:ilvl="0" w:tplc="AC96694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0BB214A"/>
    <w:multiLevelType w:val="hybridMultilevel"/>
    <w:tmpl w:val="620AACD8"/>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A2C7615"/>
    <w:multiLevelType w:val="hybridMultilevel"/>
    <w:tmpl w:val="0F64E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3139073">
    <w:abstractNumId w:val="3"/>
  </w:num>
  <w:num w:numId="2" w16cid:durableId="791903057">
    <w:abstractNumId w:val="0"/>
  </w:num>
  <w:num w:numId="3" w16cid:durableId="204870648">
    <w:abstractNumId w:val="1"/>
  </w:num>
  <w:num w:numId="4" w16cid:durableId="1439984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6C3"/>
    <w:rsid w:val="00004C16"/>
    <w:rsid w:val="00006317"/>
    <w:rsid w:val="0001245D"/>
    <w:rsid w:val="0002165B"/>
    <w:rsid w:val="00025DE6"/>
    <w:rsid w:val="00026EC7"/>
    <w:rsid w:val="00030EA6"/>
    <w:rsid w:val="0003343F"/>
    <w:rsid w:val="00033F7B"/>
    <w:rsid w:val="000402EF"/>
    <w:rsid w:val="00051900"/>
    <w:rsid w:val="00056DBC"/>
    <w:rsid w:val="00084177"/>
    <w:rsid w:val="000857DA"/>
    <w:rsid w:val="00091D91"/>
    <w:rsid w:val="00094726"/>
    <w:rsid w:val="000B5C2C"/>
    <w:rsid w:val="000B5DCB"/>
    <w:rsid w:val="000D49EC"/>
    <w:rsid w:val="000E4370"/>
    <w:rsid w:val="000E4F78"/>
    <w:rsid w:val="00100D2F"/>
    <w:rsid w:val="00103833"/>
    <w:rsid w:val="00106CAF"/>
    <w:rsid w:val="00112B11"/>
    <w:rsid w:val="00120796"/>
    <w:rsid w:val="00123647"/>
    <w:rsid w:val="00141B20"/>
    <w:rsid w:val="00143C47"/>
    <w:rsid w:val="0014414B"/>
    <w:rsid w:val="00152DAB"/>
    <w:rsid w:val="00152F67"/>
    <w:rsid w:val="001574EB"/>
    <w:rsid w:val="00173371"/>
    <w:rsid w:val="0017791F"/>
    <w:rsid w:val="00192C1F"/>
    <w:rsid w:val="001938A0"/>
    <w:rsid w:val="00197AFF"/>
    <w:rsid w:val="001A08E4"/>
    <w:rsid w:val="001A211D"/>
    <w:rsid w:val="001B46DC"/>
    <w:rsid w:val="001B4FBF"/>
    <w:rsid w:val="001B5485"/>
    <w:rsid w:val="001C0CB4"/>
    <w:rsid w:val="001E5245"/>
    <w:rsid w:val="001E717D"/>
    <w:rsid w:val="001F11FD"/>
    <w:rsid w:val="001F3E38"/>
    <w:rsid w:val="0022718C"/>
    <w:rsid w:val="002276E7"/>
    <w:rsid w:val="00230CC9"/>
    <w:rsid w:val="002323AF"/>
    <w:rsid w:val="002351E1"/>
    <w:rsid w:val="002366F4"/>
    <w:rsid w:val="002367A8"/>
    <w:rsid w:val="0023691E"/>
    <w:rsid w:val="00243EA5"/>
    <w:rsid w:val="0025102F"/>
    <w:rsid w:val="002622F7"/>
    <w:rsid w:val="00262FB8"/>
    <w:rsid w:val="00270E7D"/>
    <w:rsid w:val="00280051"/>
    <w:rsid w:val="0029236D"/>
    <w:rsid w:val="0029566F"/>
    <w:rsid w:val="002C328D"/>
    <w:rsid w:val="002C521B"/>
    <w:rsid w:val="002D7B5E"/>
    <w:rsid w:val="002F00D6"/>
    <w:rsid w:val="00301065"/>
    <w:rsid w:val="00306123"/>
    <w:rsid w:val="00306914"/>
    <w:rsid w:val="00306BBA"/>
    <w:rsid w:val="00320E54"/>
    <w:rsid w:val="003238D3"/>
    <w:rsid w:val="00327D68"/>
    <w:rsid w:val="00335783"/>
    <w:rsid w:val="00336D38"/>
    <w:rsid w:val="00342910"/>
    <w:rsid w:val="00342A6C"/>
    <w:rsid w:val="00351350"/>
    <w:rsid w:val="0035618C"/>
    <w:rsid w:val="003766AB"/>
    <w:rsid w:val="00377089"/>
    <w:rsid w:val="00380B3E"/>
    <w:rsid w:val="00393798"/>
    <w:rsid w:val="003A416F"/>
    <w:rsid w:val="003B0A4D"/>
    <w:rsid w:val="003B2D57"/>
    <w:rsid w:val="003B2E13"/>
    <w:rsid w:val="003B4749"/>
    <w:rsid w:val="003C3E7E"/>
    <w:rsid w:val="003C7C42"/>
    <w:rsid w:val="003C7F91"/>
    <w:rsid w:val="003D1105"/>
    <w:rsid w:val="003E5E7B"/>
    <w:rsid w:val="003F3497"/>
    <w:rsid w:val="003F5682"/>
    <w:rsid w:val="003F6378"/>
    <w:rsid w:val="00404BD4"/>
    <w:rsid w:val="004059EC"/>
    <w:rsid w:val="004157E5"/>
    <w:rsid w:val="00421985"/>
    <w:rsid w:val="004276C2"/>
    <w:rsid w:val="00427B9A"/>
    <w:rsid w:val="00447A3C"/>
    <w:rsid w:val="00450D09"/>
    <w:rsid w:val="00464C2D"/>
    <w:rsid w:val="00481F84"/>
    <w:rsid w:val="0048486C"/>
    <w:rsid w:val="0048747E"/>
    <w:rsid w:val="004977B1"/>
    <w:rsid w:val="004A3CBA"/>
    <w:rsid w:val="004B0B26"/>
    <w:rsid w:val="004C116A"/>
    <w:rsid w:val="004C44F2"/>
    <w:rsid w:val="004F317E"/>
    <w:rsid w:val="004F69DB"/>
    <w:rsid w:val="00500253"/>
    <w:rsid w:val="00520668"/>
    <w:rsid w:val="00523DAD"/>
    <w:rsid w:val="005251F3"/>
    <w:rsid w:val="00525A0E"/>
    <w:rsid w:val="005342A1"/>
    <w:rsid w:val="00535683"/>
    <w:rsid w:val="00561ABE"/>
    <w:rsid w:val="00577E61"/>
    <w:rsid w:val="00581912"/>
    <w:rsid w:val="00585946"/>
    <w:rsid w:val="0059233B"/>
    <w:rsid w:val="005A0DEC"/>
    <w:rsid w:val="005A3013"/>
    <w:rsid w:val="005A3665"/>
    <w:rsid w:val="005C2714"/>
    <w:rsid w:val="005D6499"/>
    <w:rsid w:val="005F1AE1"/>
    <w:rsid w:val="005F615E"/>
    <w:rsid w:val="00607396"/>
    <w:rsid w:val="00611B95"/>
    <w:rsid w:val="00615A5F"/>
    <w:rsid w:val="00621AC9"/>
    <w:rsid w:val="00634595"/>
    <w:rsid w:val="00634CCB"/>
    <w:rsid w:val="00653F0F"/>
    <w:rsid w:val="0066792E"/>
    <w:rsid w:val="00667C6D"/>
    <w:rsid w:val="00674FF7"/>
    <w:rsid w:val="00675C59"/>
    <w:rsid w:val="00682EAE"/>
    <w:rsid w:val="006A1ED1"/>
    <w:rsid w:val="006A440E"/>
    <w:rsid w:val="006B30A2"/>
    <w:rsid w:val="006B61A3"/>
    <w:rsid w:val="006B6B95"/>
    <w:rsid w:val="006B6CD3"/>
    <w:rsid w:val="006D0DAD"/>
    <w:rsid w:val="006D1D89"/>
    <w:rsid w:val="006D201B"/>
    <w:rsid w:val="006D6275"/>
    <w:rsid w:val="006D7983"/>
    <w:rsid w:val="006F19D4"/>
    <w:rsid w:val="006F213B"/>
    <w:rsid w:val="006F791D"/>
    <w:rsid w:val="0070526A"/>
    <w:rsid w:val="00712682"/>
    <w:rsid w:val="0071338E"/>
    <w:rsid w:val="00715FA6"/>
    <w:rsid w:val="007238D6"/>
    <w:rsid w:val="007434E4"/>
    <w:rsid w:val="00750D50"/>
    <w:rsid w:val="00751445"/>
    <w:rsid w:val="00756117"/>
    <w:rsid w:val="00756C2E"/>
    <w:rsid w:val="00757FF0"/>
    <w:rsid w:val="00763A8A"/>
    <w:rsid w:val="007652D2"/>
    <w:rsid w:val="007703BA"/>
    <w:rsid w:val="007A003C"/>
    <w:rsid w:val="007B4597"/>
    <w:rsid w:val="007C7350"/>
    <w:rsid w:val="007D0340"/>
    <w:rsid w:val="007E1644"/>
    <w:rsid w:val="007E398A"/>
    <w:rsid w:val="00803577"/>
    <w:rsid w:val="00805989"/>
    <w:rsid w:val="008071C3"/>
    <w:rsid w:val="008072F9"/>
    <w:rsid w:val="008334AE"/>
    <w:rsid w:val="00833909"/>
    <w:rsid w:val="00851AC3"/>
    <w:rsid w:val="00871BA0"/>
    <w:rsid w:val="0088586D"/>
    <w:rsid w:val="008A0A33"/>
    <w:rsid w:val="008A1AC9"/>
    <w:rsid w:val="008A3EE2"/>
    <w:rsid w:val="008B08AC"/>
    <w:rsid w:val="008D1148"/>
    <w:rsid w:val="008D598A"/>
    <w:rsid w:val="008E324E"/>
    <w:rsid w:val="008E5151"/>
    <w:rsid w:val="00910CE4"/>
    <w:rsid w:val="0091254D"/>
    <w:rsid w:val="009132BD"/>
    <w:rsid w:val="00922D53"/>
    <w:rsid w:val="0093227E"/>
    <w:rsid w:val="00936F8F"/>
    <w:rsid w:val="00937039"/>
    <w:rsid w:val="0094396F"/>
    <w:rsid w:val="00950930"/>
    <w:rsid w:val="009561E2"/>
    <w:rsid w:val="00963055"/>
    <w:rsid w:val="009658C3"/>
    <w:rsid w:val="009662FD"/>
    <w:rsid w:val="00977625"/>
    <w:rsid w:val="00980274"/>
    <w:rsid w:val="00980557"/>
    <w:rsid w:val="00981A1B"/>
    <w:rsid w:val="009866C3"/>
    <w:rsid w:val="00991D2D"/>
    <w:rsid w:val="00991DC4"/>
    <w:rsid w:val="00996AB0"/>
    <w:rsid w:val="009A6F70"/>
    <w:rsid w:val="009A73CB"/>
    <w:rsid w:val="009B17A1"/>
    <w:rsid w:val="009C7095"/>
    <w:rsid w:val="009C7E90"/>
    <w:rsid w:val="009C7F09"/>
    <w:rsid w:val="009D2677"/>
    <w:rsid w:val="009E2B0D"/>
    <w:rsid w:val="009E3B66"/>
    <w:rsid w:val="009E558C"/>
    <w:rsid w:val="009E584C"/>
    <w:rsid w:val="009F3C6D"/>
    <w:rsid w:val="009F3D05"/>
    <w:rsid w:val="00A02FA6"/>
    <w:rsid w:val="00A10936"/>
    <w:rsid w:val="00A16239"/>
    <w:rsid w:val="00A201BD"/>
    <w:rsid w:val="00A2609A"/>
    <w:rsid w:val="00A4062D"/>
    <w:rsid w:val="00A41CE7"/>
    <w:rsid w:val="00A423F5"/>
    <w:rsid w:val="00A539D7"/>
    <w:rsid w:val="00A546AC"/>
    <w:rsid w:val="00A54FCF"/>
    <w:rsid w:val="00A63492"/>
    <w:rsid w:val="00A70021"/>
    <w:rsid w:val="00A7028F"/>
    <w:rsid w:val="00A70A34"/>
    <w:rsid w:val="00A71F03"/>
    <w:rsid w:val="00AA5294"/>
    <w:rsid w:val="00AB3815"/>
    <w:rsid w:val="00AB4622"/>
    <w:rsid w:val="00AC0756"/>
    <w:rsid w:val="00AC4DAA"/>
    <w:rsid w:val="00AC5D68"/>
    <w:rsid w:val="00AD18BF"/>
    <w:rsid w:val="00AE3129"/>
    <w:rsid w:val="00AE4616"/>
    <w:rsid w:val="00AF64C9"/>
    <w:rsid w:val="00B01EB2"/>
    <w:rsid w:val="00B06847"/>
    <w:rsid w:val="00B12EEB"/>
    <w:rsid w:val="00B2006C"/>
    <w:rsid w:val="00B266E2"/>
    <w:rsid w:val="00B2709F"/>
    <w:rsid w:val="00B30770"/>
    <w:rsid w:val="00B35166"/>
    <w:rsid w:val="00B36F23"/>
    <w:rsid w:val="00B4749B"/>
    <w:rsid w:val="00B50FD3"/>
    <w:rsid w:val="00B5738F"/>
    <w:rsid w:val="00B67612"/>
    <w:rsid w:val="00B73D60"/>
    <w:rsid w:val="00B82F54"/>
    <w:rsid w:val="00B84E9A"/>
    <w:rsid w:val="00B95AEF"/>
    <w:rsid w:val="00BA05EB"/>
    <w:rsid w:val="00BA6B89"/>
    <w:rsid w:val="00BB21D1"/>
    <w:rsid w:val="00BB6E67"/>
    <w:rsid w:val="00BC1931"/>
    <w:rsid w:val="00BC7D10"/>
    <w:rsid w:val="00BD0612"/>
    <w:rsid w:val="00BE07B0"/>
    <w:rsid w:val="00BE5F07"/>
    <w:rsid w:val="00BF09BF"/>
    <w:rsid w:val="00BF31D5"/>
    <w:rsid w:val="00C06124"/>
    <w:rsid w:val="00C06A68"/>
    <w:rsid w:val="00C124E4"/>
    <w:rsid w:val="00C12EAD"/>
    <w:rsid w:val="00C215CB"/>
    <w:rsid w:val="00C27223"/>
    <w:rsid w:val="00C32538"/>
    <w:rsid w:val="00C35E31"/>
    <w:rsid w:val="00C432E5"/>
    <w:rsid w:val="00C44498"/>
    <w:rsid w:val="00C523E1"/>
    <w:rsid w:val="00C54EB7"/>
    <w:rsid w:val="00C55F65"/>
    <w:rsid w:val="00C56046"/>
    <w:rsid w:val="00C629A9"/>
    <w:rsid w:val="00C6512A"/>
    <w:rsid w:val="00C745C1"/>
    <w:rsid w:val="00C75C31"/>
    <w:rsid w:val="00C815BD"/>
    <w:rsid w:val="00C96A48"/>
    <w:rsid w:val="00CA43D7"/>
    <w:rsid w:val="00CA5690"/>
    <w:rsid w:val="00CA7F46"/>
    <w:rsid w:val="00CB15FC"/>
    <w:rsid w:val="00CB75A4"/>
    <w:rsid w:val="00CC3094"/>
    <w:rsid w:val="00CC5676"/>
    <w:rsid w:val="00CD1483"/>
    <w:rsid w:val="00CD1AFA"/>
    <w:rsid w:val="00CF4800"/>
    <w:rsid w:val="00D0254B"/>
    <w:rsid w:val="00D0748A"/>
    <w:rsid w:val="00D126CD"/>
    <w:rsid w:val="00D15D8B"/>
    <w:rsid w:val="00D22625"/>
    <w:rsid w:val="00D33C74"/>
    <w:rsid w:val="00D43A01"/>
    <w:rsid w:val="00D476DC"/>
    <w:rsid w:val="00D57DED"/>
    <w:rsid w:val="00D62D4E"/>
    <w:rsid w:val="00D7502A"/>
    <w:rsid w:val="00D83A8A"/>
    <w:rsid w:val="00DA517F"/>
    <w:rsid w:val="00DC76C3"/>
    <w:rsid w:val="00DF2BC6"/>
    <w:rsid w:val="00E06C37"/>
    <w:rsid w:val="00E06FE8"/>
    <w:rsid w:val="00E11F9D"/>
    <w:rsid w:val="00E149FA"/>
    <w:rsid w:val="00E36C6D"/>
    <w:rsid w:val="00E51FDC"/>
    <w:rsid w:val="00E54995"/>
    <w:rsid w:val="00E66A3F"/>
    <w:rsid w:val="00E67BC5"/>
    <w:rsid w:val="00E70253"/>
    <w:rsid w:val="00E71D43"/>
    <w:rsid w:val="00E81DE6"/>
    <w:rsid w:val="00EA0EDC"/>
    <w:rsid w:val="00EC1642"/>
    <w:rsid w:val="00EC2CFA"/>
    <w:rsid w:val="00EC4A81"/>
    <w:rsid w:val="00EC5415"/>
    <w:rsid w:val="00ED1F2F"/>
    <w:rsid w:val="00ED2F0C"/>
    <w:rsid w:val="00ED510B"/>
    <w:rsid w:val="00ED5351"/>
    <w:rsid w:val="00ED6D24"/>
    <w:rsid w:val="00ED6FDB"/>
    <w:rsid w:val="00EF52DC"/>
    <w:rsid w:val="00F00515"/>
    <w:rsid w:val="00F05D46"/>
    <w:rsid w:val="00F11BB6"/>
    <w:rsid w:val="00F20F9D"/>
    <w:rsid w:val="00F35D1B"/>
    <w:rsid w:val="00F36677"/>
    <w:rsid w:val="00F40337"/>
    <w:rsid w:val="00F42D3B"/>
    <w:rsid w:val="00F443C8"/>
    <w:rsid w:val="00F50C7C"/>
    <w:rsid w:val="00F50EB8"/>
    <w:rsid w:val="00F54017"/>
    <w:rsid w:val="00F565B2"/>
    <w:rsid w:val="00F60605"/>
    <w:rsid w:val="00F62707"/>
    <w:rsid w:val="00F66F6C"/>
    <w:rsid w:val="00F67D7E"/>
    <w:rsid w:val="00F708AC"/>
    <w:rsid w:val="00F76637"/>
    <w:rsid w:val="00F773D6"/>
    <w:rsid w:val="00F80529"/>
    <w:rsid w:val="00F90FED"/>
    <w:rsid w:val="00F914C3"/>
    <w:rsid w:val="00F918F2"/>
    <w:rsid w:val="00FA2603"/>
    <w:rsid w:val="00FB4AAB"/>
    <w:rsid w:val="00FB4AD0"/>
    <w:rsid w:val="00FB559B"/>
    <w:rsid w:val="00FE1E10"/>
    <w:rsid w:val="00FE7D2A"/>
    <w:rsid w:val="00FF65DE"/>
    <w:rsid w:val="00FF6DA0"/>
    <w:rsid w:val="00FF6E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8C633"/>
  <w15:chartTrackingRefBased/>
  <w15:docId w15:val="{E00DC764-8DDB-4EEA-9B17-CFB810F31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12"/>
  </w:style>
  <w:style w:type="paragraph" w:styleId="Heading1">
    <w:name w:val="heading 1"/>
    <w:basedOn w:val="Normal"/>
    <w:next w:val="Normal"/>
    <w:link w:val="Heading1Char"/>
    <w:uiPriority w:val="9"/>
    <w:qFormat/>
    <w:rsid w:val="00DC76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6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6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6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6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6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6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6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6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6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6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6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6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6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6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6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6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6C3"/>
    <w:rPr>
      <w:rFonts w:eastAsiaTheme="majorEastAsia" w:cstheme="majorBidi"/>
      <w:color w:val="272727" w:themeColor="text1" w:themeTint="D8"/>
    </w:rPr>
  </w:style>
  <w:style w:type="paragraph" w:styleId="Title">
    <w:name w:val="Title"/>
    <w:basedOn w:val="Normal"/>
    <w:next w:val="Normal"/>
    <w:link w:val="TitleChar"/>
    <w:uiPriority w:val="10"/>
    <w:qFormat/>
    <w:rsid w:val="00DC76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6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6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6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6C3"/>
    <w:pPr>
      <w:spacing w:before="160"/>
      <w:jc w:val="center"/>
    </w:pPr>
    <w:rPr>
      <w:i/>
      <w:iCs/>
      <w:color w:val="404040" w:themeColor="text1" w:themeTint="BF"/>
    </w:rPr>
  </w:style>
  <w:style w:type="character" w:customStyle="1" w:styleId="QuoteChar">
    <w:name w:val="Quote Char"/>
    <w:basedOn w:val="DefaultParagraphFont"/>
    <w:link w:val="Quote"/>
    <w:uiPriority w:val="29"/>
    <w:rsid w:val="00DC76C3"/>
    <w:rPr>
      <w:i/>
      <w:iCs/>
      <w:color w:val="404040" w:themeColor="text1" w:themeTint="BF"/>
    </w:rPr>
  </w:style>
  <w:style w:type="paragraph" w:styleId="ListParagraph">
    <w:name w:val="List Paragraph"/>
    <w:basedOn w:val="Normal"/>
    <w:uiPriority w:val="34"/>
    <w:qFormat/>
    <w:rsid w:val="00DC76C3"/>
    <w:pPr>
      <w:ind w:left="720"/>
      <w:contextualSpacing/>
    </w:pPr>
  </w:style>
  <w:style w:type="character" w:styleId="IntenseEmphasis">
    <w:name w:val="Intense Emphasis"/>
    <w:basedOn w:val="DefaultParagraphFont"/>
    <w:uiPriority w:val="21"/>
    <w:qFormat/>
    <w:rsid w:val="00DC76C3"/>
    <w:rPr>
      <w:i/>
      <w:iCs/>
      <w:color w:val="0F4761" w:themeColor="accent1" w:themeShade="BF"/>
    </w:rPr>
  </w:style>
  <w:style w:type="paragraph" w:styleId="IntenseQuote">
    <w:name w:val="Intense Quote"/>
    <w:basedOn w:val="Normal"/>
    <w:next w:val="Normal"/>
    <w:link w:val="IntenseQuoteChar"/>
    <w:uiPriority w:val="30"/>
    <w:qFormat/>
    <w:rsid w:val="00DC76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6C3"/>
    <w:rPr>
      <w:i/>
      <w:iCs/>
      <w:color w:val="0F4761" w:themeColor="accent1" w:themeShade="BF"/>
    </w:rPr>
  </w:style>
  <w:style w:type="character" w:styleId="IntenseReference">
    <w:name w:val="Intense Reference"/>
    <w:basedOn w:val="DefaultParagraphFont"/>
    <w:uiPriority w:val="32"/>
    <w:qFormat/>
    <w:rsid w:val="00DC76C3"/>
    <w:rPr>
      <w:b/>
      <w:bCs/>
      <w:smallCaps/>
      <w:color w:val="0F4761" w:themeColor="accent1" w:themeShade="BF"/>
      <w:spacing w:val="5"/>
    </w:rPr>
  </w:style>
  <w:style w:type="paragraph" w:styleId="Header">
    <w:name w:val="header"/>
    <w:basedOn w:val="Normal"/>
    <w:link w:val="HeaderChar"/>
    <w:uiPriority w:val="99"/>
    <w:unhideWhenUsed/>
    <w:rsid w:val="00CD1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AFA"/>
  </w:style>
  <w:style w:type="paragraph" w:styleId="Footer">
    <w:name w:val="footer"/>
    <w:basedOn w:val="Normal"/>
    <w:link w:val="FooterChar"/>
    <w:uiPriority w:val="99"/>
    <w:unhideWhenUsed/>
    <w:rsid w:val="00CD1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AFA"/>
  </w:style>
  <w:style w:type="character" w:styleId="Hyperlink">
    <w:name w:val="Hyperlink"/>
    <w:basedOn w:val="DefaultParagraphFont"/>
    <w:uiPriority w:val="99"/>
    <w:unhideWhenUsed/>
    <w:rsid w:val="00BA6B89"/>
    <w:rPr>
      <w:color w:val="467886" w:themeColor="hyperlink"/>
      <w:u w:val="single"/>
    </w:rPr>
  </w:style>
  <w:style w:type="character" w:styleId="UnresolvedMention">
    <w:name w:val="Unresolved Mention"/>
    <w:basedOn w:val="DefaultParagraphFont"/>
    <w:uiPriority w:val="99"/>
    <w:semiHidden/>
    <w:unhideWhenUsed/>
    <w:rsid w:val="00BA6B89"/>
    <w:rPr>
      <w:color w:val="605E5C"/>
      <w:shd w:val="clear" w:color="auto" w:fill="E1DFDD"/>
    </w:rPr>
  </w:style>
  <w:style w:type="character" w:customStyle="1" w:styleId="authorname">
    <w:name w:val="authorname"/>
    <w:basedOn w:val="DefaultParagraphFont"/>
    <w:rsid w:val="00481F84"/>
  </w:style>
  <w:style w:type="character" w:customStyle="1" w:styleId="separator">
    <w:name w:val="separator"/>
    <w:basedOn w:val="DefaultParagraphFont"/>
    <w:rsid w:val="00481F84"/>
  </w:style>
  <w:style w:type="character" w:customStyle="1" w:styleId="Date1">
    <w:name w:val="Date1"/>
    <w:basedOn w:val="DefaultParagraphFont"/>
    <w:rsid w:val="00481F84"/>
  </w:style>
  <w:style w:type="character" w:customStyle="1" w:styleId="arttitle">
    <w:name w:val="art_title"/>
    <w:basedOn w:val="DefaultParagraphFont"/>
    <w:rsid w:val="00481F84"/>
  </w:style>
  <w:style w:type="character" w:customStyle="1" w:styleId="serialtitle">
    <w:name w:val="serial_title"/>
    <w:basedOn w:val="DefaultParagraphFont"/>
    <w:rsid w:val="00481F84"/>
  </w:style>
  <w:style w:type="character" w:customStyle="1" w:styleId="volumeissue">
    <w:name w:val="volume_issue"/>
    <w:basedOn w:val="DefaultParagraphFont"/>
    <w:rsid w:val="00481F84"/>
  </w:style>
  <w:style w:type="character" w:customStyle="1" w:styleId="pagerange">
    <w:name w:val="page_range"/>
    <w:basedOn w:val="DefaultParagraphFont"/>
    <w:rsid w:val="00481F84"/>
  </w:style>
  <w:style w:type="character" w:customStyle="1" w:styleId="doilink">
    <w:name w:val="doi_link"/>
    <w:basedOn w:val="DefaultParagraphFont"/>
    <w:rsid w:val="00481F84"/>
  </w:style>
  <w:style w:type="character" w:customStyle="1" w:styleId="ref-title">
    <w:name w:val="ref-title"/>
    <w:basedOn w:val="DefaultParagraphFont"/>
    <w:rsid w:val="00342A6C"/>
  </w:style>
  <w:style w:type="character" w:customStyle="1" w:styleId="ref-journal">
    <w:name w:val="ref-journal"/>
    <w:basedOn w:val="DefaultParagraphFont"/>
    <w:rsid w:val="00342A6C"/>
  </w:style>
  <w:style w:type="character" w:customStyle="1" w:styleId="ref-vol">
    <w:name w:val="ref-vol"/>
    <w:basedOn w:val="DefaultParagraphFont"/>
    <w:rsid w:val="00342A6C"/>
  </w:style>
  <w:style w:type="paragraph" w:styleId="NormalWeb">
    <w:name w:val="Normal (Web)"/>
    <w:basedOn w:val="Normal"/>
    <w:uiPriority w:val="99"/>
    <w:semiHidden/>
    <w:unhideWhenUsed/>
    <w:rsid w:val="004C116A"/>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4C116A"/>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91DC4"/>
    <w:rPr>
      <w:i/>
      <w:iCs/>
    </w:rPr>
  </w:style>
  <w:style w:type="paragraph" w:styleId="NoSpacing">
    <w:name w:val="No Spacing"/>
    <w:uiPriority w:val="1"/>
    <w:qFormat/>
    <w:rsid w:val="00991DC4"/>
    <w:pPr>
      <w:spacing w:after="0" w:line="240"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407">
      <w:bodyDiv w:val="1"/>
      <w:marLeft w:val="0"/>
      <w:marRight w:val="0"/>
      <w:marTop w:val="0"/>
      <w:marBottom w:val="0"/>
      <w:divBdr>
        <w:top w:val="none" w:sz="0" w:space="0" w:color="auto"/>
        <w:left w:val="none" w:sz="0" w:space="0" w:color="auto"/>
        <w:bottom w:val="none" w:sz="0" w:space="0" w:color="auto"/>
        <w:right w:val="none" w:sz="0" w:space="0" w:color="auto"/>
      </w:divBdr>
      <w:divsChild>
        <w:div w:id="611672609">
          <w:marLeft w:val="0"/>
          <w:marRight w:val="0"/>
          <w:marTop w:val="0"/>
          <w:marBottom w:val="0"/>
          <w:divBdr>
            <w:top w:val="single" w:sz="2" w:space="0" w:color="E3E3E3"/>
            <w:left w:val="single" w:sz="2" w:space="0" w:color="E3E3E3"/>
            <w:bottom w:val="single" w:sz="2" w:space="0" w:color="E3E3E3"/>
            <w:right w:val="single" w:sz="2" w:space="0" w:color="E3E3E3"/>
          </w:divBdr>
          <w:divsChild>
            <w:div w:id="11639322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01673134">
                  <w:marLeft w:val="0"/>
                  <w:marRight w:val="0"/>
                  <w:marTop w:val="0"/>
                  <w:marBottom w:val="0"/>
                  <w:divBdr>
                    <w:top w:val="single" w:sz="2" w:space="0" w:color="E3E3E3"/>
                    <w:left w:val="single" w:sz="2" w:space="0" w:color="E3E3E3"/>
                    <w:bottom w:val="single" w:sz="2" w:space="0" w:color="E3E3E3"/>
                    <w:right w:val="single" w:sz="2" w:space="0" w:color="E3E3E3"/>
                  </w:divBdr>
                  <w:divsChild>
                    <w:div w:id="1693072641">
                      <w:marLeft w:val="0"/>
                      <w:marRight w:val="0"/>
                      <w:marTop w:val="0"/>
                      <w:marBottom w:val="0"/>
                      <w:divBdr>
                        <w:top w:val="single" w:sz="2" w:space="0" w:color="E3E3E3"/>
                        <w:left w:val="single" w:sz="2" w:space="0" w:color="E3E3E3"/>
                        <w:bottom w:val="single" w:sz="2" w:space="0" w:color="E3E3E3"/>
                        <w:right w:val="single" w:sz="2" w:space="0" w:color="E3E3E3"/>
                      </w:divBdr>
                      <w:divsChild>
                        <w:div w:id="160044790">
                          <w:marLeft w:val="0"/>
                          <w:marRight w:val="0"/>
                          <w:marTop w:val="0"/>
                          <w:marBottom w:val="0"/>
                          <w:divBdr>
                            <w:top w:val="single" w:sz="2" w:space="0" w:color="E3E3E3"/>
                            <w:left w:val="single" w:sz="2" w:space="0" w:color="E3E3E3"/>
                            <w:bottom w:val="single" w:sz="2" w:space="0" w:color="E3E3E3"/>
                            <w:right w:val="single" w:sz="2" w:space="0" w:color="E3E3E3"/>
                          </w:divBdr>
                          <w:divsChild>
                            <w:div w:id="325403953">
                              <w:marLeft w:val="0"/>
                              <w:marRight w:val="0"/>
                              <w:marTop w:val="0"/>
                              <w:marBottom w:val="0"/>
                              <w:divBdr>
                                <w:top w:val="single" w:sz="2" w:space="0" w:color="E3E3E3"/>
                                <w:left w:val="single" w:sz="2" w:space="0" w:color="E3E3E3"/>
                                <w:bottom w:val="single" w:sz="2" w:space="0" w:color="E3E3E3"/>
                                <w:right w:val="single" w:sz="2" w:space="0" w:color="E3E3E3"/>
                              </w:divBdr>
                              <w:divsChild>
                                <w:div w:id="1914700364">
                                  <w:marLeft w:val="0"/>
                                  <w:marRight w:val="0"/>
                                  <w:marTop w:val="0"/>
                                  <w:marBottom w:val="0"/>
                                  <w:divBdr>
                                    <w:top w:val="single" w:sz="2" w:space="0" w:color="E3E3E3"/>
                                    <w:left w:val="single" w:sz="2" w:space="0" w:color="E3E3E3"/>
                                    <w:bottom w:val="single" w:sz="2" w:space="0" w:color="E3E3E3"/>
                                    <w:right w:val="single" w:sz="2" w:space="0" w:color="E3E3E3"/>
                                  </w:divBdr>
                                  <w:divsChild>
                                    <w:div w:id="520972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22494">
      <w:bodyDiv w:val="1"/>
      <w:marLeft w:val="0"/>
      <w:marRight w:val="0"/>
      <w:marTop w:val="0"/>
      <w:marBottom w:val="0"/>
      <w:divBdr>
        <w:top w:val="none" w:sz="0" w:space="0" w:color="auto"/>
        <w:left w:val="none" w:sz="0" w:space="0" w:color="auto"/>
        <w:bottom w:val="none" w:sz="0" w:space="0" w:color="auto"/>
        <w:right w:val="none" w:sz="0" w:space="0" w:color="auto"/>
      </w:divBdr>
    </w:div>
    <w:div w:id="24865725">
      <w:bodyDiv w:val="1"/>
      <w:marLeft w:val="0"/>
      <w:marRight w:val="0"/>
      <w:marTop w:val="0"/>
      <w:marBottom w:val="0"/>
      <w:divBdr>
        <w:top w:val="none" w:sz="0" w:space="0" w:color="auto"/>
        <w:left w:val="none" w:sz="0" w:space="0" w:color="auto"/>
        <w:bottom w:val="none" w:sz="0" w:space="0" w:color="auto"/>
        <w:right w:val="none" w:sz="0" w:space="0" w:color="auto"/>
      </w:divBdr>
    </w:div>
    <w:div w:id="45029071">
      <w:bodyDiv w:val="1"/>
      <w:marLeft w:val="0"/>
      <w:marRight w:val="0"/>
      <w:marTop w:val="0"/>
      <w:marBottom w:val="0"/>
      <w:divBdr>
        <w:top w:val="none" w:sz="0" w:space="0" w:color="auto"/>
        <w:left w:val="none" w:sz="0" w:space="0" w:color="auto"/>
        <w:bottom w:val="none" w:sz="0" w:space="0" w:color="auto"/>
        <w:right w:val="none" w:sz="0" w:space="0" w:color="auto"/>
      </w:divBdr>
    </w:div>
    <w:div w:id="83187324">
      <w:bodyDiv w:val="1"/>
      <w:marLeft w:val="0"/>
      <w:marRight w:val="0"/>
      <w:marTop w:val="0"/>
      <w:marBottom w:val="0"/>
      <w:divBdr>
        <w:top w:val="none" w:sz="0" w:space="0" w:color="auto"/>
        <w:left w:val="none" w:sz="0" w:space="0" w:color="auto"/>
        <w:bottom w:val="none" w:sz="0" w:space="0" w:color="auto"/>
        <w:right w:val="none" w:sz="0" w:space="0" w:color="auto"/>
      </w:divBdr>
    </w:div>
    <w:div w:id="97024948">
      <w:bodyDiv w:val="1"/>
      <w:marLeft w:val="0"/>
      <w:marRight w:val="0"/>
      <w:marTop w:val="0"/>
      <w:marBottom w:val="0"/>
      <w:divBdr>
        <w:top w:val="none" w:sz="0" w:space="0" w:color="auto"/>
        <w:left w:val="none" w:sz="0" w:space="0" w:color="auto"/>
        <w:bottom w:val="none" w:sz="0" w:space="0" w:color="auto"/>
        <w:right w:val="none" w:sz="0" w:space="0" w:color="auto"/>
      </w:divBdr>
    </w:div>
    <w:div w:id="104468894">
      <w:bodyDiv w:val="1"/>
      <w:marLeft w:val="0"/>
      <w:marRight w:val="0"/>
      <w:marTop w:val="0"/>
      <w:marBottom w:val="0"/>
      <w:divBdr>
        <w:top w:val="none" w:sz="0" w:space="0" w:color="auto"/>
        <w:left w:val="none" w:sz="0" w:space="0" w:color="auto"/>
        <w:bottom w:val="none" w:sz="0" w:space="0" w:color="auto"/>
        <w:right w:val="none" w:sz="0" w:space="0" w:color="auto"/>
      </w:divBdr>
    </w:div>
    <w:div w:id="141436821">
      <w:bodyDiv w:val="1"/>
      <w:marLeft w:val="0"/>
      <w:marRight w:val="0"/>
      <w:marTop w:val="0"/>
      <w:marBottom w:val="0"/>
      <w:divBdr>
        <w:top w:val="none" w:sz="0" w:space="0" w:color="auto"/>
        <w:left w:val="none" w:sz="0" w:space="0" w:color="auto"/>
        <w:bottom w:val="none" w:sz="0" w:space="0" w:color="auto"/>
        <w:right w:val="none" w:sz="0" w:space="0" w:color="auto"/>
      </w:divBdr>
    </w:div>
    <w:div w:id="150996982">
      <w:bodyDiv w:val="1"/>
      <w:marLeft w:val="0"/>
      <w:marRight w:val="0"/>
      <w:marTop w:val="0"/>
      <w:marBottom w:val="0"/>
      <w:divBdr>
        <w:top w:val="none" w:sz="0" w:space="0" w:color="auto"/>
        <w:left w:val="none" w:sz="0" w:space="0" w:color="auto"/>
        <w:bottom w:val="none" w:sz="0" w:space="0" w:color="auto"/>
        <w:right w:val="none" w:sz="0" w:space="0" w:color="auto"/>
      </w:divBdr>
    </w:div>
    <w:div w:id="200093049">
      <w:bodyDiv w:val="1"/>
      <w:marLeft w:val="0"/>
      <w:marRight w:val="0"/>
      <w:marTop w:val="0"/>
      <w:marBottom w:val="0"/>
      <w:divBdr>
        <w:top w:val="none" w:sz="0" w:space="0" w:color="auto"/>
        <w:left w:val="none" w:sz="0" w:space="0" w:color="auto"/>
        <w:bottom w:val="none" w:sz="0" w:space="0" w:color="auto"/>
        <w:right w:val="none" w:sz="0" w:space="0" w:color="auto"/>
      </w:divBdr>
    </w:div>
    <w:div w:id="209850578">
      <w:bodyDiv w:val="1"/>
      <w:marLeft w:val="0"/>
      <w:marRight w:val="0"/>
      <w:marTop w:val="0"/>
      <w:marBottom w:val="0"/>
      <w:divBdr>
        <w:top w:val="none" w:sz="0" w:space="0" w:color="auto"/>
        <w:left w:val="none" w:sz="0" w:space="0" w:color="auto"/>
        <w:bottom w:val="none" w:sz="0" w:space="0" w:color="auto"/>
        <w:right w:val="none" w:sz="0" w:space="0" w:color="auto"/>
      </w:divBdr>
    </w:div>
    <w:div w:id="286934581">
      <w:bodyDiv w:val="1"/>
      <w:marLeft w:val="0"/>
      <w:marRight w:val="0"/>
      <w:marTop w:val="0"/>
      <w:marBottom w:val="0"/>
      <w:divBdr>
        <w:top w:val="none" w:sz="0" w:space="0" w:color="auto"/>
        <w:left w:val="none" w:sz="0" w:space="0" w:color="auto"/>
        <w:bottom w:val="none" w:sz="0" w:space="0" w:color="auto"/>
        <w:right w:val="none" w:sz="0" w:space="0" w:color="auto"/>
      </w:divBdr>
    </w:div>
    <w:div w:id="330329940">
      <w:bodyDiv w:val="1"/>
      <w:marLeft w:val="0"/>
      <w:marRight w:val="0"/>
      <w:marTop w:val="0"/>
      <w:marBottom w:val="0"/>
      <w:divBdr>
        <w:top w:val="none" w:sz="0" w:space="0" w:color="auto"/>
        <w:left w:val="none" w:sz="0" w:space="0" w:color="auto"/>
        <w:bottom w:val="none" w:sz="0" w:space="0" w:color="auto"/>
        <w:right w:val="none" w:sz="0" w:space="0" w:color="auto"/>
      </w:divBdr>
    </w:div>
    <w:div w:id="389966761">
      <w:bodyDiv w:val="1"/>
      <w:marLeft w:val="0"/>
      <w:marRight w:val="0"/>
      <w:marTop w:val="0"/>
      <w:marBottom w:val="0"/>
      <w:divBdr>
        <w:top w:val="none" w:sz="0" w:space="0" w:color="auto"/>
        <w:left w:val="none" w:sz="0" w:space="0" w:color="auto"/>
        <w:bottom w:val="none" w:sz="0" w:space="0" w:color="auto"/>
        <w:right w:val="none" w:sz="0" w:space="0" w:color="auto"/>
      </w:divBdr>
    </w:div>
    <w:div w:id="413750226">
      <w:bodyDiv w:val="1"/>
      <w:marLeft w:val="0"/>
      <w:marRight w:val="0"/>
      <w:marTop w:val="0"/>
      <w:marBottom w:val="0"/>
      <w:divBdr>
        <w:top w:val="none" w:sz="0" w:space="0" w:color="auto"/>
        <w:left w:val="none" w:sz="0" w:space="0" w:color="auto"/>
        <w:bottom w:val="none" w:sz="0" w:space="0" w:color="auto"/>
        <w:right w:val="none" w:sz="0" w:space="0" w:color="auto"/>
      </w:divBdr>
    </w:div>
    <w:div w:id="433021072">
      <w:bodyDiv w:val="1"/>
      <w:marLeft w:val="0"/>
      <w:marRight w:val="0"/>
      <w:marTop w:val="0"/>
      <w:marBottom w:val="0"/>
      <w:divBdr>
        <w:top w:val="none" w:sz="0" w:space="0" w:color="auto"/>
        <w:left w:val="none" w:sz="0" w:space="0" w:color="auto"/>
        <w:bottom w:val="none" w:sz="0" w:space="0" w:color="auto"/>
        <w:right w:val="none" w:sz="0" w:space="0" w:color="auto"/>
      </w:divBdr>
    </w:div>
    <w:div w:id="453408055">
      <w:bodyDiv w:val="1"/>
      <w:marLeft w:val="0"/>
      <w:marRight w:val="0"/>
      <w:marTop w:val="0"/>
      <w:marBottom w:val="0"/>
      <w:divBdr>
        <w:top w:val="none" w:sz="0" w:space="0" w:color="auto"/>
        <w:left w:val="none" w:sz="0" w:space="0" w:color="auto"/>
        <w:bottom w:val="none" w:sz="0" w:space="0" w:color="auto"/>
        <w:right w:val="none" w:sz="0" w:space="0" w:color="auto"/>
      </w:divBdr>
    </w:div>
    <w:div w:id="459151376">
      <w:bodyDiv w:val="1"/>
      <w:marLeft w:val="0"/>
      <w:marRight w:val="0"/>
      <w:marTop w:val="0"/>
      <w:marBottom w:val="0"/>
      <w:divBdr>
        <w:top w:val="none" w:sz="0" w:space="0" w:color="auto"/>
        <w:left w:val="none" w:sz="0" w:space="0" w:color="auto"/>
        <w:bottom w:val="none" w:sz="0" w:space="0" w:color="auto"/>
        <w:right w:val="none" w:sz="0" w:space="0" w:color="auto"/>
      </w:divBdr>
    </w:div>
    <w:div w:id="542139065">
      <w:bodyDiv w:val="1"/>
      <w:marLeft w:val="0"/>
      <w:marRight w:val="0"/>
      <w:marTop w:val="0"/>
      <w:marBottom w:val="0"/>
      <w:divBdr>
        <w:top w:val="none" w:sz="0" w:space="0" w:color="auto"/>
        <w:left w:val="none" w:sz="0" w:space="0" w:color="auto"/>
        <w:bottom w:val="none" w:sz="0" w:space="0" w:color="auto"/>
        <w:right w:val="none" w:sz="0" w:space="0" w:color="auto"/>
      </w:divBdr>
    </w:div>
    <w:div w:id="567770838">
      <w:bodyDiv w:val="1"/>
      <w:marLeft w:val="0"/>
      <w:marRight w:val="0"/>
      <w:marTop w:val="0"/>
      <w:marBottom w:val="0"/>
      <w:divBdr>
        <w:top w:val="none" w:sz="0" w:space="0" w:color="auto"/>
        <w:left w:val="none" w:sz="0" w:space="0" w:color="auto"/>
        <w:bottom w:val="none" w:sz="0" w:space="0" w:color="auto"/>
        <w:right w:val="none" w:sz="0" w:space="0" w:color="auto"/>
      </w:divBdr>
    </w:div>
    <w:div w:id="680551617">
      <w:bodyDiv w:val="1"/>
      <w:marLeft w:val="0"/>
      <w:marRight w:val="0"/>
      <w:marTop w:val="0"/>
      <w:marBottom w:val="0"/>
      <w:divBdr>
        <w:top w:val="none" w:sz="0" w:space="0" w:color="auto"/>
        <w:left w:val="none" w:sz="0" w:space="0" w:color="auto"/>
        <w:bottom w:val="none" w:sz="0" w:space="0" w:color="auto"/>
        <w:right w:val="none" w:sz="0" w:space="0" w:color="auto"/>
      </w:divBdr>
    </w:div>
    <w:div w:id="688411853">
      <w:bodyDiv w:val="1"/>
      <w:marLeft w:val="0"/>
      <w:marRight w:val="0"/>
      <w:marTop w:val="0"/>
      <w:marBottom w:val="0"/>
      <w:divBdr>
        <w:top w:val="none" w:sz="0" w:space="0" w:color="auto"/>
        <w:left w:val="none" w:sz="0" w:space="0" w:color="auto"/>
        <w:bottom w:val="none" w:sz="0" w:space="0" w:color="auto"/>
        <w:right w:val="none" w:sz="0" w:space="0" w:color="auto"/>
      </w:divBdr>
    </w:div>
    <w:div w:id="705522780">
      <w:bodyDiv w:val="1"/>
      <w:marLeft w:val="0"/>
      <w:marRight w:val="0"/>
      <w:marTop w:val="0"/>
      <w:marBottom w:val="0"/>
      <w:divBdr>
        <w:top w:val="none" w:sz="0" w:space="0" w:color="auto"/>
        <w:left w:val="none" w:sz="0" w:space="0" w:color="auto"/>
        <w:bottom w:val="none" w:sz="0" w:space="0" w:color="auto"/>
        <w:right w:val="none" w:sz="0" w:space="0" w:color="auto"/>
      </w:divBdr>
    </w:div>
    <w:div w:id="716898738">
      <w:bodyDiv w:val="1"/>
      <w:marLeft w:val="0"/>
      <w:marRight w:val="0"/>
      <w:marTop w:val="0"/>
      <w:marBottom w:val="0"/>
      <w:divBdr>
        <w:top w:val="none" w:sz="0" w:space="0" w:color="auto"/>
        <w:left w:val="none" w:sz="0" w:space="0" w:color="auto"/>
        <w:bottom w:val="none" w:sz="0" w:space="0" w:color="auto"/>
        <w:right w:val="none" w:sz="0" w:space="0" w:color="auto"/>
      </w:divBdr>
    </w:div>
    <w:div w:id="728529863">
      <w:bodyDiv w:val="1"/>
      <w:marLeft w:val="0"/>
      <w:marRight w:val="0"/>
      <w:marTop w:val="0"/>
      <w:marBottom w:val="0"/>
      <w:divBdr>
        <w:top w:val="none" w:sz="0" w:space="0" w:color="auto"/>
        <w:left w:val="none" w:sz="0" w:space="0" w:color="auto"/>
        <w:bottom w:val="none" w:sz="0" w:space="0" w:color="auto"/>
        <w:right w:val="none" w:sz="0" w:space="0" w:color="auto"/>
      </w:divBdr>
    </w:div>
    <w:div w:id="756441508">
      <w:bodyDiv w:val="1"/>
      <w:marLeft w:val="0"/>
      <w:marRight w:val="0"/>
      <w:marTop w:val="0"/>
      <w:marBottom w:val="0"/>
      <w:divBdr>
        <w:top w:val="none" w:sz="0" w:space="0" w:color="auto"/>
        <w:left w:val="none" w:sz="0" w:space="0" w:color="auto"/>
        <w:bottom w:val="none" w:sz="0" w:space="0" w:color="auto"/>
        <w:right w:val="none" w:sz="0" w:space="0" w:color="auto"/>
      </w:divBdr>
    </w:div>
    <w:div w:id="806119656">
      <w:bodyDiv w:val="1"/>
      <w:marLeft w:val="0"/>
      <w:marRight w:val="0"/>
      <w:marTop w:val="0"/>
      <w:marBottom w:val="0"/>
      <w:divBdr>
        <w:top w:val="none" w:sz="0" w:space="0" w:color="auto"/>
        <w:left w:val="none" w:sz="0" w:space="0" w:color="auto"/>
        <w:bottom w:val="none" w:sz="0" w:space="0" w:color="auto"/>
        <w:right w:val="none" w:sz="0" w:space="0" w:color="auto"/>
      </w:divBdr>
    </w:div>
    <w:div w:id="878124496">
      <w:bodyDiv w:val="1"/>
      <w:marLeft w:val="0"/>
      <w:marRight w:val="0"/>
      <w:marTop w:val="0"/>
      <w:marBottom w:val="0"/>
      <w:divBdr>
        <w:top w:val="none" w:sz="0" w:space="0" w:color="auto"/>
        <w:left w:val="none" w:sz="0" w:space="0" w:color="auto"/>
        <w:bottom w:val="none" w:sz="0" w:space="0" w:color="auto"/>
        <w:right w:val="none" w:sz="0" w:space="0" w:color="auto"/>
      </w:divBdr>
    </w:div>
    <w:div w:id="908269000">
      <w:bodyDiv w:val="1"/>
      <w:marLeft w:val="0"/>
      <w:marRight w:val="0"/>
      <w:marTop w:val="0"/>
      <w:marBottom w:val="0"/>
      <w:divBdr>
        <w:top w:val="none" w:sz="0" w:space="0" w:color="auto"/>
        <w:left w:val="none" w:sz="0" w:space="0" w:color="auto"/>
        <w:bottom w:val="none" w:sz="0" w:space="0" w:color="auto"/>
        <w:right w:val="none" w:sz="0" w:space="0" w:color="auto"/>
      </w:divBdr>
    </w:div>
    <w:div w:id="929392536">
      <w:bodyDiv w:val="1"/>
      <w:marLeft w:val="0"/>
      <w:marRight w:val="0"/>
      <w:marTop w:val="0"/>
      <w:marBottom w:val="0"/>
      <w:divBdr>
        <w:top w:val="none" w:sz="0" w:space="0" w:color="auto"/>
        <w:left w:val="none" w:sz="0" w:space="0" w:color="auto"/>
        <w:bottom w:val="none" w:sz="0" w:space="0" w:color="auto"/>
        <w:right w:val="none" w:sz="0" w:space="0" w:color="auto"/>
      </w:divBdr>
    </w:div>
    <w:div w:id="1005933403">
      <w:bodyDiv w:val="1"/>
      <w:marLeft w:val="0"/>
      <w:marRight w:val="0"/>
      <w:marTop w:val="0"/>
      <w:marBottom w:val="0"/>
      <w:divBdr>
        <w:top w:val="none" w:sz="0" w:space="0" w:color="auto"/>
        <w:left w:val="none" w:sz="0" w:space="0" w:color="auto"/>
        <w:bottom w:val="none" w:sz="0" w:space="0" w:color="auto"/>
        <w:right w:val="none" w:sz="0" w:space="0" w:color="auto"/>
      </w:divBdr>
    </w:div>
    <w:div w:id="1006519265">
      <w:bodyDiv w:val="1"/>
      <w:marLeft w:val="0"/>
      <w:marRight w:val="0"/>
      <w:marTop w:val="0"/>
      <w:marBottom w:val="0"/>
      <w:divBdr>
        <w:top w:val="none" w:sz="0" w:space="0" w:color="auto"/>
        <w:left w:val="none" w:sz="0" w:space="0" w:color="auto"/>
        <w:bottom w:val="none" w:sz="0" w:space="0" w:color="auto"/>
        <w:right w:val="none" w:sz="0" w:space="0" w:color="auto"/>
      </w:divBdr>
    </w:div>
    <w:div w:id="1022897181">
      <w:bodyDiv w:val="1"/>
      <w:marLeft w:val="0"/>
      <w:marRight w:val="0"/>
      <w:marTop w:val="0"/>
      <w:marBottom w:val="0"/>
      <w:divBdr>
        <w:top w:val="none" w:sz="0" w:space="0" w:color="auto"/>
        <w:left w:val="none" w:sz="0" w:space="0" w:color="auto"/>
        <w:bottom w:val="none" w:sz="0" w:space="0" w:color="auto"/>
        <w:right w:val="none" w:sz="0" w:space="0" w:color="auto"/>
      </w:divBdr>
    </w:div>
    <w:div w:id="1099331703">
      <w:bodyDiv w:val="1"/>
      <w:marLeft w:val="0"/>
      <w:marRight w:val="0"/>
      <w:marTop w:val="0"/>
      <w:marBottom w:val="0"/>
      <w:divBdr>
        <w:top w:val="none" w:sz="0" w:space="0" w:color="auto"/>
        <w:left w:val="none" w:sz="0" w:space="0" w:color="auto"/>
        <w:bottom w:val="none" w:sz="0" w:space="0" w:color="auto"/>
        <w:right w:val="none" w:sz="0" w:space="0" w:color="auto"/>
      </w:divBdr>
    </w:div>
    <w:div w:id="1103649670">
      <w:bodyDiv w:val="1"/>
      <w:marLeft w:val="0"/>
      <w:marRight w:val="0"/>
      <w:marTop w:val="0"/>
      <w:marBottom w:val="0"/>
      <w:divBdr>
        <w:top w:val="none" w:sz="0" w:space="0" w:color="auto"/>
        <w:left w:val="none" w:sz="0" w:space="0" w:color="auto"/>
        <w:bottom w:val="none" w:sz="0" w:space="0" w:color="auto"/>
        <w:right w:val="none" w:sz="0" w:space="0" w:color="auto"/>
      </w:divBdr>
    </w:div>
    <w:div w:id="1158426327">
      <w:bodyDiv w:val="1"/>
      <w:marLeft w:val="0"/>
      <w:marRight w:val="0"/>
      <w:marTop w:val="0"/>
      <w:marBottom w:val="0"/>
      <w:divBdr>
        <w:top w:val="none" w:sz="0" w:space="0" w:color="auto"/>
        <w:left w:val="none" w:sz="0" w:space="0" w:color="auto"/>
        <w:bottom w:val="none" w:sz="0" w:space="0" w:color="auto"/>
        <w:right w:val="none" w:sz="0" w:space="0" w:color="auto"/>
      </w:divBdr>
    </w:div>
    <w:div w:id="1159036120">
      <w:bodyDiv w:val="1"/>
      <w:marLeft w:val="0"/>
      <w:marRight w:val="0"/>
      <w:marTop w:val="0"/>
      <w:marBottom w:val="0"/>
      <w:divBdr>
        <w:top w:val="none" w:sz="0" w:space="0" w:color="auto"/>
        <w:left w:val="none" w:sz="0" w:space="0" w:color="auto"/>
        <w:bottom w:val="none" w:sz="0" w:space="0" w:color="auto"/>
        <w:right w:val="none" w:sz="0" w:space="0" w:color="auto"/>
      </w:divBdr>
    </w:div>
    <w:div w:id="1161769942">
      <w:bodyDiv w:val="1"/>
      <w:marLeft w:val="0"/>
      <w:marRight w:val="0"/>
      <w:marTop w:val="0"/>
      <w:marBottom w:val="0"/>
      <w:divBdr>
        <w:top w:val="none" w:sz="0" w:space="0" w:color="auto"/>
        <w:left w:val="none" w:sz="0" w:space="0" w:color="auto"/>
        <w:bottom w:val="none" w:sz="0" w:space="0" w:color="auto"/>
        <w:right w:val="none" w:sz="0" w:space="0" w:color="auto"/>
      </w:divBdr>
      <w:divsChild>
        <w:div w:id="612983103">
          <w:marLeft w:val="0"/>
          <w:marRight w:val="0"/>
          <w:marTop w:val="0"/>
          <w:marBottom w:val="0"/>
          <w:divBdr>
            <w:top w:val="single" w:sz="2" w:space="0" w:color="E3E3E3"/>
            <w:left w:val="single" w:sz="2" w:space="0" w:color="E3E3E3"/>
            <w:bottom w:val="single" w:sz="2" w:space="0" w:color="E3E3E3"/>
            <w:right w:val="single" w:sz="2" w:space="0" w:color="E3E3E3"/>
          </w:divBdr>
          <w:divsChild>
            <w:div w:id="1493331263">
              <w:marLeft w:val="0"/>
              <w:marRight w:val="0"/>
              <w:marTop w:val="0"/>
              <w:marBottom w:val="0"/>
              <w:divBdr>
                <w:top w:val="single" w:sz="2" w:space="0" w:color="E3E3E3"/>
                <w:left w:val="single" w:sz="2" w:space="0" w:color="E3E3E3"/>
                <w:bottom w:val="single" w:sz="2" w:space="0" w:color="E3E3E3"/>
                <w:right w:val="single" w:sz="2" w:space="0" w:color="E3E3E3"/>
              </w:divBdr>
              <w:divsChild>
                <w:div w:id="740059819">
                  <w:marLeft w:val="0"/>
                  <w:marRight w:val="0"/>
                  <w:marTop w:val="0"/>
                  <w:marBottom w:val="0"/>
                  <w:divBdr>
                    <w:top w:val="single" w:sz="2" w:space="0" w:color="E3E3E3"/>
                    <w:left w:val="single" w:sz="2" w:space="0" w:color="E3E3E3"/>
                    <w:bottom w:val="single" w:sz="2" w:space="0" w:color="E3E3E3"/>
                    <w:right w:val="single" w:sz="2" w:space="0" w:color="E3E3E3"/>
                  </w:divBdr>
                  <w:divsChild>
                    <w:div w:id="1452939787">
                      <w:marLeft w:val="0"/>
                      <w:marRight w:val="0"/>
                      <w:marTop w:val="0"/>
                      <w:marBottom w:val="0"/>
                      <w:divBdr>
                        <w:top w:val="single" w:sz="2" w:space="0" w:color="E3E3E3"/>
                        <w:left w:val="single" w:sz="2" w:space="0" w:color="E3E3E3"/>
                        <w:bottom w:val="single" w:sz="2" w:space="0" w:color="E3E3E3"/>
                        <w:right w:val="single" w:sz="2" w:space="0" w:color="E3E3E3"/>
                      </w:divBdr>
                      <w:divsChild>
                        <w:div w:id="2004235343">
                          <w:marLeft w:val="0"/>
                          <w:marRight w:val="0"/>
                          <w:marTop w:val="0"/>
                          <w:marBottom w:val="0"/>
                          <w:divBdr>
                            <w:top w:val="single" w:sz="2" w:space="0" w:color="E3E3E3"/>
                            <w:left w:val="single" w:sz="2" w:space="0" w:color="E3E3E3"/>
                            <w:bottom w:val="single" w:sz="2" w:space="0" w:color="E3E3E3"/>
                            <w:right w:val="single" w:sz="2" w:space="0" w:color="E3E3E3"/>
                          </w:divBdr>
                          <w:divsChild>
                            <w:div w:id="741755095">
                              <w:marLeft w:val="0"/>
                              <w:marRight w:val="0"/>
                              <w:marTop w:val="0"/>
                              <w:marBottom w:val="0"/>
                              <w:divBdr>
                                <w:top w:val="single" w:sz="2" w:space="0" w:color="E3E3E3"/>
                                <w:left w:val="single" w:sz="2" w:space="0" w:color="E3E3E3"/>
                                <w:bottom w:val="single" w:sz="2" w:space="0" w:color="E3E3E3"/>
                                <w:right w:val="single" w:sz="2" w:space="0" w:color="E3E3E3"/>
                              </w:divBdr>
                              <w:divsChild>
                                <w:div w:id="11139869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69503166">
                                      <w:marLeft w:val="0"/>
                                      <w:marRight w:val="0"/>
                                      <w:marTop w:val="0"/>
                                      <w:marBottom w:val="0"/>
                                      <w:divBdr>
                                        <w:top w:val="single" w:sz="2" w:space="0" w:color="E3E3E3"/>
                                        <w:left w:val="single" w:sz="2" w:space="0" w:color="E3E3E3"/>
                                        <w:bottom w:val="single" w:sz="2" w:space="0" w:color="E3E3E3"/>
                                        <w:right w:val="single" w:sz="2" w:space="0" w:color="E3E3E3"/>
                                      </w:divBdr>
                                      <w:divsChild>
                                        <w:div w:id="253712272">
                                          <w:marLeft w:val="0"/>
                                          <w:marRight w:val="0"/>
                                          <w:marTop w:val="0"/>
                                          <w:marBottom w:val="0"/>
                                          <w:divBdr>
                                            <w:top w:val="single" w:sz="2" w:space="0" w:color="E3E3E3"/>
                                            <w:left w:val="single" w:sz="2" w:space="0" w:color="E3E3E3"/>
                                            <w:bottom w:val="single" w:sz="2" w:space="0" w:color="E3E3E3"/>
                                            <w:right w:val="single" w:sz="2" w:space="0" w:color="E3E3E3"/>
                                          </w:divBdr>
                                          <w:divsChild>
                                            <w:div w:id="1999841446">
                                              <w:marLeft w:val="0"/>
                                              <w:marRight w:val="0"/>
                                              <w:marTop w:val="0"/>
                                              <w:marBottom w:val="0"/>
                                              <w:divBdr>
                                                <w:top w:val="single" w:sz="2" w:space="0" w:color="E3E3E3"/>
                                                <w:left w:val="single" w:sz="2" w:space="0" w:color="E3E3E3"/>
                                                <w:bottom w:val="single" w:sz="2" w:space="0" w:color="E3E3E3"/>
                                                <w:right w:val="single" w:sz="2" w:space="0" w:color="E3E3E3"/>
                                              </w:divBdr>
                                              <w:divsChild>
                                                <w:div w:id="583227461">
                                                  <w:marLeft w:val="0"/>
                                                  <w:marRight w:val="0"/>
                                                  <w:marTop w:val="0"/>
                                                  <w:marBottom w:val="0"/>
                                                  <w:divBdr>
                                                    <w:top w:val="single" w:sz="2" w:space="0" w:color="E3E3E3"/>
                                                    <w:left w:val="single" w:sz="2" w:space="0" w:color="E3E3E3"/>
                                                    <w:bottom w:val="single" w:sz="2" w:space="0" w:color="E3E3E3"/>
                                                    <w:right w:val="single" w:sz="2" w:space="0" w:color="E3E3E3"/>
                                                  </w:divBdr>
                                                  <w:divsChild>
                                                    <w:div w:id="1891333860">
                                                      <w:marLeft w:val="0"/>
                                                      <w:marRight w:val="0"/>
                                                      <w:marTop w:val="0"/>
                                                      <w:marBottom w:val="0"/>
                                                      <w:divBdr>
                                                        <w:top w:val="single" w:sz="2" w:space="0" w:color="E3E3E3"/>
                                                        <w:left w:val="single" w:sz="2" w:space="0" w:color="E3E3E3"/>
                                                        <w:bottom w:val="single" w:sz="2" w:space="0" w:color="E3E3E3"/>
                                                        <w:right w:val="single" w:sz="2" w:space="0" w:color="E3E3E3"/>
                                                      </w:divBdr>
                                                      <w:divsChild>
                                                        <w:div w:id="1151092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52318473">
          <w:marLeft w:val="0"/>
          <w:marRight w:val="0"/>
          <w:marTop w:val="0"/>
          <w:marBottom w:val="0"/>
          <w:divBdr>
            <w:top w:val="none" w:sz="0" w:space="0" w:color="auto"/>
            <w:left w:val="none" w:sz="0" w:space="0" w:color="auto"/>
            <w:bottom w:val="none" w:sz="0" w:space="0" w:color="auto"/>
            <w:right w:val="none" w:sz="0" w:space="0" w:color="auto"/>
          </w:divBdr>
          <w:divsChild>
            <w:div w:id="1189872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5791686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76656868">
      <w:bodyDiv w:val="1"/>
      <w:marLeft w:val="0"/>
      <w:marRight w:val="0"/>
      <w:marTop w:val="0"/>
      <w:marBottom w:val="0"/>
      <w:divBdr>
        <w:top w:val="none" w:sz="0" w:space="0" w:color="auto"/>
        <w:left w:val="none" w:sz="0" w:space="0" w:color="auto"/>
        <w:bottom w:val="none" w:sz="0" w:space="0" w:color="auto"/>
        <w:right w:val="none" w:sz="0" w:space="0" w:color="auto"/>
      </w:divBdr>
    </w:div>
    <w:div w:id="1200505857">
      <w:bodyDiv w:val="1"/>
      <w:marLeft w:val="0"/>
      <w:marRight w:val="0"/>
      <w:marTop w:val="0"/>
      <w:marBottom w:val="0"/>
      <w:divBdr>
        <w:top w:val="none" w:sz="0" w:space="0" w:color="auto"/>
        <w:left w:val="none" w:sz="0" w:space="0" w:color="auto"/>
        <w:bottom w:val="none" w:sz="0" w:space="0" w:color="auto"/>
        <w:right w:val="none" w:sz="0" w:space="0" w:color="auto"/>
      </w:divBdr>
      <w:divsChild>
        <w:div w:id="1279340525">
          <w:marLeft w:val="0"/>
          <w:marRight w:val="0"/>
          <w:marTop w:val="0"/>
          <w:marBottom w:val="0"/>
          <w:divBdr>
            <w:top w:val="none" w:sz="0" w:space="0" w:color="auto"/>
            <w:left w:val="none" w:sz="0" w:space="0" w:color="auto"/>
            <w:bottom w:val="none" w:sz="0" w:space="0" w:color="auto"/>
            <w:right w:val="none" w:sz="0" w:space="0" w:color="auto"/>
          </w:divBdr>
        </w:div>
        <w:div w:id="677804439">
          <w:marLeft w:val="0"/>
          <w:marRight w:val="0"/>
          <w:marTop w:val="0"/>
          <w:marBottom w:val="0"/>
          <w:divBdr>
            <w:top w:val="none" w:sz="0" w:space="0" w:color="auto"/>
            <w:left w:val="none" w:sz="0" w:space="0" w:color="auto"/>
            <w:bottom w:val="none" w:sz="0" w:space="0" w:color="auto"/>
            <w:right w:val="none" w:sz="0" w:space="0" w:color="auto"/>
          </w:divBdr>
        </w:div>
      </w:divsChild>
    </w:div>
    <w:div w:id="1235355540">
      <w:bodyDiv w:val="1"/>
      <w:marLeft w:val="0"/>
      <w:marRight w:val="0"/>
      <w:marTop w:val="0"/>
      <w:marBottom w:val="0"/>
      <w:divBdr>
        <w:top w:val="none" w:sz="0" w:space="0" w:color="auto"/>
        <w:left w:val="none" w:sz="0" w:space="0" w:color="auto"/>
        <w:bottom w:val="none" w:sz="0" w:space="0" w:color="auto"/>
        <w:right w:val="none" w:sz="0" w:space="0" w:color="auto"/>
      </w:divBdr>
    </w:div>
    <w:div w:id="1252617789">
      <w:bodyDiv w:val="1"/>
      <w:marLeft w:val="0"/>
      <w:marRight w:val="0"/>
      <w:marTop w:val="0"/>
      <w:marBottom w:val="0"/>
      <w:divBdr>
        <w:top w:val="none" w:sz="0" w:space="0" w:color="auto"/>
        <w:left w:val="none" w:sz="0" w:space="0" w:color="auto"/>
        <w:bottom w:val="none" w:sz="0" w:space="0" w:color="auto"/>
        <w:right w:val="none" w:sz="0" w:space="0" w:color="auto"/>
      </w:divBdr>
    </w:div>
    <w:div w:id="1317955743">
      <w:bodyDiv w:val="1"/>
      <w:marLeft w:val="0"/>
      <w:marRight w:val="0"/>
      <w:marTop w:val="0"/>
      <w:marBottom w:val="0"/>
      <w:divBdr>
        <w:top w:val="none" w:sz="0" w:space="0" w:color="auto"/>
        <w:left w:val="none" w:sz="0" w:space="0" w:color="auto"/>
        <w:bottom w:val="none" w:sz="0" w:space="0" w:color="auto"/>
        <w:right w:val="none" w:sz="0" w:space="0" w:color="auto"/>
      </w:divBdr>
    </w:div>
    <w:div w:id="1394425228">
      <w:bodyDiv w:val="1"/>
      <w:marLeft w:val="0"/>
      <w:marRight w:val="0"/>
      <w:marTop w:val="0"/>
      <w:marBottom w:val="0"/>
      <w:divBdr>
        <w:top w:val="none" w:sz="0" w:space="0" w:color="auto"/>
        <w:left w:val="none" w:sz="0" w:space="0" w:color="auto"/>
        <w:bottom w:val="none" w:sz="0" w:space="0" w:color="auto"/>
        <w:right w:val="none" w:sz="0" w:space="0" w:color="auto"/>
      </w:divBdr>
    </w:div>
    <w:div w:id="1398279861">
      <w:bodyDiv w:val="1"/>
      <w:marLeft w:val="0"/>
      <w:marRight w:val="0"/>
      <w:marTop w:val="0"/>
      <w:marBottom w:val="0"/>
      <w:divBdr>
        <w:top w:val="none" w:sz="0" w:space="0" w:color="auto"/>
        <w:left w:val="none" w:sz="0" w:space="0" w:color="auto"/>
        <w:bottom w:val="none" w:sz="0" w:space="0" w:color="auto"/>
        <w:right w:val="none" w:sz="0" w:space="0" w:color="auto"/>
      </w:divBdr>
      <w:divsChild>
        <w:div w:id="2147354859">
          <w:marLeft w:val="0"/>
          <w:marRight w:val="0"/>
          <w:marTop w:val="0"/>
          <w:marBottom w:val="0"/>
          <w:divBdr>
            <w:top w:val="single" w:sz="2" w:space="0" w:color="E3E3E3"/>
            <w:left w:val="single" w:sz="2" w:space="0" w:color="E3E3E3"/>
            <w:bottom w:val="single" w:sz="2" w:space="0" w:color="E3E3E3"/>
            <w:right w:val="single" w:sz="2" w:space="0" w:color="E3E3E3"/>
          </w:divBdr>
          <w:divsChild>
            <w:div w:id="1159930896">
              <w:marLeft w:val="0"/>
              <w:marRight w:val="0"/>
              <w:marTop w:val="0"/>
              <w:marBottom w:val="0"/>
              <w:divBdr>
                <w:top w:val="single" w:sz="2" w:space="0" w:color="E3E3E3"/>
                <w:left w:val="single" w:sz="2" w:space="0" w:color="E3E3E3"/>
                <w:bottom w:val="single" w:sz="2" w:space="0" w:color="E3E3E3"/>
                <w:right w:val="single" w:sz="2" w:space="0" w:color="E3E3E3"/>
              </w:divBdr>
              <w:divsChild>
                <w:div w:id="559754962">
                  <w:marLeft w:val="0"/>
                  <w:marRight w:val="0"/>
                  <w:marTop w:val="0"/>
                  <w:marBottom w:val="0"/>
                  <w:divBdr>
                    <w:top w:val="single" w:sz="2" w:space="0" w:color="E3E3E3"/>
                    <w:left w:val="single" w:sz="2" w:space="0" w:color="E3E3E3"/>
                    <w:bottom w:val="single" w:sz="2" w:space="0" w:color="E3E3E3"/>
                    <w:right w:val="single" w:sz="2" w:space="0" w:color="E3E3E3"/>
                  </w:divBdr>
                  <w:divsChild>
                    <w:div w:id="298922762">
                      <w:marLeft w:val="0"/>
                      <w:marRight w:val="0"/>
                      <w:marTop w:val="0"/>
                      <w:marBottom w:val="0"/>
                      <w:divBdr>
                        <w:top w:val="single" w:sz="2" w:space="0" w:color="E3E3E3"/>
                        <w:left w:val="single" w:sz="2" w:space="0" w:color="E3E3E3"/>
                        <w:bottom w:val="single" w:sz="2" w:space="0" w:color="E3E3E3"/>
                        <w:right w:val="single" w:sz="2" w:space="0" w:color="E3E3E3"/>
                      </w:divBdr>
                      <w:divsChild>
                        <w:div w:id="1547715019">
                          <w:marLeft w:val="0"/>
                          <w:marRight w:val="0"/>
                          <w:marTop w:val="0"/>
                          <w:marBottom w:val="0"/>
                          <w:divBdr>
                            <w:top w:val="single" w:sz="2" w:space="0" w:color="E3E3E3"/>
                            <w:left w:val="single" w:sz="2" w:space="0" w:color="E3E3E3"/>
                            <w:bottom w:val="single" w:sz="2" w:space="0" w:color="E3E3E3"/>
                            <w:right w:val="single" w:sz="2" w:space="0" w:color="E3E3E3"/>
                          </w:divBdr>
                          <w:divsChild>
                            <w:div w:id="1880121149">
                              <w:marLeft w:val="0"/>
                              <w:marRight w:val="0"/>
                              <w:marTop w:val="0"/>
                              <w:marBottom w:val="0"/>
                              <w:divBdr>
                                <w:top w:val="single" w:sz="2" w:space="0" w:color="E3E3E3"/>
                                <w:left w:val="single" w:sz="2" w:space="0" w:color="E3E3E3"/>
                                <w:bottom w:val="single" w:sz="2" w:space="0" w:color="E3E3E3"/>
                                <w:right w:val="single" w:sz="2" w:space="0" w:color="E3E3E3"/>
                              </w:divBdr>
                              <w:divsChild>
                                <w:div w:id="1331055507">
                                  <w:marLeft w:val="0"/>
                                  <w:marRight w:val="0"/>
                                  <w:marTop w:val="100"/>
                                  <w:marBottom w:val="100"/>
                                  <w:divBdr>
                                    <w:top w:val="single" w:sz="2" w:space="0" w:color="E3E3E3"/>
                                    <w:left w:val="single" w:sz="2" w:space="0" w:color="E3E3E3"/>
                                    <w:bottom w:val="single" w:sz="2" w:space="0" w:color="E3E3E3"/>
                                    <w:right w:val="single" w:sz="2" w:space="0" w:color="E3E3E3"/>
                                  </w:divBdr>
                                  <w:divsChild>
                                    <w:div w:id="274212375">
                                      <w:marLeft w:val="0"/>
                                      <w:marRight w:val="0"/>
                                      <w:marTop w:val="0"/>
                                      <w:marBottom w:val="0"/>
                                      <w:divBdr>
                                        <w:top w:val="single" w:sz="2" w:space="0" w:color="E3E3E3"/>
                                        <w:left w:val="single" w:sz="2" w:space="0" w:color="E3E3E3"/>
                                        <w:bottom w:val="single" w:sz="2" w:space="0" w:color="E3E3E3"/>
                                        <w:right w:val="single" w:sz="2" w:space="0" w:color="E3E3E3"/>
                                      </w:divBdr>
                                      <w:divsChild>
                                        <w:div w:id="677735415">
                                          <w:marLeft w:val="0"/>
                                          <w:marRight w:val="0"/>
                                          <w:marTop w:val="0"/>
                                          <w:marBottom w:val="0"/>
                                          <w:divBdr>
                                            <w:top w:val="single" w:sz="2" w:space="0" w:color="E3E3E3"/>
                                            <w:left w:val="single" w:sz="2" w:space="0" w:color="E3E3E3"/>
                                            <w:bottom w:val="single" w:sz="2" w:space="0" w:color="E3E3E3"/>
                                            <w:right w:val="single" w:sz="2" w:space="0" w:color="E3E3E3"/>
                                          </w:divBdr>
                                          <w:divsChild>
                                            <w:div w:id="476728433">
                                              <w:marLeft w:val="0"/>
                                              <w:marRight w:val="0"/>
                                              <w:marTop w:val="0"/>
                                              <w:marBottom w:val="0"/>
                                              <w:divBdr>
                                                <w:top w:val="single" w:sz="2" w:space="0" w:color="E3E3E3"/>
                                                <w:left w:val="single" w:sz="2" w:space="0" w:color="E3E3E3"/>
                                                <w:bottom w:val="single" w:sz="2" w:space="0" w:color="E3E3E3"/>
                                                <w:right w:val="single" w:sz="2" w:space="0" w:color="E3E3E3"/>
                                              </w:divBdr>
                                              <w:divsChild>
                                                <w:div w:id="967854126">
                                                  <w:marLeft w:val="0"/>
                                                  <w:marRight w:val="0"/>
                                                  <w:marTop w:val="0"/>
                                                  <w:marBottom w:val="0"/>
                                                  <w:divBdr>
                                                    <w:top w:val="single" w:sz="2" w:space="0" w:color="E3E3E3"/>
                                                    <w:left w:val="single" w:sz="2" w:space="0" w:color="E3E3E3"/>
                                                    <w:bottom w:val="single" w:sz="2" w:space="0" w:color="E3E3E3"/>
                                                    <w:right w:val="single" w:sz="2" w:space="0" w:color="E3E3E3"/>
                                                  </w:divBdr>
                                                  <w:divsChild>
                                                    <w:div w:id="207955952">
                                                      <w:marLeft w:val="0"/>
                                                      <w:marRight w:val="0"/>
                                                      <w:marTop w:val="0"/>
                                                      <w:marBottom w:val="0"/>
                                                      <w:divBdr>
                                                        <w:top w:val="single" w:sz="2" w:space="0" w:color="E3E3E3"/>
                                                        <w:left w:val="single" w:sz="2" w:space="0" w:color="E3E3E3"/>
                                                        <w:bottom w:val="single" w:sz="2" w:space="0" w:color="E3E3E3"/>
                                                        <w:right w:val="single" w:sz="2" w:space="0" w:color="E3E3E3"/>
                                                      </w:divBdr>
                                                      <w:divsChild>
                                                        <w:div w:id="748231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3398320">
          <w:marLeft w:val="0"/>
          <w:marRight w:val="0"/>
          <w:marTop w:val="0"/>
          <w:marBottom w:val="0"/>
          <w:divBdr>
            <w:top w:val="none" w:sz="0" w:space="0" w:color="auto"/>
            <w:left w:val="none" w:sz="0" w:space="0" w:color="auto"/>
            <w:bottom w:val="none" w:sz="0" w:space="0" w:color="auto"/>
            <w:right w:val="none" w:sz="0" w:space="0" w:color="auto"/>
          </w:divBdr>
        </w:div>
      </w:divsChild>
    </w:div>
    <w:div w:id="1413894594">
      <w:bodyDiv w:val="1"/>
      <w:marLeft w:val="0"/>
      <w:marRight w:val="0"/>
      <w:marTop w:val="0"/>
      <w:marBottom w:val="0"/>
      <w:divBdr>
        <w:top w:val="none" w:sz="0" w:space="0" w:color="auto"/>
        <w:left w:val="none" w:sz="0" w:space="0" w:color="auto"/>
        <w:bottom w:val="none" w:sz="0" w:space="0" w:color="auto"/>
        <w:right w:val="none" w:sz="0" w:space="0" w:color="auto"/>
      </w:divBdr>
    </w:div>
    <w:div w:id="1417439226">
      <w:bodyDiv w:val="1"/>
      <w:marLeft w:val="0"/>
      <w:marRight w:val="0"/>
      <w:marTop w:val="0"/>
      <w:marBottom w:val="0"/>
      <w:divBdr>
        <w:top w:val="none" w:sz="0" w:space="0" w:color="auto"/>
        <w:left w:val="none" w:sz="0" w:space="0" w:color="auto"/>
        <w:bottom w:val="none" w:sz="0" w:space="0" w:color="auto"/>
        <w:right w:val="none" w:sz="0" w:space="0" w:color="auto"/>
      </w:divBdr>
    </w:div>
    <w:div w:id="1451514056">
      <w:bodyDiv w:val="1"/>
      <w:marLeft w:val="0"/>
      <w:marRight w:val="0"/>
      <w:marTop w:val="0"/>
      <w:marBottom w:val="0"/>
      <w:divBdr>
        <w:top w:val="none" w:sz="0" w:space="0" w:color="auto"/>
        <w:left w:val="none" w:sz="0" w:space="0" w:color="auto"/>
        <w:bottom w:val="none" w:sz="0" w:space="0" w:color="auto"/>
        <w:right w:val="none" w:sz="0" w:space="0" w:color="auto"/>
      </w:divBdr>
    </w:div>
    <w:div w:id="1470586564">
      <w:bodyDiv w:val="1"/>
      <w:marLeft w:val="0"/>
      <w:marRight w:val="0"/>
      <w:marTop w:val="0"/>
      <w:marBottom w:val="0"/>
      <w:divBdr>
        <w:top w:val="none" w:sz="0" w:space="0" w:color="auto"/>
        <w:left w:val="none" w:sz="0" w:space="0" w:color="auto"/>
        <w:bottom w:val="none" w:sz="0" w:space="0" w:color="auto"/>
        <w:right w:val="none" w:sz="0" w:space="0" w:color="auto"/>
      </w:divBdr>
    </w:div>
    <w:div w:id="1514491523">
      <w:bodyDiv w:val="1"/>
      <w:marLeft w:val="0"/>
      <w:marRight w:val="0"/>
      <w:marTop w:val="0"/>
      <w:marBottom w:val="0"/>
      <w:divBdr>
        <w:top w:val="none" w:sz="0" w:space="0" w:color="auto"/>
        <w:left w:val="none" w:sz="0" w:space="0" w:color="auto"/>
        <w:bottom w:val="none" w:sz="0" w:space="0" w:color="auto"/>
        <w:right w:val="none" w:sz="0" w:space="0" w:color="auto"/>
      </w:divBdr>
    </w:div>
    <w:div w:id="1639650158">
      <w:bodyDiv w:val="1"/>
      <w:marLeft w:val="0"/>
      <w:marRight w:val="0"/>
      <w:marTop w:val="0"/>
      <w:marBottom w:val="0"/>
      <w:divBdr>
        <w:top w:val="none" w:sz="0" w:space="0" w:color="auto"/>
        <w:left w:val="none" w:sz="0" w:space="0" w:color="auto"/>
        <w:bottom w:val="none" w:sz="0" w:space="0" w:color="auto"/>
        <w:right w:val="none" w:sz="0" w:space="0" w:color="auto"/>
      </w:divBdr>
    </w:div>
    <w:div w:id="1669559414">
      <w:bodyDiv w:val="1"/>
      <w:marLeft w:val="0"/>
      <w:marRight w:val="0"/>
      <w:marTop w:val="0"/>
      <w:marBottom w:val="0"/>
      <w:divBdr>
        <w:top w:val="none" w:sz="0" w:space="0" w:color="auto"/>
        <w:left w:val="none" w:sz="0" w:space="0" w:color="auto"/>
        <w:bottom w:val="none" w:sz="0" w:space="0" w:color="auto"/>
        <w:right w:val="none" w:sz="0" w:space="0" w:color="auto"/>
      </w:divBdr>
    </w:div>
    <w:div w:id="1684741712">
      <w:bodyDiv w:val="1"/>
      <w:marLeft w:val="0"/>
      <w:marRight w:val="0"/>
      <w:marTop w:val="0"/>
      <w:marBottom w:val="0"/>
      <w:divBdr>
        <w:top w:val="none" w:sz="0" w:space="0" w:color="auto"/>
        <w:left w:val="none" w:sz="0" w:space="0" w:color="auto"/>
        <w:bottom w:val="none" w:sz="0" w:space="0" w:color="auto"/>
        <w:right w:val="none" w:sz="0" w:space="0" w:color="auto"/>
      </w:divBdr>
    </w:div>
    <w:div w:id="1701470924">
      <w:bodyDiv w:val="1"/>
      <w:marLeft w:val="0"/>
      <w:marRight w:val="0"/>
      <w:marTop w:val="0"/>
      <w:marBottom w:val="0"/>
      <w:divBdr>
        <w:top w:val="none" w:sz="0" w:space="0" w:color="auto"/>
        <w:left w:val="none" w:sz="0" w:space="0" w:color="auto"/>
        <w:bottom w:val="none" w:sz="0" w:space="0" w:color="auto"/>
        <w:right w:val="none" w:sz="0" w:space="0" w:color="auto"/>
      </w:divBdr>
    </w:div>
    <w:div w:id="1703362637">
      <w:bodyDiv w:val="1"/>
      <w:marLeft w:val="0"/>
      <w:marRight w:val="0"/>
      <w:marTop w:val="0"/>
      <w:marBottom w:val="0"/>
      <w:divBdr>
        <w:top w:val="none" w:sz="0" w:space="0" w:color="auto"/>
        <w:left w:val="none" w:sz="0" w:space="0" w:color="auto"/>
        <w:bottom w:val="none" w:sz="0" w:space="0" w:color="auto"/>
        <w:right w:val="none" w:sz="0" w:space="0" w:color="auto"/>
      </w:divBdr>
    </w:div>
    <w:div w:id="1735741621">
      <w:bodyDiv w:val="1"/>
      <w:marLeft w:val="0"/>
      <w:marRight w:val="0"/>
      <w:marTop w:val="0"/>
      <w:marBottom w:val="0"/>
      <w:divBdr>
        <w:top w:val="none" w:sz="0" w:space="0" w:color="auto"/>
        <w:left w:val="none" w:sz="0" w:space="0" w:color="auto"/>
        <w:bottom w:val="none" w:sz="0" w:space="0" w:color="auto"/>
        <w:right w:val="none" w:sz="0" w:space="0" w:color="auto"/>
      </w:divBdr>
    </w:div>
    <w:div w:id="1780568619">
      <w:bodyDiv w:val="1"/>
      <w:marLeft w:val="0"/>
      <w:marRight w:val="0"/>
      <w:marTop w:val="0"/>
      <w:marBottom w:val="0"/>
      <w:divBdr>
        <w:top w:val="none" w:sz="0" w:space="0" w:color="auto"/>
        <w:left w:val="none" w:sz="0" w:space="0" w:color="auto"/>
        <w:bottom w:val="none" w:sz="0" w:space="0" w:color="auto"/>
        <w:right w:val="none" w:sz="0" w:space="0" w:color="auto"/>
      </w:divBdr>
    </w:div>
    <w:div w:id="1781950768">
      <w:bodyDiv w:val="1"/>
      <w:marLeft w:val="0"/>
      <w:marRight w:val="0"/>
      <w:marTop w:val="0"/>
      <w:marBottom w:val="0"/>
      <w:divBdr>
        <w:top w:val="none" w:sz="0" w:space="0" w:color="auto"/>
        <w:left w:val="none" w:sz="0" w:space="0" w:color="auto"/>
        <w:bottom w:val="none" w:sz="0" w:space="0" w:color="auto"/>
        <w:right w:val="none" w:sz="0" w:space="0" w:color="auto"/>
      </w:divBdr>
    </w:div>
    <w:div w:id="1837842915">
      <w:bodyDiv w:val="1"/>
      <w:marLeft w:val="0"/>
      <w:marRight w:val="0"/>
      <w:marTop w:val="0"/>
      <w:marBottom w:val="0"/>
      <w:divBdr>
        <w:top w:val="none" w:sz="0" w:space="0" w:color="auto"/>
        <w:left w:val="none" w:sz="0" w:space="0" w:color="auto"/>
        <w:bottom w:val="none" w:sz="0" w:space="0" w:color="auto"/>
        <w:right w:val="none" w:sz="0" w:space="0" w:color="auto"/>
      </w:divBdr>
    </w:div>
    <w:div w:id="1885487735">
      <w:bodyDiv w:val="1"/>
      <w:marLeft w:val="0"/>
      <w:marRight w:val="0"/>
      <w:marTop w:val="0"/>
      <w:marBottom w:val="0"/>
      <w:divBdr>
        <w:top w:val="none" w:sz="0" w:space="0" w:color="auto"/>
        <w:left w:val="none" w:sz="0" w:space="0" w:color="auto"/>
        <w:bottom w:val="none" w:sz="0" w:space="0" w:color="auto"/>
        <w:right w:val="none" w:sz="0" w:space="0" w:color="auto"/>
      </w:divBdr>
    </w:div>
    <w:div w:id="1927348825">
      <w:bodyDiv w:val="1"/>
      <w:marLeft w:val="0"/>
      <w:marRight w:val="0"/>
      <w:marTop w:val="0"/>
      <w:marBottom w:val="0"/>
      <w:divBdr>
        <w:top w:val="none" w:sz="0" w:space="0" w:color="auto"/>
        <w:left w:val="none" w:sz="0" w:space="0" w:color="auto"/>
        <w:bottom w:val="none" w:sz="0" w:space="0" w:color="auto"/>
        <w:right w:val="none" w:sz="0" w:space="0" w:color="auto"/>
      </w:divBdr>
    </w:div>
    <w:div w:id="1948930097">
      <w:bodyDiv w:val="1"/>
      <w:marLeft w:val="0"/>
      <w:marRight w:val="0"/>
      <w:marTop w:val="0"/>
      <w:marBottom w:val="0"/>
      <w:divBdr>
        <w:top w:val="none" w:sz="0" w:space="0" w:color="auto"/>
        <w:left w:val="none" w:sz="0" w:space="0" w:color="auto"/>
        <w:bottom w:val="none" w:sz="0" w:space="0" w:color="auto"/>
        <w:right w:val="none" w:sz="0" w:space="0" w:color="auto"/>
      </w:divBdr>
    </w:div>
    <w:div w:id="2006012137">
      <w:bodyDiv w:val="1"/>
      <w:marLeft w:val="0"/>
      <w:marRight w:val="0"/>
      <w:marTop w:val="0"/>
      <w:marBottom w:val="0"/>
      <w:divBdr>
        <w:top w:val="none" w:sz="0" w:space="0" w:color="auto"/>
        <w:left w:val="none" w:sz="0" w:space="0" w:color="auto"/>
        <w:bottom w:val="none" w:sz="0" w:space="0" w:color="auto"/>
        <w:right w:val="none" w:sz="0" w:space="0" w:color="auto"/>
      </w:divBdr>
    </w:div>
    <w:div w:id="2042777724">
      <w:bodyDiv w:val="1"/>
      <w:marLeft w:val="0"/>
      <w:marRight w:val="0"/>
      <w:marTop w:val="0"/>
      <w:marBottom w:val="0"/>
      <w:divBdr>
        <w:top w:val="none" w:sz="0" w:space="0" w:color="auto"/>
        <w:left w:val="none" w:sz="0" w:space="0" w:color="auto"/>
        <w:bottom w:val="none" w:sz="0" w:space="0" w:color="auto"/>
        <w:right w:val="none" w:sz="0" w:space="0" w:color="auto"/>
      </w:divBdr>
    </w:div>
    <w:div w:id="2079278586">
      <w:bodyDiv w:val="1"/>
      <w:marLeft w:val="0"/>
      <w:marRight w:val="0"/>
      <w:marTop w:val="0"/>
      <w:marBottom w:val="0"/>
      <w:divBdr>
        <w:top w:val="none" w:sz="0" w:space="0" w:color="auto"/>
        <w:left w:val="none" w:sz="0" w:space="0" w:color="auto"/>
        <w:bottom w:val="none" w:sz="0" w:space="0" w:color="auto"/>
        <w:right w:val="none" w:sz="0" w:space="0" w:color="auto"/>
      </w:divBdr>
    </w:div>
    <w:div w:id="2096589663">
      <w:bodyDiv w:val="1"/>
      <w:marLeft w:val="0"/>
      <w:marRight w:val="0"/>
      <w:marTop w:val="0"/>
      <w:marBottom w:val="0"/>
      <w:divBdr>
        <w:top w:val="none" w:sz="0" w:space="0" w:color="auto"/>
        <w:left w:val="none" w:sz="0" w:space="0" w:color="auto"/>
        <w:bottom w:val="none" w:sz="0" w:space="0" w:color="auto"/>
        <w:right w:val="none" w:sz="0" w:space="0" w:color="auto"/>
      </w:divBdr>
    </w:div>
    <w:div w:id="2105417060">
      <w:bodyDiv w:val="1"/>
      <w:marLeft w:val="0"/>
      <w:marRight w:val="0"/>
      <w:marTop w:val="0"/>
      <w:marBottom w:val="0"/>
      <w:divBdr>
        <w:top w:val="none" w:sz="0" w:space="0" w:color="auto"/>
        <w:left w:val="none" w:sz="0" w:space="0" w:color="auto"/>
        <w:bottom w:val="none" w:sz="0" w:space="0" w:color="auto"/>
        <w:right w:val="none" w:sz="0" w:space="0" w:color="auto"/>
      </w:divBdr>
    </w:div>
    <w:div w:id="2133477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emip.12328" TargetMode="External"/><Relationship Id="rId13" Type="http://schemas.openxmlformats.org/officeDocument/2006/relationships/hyperlink" Target="https://isfte.org/wp-content/uploads/2015/07/JISTE_18.1_2014.pdf" TargetMode="External"/><Relationship Id="rId18" Type="http://schemas.openxmlformats.org/officeDocument/2006/relationships/hyperlink" Target="https://doi.org/10.1111/j.1528-3585.2010.00409.x" TargetMode="External"/><Relationship Id="rId26" Type="http://schemas.openxmlformats.org/officeDocument/2006/relationships/hyperlink" Target="https://www.proquest.com/docview/2785007300?pq-origsite=gscholar&amp;fromopenview=true&amp;sourcetype=Dissertations%20&amp;%20Theses" TargetMode="External"/><Relationship Id="rId3" Type="http://schemas.openxmlformats.org/officeDocument/2006/relationships/settings" Target="settings.xml"/><Relationship Id="rId21" Type="http://schemas.openxmlformats.org/officeDocument/2006/relationships/hyperlink" Target="http://www.nctm.org/principlestoactions" TargetMode="External"/><Relationship Id="rId34"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www.estyn.gov.wales/sites/www.estyn.gov.wales/files/2020-07/A_high_quality_education_profession_2018_2019_en.pdf" TargetMode="External"/><Relationship Id="rId17" Type="http://schemas.openxmlformats.org/officeDocument/2006/relationships/hyperlink" Target="https://doi.org/10.1080/09518398.2020.1828650" TargetMode="External"/><Relationship Id="rId25" Type="http://schemas.openxmlformats.org/officeDocument/2006/relationships/hyperlink" Target="https://www.researchgate.net/publication/322883181_TEACHING_AND_LEARNING_MATHEMATICS_RESEARCH_SERIES_I_Effective_Instructional_Strategies_TITLE_Teaching_and_Learning_Mathematics_Research_Series_l_Effective_Instructional_Strategies/citation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1080/15512169.2018.1485571" TargetMode="External"/><Relationship Id="rId20" Type="http://schemas.openxmlformats.org/officeDocument/2006/relationships/hyperlink" Target="https://www.moe.gov.sg/secondary/courses" TargetMode="External"/><Relationship Id="rId29" Type="http://schemas.openxmlformats.org/officeDocument/2006/relationships/hyperlink" Target="https://hwb.gov.wales/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hdl.voced.edu.au/10707/308789"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gg/CHttpHandler.ashx?id=121630&amp;p=0" TargetMode="External"/><Relationship Id="rId23" Type="http://schemas.openxmlformats.org/officeDocument/2006/relationships/hyperlink" Target="https://www.teachermagazine.com/au_en/articles/real-life-numeracy-contexts-the-spark-to-ignite-mathematics-learning" TargetMode="External"/><Relationship Id="rId28" Type="http://schemas.openxmlformats.org/officeDocument/2006/relationships/hyperlink" Target="https://doi.org/10.1007/s10649-017-9764-5" TargetMode="External"/><Relationship Id="rId36" Type="http://schemas.openxmlformats.org/officeDocument/2006/relationships/fontTable" Target="fontTable.xml"/><Relationship Id="rId10" Type="http://schemas.openxmlformats.org/officeDocument/2006/relationships/hyperlink" Target="https://ethics.gc.ca/eng/documents/tcps2-2018-en-interactive-final.pdf" TargetMode="External"/><Relationship Id="rId19" Type="http://schemas.openxmlformats.org/officeDocument/2006/relationships/hyperlink" Target="https://books.google.co.uk/books?hl=en&amp;lr=&amp;id=PffnDwAAQBAJ&amp;oi=fnd&amp;pg=PT3&amp;ots=6IX5tqWu0s&amp;sig=tn7u9DGyCEFswJu2x5LWg8jzsqI&amp;redir_esc=y"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apa.org/ethics/code" TargetMode="External"/><Relationship Id="rId14" Type="http://schemas.openxmlformats.org/officeDocument/2006/relationships/hyperlink" Target="https://doi.org/10.1111/ssm.12325" TargetMode="External"/><Relationship Id="rId22" Type="http://schemas.openxmlformats.org/officeDocument/2006/relationships/hyperlink" Target="https://doi.org/10.1007/s10643-015-0768-4" TargetMode="External"/><Relationship Id="rId27" Type="http://schemas.openxmlformats.org/officeDocument/2006/relationships/hyperlink" Target="https://doi.org/10.1037/edu0000718.supp"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20041</TotalTime>
  <Pages>1</Pages>
  <Words>8298</Words>
  <Characters>47304</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282</cp:revision>
  <dcterms:created xsi:type="dcterms:W3CDTF">2024-03-05T12:45:00Z</dcterms:created>
  <dcterms:modified xsi:type="dcterms:W3CDTF">2024-05-05T19:59:00Z</dcterms:modified>
</cp:coreProperties>
</file>