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62"/>
        <w:gridCol w:w="5575"/>
      </w:tblGrid>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Title: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Individual Essay</w:t>
            </w:r>
          </w:p>
        </w:tc>
      </w:tr>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Module Name: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Global Business Management</w:t>
            </w:r>
          </w:p>
        </w:tc>
      </w:tr>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Module Code: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LCBB4005</w:t>
            </w:r>
          </w:p>
        </w:tc>
      </w:tr>
      <w:tr>
        <w:trPr>
          <w:trHeight w:val="43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Student Name: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Deni Apostolov</w:t>
            </w:r>
          </w:p>
        </w:tc>
      </w:tr>
      <w:tr>
        <w:trPr>
          <w:trHeight w:val="255"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Student Number:</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2244458</w:t>
            </w:r>
          </w:p>
        </w:tc>
      </w:tr>
      <w:tr>
        <w:trPr>
          <w:trHeight w:val="676" w:hRule="auto"/>
          <w:jc w:val="left"/>
        </w:trPr>
        <w:tc>
          <w:tcPr>
            <w:tcW w:w="21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Lecturer Name:</w:t>
            </w:r>
          </w:p>
        </w:tc>
        <w:tc>
          <w:tcPr>
            <w:tcW w:w="55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both"/>
              <w:rPr>
                <w:rFonts w:ascii="Arial" w:hAnsi="Arial" w:cs="Arial" w:eastAsia="Arial"/>
                <w:color w:val="auto"/>
                <w:spacing w:val="0"/>
                <w:position w:val="0"/>
                <w:sz w:val="22"/>
              </w:rPr>
            </w:pPr>
            <w:r>
              <w:rPr>
                <w:rFonts w:ascii="Arial" w:hAnsi="Arial" w:cs="Arial" w:eastAsia="Arial"/>
                <w:b/>
                <w:color w:val="auto"/>
                <w:spacing w:val="0"/>
                <w:position w:val="0"/>
                <w:sz w:val="22"/>
                <w:shd w:fill="auto" w:val="clear"/>
              </w:rPr>
              <w:t xml:space="preserve">Dr. Umar Sadaat</w:t>
            </w:r>
          </w:p>
        </w:tc>
      </w:tr>
    </w:tbl>
    <w:p>
      <w:pPr>
        <w:spacing w:before="4" w:after="0" w:line="240"/>
        <w:ind w:right="0" w:left="567" w:firstLine="0"/>
        <w:jc w:val="both"/>
        <w:rPr>
          <w:rFonts w:ascii="Arial" w:hAnsi="Arial" w:cs="Arial" w:eastAsia="Arial"/>
          <w:color w:val="auto"/>
          <w:spacing w:val="0"/>
          <w:position w:val="0"/>
          <w:sz w:val="22"/>
          <w:shd w:fill="auto" w:val="clear"/>
        </w:rPr>
      </w:pPr>
    </w:p>
    <w:p>
      <w:pPr>
        <w:spacing w:before="100" w:after="100" w:line="360"/>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100" w:after="100" w:line="360"/>
        <w:ind w:right="0" w:left="0" w:firstLine="0"/>
        <w:jc w:val="left"/>
        <w:rPr>
          <w:rFonts w:ascii="Arial" w:hAnsi="Arial" w:cs="Arial" w:eastAsia="Arial"/>
          <w:color w:val="auto"/>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left"/>
        <w:rPr>
          <w:rFonts w:ascii="Arial" w:hAnsi="Arial" w:cs="Arial" w:eastAsia="Arial"/>
          <w:color w:val="2F5496"/>
          <w:spacing w:val="0"/>
          <w:position w:val="0"/>
          <w:sz w:val="22"/>
          <w:shd w:fill="auto" w:val="clear"/>
        </w:rPr>
      </w:pP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2F5496"/>
          <w:spacing w:val="0"/>
          <w:position w:val="0"/>
          <w:sz w:val="22"/>
          <w:shd w:fill="auto" w:val="clear"/>
        </w:rPr>
        <w:t xml:space="preserve">Introduction</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Organisations, both big and small, are not separate entities. They exist and run within a larger, more complicated company environment. Every choice a company makes, whether it connects to employee wages, ethical standards, corporate social responsibility (CSR), how it governs itself, the innovation it embraces, or its selfless actions, has significant implications. These choices do not just impact a business's internal operations; they also extend their impact to the broader organisational environment, forming and customising it in subtle and often extensive ways.</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Comprehending this dynamic is essential due to the fact that it is not a one-way procedure. Just as organisations form the environment, they are likewise moulded by it. Their actions and choices produce causal sequences that affect the larger business environment, which in turn shows back on them, affecting their future actions and strategies. In this essay, we'll check out how these business behaviours and actions form the wider business environment. In doing so, we'll try to decipher the inspirations behind such actions, looking for responses to whether these actions are driven by profit-making intentions, techniques for client retention, efforts for track record management, or a mix of these elements.</w:t>
      </w: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52525"/>
          <w:spacing w:val="0"/>
          <w:position w:val="0"/>
          <w:sz w:val="22"/>
          <w:shd w:fill="auto" w:val="clear"/>
        </w:rPr>
        <w:br/>
      </w:r>
      <w:r>
        <w:rPr>
          <w:rFonts w:ascii="Arial" w:hAnsi="Arial" w:cs="Arial" w:eastAsia="Arial"/>
          <w:b/>
          <w:color w:val="2F5496"/>
          <w:spacing w:val="0"/>
          <w:position w:val="0"/>
          <w:sz w:val="22"/>
          <w:shd w:fill="auto" w:val="clear"/>
        </w:rPr>
        <w:t xml:space="preserve">1. Corporate Governance and Ethics</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When we speak about corporate governance, we're describing the system of guidelines, practises, and procedures that direct and manage a business. High requirements for business governance within a service can have significant results. When a business is seen to implement rigorous governance practises, it sets criteria in the market, affecting other businesses to either match or go beyond these requirements. This produces a cascading effect, resulting in a much healthier organisation and community that promotes openness and responsibility.</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Great business governance works together with strong company principles, which include the ethical concepts that guide a business's conduct. If a business, for example, embraces a zero-tolerance policy towards corruption and preserves a high degree of stability in all its negotiations, it cultivates a wider environment that prevents dishonest behaviour and encourages honesty.</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Understanding the inspiration behind maintaining robust corporate governance and ethical standards is important. Frequently, it has to do with more than simply profit-making. Yes, great business governance can draw in investors and thus increase success; however, it also serves other essential functions. It safeguards the business's credibility, guarantees long-lasting sustainability, develops trust with stakeholders, and keeps the business on the right side of the law.</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A business's ethical conduct is important to its track record and success. When businesses like IKEA commit to performing their services in an honest and transparent way (IKEA, 2020), they send out a strong message to other businesses about the value of maintaining high ethical standards. Such organisations stand as pillars of stability, producing a causal sequence that affects their peers and the larger company landscape.</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Preserving ethical requirements is not just danger avoidance. It's likewise about producing a culture of trust within the company, enhancing worker spirits, and constructing favourable credibility that brings in consumers and financiers. Companies that bear in mind their ethical footprint play an essential role in promoting a more ethical company environment (Trevio &amp; Nelson, 2014).</w:t>
      </w: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52525"/>
          <w:spacing w:val="0"/>
          <w:position w:val="0"/>
          <w:sz w:val="22"/>
          <w:shd w:fill="auto" w:val="clear"/>
        </w:rPr>
        <w:br/>
      </w:r>
      <w:r>
        <w:rPr>
          <w:rFonts w:ascii="Arial" w:hAnsi="Arial" w:cs="Arial" w:eastAsia="Arial"/>
          <w:b/>
          <w:color w:val="2F5496"/>
          <w:spacing w:val="0"/>
          <w:position w:val="0"/>
          <w:sz w:val="22"/>
          <w:shd w:fill="auto" w:val="clear"/>
        </w:rPr>
        <w:t xml:space="preserve">2. Corporate Social Responsibility and Altruism</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Corporate social responsibility (CSR) is another location where services can considerably affect their external environment. It describes a service's dedication to adding to social excellence in a manner that exceeds the business's main profit-making activities. Services that prioritise CSR can inspire change in social standards and expectations, affecting other companies to embrace comparable practises and therefore developing a more sustainable and socially mindful external service environment.</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In line with CSR is the principle of selflessness in business, which describes actions taken by companies to enhance others' well-being, typically with no direct monetary advantage to the business. When organisations run altruistically, they not only benefit their immediate beneficiaries but can also influence other businesses to act similarly. With time, this can promote a more generous and supportive service environment.</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The inspirations behind CSR and selfless actions typically extend beyond simply making more earnings. They can consist of boosting businesses' track records, creating consumer commitment, and adding to social wellness. These actions typically highlight the business's dedication to a bigger function and show an understanding that services, specifically big corporations, have an obligation towards society that extends beyond their bottom line.</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A company's CSR efforts can shape social expectations and market requirements. When businesses like Patagonia devote themselves to ecological sustainability and promise a part of their revenues to ecological causes, they are not just adding to social good but also affecting their peers. Such actions set a precedent for other businesses to follow, thus improving the total sustainability of the business environment.</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Likewise, organisations that actively participate in selfless activities contribute to the improvement of society and set an example for other organisations. For example, Microsoft's considerable contributions to the Bill &amp; Melinda Gates Foundation have actually had a favourable effect on international health and education, affecting social conditions and expectations (Gates, 2020).</w:t>
      </w: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52525"/>
          <w:spacing w:val="0"/>
          <w:position w:val="0"/>
          <w:sz w:val="22"/>
          <w:shd w:fill="auto" w:val="clear"/>
        </w:rPr>
        <w:br/>
      </w:r>
      <w:r>
        <w:rPr>
          <w:rFonts w:ascii="Arial" w:hAnsi="Arial" w:cs="Arial" w:eastAsia="Arial"/>
          <w:b/>
          <w:color w:val="2F5496"/>
          <w:spacing w:val="0"/>
          <w:position w:val="0"/>
          <w:sz w:val="22"/>
          <w:shd w:fill="auto" w:val="clear"/>
        </w:rPr>
        <w:t xml:space="preserve">3. Salaries and pay structures</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Wage structures and staff member advantages play a considerable role in forming the business environment. Organisations providing competitive earnings and advantages plans not only draw in talent but also set a requirement that affects other businesses. For example, Google's appealing compensation and benefits have actually set criteria in the tech market (Bock 2015). Such actions not only add to a business's success but also help form a fair and competitive labour market.</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The rate of innovation adoption among organisations substantially affects the external company environment. For instance, tech-driven businesses like Amazon and Apple have actually set market standards and shaped client expectations internationally (Laudon &amp; Traver 2013). By embracing brand-new innovations, organisations can enhance their operations, meet evolving client needs, and impact market trends.</w:t>
      </w: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52525"/>
          <w:spacing w:val="0"/>
          <w:position w:val="0"/>
          <w:sz w:val="22"/>
          <w:shd w:fill="auto" w:val="clear"/>
        </w:rPr>
        <w:br/>
      </w:r>
      <w:r>
        <w:rPr>
          <w:rFonts w:ascii="Arial" w:hAnsi="Arial" w:cs="Arial" w:eastAsia="Arial"/>
          <w:b/>
          <w:color w:val="2F5496"/>
          <w:spacing w:val="0"/>
          <w:position w:val="0"/>
          <w:sz w:val="22"/>
          <w:shd w:fill="auto" w:val="clear"/>
        </w:rPr>
        <w:t xml:space="preserve">4. Adoption of New Technology</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The function of innovation in shaping the business environment is indisputable. Businesses that rapidly adjust to technological improvements and integrate ingenious options into their operations can drive market requirements and force rivals to develop or run the risk of being left behind. This dynamic appears in businesses like Amazon and Apple, whose tech-driven methods have actually affected client expectations and company requirements internationally.</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Embracing brand-new innovation is not practically remaining competitive; it typically basically alters the way a business runs, enhances performance, and makes it possible for much better client engagement. Additionally, innovation can catalyse the production of totally new company designs or income streams, considerably impacting the overall organisational environment.</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Inspirations behind innovation adoption are typically multi-layered. While the main drivers may be enhancing functional performance and getting a competitive edge, businesses likewise embrace brand-new innovation to satisfy developing consumer expectations and deal with moving market patterns. As market disruptors like Uber and Airbnb have actually done, there are times when a vision to alter the market and redefine standards might be what inspires innovation adoption.</w:t>
      </w: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52525"/>
          <w:spacing w:val="0"/>
          <w:position w:val="0"/>
          <w:sz w:val="22"/>
          <w:shd w:fill="auto" w:val="clear"/>
        </w:rPr>
        <w:br/>
      </w:r>
      <w:r>
        <w:rPr>
          <w:rFonts w:ascii="Arial" w:hAnsi="Arial" w:cs="Arial" w:eastAsia="Arial"/>
          <w:b/>
          <w:color w:val="2F5496"/>
          <w:spacing w:val="0"/>
          <w:position w:val="0"/>
          <w:sz w:val="22"/>
          <w:shd w:fill="auto" w:val="clear"/>
        </w:rPr>
        <w:t xml:space="preserve">5. Stakeholder Impact</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A vital viewpoint for comprehending how company choices affect the more comprehensive organisational environment is through the lens of stakeholder theory. This theory argues that organisations have commitments not simply to investors (those who own stocks in the business), but to all parties who have a stake in the business's results.</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Stakeholders can consist of staff members, consumers, providers, the neighbourhood, and even the environment. Actions taken by services, such as embracing more inclusive wage policies or dedicating themselves to more sustainable organisational practises, can have a considerable effect on these stakeholders.</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For example, when an organisation chooses to increase salaries and enhance working conditions, this not only impacts workers but also sets a precedent in the market. Rivals might feel forced to provide similar payments to draw in and maintain skills, influencing wider labour market dynamics.</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Likewise, a company that chooses to embrace environmentally friendly production procedures shows dedication to ecological stewardship. This choice not only favourably affects the environment, but can likewise result in consumer commitment as customers today are progressively mindful of ecological sustainability.</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The inspirations behind these choices typically extend beyond profit-making. They can show a dedication to business social duty and a more comprehensive set of ethical values. These choices can help develop favourable credibility, boost consumer commitment, and contribute to long-lasting sustainability.</w:t>
      </w: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52525"/>
          <w:spacing w:val="0"/>
          <w:position w:val="0"/>
          <w:sz w:val="22"/>
          <w:shd w:fill="auto" w:val="clear"/>
        </w:rPr>
        <w:br/>
      </w:r>
      <w:r>
        <w:rPr>
          <w:rFonts w:ascii="Arial" w:hAnsi="Arial" w:cs="Arial" w:eastAsia="Arial"/>
          <w:b/>
          <w:color w:val="2F5496"/>
          <w:spacing w:val="0"/>
          <w:position w:val="0"/>
          <w:sz w:val="22"/>
          <w:shd w:fill="auto" w:val="clear"/>
        </w:rPr>
        <w:t xml:space="preserve">6. Social Impact</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The impact companies have on the wider external environment likewise reaches society at large. Services can play a considerable role in driving social modification and affecting social standards and expectations. A noteworthy example is the growing variety of companies devoting efforts to variety, equity, and addition.</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By promoting variety in their labour force, services not only take advantage of a wide variety of viewpoints and concepts, but they also set an example for other organisations to follow, indirectly affecting social mindsets towards variety and addition.</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In addition, companies can affect social standards through their advertising and marketing efforts. For example, body-positive ad campaigns challenge conventional charm requirements, while ecologically mindful marketing projects can motivate customers to choose more sustainable options.</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The underlying inspirations here are manifold and can consist of an authentic desire to add to social wellness, a tactical relocation to interest significantly socially mindful customers, or a mix of both.</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The choices and actions of organisations have significant social ramifications. Through their wage structures, organisations can affect earnings circulation in society by dealing with wage variations and contributing to social equality (Akerlof &amp; Yellen, 1990). For instance, when organisations like Starbucks provide above-average earnings and advantages, they contribute to social wellness while setting a precedent for other businesses (Starbucks 2020).</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Likewise, a company's dedication to CSR and selflessness has a direct social effect. By adding to social causes, services can resolve numerous social difficulties, from hardship relief to ecological sustainability (Carroll 1991). Patagonia's dedication to contributing a part of their sales to ecological causes is an exceptional illustration of companies making a favourable social impact (Patagonia 2020).</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Additionally, the adoption of brand-new innovations by organisations can have a transformative social effect. When businesses like Uber present ingenious technology-driven services, they improve social standards and expectations (Cramer &amp; Krueger, 2016). This can cause enhanced services for customers, brand-new job opportunities, and even modifications in legislation.</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It's essential to keep in mind that the social effect of companies isn't a negative effect of their operations; it's frequently a tactical and deliberate result. Lots of services intend to have a favourable social effect to boost their track record, draw in socially mindful customers, and satisfy their ethical and humanitarian duties (Porter &amp; Kramer 2011). This strengthens the interconnectedness between organisations and society, stressing the mutual impact they have on each other.</w:t>
      </w: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52525"/>
          <w:spacing w:val="0"/>
          <w:position w:val="0"/>
          <w:sz w:val="22"/>
          <w:shd w:fill="auto" w:val="clear"/>
        </w:rPr>
        <w:br/>
      </w:r>
      <w:r>
        <w:rPr>
          <w:rFonts w:ascii="Arial" w:hAnsi="Arial" w:cs="Arial" w:eastAsia="Arial"/>
          <w:b/>
          <w:color w:val="2F5496"/>
          <w:spacing w:val="0"/>
          <w:position w:val="0"/>
          <w:sz w:val="22"/>
          <w:shd w:fill="auto" w:val="clear"/>
        </w:rPr>
        <w:t xml:space="preserve">7. Theoretical Perspectives</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Lastly, comprehending the theories and concepts that assist company behaviour supplies important insights into why organisations make certain choices and how these choices affect the external environment.</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For example, the investor theory presented by economic expert Milton Friedman states that a business's sole responsibility is to increase revenues for its investors. Services running under this theory might prioritise cost-cutting effectiveness and high ROI. These choices can affect market standards around success and monetary efficiency.</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On the other hand, the stakeholder theory argues that companies have duties to all parties impacted by their actions, not simply investors. Organisations directed by this theory might prioritise worker well-being, ecological sustainability, and neighbourhood engagement. Their actions can promote an environment that values more than simply monetary efficiency.</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It's likewise worth discussing the principle of "Creating Shared Value" (CSV) proposed by Michael Porter and Mark Kramer. CSV is an organisation method where businesses discover their chances of fixing social issues. This can affect the business environment by motivating other businesses to embrace a comparable technique, therefore cultivating an environment that stabilises success with social excellence.</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The stakeholder theory advanced by Freeman (1984) proposes that organisations have obligations beyond investors to all stakeholders. When companies comply with ethical requirements and robust governance systems, they meet these obligations, promoting a reasonable and transparent organisational environment.</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According to Carroll's Pyramid of CSR (1991), organisations ought to pursue financial duties in addition to legal, ethical, and humanitarian obligations. The higher tiers of the pyramid, including ethical and humanitarian duties, show an organisation's dedication to social wellness, selflessness, and reasonable wage practises. These aspects typically affect the larger organisational landscape by setting greater requirements for other services to follow.</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Porter and Kramer's Shared Value Concept (2011) highlights that organisations can attain financial success by attending to social difficulties. When organisations embrace brand-new innovations to improve their services, they are developing shared worth</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creating financial worth in a manner that likewise produces worth for society.</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These theoretical viewpoints highlight the interconnectedness between organisations and the external environment. They highlight how companies' choices and actions can affect the more comprehensive company environment, strengthening the significance of preserving high ethical requirements, business governance, CSR, selflessness, reasonable wage practises, and innovation adoption.</w:t>
      </w:r>
    </w:p>
    <w:p>
      <w:pPr>
        <w:spacing w:before="100" w:after="1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252525"/>
          <w:spacing w:val="0"/>
          <w:position w:val="0"/>
          <w:sz w:val="22"/>
          <w:shd w:fill="auto" w:val="clear"/>
        </w:rPr>
        <w:br/>
      </w:r>
      <w:r>
        <w:rPr>
          <w:rFonts w:ascii="Arial" w:hAnsi="Arial" w:cs="Arial" w:eastAsia="Arial"/>
          <w:b/>
          <w:color w:val="2F5496"/>
          <w:spacing w:val="0"/>
          <w:position w:val="0"/>
          <w:sz w:val="22"/>
          <w:shd w:fill="auto" w:val="clear"/>
        </w:rPr>
        <w:t xml:space="preserve">Conclusion.</w:t>
      </w:r>
      <w:r>
        <w:rPr>
          <w:rFonts w:ascii="Arial" w:hAnsi="Arial" w:cs="Arial" w:eastAsia="Arial"/>
          <w:b/>
          <w:color w:val="252525"/>
          <w:spacing w:val="0"/>
          <w:position w:val="0"/>
          <w:sz w:val="22"/>
          <w:shd w:fill="auto" w:val="clear"/>
        </w:rPr>
        <w:br/>
      </w:r>
      <w:r>
        <w:rPr>
          <w:rFonts w:ascii="Arial" w:hAnsi="Arial" w:cs="Arial" w:eastAsia="Arial"/>
          <w:color w:val="auto"/>
          <w:spacing w:val="0"/>
          <w:position w:val="0"/>
          <w:sz w:val="22"/>
          <w:shd w:fill="auto" w:val="clear"/>
        </w:rPr>
        <w:t xml:space="preserve">In summary, the behaviour and actions of organisations do more than simply identify their success or failure. These choices substantially form the more comprehensive external service environment, affecting market requirements, social standards, and stakeholder expectations. From governance and principles to earnings, business social duty, innovation adoption, and beyond, the reach of organisation choices extends far beyond business's instant environment.</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When organisations prioritise strong business governance and promote ethical requirements, they help promote an environment that values openness, responsibility, and stability. When they embrace inclusive wage policies and support staff member well-being, they affect labour market characteristics and social mindsets towards earnings and wealth circulation. When they dedicate themselves to business social duty and take part in selfless actions, they contribute to social wellness and motivate other services to do the very same.</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In addition, companies that adjust rapidly to technological developments not only acquire one-upmanship but also affect the rate of market development and client expectations. Likewise, companies that think about the effect of their actions on all stakeholders and society at large contribute to an external service environment that stabilises success with social excellence.</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In comprehending the inspirations behind these service choices, we see that they typically extend beyond simple profit-making. An intricate interaction of elements consisting of track record management, stakeholder satisfaction, legal compliance, and a dedication to social obligation drives services. While success is an essential factor to consider, numerous companies recognise that their long-lasting success depends on more than simply monetary efficiency.</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The concepts and theories that direct company choices even more highlight the intricacy of company inspirations. Companies make choices in accordance with a range of aspects and effects, with each option having an influence on the bigger company environment, whether it be investor theory, stakeholder theory, or the concept of producing shared worth.</w:t>
      </w:r>
      <w:r>
        <w:rPr>
          <w:rFonts w:ascii="Arial" w:hAnsi="Arial" w:cs="Arial" w:eastAsia="Arial"/>
          <w:color w:val="252525"/>
          <w:spacing w:val="0"/>
          <w:position w:val="0"/>
          <w:sz w:val="22"/>
          <w:shd w:fill="auto" w:val="clear"/>
        </w:rPr>
        <w:br/>
      </w:r>
      <w:r>
        <w:rPr>
          <w:rFonts w:ascii="Arial" w:hAnsi="Arial" w:cs="Arial" w:eastAsia="Arial"/>
          <w:color w:val="auto"/>
          <w:spacing w:val="0"/>
          <w:position w:val="0"/>
          <w:sz w:val="22"/>
          <w:shd w:fill="auto" w:val="clear"/>
        </w:rPr>
        <w:t xml:space="preserve">In conclusion, companies and their external environment exist in a vibrant two-way relationship. As services affect their environment through their actions, they need to likewise adjust to the modifications they cause in the environment. Comprehending this interaction is essential for company supervisors, as it allows them to navigate obstacles, take chances, and guide their companies towards success in an interconnected and continuously progressing organisational landscape.</w:t>
      </w:r>
    </w:p>
    <w:p>
      <w:pPr>
        <w:spacing w:before="100" w:after="10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Reference list:</w:t>
      </w: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Aguilera, R. V., &amp; Cuervo-Cazurra, A. (2004). </w:t>
      </w:r>
      <w:r>
        <w:rPr>
          <w:rFonts w:ascii="Arial" w:hAnsi="Arial" w:cs="Arial" w:eastAsia="Arial"/>
          <w:i/>
          <w:color w:val="auto"/>
          <w:spacing w:val="0"/>
          <w:position w:val="0"/>
          <w:sz w:val="22"/>
          <w:shd w:fill="auto" w:val="clear"/>
        </w:rPr>
        <w:t xml:space="preserve">Codes of good governance</w:t>
      </w:r>
      <w:r>
        <w:rPr>
          <w:rFonts w:ascii="Arial" w:hAnsi="Arial" w:cs="Arial" w:eastAsia="Arial"/>
          <w:color w:val="auto"/>
          <w:spacing w:val="0"/>
          <w:position w:val="0"/>
          <w:sz w:val="22"/>
          <w:shd w:fill="auto" w:val="clear"/>
        </w:rPr>
        <w:t xml:space="preserve">. Corporate Governance: An International Review, 12(2), 143-143.</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Akerlof, G. A., &amp; Yellen, J. L. (1990). </w:t>
      </w:r>
      <w:r>
        <w:rPr>
          <w:rFonts w:ascii="Arial" w:hAnsi="Arial" w:cs="Arial" w:eastAsia="Arial"/>
          <w:i/>
          <w:color w:val="auto"/>
          <w:spacing w:val="0"/>
          <w:position w:val="0"/>
          <w:sz w:val="22"/>
          <w:shd w:fill="auto" w:val="clear"/>
        </w:rPr>
        <w:t xml:space="preserve">The fair wage-effort hypothesis and unemployment</w:t>
      </w:r>
      <w:r>
        <w:rPr>
          <w:rFonts w:ascii="Arial" w:hAnsi="Arial" w:cs="Arial" w:eastAsia="Arial"/>
          <w:color w:val="auto"/>
          <w:spacing w:val="0"/>
          <w:position w:val="0"/>
          <w:sz w:val="22"/>
          <w:shd w:fill="auto" w:val="clear"/>
        </w:rPr>
        <w:t xml:space="preserve">. The Quarterly Journal of Economics, 105(2), 255-283.</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Bock, L. (2015). </w:t>
      </w:r>
      <w:r>
        <w:rPr>
          <w:rFonts w:ascii="Arial" w:hAnsi="Arial" w:cs="Arial" w:eastAsia="Arial"/>
          <w:i/>
          <w:color w:val="auto"/>
          <w:spacing w:val="0"/>
          <w:position w:val="0"/>
          <w:sz w:val="22"/>
          <w:shd w:fill="auto" w:val="clear"/>
        </w:rPr>
        <w:t xml:space="preserve">Work rules!: Insights from inside Google that will transform how you live and lead</w:t>
      </w:r>
      <w:r>
        <w:rPr>
          <w:rFonts w:ascii="Arial" w:hAnsi="Arial" w:cs="Arial" w:eastAsia="Arial"/>
          <w:color w:val="auto"/>
          <w:spacing w:val="0"/>
          <w:position w:val="0"/>
          <w:sz w:val="22"/>
          <w:shd w:fill="auto" w:val="clear"/>
        </w:rPr>
        <w:t xml:space="preserve">. Twelve.</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Cadbury, A. (1992). </w:t>
      </w:r>
      <w:r>
        <w:rPr>
          <w:rFonts w:ascii="Arial" w:hAnsi="Arial" w:cs="Arial" w:eastAsia="Arial"/>
          <w:i/>
          <w:color w:val="auto"/>
          <w:spacing w:val="0"/>
          <w:position w:val="0"/>
          <w:sz w:val="22"/>
          <w:shd w:fill="auto" w:val="clear"/>
        </w:rPr>
        <w:t xml:space="preserve">Report of the Committee on the Financial Aspects of Corporate Governance: The Code of Best Practice</w:t>
      </w:r>
      <w:r>
        <w:rPr>
          <w:rFonts w:ascii="Arial" w:hAnsi="Arial" w:cs="Arial" w:eastAsia="Arial"/>
          <w:color w:val="auto"/>
          <w:spacing w:val="0"/>
          <w:position w:val="0"/>
          <w:sz w:val="22"/>
          <w:shd w:fill="auto" w:val="clear"/>
        </w:rPr>
        <w:t xml:space="preserve">. Gee &amp; Co Ltd.</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Cappelli, P., &amp; Keller, J. R. (2013). </w:t>
      </w:r>
      <w:r>
        <w:rPr>
          <w:rFonts w:ascii="Arial" w:hAnsi="Arial" w:cs="Arial" w:eastAsia="Arial"/>
          <w:i/>
          <w:color w:val="auto"/>
          <w:spacing w:val="0"/>
          <w:position w:val="0"/>
          <w:sz w:val="22"/>
          <w:shd w:fill="auto" w:val="clear"/>
        </w:rPr>
        <w:t xml:space="preserve">Classifying work in the new economy</w:t>
      </w:r>
      <w:r>
        <w:rPr>
          <w:rFonts w:ascii="Arial" w:hAnsi="Arial" w:cs="Arial" w:eastAsia="Arial"/>
          <w:color w:val="auto"/>
          <w:spacing w:val="0"/>
          <w:position w:val="0"/>
          <w:sz w:val="22"/>
          <w:shd w:fill="auto" w:val="clear"/>
        </w:rPr>
        <w:t xml:space="preserve">. Academy of Management Review, 38(4), 575-596.</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Carroll, A. B. (1991). </w:t>
      </w:r>
      <w:r>
        <w:rPr>
          <w:rFonts w:ascii="Arial" w:hAnsi="Arial" w:cs="Arial" w:eastAsia="Arial"/>
          <w:i/>
          <w:color w:val="auto"/>
          <w:spacing w:val="0"/>
          <w:position w:val="0"/>
          <w:sz w:val="22"/>
          <w:shd w:fill="auto" w:val="clear"/>
        </w:rPr>
        <w:t xml:space="preserve">The pyramid of corporate social responsibility: Toward the moral management of organizational stakeholders</w:t>
      </w:r>
      <w:r>
        <w:rPr>
          <w:rFonts w:ascii="Arial" w:hAnsi="Arial" w:cs="Arial" w:eastAsia="Arial"/>
          <w:color w:val="auto"/>
          <w:spacing w:val="0"/>
          <w:position w:val="0"/>
          <w:sz w:val="22"/>
          <w:shd w:fill="auto" w:val="clear"/>
        </w:rPr>
        <w:t xml:space="preserve">. Business Horizons, 34(4), 39-48.</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Cramer, J., &amp; Krueger, A. B. (2016). </w:t>
      </w:r>
      <w:r>
        <w:rPr>
          <w:rFonts w:ascii="Arial" w:hAnsi="Arial" w:cs="Arial" w:eastAsia="Arial"/>
          <w:i/>
          <w:color w:val="auto"/>
          <w:spacing w:val="0"/>
          <w:position w:val="0"/>
          <w:sz w:val="22"/>
          <w:shd w:fill="auto" w:val="clear"/>
        </w:rPr>
        <w:t xml:space="preserve">Disruptive change in the taxi business: The case of Uber</w:t>
      </w:r>
      <w:r>
        <w:rPr>
          <w:rFonts w:ascii="Arial" w:hAnsi="Arial" w:cs="Arial" w:eastAsia="Arial"/>
          <w:color w:val="auto"/>
          <w:spacing w:val="0"/>
          <w:position w:val="0"/>
          <w:sz w:val="22"/>
          <w:shd w:fill="auto" w:val="clear"/>
        </w:rPr>
        <w:t xml:space="preserve">. American Economic Review, 106(5), 177-182.</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Corporate Governance. (n.d.) [Online]. Nestlé Global. Available: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https://www.nestle.com/investors/corporate-governance</w:t>
        </w:r>
      </w:hyperlink>
      <w:r>
        <w:rPr>
          <w:rFonts w:ascii="Arial" w:hAnsi="Arial" w:cs="Arial" w:eastAsia="Arial"/>
          <w:color w:val="auto"/>
          <w:spacing w:val="0"/>
          <w:position w:val="0"/>
          <w:sz w:val="22"/>
          <w:shd w:fill="auto" w:val="clear"/>
        </w:rPr>
        <w:t xml:space="preserve">. (Accessed 16 June 2023)</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Corporate governance. (n.d.) [Online]. Unilever. Available: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https://www.unilever.com/investors/corporate-governance/</w:t>
        </w:r>
      </w:hyperlink>
      <w:r>
        <w:rPr>
          <w:rFonts w:ascii="Arial" w:hAnsi="Arial" w:cs="Arial" w:eastAsia="Arial"/>
          <w:color w:val="auto"/>
          <w:spacing w:val="0"/>
          <w:position w:val="0"/>
          <w:sz w:val="22"/>
          <w:shd w:fill="auto" w:val="clear"/>
        </w:rPr>
        <w:t xml:space="preserve">. (Accessed 16 June 2023)</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Ericsson. (2021). </w:t>
      </w:r>
      <w:r>
        <w:rPr>
          <w:rFonts w:ascii="Arial" w:hAnsi="Arial" w:cs="Arial" w:eastAsia="Arial"/>
          <w:i/>
          <w:color w:val="auto"/>
          <w:spacing w:val="0"/>
          <w:position w:val="0"/>
          <w:sz w:val="22"/>
          <w:shd w:fill="auto" w:val="clear"/>
        </w:rPr>
        <w:t xml:space="preserve">Doing business the right way</w:t>
      </w:r>
      <w:r>
        <w:rPr>
          <w:rFonts w:ascii="Arial" w:hAnsi="Arial" w:cs="Arial" w:eastAsia="Arial"/>
          <w:color w:val="auto"/>
          <w:spacing w:val="0"/>
          <w:position w:val="0"/>
          <w:sz w:val="22"/>
          <w:shd w:fill="auto" w:val="clear"/>
        </w:rPr>
        <w:t xml:space="preserve">. Retrieved from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https://www.ericsson.com/en/blog/5/2021/doing-business-the-right-way</w:t>
        </w:r>
      </w:hyperlink>
      <w:r>
        <w:rPr>
          <w:rFonts w:ascii="Arial" w:hAnsi="Arial" w:cs="Arial" w:eastAsia="Arial"/>
          <w:color w:val="auto"/>
          <w:spacing w:val="0"/>
          <w:position w:val="0"/>
          <w:sz w:val="22"/>
          <w:shd w:fill="auto" w:val="clear"/>
        </w:rPr>
        <w:t xml:space="preserve"> (Accessed 16 June 2023)</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Freeman, R. E. (1984). </w:t>
      </w:r>
      <w:r>
        <w:rPr>
          <w:rFonts w:ascii="Arial" w:hAnsi="Arial" w:cs="Arial" w:eastAsia="Arial"/>
          <w:i/>
          <w:color w:val="auto"/>
          <w:spacing w:val="0"/>
          <w:position w:val="0"/>
          <w:sz w:val="22"/>
          <w:shd w:fill="auto" w:val="clear"/>
        </w:rPr>
        <w:t xml:space="preserve">Strategic management: A stakeholder approach</w:t>
      </w:r>
      <w:r>
        <w:rPr>
          <w:rFonts w:ascii="Arial" w:hAnsi="Arial" w:cs="Arial" w:eastAsia="Arial"/>
          <w:color w:val="auto"/>
          <w:spacing w:val="0"/>
          <w:position w:val="0"/>
          <w:sz w:val="22"/>
          <w:shd w:fill="auto" w:val="clear"/>
        </w:rPr>
        <w:t xml:space="preserve">. Pitman.</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IKEA. (n.d.). </w:t>
      </w:r>
      <w:r>
        <w:rPr>
          <w:rFonts w:ascii="Arial" w:hAnsi="Arial" w:cs="Arial" w:eastAsia="Arial"/>
          <w:i/>
          <w:color w:val="auto"/>
          <w:spacing w:val="0"/>
          <w:position w:val="0"/>
          <w:sz w:val="22"/>
          <w:shd w:fill="auto" w:val="clear"/>
        </w:rPr>
        <w:t xml:space="preserve">People &amp; Planet</w:t>
      </w:r>
      <w:r>
        <w:rPr>
          <w:rFonts w:ascii="Arial" w:hAnsi="Arial" w:cs="Arial" w:eastAsia="Arial"/>
          <w:color w:val="auto"/>
          <w:spacing w:val="0"/>
          <w:position w:val="0"/>
          <w:sz w:val="22"/>
          <w:shd w:fill="auto" w:val="clear"/>
        </w:rPr>
        <w:t xml:space="preserve">. Retrieved from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https://www.ikea.com/au/en/people-and-planet/</w:t>
        </w:r>
      </w:hyperlink>
      <w:r>
        <w:rPr>
          <w:rFonts w:ascii="Arial" w:hAnsi="Arial" w:cs="Arial" w:eastAsia="Arial"/>
          <w:color w:val="auto"/>
          <w:spacing w:val="0"/>
          <w:position w:val="0"/>
          <w:sz w:val="22"/>
          <w:shd w:fill="auto" w:val="clear"/>
        </w:rPr>
        <w:t xml:space="preserve"> (Accessed 16 June 2023)</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Our Core Values - Patagonia. (n.d.) [Online]. </w:t>
      </w:r>
      <w:r>
        <w:rPr>
          <w:rFonts w:ascii="Arial" w:hAnsi="Arial" w:cs="Arial" w:eastAsia="Arial"/>
          <w:i/>
          <w:color w:val="auto"/>
          <w:spacing w:val="0"/>
          <w:position w:val="0"/>
          <w:sz w:val="22"/>
          <w:shd w:fill="auto" w:val="clear"/>
        </w:rPr>
        <w:t xml:space="preserve">Our Core Values - Patagonia</w:t>
      </w:r>
      <w:r>
        <w:rPr>
          <w:rFonts w:ascii="Arial" w:hAnsi="Arial" w:cs="Arial" w:eastAsia="Arial"/>
          <w:color w:val="auto"/>
          <w:spacing w:val="0"/>
          <w:position w:val="0"/>
          <w:sz w:val="22"/>
          <w:shd w:fill="auto" w:val="clear"/>
        </w:rPr>
        <w:t xml:space="preserve">. Available: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https://eu.patagonia.com/ro/en/core-values/</w:t>
        </w:r>
      </w:hyperlink>
      <w:r>
        <w:rPr>
          <w:rFonts w:ascii="Arial" w:hAnsi="Arial" w:cs="Arial" w:eastAsia="Arial"/>
          <w:color w:val="auto"/>
          <w:spacing w:val="0"/>
          <w:position w:val="0"/>
          <w:sz w:val="22"/>
          <w:shd w:fill="auto" w:val="clear"/>
        </w:rPr>
        <w:t xml:space="preserve">. (Accessed 16 June 2023)</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Porter, M. E. (1979). </w:t>
      </w:r>
      <w:r>
        <w:rPr>
          <w:rFonts w:ascii="Arial" w:hAnsi="Arial" w:cs="Arial" w:eastAsia="Arial"/>
          <w:i/>
          <w:color w:val="auto"/>
          <w:spacing w:val="0"/>
          <w:position w:val="0"/>
          <w:sz w:val="22"/>
          <w:shd w:fill="auto" w:val="clear"/>
        </w:rPr>
        <w:t xml:space="preserve">How competitive forces shape strategy</w:t>
      </w:r>
      <w:r>
        <w:rPr>
          <w:rFonts w:ascii="Arial" w:hAnsi="Arial" w:cs="Arial" w:eastAsia="Arial"/>
          <w:color w:val="auto"/>
          <w:spacing w:val="0"/>
          <w:position w:val="0"/>
          <w:sz w:val="22"/>
          <w:shd w:fill="auto" w:val="clear"/>
        </w:rPr>
        <w:t xml:space="preserve">. Harvard Business Review, 57(2), 137-145.</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Porter, M. E., &amp; Heppelmann, J. E. (2014). </w:t>
      </w:r>
      <w:r>
        <w:rPr>
          <w:rFonts w:ascii="Arial" w:hAnsi="Arial" w:cs="Arial" w:eastAsia="Arial"/>
          <w:i/>
          <w:color w:val="auto"/>
          <w:spacing w:val="0"/>
          <w:position w:val="0"/>
          <w:sz w:val="22"/>
          <w:shd w:fill="auto" w:val="clear"/>
        </w:rPr>
        <w:t xml:space="preserve">How smart, connected products are transforming competition</w:t>
      </w:r>
      <w:r>
        <w:rPr>
          <w:rFonts w:ascii="Arial" w:hAnsi="Arial" w:cs="Arial" w:eastAsia="Arial"/>
          <w:color w:val="auto"/>
          <w:spacing w:val="0"/>
          <w:position w:val="0"/>
          <w:sz w:val="22"/>
          <w:shd w:fill="auto" w:val="clear"/>
        </w:rPr>
        <w:t xml:space="preserve">. Harvard Business Review, 92(11), 64-88.</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Porter, M. E., &amp; Kramer, M. R. (2011). </w:t>
      </w:r>
      <w:r>
        <w:rPr>
          <w:rFonts w:ascii="Arial" w:hAnsi="Arial" w:cs="Arial" w:eastAsia="Arial"/>
          <w:i/>
          <w:color w:val="auto"/>
          <w:spacing w:val="0"/>
          <w:position w:val="0"/>
          <w:sz w:val="22"/>
          <w:shd w:fill="auto" w:val="clear"/>
        </w:rPr>
        <w:t xml:space="preserve">Creating shared value</w:t>
      </w:r>
      <w:r>
        <w:rPr>
          <w:rFonts w:ascii="Arial" w:hAnsi="Arial" w:cs="Arial" w:eastAsia="Arial"/>
          <w:color w:val="auto"/>
          <w:spacing w:val="0"/>
          <w:position w:val="0"/>
          <w:sz w:val="22"/>
          <w:shd w:fill="auto" w:val="clear"/>
        </w:rPr>
        <w:t xml:space="preserve">. Harvard Business Review, 89(1/2), 62-77.</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Rushton, J. P. (1981). </w:t>
      </w:r>
      <w:r>
        <w:rPr>
          <w:rFonts w:ascii="Arial" w:hAnsi="Arial" w:cs="Arial" w:eastAsia="Arial"/>
          <w:i/>
          <w:color w:val="auto"/>
          <w:spacing w:val="0"/>
          <w:position w:val="0"/>
          <w:sz w:val="22"/>
          <w:shd w:fill="auto" w:val="clear"/>
        </w:rPr>
        <w:t xml:space="preserve">Altruism, socialization, and society</w:t>
      </w:r>
      <w:r>
        <w:rPr>
          <w:rFonts w:ascii="Arial" w:hAnsi="Arial" w:cs="Arial" w:eastAsia="Arial"/>
          <w:color w:val="auto"/>
          <w:spacing w:val="0"/>
          <w:position w:val="0"/>
          <w:sz w:val="22"/>
          <w:shd w:fill="auto" w:val="clear"/>
        </w:rPr>
        <w:t xml:space="preserve">. Prentice-Hall.</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Starbucks. (n.d.). </w:t>
      </w:r>
      <w:r>
        <w:rPr>
          <w:rFonts w:ascii="Arial" w:hAnsi="Arial" w:cs="Arial" w:eastAsia="Arial"/>
          <w:i/>
          <w:color w:val="auto"/>
          <w:spacing w:val="0"/>
          <w:position w:val="0"/>
          <w:sz w:val="22"/>
          <w:shd w:fill="auto" w:val="clear"/>
        </w:rPr>
        <w:t xml:space="preserve">Starbucks Global Responsibility Report</w:t>
      </w:r>
      <w:r>
        <w:rPr>
          <w:rFonts w:ascii="Arial" w:hAnsi="Arial" w:cs="Arial" w:eastAsia="Arial"/>
          <w:color w:val="auto"/>
          <w:spacing w:val="0"/>
          <w:position w:val="0"/>
          <w:sz w:val="22"/>
          <w:shd w:fill="auto" w:val="clear"/>
        </w:rPr>
        <w:t xml:space="preserve">. Retrieved from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http://assets.starbucks.com/assets/71fbca55c23d4604a3e1d93fbec5365e.pdf</w:t>
        </w:r>
      </w:hyperlink>
      <w:r>
        <w:rPr>
          <w:rFonts w:ascii="Arial" w:hAnsi="Arial" w:cs="Arial" w:eastAsia="Arial"/>
          <w:color w:val="auto"/>
          <w:spacing w:val="0"/>
          <w:position w:val="0"/>
          <w:sz w:val="22"/>
          <w:shd w:fill="auto" w:val="clear"/>
        </w:rPr>
        <w:t xml:space="preserve"> (Accessed 16 June 2023)</w:t>
      </w:r>
    </w:p>
    <w:p>
      <w:pPr>
        <w:spacing w:before="100" w:after="100" w:line="240"/>
        <w:ind w:right="0" w:left="0" w:firstLine="0"/>
        <w:jc w:val="left"/>
        <w:rPr>
          <w:rFonts w:ascii="Arial" w:hAnsi="Arial" w:cs="Arial" w:eastAsia="Arial"/>
          <w:color w:val="auto"/>
          <w:spacing w:val="0"/>
          <w:position w:val="0"/>
          <w:sz w:val="22"/>
          <w:shd w:fill="auto" w:val="clear"/>
        </w:rPr>
      </w:pPr>
    </w:p>
    <w:p>
      <w:pPr>
        <w:spacing w:before="100" w:after="10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Treviño, L. K., &amp; Nelson, K. A. (2014). </w:t>
      </w:r>
      <w:r>
        <w:rPr>
          <w:rFonts w:ascii="Arial" w:hAnsi="Arial" w:cs="Arial" w:eastAsia="Arial"/>
          <w:i/>
          <w:color w:val="auto"/>
          <w:spacing w:val="0"/>
          <w:position w:val="0"/>
          <w:sz w:val="22"/>
          <w:shd w:fill="auto" w:val="clear"/>
        </w:rPr>
        <w:t xml:space="preserve">Managing business ethics: Straight talk about how to do it right</w:t>
      </w:r>
      <w:r>
        <w:rPr>
          <w:rFonts w:ascii="Arial" w:hAnsi="Arial" w:cs="Arial" w:eastAsia="Arial"/>
          <w:color w:val="auto"/>
          <w:spacing w:val="0"/>
          <w:position w:val="0"/>
          <w:sz w:val="22"/>
          <w:shd w:fill="auto" w:val="clear"/>
        </w:rPr>
        <w:t xml:space="preserve">. Wiley.</w:t>
      </w:r>
    </w:p>
    <w:p>
      <w:pPr>
        <w:spacing w:before="100" w:after="100" w:line="360"/>
        <w:ind w:right="0" w:left="0" w:firstLine="0"/>
        <w:jc w:val="left"/>
        <w:rPr>
          <w:rFonts w:ascii="Arial" w:hAnsi="Arial" w:cs="Arial" w:eastAsia="Arial"/>
          <w:color w:val="auto"/>
          <w:spacing w:val="0"/>
          <w:position w:val="0"/>
          <w:sz w:val="22"/>
          <w:shd w:fill="auto" w:val="clear"/>
        </w:rPr>
      </w:pPr>
    </w:p>
    <w:p>
      <w:pPr>
        <w:spacing w:before="100" w:after="100" w:line="360"/>
        <w:ind w:right="0" w:left="0" w:firstLine="0"/>
        <w:jc w:val="left"/>
        <w:rPr>
          <w:rFonts w:ascii="Arial" w:hAnsi="Arial" w:cs="Arial" w:eastAsia="Arial"/>
          <w:color w:val="auto"/>
          <w:spacing w:val="0"/>
          <w:position w:val="0"/>
          <w:sz w:val="22"/>
          <w:shd w:fill="auto" w:val="clear"/>
        </w:rPr>
      </w:pPr>
    </w:p>
    <w:p>
      <w:pPr>
        <w:spacing w:before="100" w:after="100" w:line="360"/>
        <w:ind w:right="0" w:left="0" w:firstLine="0"/>
        <w:jc w:val="left"/>
        <w:rPr>
          <w:rFonts w:ascii="Arial" w:hAnsi="Arial" w:cs="Arial" w:eastAsia="Arial"/>
          <w:color w:val="auto"/>
          <w:spacing w:val="0"/>
          <w:position w:val="0"/>
          <w:sz w:val="22"/>
          <w:shd w:fill="auto" w:val="clear"/>
        </w:rPr>
      </w:pPr>
    </w:p>
    <w:p>
      <w:pPr>
        <w:spacing w:before="100" w:after="100" w:line="360"/>
        <w:ind w:right="0" w:left="0" w:firstLine="0"/>
        <w:jc w:val="left"/>
        <w:rPr>
          <w:rFonts w:ascii="Arial" w:hAnsi="Arial" w:cs="Arial" w:eastAsia="Arial"/>
          <w:color w:val="auto"/>
          <w:spacing w:val="0"/>
          <w:position w:val="0"/>
          <w:sz w:val="22"/>
          <w:shd w:fill="auto" w:val="clear"/>
        </w:rPr>
      </w:pPr>
    </w:p>
    <w:p>
      <w:pPr>
        <w:spacing w:before="100" w:after="100" w:line="360"/>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unilever.com/investors/corporate-governance/" Id="docRId1" Type="http://schemas.openxmlformats.org/officeDocument/2006/relationships/hyperlink" /><Relationship TargetMode="External" Target="https://www.ikea.com/au/en/people-and-planet/" Id="docRId3" Type="http://schemas.openxmlformats.org/officeDocument/2006/relationships/hyperlink" /><Relationship TargetMode="External" Target="http://assets.starbucks.com/assets/71fbca55c23d4604a3e1d93fbec5365e.pdf" Id="docRId5" Type="http://schemas.openxmlformats.org/officeDocument/2006/relationships/hyperlink" /><Relationship Target="styles.xml" Id="docRId7" Type="http://schemas.openxmlformats.org/officeDocument/2006/relationships/styles" /><Relationship TargetMode="External" Target="https://www.nestle.com/investors/corporate-governance" Id="docRId0" Type="http://schemas.openxmlformats.org/officeDocument/2006/relationships/hyperlink" /><Relationship TargetMode="External" Target="https://www.ericsson.com/en/blog/5/2021/doing-business-the-right-way" Id="docRId2" Type="http://schemas.openxmlformats.org/officeDocument/2006/relationships/hyperlink" /><Relationship TargetMode="External" Target="https://eu.patagonia.com/ro/en/core-values/" Id="docRId4" Type="http://schemas.openxmlformats.org/officeDocument/2006/relationships/hyperlink" /><Relationship Target="numbering.xml" Id="docRId6" Type="http://schemas.openxmlformats.org/officeDocument/2006/relationships/numbering" /></Relationships>
</file>