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64F71" w14:textId="77777777" w:rsidR="002274A8" w:rsidRPr="00267A07" w:rsidRDefault="009064CE" w:rsidP="00267A07">
      <w:pPr>
        <w:spacing w:before="120" w:after="120" w:line="360" w:lineRule="auto"/>
        <w:jc w:val="center"/>
        <w:rPr>
          <w:rFonts w:ascii="Arial" w:hAnsi="Arial" w:cs="Arial"/>
        </w:rPr>
      </w:pPr>
      <w:r w:rsidRPr="00267A07">
        <w:rPr>
          <w:rFonts w:ascii="Arial" w:hAnsi="Arial" w:cs="Arial"/>
          <w:noProof/>
        </w:rPr>
        <w:drawing>
          <wp:inline distT="0" distB="0" distL="0" distR="0" wp14:anchorId="3B2202CE" wp14:editId="22D27347">
            <wp:extent cx="2794000" cy="1397000"/>
            <wp:effectExtent l="0" t="0" r="6350" b="0"/>
            <wp:docPr id="2"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4000" cy="1397000"/>
                    </a:xfrm>
                    <a:prstGeom prst="rect">
                      <a:avLst/>
                    </a:prstGeom>
                    <a:noFill/>
                    <a:ln>
                      <a:noFill/>
                    </a:ln>
                  </pic:spPr>
                </pic:pic>
              </a:graphicData>
            </a:graphic>
          </wp:inline>
        </w:drawing>
      </w:r>
    </w:p>
    <w:p w14:paraId="5462907F" w14:textId="77777777" w:rsidR="002274A8" w:rsidRPr="00267A07" w:rsidRDefault="002274A8" w:rsidP="00267A07">
      <w:pPr>
        <w:spacing w:before="120" w:after="120" w:line="360" w:lineRule="auto"/>
        <w:jc w:val="center"/>
        <w:rPr>
          <w:rFonts w:ascii="Arial" w:hAnsi="Arial" w:cs="Arial"/>
          <w:b/>
          <w:bCs/>
          <w:sz w:val="32"/>
        </w:rPr>
      </w:pPr>
      <w:r w:rsidRPr="00267A07">
        <w:rPr>
          <w:rFonts w:ascii="Arial" w:hAnsi="Arial" w:cs="Arial"/>
          <w:b/>
          <w:bCs/>
          <w:sz w:val="32"/>
        </w:rPr>
        <w:t>BMHP5019_BIRM –</w:t>
      </w:r>
      <w:r w:rsidR="00822ECC" w:rsidRPr="00267A07">
        <w:rPr>
          <w:rFonts w:ascii="Arial" w:hAnsi="Arial" w:cs="Arial"/>
          <w:b/>
          <w:bCs/>
          <w:sz w:val="32"/>
        </w:rPr>
        <w:t xml:space="preserve"> </w:t>
      </w:r>
      <w:r w:rsidRPr="00267A07">
        <w:rPr>
          <w:rFonts w:ascii="Arial" w:hAnsi="Arial" w:cs="Arial"/>
          <w:b/>
          <w:bCs/>
          <w:sz w:val="32"/>
        </w:rPr>
        <w:t>Independent Research Skills</w:t>
      </w:r>
    </w:p>
    <w:p w14:paraId="644E2815" w14:textId="010EDF32" w:rsidR="002274A8" w:rsidRDefault="002274A8" w:rsidP="00267A07">
      <w:pPr>
        <w:spacing w:before="120" w:after="120" w:line="360" w:lineRule="auto"/>
        <w:jc w:val="center"/>
        <w:rPr>
          <w:rFonts w:ascii="Arial" w:hAnsi="Arial" w:cs="Arial"/>
          <w:b/>
          <w:bCs/>
          <w:sz w:val="32"/>
        </w:rPr>
      </w:pPr>
      <w:r w:rsidRPr="00267A07">
        <w:rPr>
          <w:rFonts w:ascii="Arial" w:hAnsi="Arial" w:cs="Arial"/>
          <w:b/>
          <w:bCs/>
          <w:sz w:val="32"/>
        </w:rPr>
        <w:t xml:space="preserve">Component </w:t>
      </w:r>
      <w:r w:rsidR="00F56F72" w:rsidRPr="00267A07">
        <w:rPr>
          <w:rFonts w:ascii="Arial" w:hAnsi="Arial" w:cs="Arial"/>
          <w:b/>
          <w:bCs/>
          <w:sz w:val="32"/>
        </w:rPr>
        <w:t>2</w:t>
      </w:r>
      <w:r w:rsidR="001333C6">
        <w:rPr>
          <w:rFonts w:ascii="Arial" w:hAnsi="Arial" w:cs="Arial"/>
          <w:b/>
          <w:bCs/>
          <w:sz w:val="32"/>
        </w:rPr>
        <w:t xml:space="preserve"> Written Assignment (Research Report)</w:t>
      </w:r>
    </w:p>
    <w:p w14:paraId="14BF97A0" w14:textId="77777777" w:rsidR="001333C6" w:rsidRDefault="001333C6" w:rsidP="00267A07">
      <w:pPr>
        <w:spacing w:before="120" w:after="120" w:line="360" w:lineRule="auto"/>
        <w:jc w:val="center"/>
        <w:rPr>
          <w:rFonts w:ascii="Arial" w:hAnsi="Arial" w:cs="Arial"/>
          <w:b/>
          <w:bCs/>
          <w:sz w:val="32"/>
        </w:rPr>
      </w:pPr>
    </w:p>
    <w:p w14:paraId="20F1AAAD" w14:textId="3C07DD3F" w:rsidR="001333C6" w:rsidRDefault="001333C6" w:rsidP="00267A07">
      <w:pPr>
        <w:spacing w:before="120" w:after="120" w:line="360" w:lineRule="auto"/>
        <w:jc w:val="center"/>
        <w:rPr>
          <w:rFonts w:ascii="Arial" w:hAnsi="Arial" w:cs="Arial"/>
          <w:b/>
          <w:bCs/>
          <w:sz w:val="32"/>
        </w:rPr>
      </w:pPr>
      <w:r>
        <w:rPr>
          <w:rFonts w:ascii="Arial" w:hAnsi="Arial" w:cs="Arial"/>
          <w:b/>
          <w:bCs/>
          <w:sz w:val="32"/>
        </w:rPr>
        <w:t>Lecturer Name: Raheela Shaikh</w:t>
      </w:r>
    </w:p>
    <w:p w14:paraId="2564A691" w14:textId="77777777" w:rsidR="002274A8" w:rsidRDefault="002274A8" w:rsidP="00267A07">
      <w:pPr>
        <w:spacing w:before="120" w:after="120" w:line="360" w:lineRule="auto"/>
        <w:jc w:val="center"/>
        <w:rPr>
          <w:rFonts w:ascii="Arial" w:hAnsi="Arial" w:cs="Arial"/>
          <w:b/>
          <w:bCs/>
          <w:sz w:val="32"/>
        </w:rPr>
      </w:pPr>
    </w:p>
    <w:p w14:paraId="286B12AF" w14:textId="77777777" w:rsidR="001333C6" w:rsidRPr="00267A07" w:rsidRDefault="001333C6" w:rsidP="00267A07">
      <w:pPr>
        <w:spacing w:before="120" w:after="120" w:line="360" w:lineRule="auto"/>
        <w:jc w:val="center"/>
        <w:rPr>
          <w:rFonts w:ascii="Arial" w:hAnsi="Arial" w:cs="Arial"/>
          <w:b/>
          <w:bCs/>
          <w:sz w:val="32"/>
        </w:rPr>
      </w:pPr>
    </w:p>
    <w:p w14:paraId="2156C299" w14:textId="340A6385" w:rsidR="002274A8" w:rsidRPr="00267A07" w:rsidRDefault="002274A8" w:rsidP="00267A07">
      <w:pPr>
        <w:spacing w:before="120" w:after="120" w:line="360" w:lineRule="auto"/>
        <w:jc w:val="center"/>
        <w:rPr>
          <w:rFonts w:ascii="Arial" w:hAnsi="Arial" w:cs="Arial"/>
          <w:b/>
          <w:bCs/>
          <w:sz w:val="32"/>
        </w:rPr>
      </w:pPr>
      <w:r w:rsidRPr="00267A07">
        <w:rPr>
          <w:rFonts w:ascii="Arial" w:hAnsi="Arial" w:cs="Arial"/>
          <w:b/>
          <w:bCs/>
          <w:sz w:val="32"/>
        </w:rPr>
        <w:t>Student Name:</w:t>
      </w:r>
      <w:r w:rsidR="001333C6">
        <w:rPr>
          <w:rFonts w:ascii="Arial" w:hAnsi="Arial" w:cs="Arial"/>
          <w:b/>
          <w:bCs/>
          <w:sz w:val="32"/>
        </w:rPr>
        <w:t xml:space="preserve"> Zaiba Tabassum</w:t>
      </w:r>
    </w:p>
    <w:p w14:paraId="18742AB8" w14:textId="087B5B3D" w:rsidR="002274A8" w:rsidRPr="00267A07" w:rsidRDefault="002274A8" w:rsidP="00267A07">
      <w:pPr>
        <w:spacing w:before="120" w:after="120" w:line="360" w:lineRule="auto"/>
        <w:jc w:val="center"/>
        <w:rPr>
          <w:rFonts w:ascii="Arial" w:hAnsi="Arial" w:cs="Arial"/>
          <w:b/>
          <w:bCs/>
          <w:sz w:val="32"/>
        </w:rPr>
      </w:pPr>
      <w:r w:rsidRPr="00267A07">
        <w:rPr>
          <w:rFonts w:ascii="Arial" w:hAnsi="Arial" w:cs="Arial"/>
          <w:b/>
          <w:bCs/>
          <w:sz w:val="32"/>
        </w:rPr>
        <w:t>Student Number:</w:t>
      </w:r>
      <w:r w:rsidR="001333C6">
        <w:rPr>
          <w:rFonts w:ascii="Arial" w:hAnsi="Arial" w:cs="Arial"/>
          <w:b/>
          <w:bCs/>
          <w:sz w:val="32"/>
        </w:rPr>
        <w:t xml:space="preserve"> 2407213</w:t>
      </w:r>
    </w:p>
    <w:p w14:paraId="3B97A518" w14:textId="77777777" w:rsidR="002274A8" w:rsidRPr="00267A07" w:rsidRDefault="002274A8" w:rsidP="00267A07">
      <w:pPr>
        <w:spacing w:before="120" w:after="120" w:line="360" w:lineRule="auto"/>
        <w:jc w:val="center"/>
        <w:rPr>
          <w:rFonts w:ascii="Arial" w:hAnsi="Arial" w:cs="Arial"/>
          <w:b/>
          <w:bCs/>
          <w:sz w:val="32"/>
        </w:rPr>
      </w:pPr>
    </w:p>
    <w:p w14:paraId="383FF546" w14:textId="77777777" w:rsidR="002274A8" w:rsidRPr="00267A07" w:rsidRDefault="002274A8" w:rsidP="00267A07">
      <w:pPr>
        <w:spacing w:before="120" w:after="120" w:line="360" w:lineRule="auto"/>
        <w:jc w:val="center"/>
        <w:rPr>
          <w:rFonts w:ascii="Arial" w:eastAsia="Times New Roman" w:hAnsi="Arial" w:cs="Arial"/>
          <w:b/>
          <w:bCs/>
          <w:sz w:val="36"/>
          <w:szCs w:val="24"/>
        </w:rPr>
      </w:pPr>
      <w:r w:rsidRPr="00267A07">
        <w:rPr>
          <w:rFonts w:ascii="Arial" w:eastAsia="Times New Roman" w:hAnsi="Arial" w:cs="Arial"/>
          <w:b/>
          <w:bCs/>
          <w:sz w:val="36"/>
          <w:szCs w:val="24"/>
        </w:rPr>
        <w:t>Title: Patient Attitudes Toward Digital Healthcare Services in the UK</w:t>
      </w:r>
    </w:p>
    <w:p w14:paraId="08B14311" w14:textId="77777777" w:rsidR="00134C98" w:rsidRPr="00267A07" w:rsidRDefault="00134C98" w:rsidP="00267A07">
      <w:pPr>
        <w:spacing w:before="120" w:after="120" w:line="360" w:lineRule="auto"/>
        <w:jc w:val="both"/>
        <w:rPr>
          <w:rFonts w:ascii="Arial" w:hAnsi="Arial" w:cs="Arial"/>
        </w:rPr>
      </w:pPr>
    </w:p>
    <w:p w14:paraId="1366A557" w14:textId="77777777" w:rsidR="00775BD0" w:rsidRPr="00267A07" w:rsidRDefault="00775BD0" w:rsidP="00267A07">
      <w:pPr>
        <w:spacing w:before="120" w:after="120" w:line="360" w:lineRule="auto"/>
        <w:jc w:val="both"/>
        <w:rPr>
          <w:rFonts w:ascii="Arial" w:hAnsi="Arial" w:cs="Arial"/>
        </w:rPr>
      </w:pPr>
    </w:p>
    <w:p w14:paraId="63E1BCFD" w14:textId="77777777" w:rsidR="00775BD0" w:rsidRPr="00267A07" w:rsidRDefault="00775BD0" w:rsidP="00267A07">
      <w:pPr>
        <w:spacing w:before="120" w:after="120" w:line="360" w:lineRule="auto"/>
        <w:jc w:val="both"/>
        <w:rPr>
          <w:rFonts w:ascii="Arial" w:hAnsi="Arial" w:cs="Arial"/>
        </w:rPr>
      </w:pPr>
    </w:p>
    <w:p w14:paraId="661C3390" w14:textId="77777777" w:rsidR="00775BD0" w:rsidRPr="00267A07" w:rsidRDefault="00775BD0" w:rsidP="00267A07">
      <w:pPr>
        <w:spacing w:before="120" w:after="120" w:line="360" w:lineRule="auto"/>
        <w:jc w:val="both"/>
        <w:rPr>
          <w:rFonts w:ascii="Arial" w:hAnsi="Arial" w:cs="Arial"/>
        </w:rPr>
      </w:pPr>
    </w:p>
    <w:p w14:paraId="62F30C9A" w14:textId="77777777" w:rsidR="00775BD0" w:rsidRPr="00267A07" w:rsidRDefault="00775BD0" w:rsidP="00267A07">
      <w:pPr>
        <w:spacing w:before="120" w:after="120" w:line="360" w:lineRule="auto"/>
        <w:jc w:val="both"/>
        <w:rPr>
          <w:rFonts w:ascii="Arial" w:hAnsi="Arial" w:cs="Arial"/>
        </w:rPr>
      </w:pPr>
    </w:p>
    <w:p w14:paraId="2137625D" w14:textId="77777777" w:rsidR="00775BD0" w:rsidRPr="00267A07" w:rsidRDefault="00775BD0" w:rsidP="00267A07">
      <w:pPr>
        <w:spacing w:before="120" w:after="120" w:line="360" w:lineRule="auto"/>
        <w:jc w:val="both"/>
        <w:rPr>
          <w:rFonts w:ascii="Arial" w:hAnsi="Arial" w:cs="Arial"/>
        </w:rPr>
      </w:pPr>
    </w:p>
    <w:p w14:paraId="64C54B45" w14:textId="77777777" w:rsidR="00775BD0" w:rsidRPr="00267A07" w:rsidRDefault="00775BD0" w:rsidP="00267A07">
      <w:pPr>
        <w:spacing w:before="120" w:after="120" w:line="360" w:lineRule="auto"/>
        <w:jc w:val="both"/>
        <w:rPr>
          <w:rFonts w:ascii="Arial" w:hAnsi="Arial" w:cs="Arial"/>
        </w:rPr>
      </w:pPr>
    </w:p>
    <w:p w14:paraId="7FE58CD3" w14:textId="77777777" w:rsidR="00775BD0" w:rsidRPr="00267A07" w:rsidRDefault="00775BD0" w:rsidP="00267A07">
      <w:pPr>
        <w:spacing w:before="120" w:after="120" w:line="360" w:lineRule="auto"/>
        <w:jc w:val="both"/>
        <w:rPr>
          <w:rFonts w:ascii="Arial" w:hAnsi="Arial" w:cs="Arial"/>
        </w:rPr>
      </w:pPr>
    </w:p>
    <w:p w14:paraId="24587709" w14:textId="77777777" w:rsidR="00775BD0" w:rsidRPr="00267A07" w:rsidRDefault="00775BD0" w:rsidP="00267A07">
      <w:pPr>
        <w:spacing w:before="120" w:after="120" w:line="360" w:lineRule="auto"/>
        <w:jc w:val="both"/>
        <w:rPr>
          <w:rFonts w:ascii="Arial" w:hAnsi="Arial" w:cs="Arial"/>
        </w:rPr>
      </w:pPr>
    </w:p>
    <w:p w14:paraId="52944F87" w14:textId="77777777" w:rsidR="001333C6" w:rsidRDefault="001333C6" w:rsidP="00267A07">
      <w:pPr>
        <w:spacing w:before="120" w:after="120" w:line="360" w:lineRule="auto"/>
        <w:jc w:val="center"/>
        <w:rPr>
          <w:rFonts w:ascii="Arial" w:hAnsi="Arial" w:cs="Arial"/>
          <w:b/>
          <w:sz w:val="32"/>
        </w:rPr>
      </w:pPr>
    </w:p>
    <w:p w14:paraId="70DB5BD3" w14:textId="7F67F7A4" w:rsidR="002B223E" w:rsidRPr="00267A07" w:rsidRDefault="002B223E" w:rsidP="00267A07">
      <w:pPr>
        <w:spacing w:before="120" w:after="120" w:line="360" w:lineRule="auto"/>
        <w:jc w:val="center"/>
        <w:rPr>
          <w:rFonts w:ascii="Arial" w:hAnsi="Arial" w:cs="Arial"/>
          <w:b/>
          <w:sz w:val="32"/>
        </w:rPr>
      </w:pPr>
      <w:r w:rsidRPr="00267A07">
        <w:rPr>
          <w:rFonts w:ascii="Arial" w:hAnsi="Arial" w:cs="Arial"/>
          <w:b/>
          <w:sz w:val="32"/>
        </w:rPr>
        <w:t>Table of Contents</w:t>
      </w:r>
    </w:p>
    <w:p w14:paraId="2A5E9967"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r w:rsidRPr="00267A07">
        <w:rPr>
          <w:rFonts w:ascii="Arial" w:hAnsi="Arial" w:cs="Arial"/>
        </w:rPr>
        <w:fldChar w:fldCharType="begin"/>
      </w:r>
      <w:r w:rsidRPr="00267A07">
        <w:rPr>
          <w:rFonts w:ascii="Arial" w:hAnsi="Arial" w:cs="Arial"/>
        </w:rPr>
        <w:instrText xml:space="preserve"> TOC \o "1-3" \h \z \u </w:instrText>
      </w:r>
      <w:r w:rsidRPr="00267A07">
        <w:rPr>
          <w:rFonts w:ascii="Arial" w:hAnsi="Arial" w:cs="Arial"/>
        </w:rPr>
        <w:fldChar w:fldCharType="separate"/>
      </w:r>
      <w:hyperlink w:anchor="_Toc234586546" w:history="1">
        <w:r w:rsidRPr="00267A07">
          <w:rPr>
            <w:rStyle w:val="Hyperlink"/>
            <w:rFonts w:ascii="Arial" w:eastAsia="Times New Roman" w:hAnsi="Arial" w:cs="Arial"/>
            <w:noProof/>
          </w:rPr>
          <w:t>1.</w:t>
        </w:r>
        <w:r w:rsidRPr="00267A07">
          <w:rPr>
            <w:rFonts w:ascii="Arial" w:hAnsi="Arial" w:cs="Arial"/>
            <w:noProof/>
          </w:rPr>
          <w:tab/>
        </w:r>
        <w:r w:rsidRPr="00267A07">
          <w:rPr>
            <w:rStyle w:val="Hyperlink"/>
            <w:rFonts w:ascii="Arial" w:eastAsia="Times New Roman" w:hAnsi="Arial" w:cs="Arial"/>
            <w:noProof/>
          </w:rPr>
          <w:t>Introduction</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_Toc234586546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3</w:t>
        </w:r>
        <w:r w:rsidRPr="00267A07">
          <w:rPr>
            <w:rFonts w:ascii="Arial" w:hAnsi="Arial" w:cs="Arial"/>
            <w:noProof/>
            <w:webHidden/>
          </w:rPr>
          <w:fldChar w:fldCharType="end"/>
        </w:r>
      </w:hyperlink>
    </w:p>
    <w:p w14:paraId="0A2FBFB1"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47" w:history="1">
        <w:r w:rsidRPr="00267A07">
          <w:rPr>
            <w:rStyle w:val="Hyperlink"/>
            <w:rFonts w:ascii="Arial" w:hAnsi="Arial" w:cs="Arial"/>
            <w:noProof/>
          </w:rPr>
          <w:t>1.1 Definitions of Main Concepts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_Toc234586547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3</w:t>
        </w:r>
        <w:r w:rsidRPr="00267A07">
          <w:rPr>
            <w:rFonts w:ascii="Arial" w:hAnsi="Arial" w:cs="Arial"/>
            <w:noProof/>
            <w:webHidden/>
          </w:rPr>
          <w:fldChar w:fldCharType="end"/>
        </w:r>
      </w:hyperlink>
    </w:p>
    <w:p w14:paraId="64D99069"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48" w:history="1">
        <w:r w:rsidRPr="00267A07">
          <w:rPr>
            <w:rStyle w:val="Hyperlink"/>
            <w:rFonts w:ascii="Arial" w:hAnsi="Arial" w:cs="Arial"/>
            <w:noProof/>
          </w:rPr>
          <w:t>1.2 Rationale</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_Toc234586548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3</w:t>
        </w:r>
        <w:r w:rsidRPr="00267A07">
          <w:rPr>
            <w:rFonts w:ascii="Arial" w:hAnsi="Arial" w:cs="Arial"/>
            <w:noProof/>
            <w:webHidden/>
          </w:rPr>
          <w:fldChar w:fldCharType="end"/>
        </w:r>
      </w:hyperlink>
    </w:p>
    <w:p w14:paraId="0986054F"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49" w:history="1">
        <w:r w:rsidRPr="00267A07">
          <w:rPr>
            <w:rStyle w:val="Hyperlink"/>
            <w:rFonts w:ascii="Arial" w:hAnsi="Arial" w:cs="Arial"/>
            <w:noProof/>
          </w:rPr>
          <w:t>1.3 Review Question</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_Toc234586549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3</w:t>
        </w:r>
        <w:r w:rsidRPr="00267A07">
          <w:rPr>
            <w:rFonts w:ascii="Arial" w:hAnsi="Arial" w:cs="Arial"/>
            <w:noProof/>
            <w:webHidden/>
          </w:rPr>
          <w:fldChar w:fldCharType="end"/>
        </w:r>
      </w:hyperlink>
    </w:p>
    <w:p w14:paraId="75865028"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50" w:history="1">
        <w:r w:rsidRPr="00267A07">
          <w:rPr>
            <w:rStyle w:val="Hyperlink"/>
            <w:rFonts w:ascii="Arial" w:hAnsi="Arial" w:cs="Arial"/>
            <w:noProof/>
          </w:rPr>
          <w:t>1.4 Aim and Objectives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_Toc234586550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3</w:t>
        </w:r>
        <w:r w:rsidRPr="00267A07">
          <w:rPr>
            <w:rFonts w:ascii="Arial" w:hAnsi="Arial" w:cs="Arial"/>
            <w:noProof/>
            <w:webHidden/>
          </w:rPr>
          <w:fldChar w:fldCharType="end"/>
        </w:r>
      </w:hyperlink>
    </w:p>
    <w:p w14:paraId="3CBE1208"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51" w:history="1">
        <w:r w:rsidRPr="00267A07">
          <w:rPr>
            <w:rStyle w:val="Hyperlink"/>
            <w:rFonts w:ascii="Arial" w:eastAsia="Times New Roman" w:hAnsi="Arial" w:cs="Arial"/>
            <w:noProof/>
          </w:rPr>
          <w:t>2.</w:t>
        </w:r>
        <w:r w:rsidRPr="00267A07">
          <w:rPr>
            <w:rFonts w:ascii="Arial" w:hAnsi="Arial" w:cs="Arial"/>
            <w:noProof/>
          </w:rPr>
          <w:tab/>
        </w:r>
        <w:r w:rsidRPr="00267A07">
          <w:rPr>
            <w:rStyle w:val="Hyperlink"/>
            <w:rFonts w:ascii="Arial" w:eastAsia="Times New Roman" w:hAnsi="Arial" w:cs="Arial"/>
            <w:noProof/>
          </w:rPr>
          <w:t>Background</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_Toc234586551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5</w:t>
        </w:r>
        <w:r w:rsidRPr="00267A07">
          <w:rPr>
            <w:rFonts w:ascii="Arial" w:hAnsi="Arial" w:cs="Arial"/>
            <w:noProof/>
            <w:webHidden/>
          </w:rPr>
          <w:fldChar w:fldCharType="end"/>
        </w:r>
      </w:hyperlink>
    </w:p>
    <w:p w14:paraId="62C68E5A"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52" w:history="1">
        <w:r w:rsidRPr="00267A07">
          <w:rPr>
            <w:rStyle w:val="Hyperlink"/>
            <w:rFonts w:ascii="Arial" w:eastAsia="Times New Roman" w:hAnsi="Arial" w:cs="Arial"/>
            <w:noProof/>
          </w:rPr>
          <w:t>3.</w:t>
        </w:r>
        <w:r w:rsidRPr="00267A07">
          <w:rPr>
            <w:rFonts w:ascii="Arial" w:hAnsi="Arial" w:cs="Arial"/>
            <w:noProof/>
          </w:rPr>
          <w:tab/>
        </w:r>
        <w:r w:rsidRPr="00267A07">
          <w:rPr>
            <w:rStyle w:val="Hyperlink"/>
            <w:rFonts w:ascii="Arial" w:eastAsia="Times New Roman" w:hAnsi="Arial" w:cs="Arial"/>
            <w:noProof/>
          </w:rPr>
          <w:t>Methods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_Toc234586552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7</w:t>
        </w:r>
        <w:r w:rsidRPr="00267A07">
          <w:rPr>
            <w:rFonts w:ascii="Arial" w:hAnsi="Arial" w:cs="Arial"/>
            <w:noProof/>
            <w:webHidden/>
          </w:rPr>
          <w:fldChar w:fldCharType="end"/>
        </w:r>
      </w:hyperlink>
    </w:p>
    <w:p w14:paraId="764FFD8A"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53" w:history="1">
        <w:r w:rsidRPr="00267A07">
          <w:rPr>
            <w:rStyle w:val="Hyperlink"/>
            <w:rFonts w:ascii="Arial" w:hAnsi="Arial" w:cs="Arial"/>
            <w:noProof/>
          </w:rPr>
          <w:t>4.</w:t>
        </w:r>
        <w:r w:rsidRPr="00267A07">
          <w:rPr>
            <w:rFonts w:ascii="Arial" w:hAnsi="Arial" w:cs="Arial"/>
            <w:noProof/>
          </w:rPr>
          <w:tab/>
        </w:r>
        <w:r w:rsidRPr="00267A07">
          <w:rPr>
            <w:rStyle w:val="Hyperlink"/>
            <w:rFonts w:ascii="Arial" w:hAnsi="Arial" w:cs="Arial"/>
            <w:noProof/>
          </w:rPr>
          <w:t>Results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_Toc234586553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9</w:t>
        </w:r>
        <w:r w:rsidRPr="00267A07">
          <w:rPr>
            <w:rFonts w:ascii="Arial" w:hAnsi="Arial" w:cs="Arial"/>
            <w:noProof/>
            <w:webHidden/>
          </w:rPr>
          <w:fldChar w:fldCharType="end"/>
        </w:r>
      </w:hyperlink>
    </w:p>
    <w:p w14:paraId="75BE9815"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54" w:history="1">
        <w:r w:rsidRPr="00267A07">
          <w:rPr>
            <w:rStyle w:val="Hyperlink"/>
            <w:rFonts w:ascii="Arial" w:hAnsi="Arial" w:cs="Arial"/>
            <w:noProof/>
          </w:rPr>
          <w:t>4.1 Theme 1: Main types of digital healthcare services discussed in UK research</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_Toc234586554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11</w:t>
        </w:r>
        <w:r w:rsidRPr="00267A07">
          <w:rPr>
            <w:rFonts w:ascii="Arial" w:hAnsi="Arial" w:cs="Arial"/>
            <w:noProof/>
            <w:webHidden/>
          </w:rPr>
          <w:fldChar w:fldCharType="end"/>
        </w:r>
      </w:hyperlink>
    </w:p>
    <w:p w14:paraId="2BDD4EB2"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55" w:history="1">
        <w:r w:rsidRPr="00267A07">
          <w:rPr>
            <w:rStyle w:val="Hyperlink"/>
            <w:rFonts w:ascii="Arial" w:hAnsi="Arial" w:cs="Arial"/>
            <w:noProof/>
          </w:rPr>
          <w:t>4.2 Theme 2: Patient perceptions and experiences of digital healthcare services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_Toc234586555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13</w:t>
        </w:r>
        <w:r w:rsidRPr="00267A07">
          <w:rPr>
            <w:rFonts w:ascii="Arial" w:hAnsi="Arial" w:cs="Arial"/>
            <w:noProof/>
            <w:webHidden/>
          </w:rPr>
          <w:fldChar w:fldCharType="end"/>
        </w:r>
      </w:hyperlink>
    </w:p>
    <w:p w14:paraId="6420E03F"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56" w:history="1">
        <w:r w:rsidRPr="00267A07">
          <w:rPr>
            <w:rStyle w:val="Hyperlink"/>
            <w:rFonts w:ascii="Arial" w:hAnsi="Arial" w:cs="Arial"/>
            <w:noProof/>
          </w:rPr>
          <w:t>4.3 Theme 3: Barriers and facilitators affecting acceptance and use</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_Toc234586556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16</w:t>
        </w:r>
        <w:r w:rsidRPr="00267A07">
          <w:rPr>
            <w:rFonts w:ascii="Arial" w:hAnsi="Arial" w:cs="Arial"/>
            <w:noProof/>
            <w:webHidden/>
          </w:rPr>
          <w:fldChar w:fldCharType="end"/>
        </w:r>
      </w:hyperlink>
    </w:p>
    <w:p w14:paraId="5C47CC11"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57" w:history="1">
        <w:r w:rsidRPr="00267A07">
          <w:rPr>
            <w:rStyle w:val="Hyperlink"/>
            <w:rFonts w:ascii="Arial" w:hAnsi="Arial" w:cs="Arial"/>
            <w:noProof/>
          </w:rPr>
          <w:t>5.</w:t>
        </w:r>
        <w:r w:rsidRPr="00267A07">
          <w:rPr>
            <w:rFonts w:ascii="Arial" w:hAnsi="Arial" w:cs="Arial"/>
            <w:noProof/>
          </w:rPr>
          <w:tab/>
        </w:r>
        <w:r w:rsidRPr="00267A07">
          <w:rPr>
            <w:rStyle w:val="Hyperlink"/>
            <w:rFonts w:ascii="Arial" w:hAnsi="Arial" w:cs="Arial"/>
            <w:noProof/>
          </w:rPr>
          <w:t>Discussion</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_Toc234586557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18</w:t>
        </w:r>
        <w:r w:rsidRPr="00267A07">
          <w:rPr>
            <w:rFonts w:ascii="Arial" w:hAnsi="Arial" w:cs="Arial"/>
            <w:noProof/>
            <w:webHidden/>
          </w:rPr>
          <w:fldChar w:fldCharType="end"/>
        </w:r>
      </w:hyperlink>
    </w:p>
    <w:p w14:paraId="496C99B1"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58" w:history="1">
        <w:r w:rsidRPr="00267A07">
          <w:rPr>
            <w:rStyle w:val="Hyperlink"/>
            <w:rFonts w:ascii="Arial" w:hAnsi="Arial" w:cs="Arial"/>
            <w:noProof/>
          </w:rPr>
          <w:t>6.</w:t>
        </w:r>
        <w:r w:rsidRPr="00267A07">
          <w:rPr>
            <w:rFonts w:ascii="Arial" w:hAnsi="Arial" w:cs="Arial"/>
            <w:noProof/>
          </w:rPr>
          <w:tab/>
        </w:r>
        <w:r w:rsidRPr="00267A07">
          <w:rPr>
            <w:rStyle w:val="Hyperlink"/>
            <w:rFonts w:ascii="Arial" w:hAnsi="Arial" w:cs="Arial"/>
            <w:noProof/>
          </w:rPr>
          <w:t>Conclusion and Recommendations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_Toc234586558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22</w:t>
        </w:r>
        <w:r w:rsidRPr="00267A07">
          <w:rPr>
            <w:rFonts w:ascii="Arial" w:hAnsi="Arial" w:cs="Arial"/>
            <w:noProof/>
            <w:webHidden/>
          </w:rPr>
          <w:fldChar w:fldCharType="end"/>
        </w:r>
      </w:hyperlink>
    </w:p>
    <w:p w14:paraId="6650FC42"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59" w:history="1">
        <w:r w:rsidRPr="00267A07">
          <w:rPr>
            <w:rStyle w:val="Hyperlink"/>
            <w:rFonts w:ascii="Arial" w:hAnsi="Arial" w:cs="Arial"/>
            <w:noProof/>
          </w:rPr>
          <w:t>6.1 Conclusion</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_Toc234586559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22</w:t>
        </w:r>
        <w:r w:rsidRPr="00267A07">
          <w:rPr>
            <w:rFonts w:ascii="Arial" w:hAnsi="Arial" w:cs="Arial"/>
            <w:noProof/>
            <w:webHidden/>
          </w:rPr>
          <w:fldChar w:fldCharType="end"/>
        </w:r>
      </w:hyperlink>
    </w:p>
    <w:p w14:paraId="4BEA4B77" w14:textId="77777777" w:rsidR="002B223E" w:rsidRPr="00267A07" w:rsidRDefault="002B223E" w:rsidP="00267A07">
      <w:pPr>
        <w:pStyle w:val="TOC2"/>
        <w:tabs>
          <w:tab w:val="right" w:leader="dot" w:pos="9350"/>
        </w:tabs>
        <w:spacing w:before="120" w:after="120" w:line="360" w:lineRule="auto"/>
        <w:rPr>
          <w:rFonts w:ascii="Arial" w:hAnsi="Arial" w:cs="Arial"/>
          <w:noProof/>
        </w:rPr>
      </w:pPr>
      <w:hyperlink w:anchor="_Toc234586560" w:history="1">
        <w:r w:rsidRPr="00267A07">
          <w:rPr>
            <w:rStyle w:val="Hyperlink"/>
            <w:rFonts w:ascii="Arial" w:hAnsi="Arial" w:cs="Arial"/>
            <w:noProof/>
          </w:rPr>
          <w:t>6.2 Recommendations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_Toc234586560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22</w:t>
        </w:r>
        <w:r w:rsidRPr="00267A07">
          <w:rPr>
            <w:rFonts w:ascii="Arial" w:hAnsi="Arial" w:cs="Arial"/>
            <w:noProof/>
            <w:webHidden/>
          </w:rPr>
          <w:fldChar w:fldCharType="end"/>
        </w:r>
      </w:hyperlink>
    </w:p>
    <w:p w14:paraId="765DE5C0" w14:textId="77777777" w:rsidR="002B223E" w:rsidRPr="00267A07" w:rsidRDefault="002B223E" w:rsidP="00267A07">
      <w:pPr>
        <w:pStyle w:val="TOC1"/>
        <w:tabs>
          <w:tab w:val="left" w:pos="440"/>
          <w:tab w:val="right" w:leader="dot" w:pos="9350"/>
        </w:tabs>
        <w:spacing w:before="120" w:after="120" w:line="360" w:lineRule="auto"/>
        <w:rPr>
          <w:rFonts w:ascii="Arial" w:hAnsi="Arial" w:cs="Arial"/>
          <w:noProof/>
        </w:rPr>
      </w:pPr>
      <w:hyperlink w:anchor="_Toc234586561" w:history="1">
        <w:r w:rsidRPr="00267A07">
          <w:rPr>
            <w:rStyle w:val="Hyperlink"/>
            <w:rFonts w:ascii="Arial" w:hAnsi="Arial" w:cs="Arial"/>
            <w:noProof/>
          </w:rPr>
          <w:t>7.</w:t>
        </w:r>
        <w:r w:rsidRPr="00267A07">
          <w:rPr>
            <w:rFonts w:ascii="Arial" w:hAnsi="Arial" w:cs="Arial"/>
            <w:noProof/>
          </w:rPr>
          <w:tab/>
        </w:r>
        <w:r w:rsidRPr="00267A07">
          <w:rPr>
            <w:rStyle w:val="Hyperlink"/>
            <w:rFonts w:ascii="Arial" w:hAnsi="Arial" w:cs="Arial"/>
            <w:noProof/>
          </w:rPr>
          <w:t>References</w:t>
        </w:r>
        <w:r w:rsidRPr="00267A07">
          <w:rPr>
            <w:rFonts w:ascii="Arial" w:hAnsi="Arial" w:cs="Arial"/>
            <w:noProof/>
            <w:webHidden/>
          </w:rPr>
          <w:tab/>
        </w:r>
        <w:r w:rsidRPr="00267A07">
          <w:rPr>
            <w:rFonts w:ascii="Arial" w:hAnsi="Arial" w:cs="Arial"/>
            <w:noProof/>
            <w:webHidden/>
          </w:rPr>
          <w:fldChar w:fldCharType="begin"/>
        </w:r>
        <w:r w:rsidRPr="00267A07">
          <w:rPr>
            <w:rFonts w:ascii="Arial" w:hAnsi="Arial" w:cs="Arial"/>
            <w:noProof/>
            <w:webHidden/>
          </w:rPr>
          <w:instrText xml:space="preserve"> PAGEREF _Toc234586561 \h </w:instrText>
        </w:r>
        <w:r w:rsidRPr="00267A07">
          <w:rPr>
            <w:rFonts w:ascii="Arial" w:hAnsi="Arial" w:cs="Arial"/>
            <w:noProof/>
            <w:webHidden/>
          </w:rPr>
        </w:r>
        <w:r w:rsidRPr="00267A07">
          <w:rPr>
            <w:rFonts w:ascii="Arial" w:hAnsi="Arial" w:cs="Arial"/>
            <w:noProof/>
            <w:webHidden/>
          </w:rPr>
          <w:fldChar w:fldCharType="separate"/>
        </w:r>
        <w:r w:rsidR="002305E4">
          <w:rPr>
            <w:rFonts w:ascii="Arial" w:hAnsi="Arial" w:cs="Arial"/>
            <w:noProof/>
            <w:webHidden/>
          </w:rPr>
          <w:t>24</w:t>
        </w:r>
        <w:r w:rsidRPr="00267A07">
          <w:rPr>
            <w:rFonts w:ascii="Arial" w:hAnsi="Arial" w:cs="Arial"/>
            <w:noProof/>
            <w:webHidden/>
          </w:rPr>
          <w:fldChar w:fldCharType="end"/>
        </w:r>
      </w:hyperlink>
    </w:p>
    <w:p w14:paraId="0B43E892" w14:textId="77777777" w:rsidR="002B223E" w:rsidRPr="00267A07" w:rsidRDefault="002B223E" w:rsidP="00267A07">
      <w:pPr>
        <w:spacing w:before="120" w:after="120" w:line="360" w:lineRule="auto"/>
        <w:jc w:val="both"/>
        <w:rPr>
          <w:rFonts w:ascii="Arial" w:hAnsi="Arial" w:cs="Arial"/>
        </w:rPr>
      </w:pPr>
      <w:r w:rsidRPr="00267A07">
        <w:rPr>
          <w:rFonts w:ascii="Arial" w:hAnsi="Arial" w:cs="Arial"/>
        </w:rPr>
        <w:fldChar w:fldCharType="end"/>
      </w:r>
    </w:p>
    <w:p w14:paraId="473DD938" w14:textId="77777777" w:rsidR="00691575" w:rsidRPr="00267A07" w:rsidRDefault="00691575" w:rsidP="00267A07">
      <w:pPr>
        <w:spacing w:before="120" w:after="120" w:line="360" w:lineRule="auto"/>
        <w:jc w:val="both"/>
        <w:rPr>
          <w:rFonts w:ascii="Arial" w:hAnsi="Arial" w:cs="Arial"/>
        </w:rPr>
      </w:pPr>
    </w:p>
    <w:p w14:paraId="2AC30B51" w14:textId="77777777" w:rsidR="00691575" w:rsidRPr="00267A07" w:rsidRDefault="00691575" w:rsidP="00267A07">
      <w:pPr>
        <w:spacing w:before="120" w:after="120" w:line="360" w:lineRule="auto"/>
        <w:jc w:val="both"/>
        <w:rPr>
          <w:rFonts w:ascii="Arial" w:hAnsi="Arial" w:cs="Arial"/>
        </w:rPr>
      </w:pPr>
    </w:p>
    <w:p w14:paraId="1795F154" w14:textId="77777777" w:rsidR="00691575" w:rsidRPr="00267A07" w:rsidRDefault="00691575" w:rsidP="00267A07">
      <w:pPr>
        <w:spacing w:before="120" w:after="120" w:line="360" w:lineRule="auto"/>
        <w:jc w:val="both"/>
        <w:rPr>
          <w:rFonts w:ascii="Arial" w:hAnsi="Arial" w:cs="Arial"/>
        </w:rPr>
      </w:pPr>
    </w:p>
    <w:p w14:paraId="6E57E141" w14:textId="77777777" w:rsidR="00691575" w:rsidRPr="00267A07" w:rsidRDefault="00691575" w:rsidP="00267A07">
      <w:pPr>
        <w:spacing w:before="120" w:after="120" w:line="360" w:lineRule="auto"/>
        <w:jc w:val="both"/>
        <w:rPr>
          <w:rFonts w:ascii="Arial" w:hAnsi="Arial" w:cs="Arial"/>
        </w:rPr>
      </w:pPr>
    </w:p>
    <w:p w14:paraId="3C696E3A" w14:textId="77777777" w:rsidR="00691575" w:rsidRPr="00267A07" w:rsidRDefault="00691575" w:rsidP="00267A07">
      <w:pPr>
        <w:spacing w:before="120" w:after="120" w:line="360" w:lineRule="auto"/>
        <w:jc w:val="both"/>
        <w:rPr>
          <w:rFonts w:ascii="Arial" w:hAnsi="Arial" w:cs="Arial"/>
        </w:rPr>
      </w:pPr>
    </w:p>
    <w:p w14:paraId="33B68B66" w14:textId="77777777" w:rsidR="00691575" w:rsidRPr="00267A07" w:rsidRDefault="00691575" w:rsidP="00267A07">
      <w:pPr>
        <w:spacing w:before="120" w:after="120" w:line="360" w:lineRule="auto"/>
        <w:jc w:val="both"/>
        <w:rPr>
          <w:rFonts w:ascii="Arial" w:hAnsi="Arial" w:cs="Arial"/>
        </w:rPr>
      </w:pPr>
    </w:p>
    <w:p w14:paraId="7D0EAA35" w14:textId="77777777" w:rsidR="00691575" w:rsidRPr="00267A07" w:rsidRDefault="00691575" w:rsidP="00267A07">
      <w:pPr>
        <w:spacing w:before="120" w:after="120" w:line="360" w:lineRule="auto"/>
        <w:jc w:val="both"/>
        <w:rPr>
          <w:rFonts w:ascii="Arial" w:hAnsi="Arial" w:cs="Arial"/>
        </w:rPr>
      </w:pPr>
    </w:p>
    <w:p w14:paraId="36A4B182" w14:textId="77777777" w:rsidR="00775BD0" w:rsidRPr="00267A07" w:rsidRDefault="00775BD0" w:rsidP="00267A07">
      <w:pPr>
        <w:spacing w:before="120" w:after="120" w:line="360" w:lineRule="auto"/>
        <w:jc w:val="both"/>
        <w:rPr>
          <w:rFonts w:ascii="Arial" w:hAnsi="Arial" w:cs="Arial"/>
        </w:rPr>
      </w:pPr>
    </w:p>
    <w:p w14:paraId="673AA49C" w14:textId="77777777" w:rsidR="00EC53CB" w:rsidRPr="00267A07" w:rsidRDefault="00EC53CB" w:rsidP="00267A07">
      <w:pPr>
        <w:pStyle w:val="Heading1"/>
        <w:rPr>
          <w:rFonts w:eastAsia="Times New Roman" w:cs="Arial"/>
        </w:rPr>
      </w:pPr>
      <w:bookmarkStart w:id="0" w:name="_Toc234586546"/>
      <w:r w:rsidRPr="00267A07">
        <w:rPr>
          <w:rFonts w:eastAsia="Times New Roman" w:cs="Arial"/>
        </w:rPr>
        <w:t>Introduction</w:t>
      </w:r>
      <w:bookmarkEnd w:id="0"/>
    </w:p>
    <w:p w14:paraId="4FC9F373" w14:textId="77777777" w:rsidR="00A50719" w:rsidRPr="00267A07" w:rsidRDefault="002B223E" w:rsidP="00267A07">
      <w:pPr>
        <w:pStyle w:val="Heading2"/>
        <w:spacing w:before="120" w:beforeAutospacing="0" w:after="120" w:afterAutospacing="0" w:line="360" w:lineRule="auto"/>
        <w:jc w:val="both"/>
        <w:rPr>
          <w:rFonts w:cs="Arial"/>
        </w:rPr>
      </w:pPr>
      <w:bookmarkStart w:id="1" w:name="_Toc234586547"/>
      <w:r w:rsidRPr="00267A07">
        <w:rPr>
          <w:rFonts w:cs="Arial"/>
        </w:rPr>
        <w:t xml:space="preserve">1.1 </w:t>
      </w:r>
      <w:r w:rsidR="00A50719" w:rsidRPr="00267A07">
        <w:rPr>
          <w:rFonts w:cs="Arial"/>
        </w:rPr>
        <w:t>Definitions of Main Concepts</w:t>
      </w:r>
      <w:bookmarkEnd w:id="1"/>
    </w:p>
    <w:p w14:paraId="118D6982" w14:textId="77777777" w:rsidR="00EC53CB" w:rsidRPr="00267A07" w:rsidRDefault="00EC53C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This scoping review will explore </w:t>
      </w:r>
      <w:r w:rsidRPr="00267A07">
        <w:rPr>
          <w:rFonts w:ascii="Arial" w:eastAsia="Times New Roman" w:hAnsi="Arial" w:cs="Arial"/>
          <w:bCs/>
          <w:sz w:val="24"/>
          <w:szCs w:val="24"/>
        </w:rPr>
        <w:t>patient attitudes towards digital healthcare services in the UK</w:t>
      </w:r>
      <w:r w:rsidRPr="00267A07">
        <w:rPr>
          <w:rFonts w:ascii="Arial" w:eastAsia="Times New Roman" w:hAnsi="Arial" w:cs="Arial"/>
          <w:sz w:val="24"/>
          <w:szCs w:val="24"/>
        </w:rPr>
        <w:t xml:space="preserve">. Aveyard (2019) explains that a literature review should clearly define its core concepts, justify the need for review, and identify the question that will guide the search and synthesis. In this study, </w:t>
      </w:r>
      <w:r w:rsidRPr="00267A07">
        <w:rPr>
          <w:rFonts w:ascii="Arial" w:eastAsia="Times New Roman" w:hAnsi="Arial" w:cs="Arial"/>
          <w:i/>
          <w:iCs/>
          <w:sz w:val="24"/>
          <w:szCs w:val="24"/>
        </w:rPr>
        <w:t>digital healthcare services</w:t>
      </w:r>
      <w:r w:rsidRPr="00267A07">
        <w:rPr>
          <w:rFonts w:ascii="Arial" w:eastAsia="Times New Roman" w:hAnsi="Arial" w:cs="Arial"/>
          <w:sz w:val="24"/>
          <w:szCs w:val="24"/>
        </w:rPr>
        <w:t xml:space="preserve"> </w:t>
      </w:r>
      <w:r w:rsidR="00392B1A" w:rsidRPr="00267A07">
        <w:rPr>
          <w:rFonts w:ascii="Arial" w:eastAsia="Times New Roman" w:hAnsi="Arial" w:cs="Arial"/>
          <w:sz w:val="24"/>
          <w:szCs w:val="24"/>
        </w:rPr>
        <w:t>refer</w:t>
      </w:r>
      <w:r w:rsidRPr="00267A07">
        <w:rPr>
          <w:rFonts w:ascii="Arial" w:eastAsia="Times New Roman" w:hAnsi="Arial" w:cs="Arial"/>
          <w:sz w:val="24"/>
          <w:szCs w:val="24"/>
        </w:rPr>
        <w:t xml:space="preserve"> to technology-enabled forms of care such as video consultations, online consultations, remote monitoring, digital appointment systems and patient access to records. </w:t>
      </w:r>
      <w:r w:rsidRPr="00267A07">
        <w:rPr>
          <w:rFonts w:ascii="Arial" w:eastAsia="Times New Roman" w:hAnsi="Arial" w:cs="Arial"/>
          <w:i/>
          <w:iCs/>
          <w:sz w:val="24"/>
          <w:szCs w:val="24"/>
        </w:rPr>
        <w:t>Patient attitudes</w:t>
      </w:r>
      <w:r w:rsidRPr="00267A07">
        <w:rPr>
          <w:rFonts w:ascii="Arial" w:eastAsia="Times New Roman" w:hAnsi="Arial" w:cs="Arial"/>
          <w:sz w:val="24"/>
          <w:szCs w:val="24"/>
        </w:rPr>
        <w:t xml:space="preserve"> refers to how patients perceive, trust, accept, experience and use these services. NHS England (2023) states that digital healthcare should improve access and experience, but it must also remain inclusive and complementary to non-digital support.</w:t>
      </w:r>
    </w:p>
    <w:p w14:paraId="791554D3" w14:textId="77777777" w:rsidR="00A50719" w:rsidRPr="00267A07" w:rsidRDefault="002B223E" w:rsidP="00267A07">
      <w:pPr>
        <w:pStyle w:val="Heading2"/>
        <w:spacing w:before="120" w:beforeAutospacing="0" w:after="120" w:afterAutospacing="0" w:line="360" w:lineRule="auto"/>
        <w:jc w:val="both"/>
        <w:rPr>
          <w:rFonts w:cs="Arial"/>
        </w:rPr>
      </w:pPr>
      <w:bookmarkStart w:id="2" w:name="_Toc234586548"/>
      <w:r w:rsidRPr="00267A07">
        <w:rPr>
          <w:rFonts w:cs="Arial"/>
        </w:rPr>
        <w:t xml:space="preserve">1.2 </w:t>
      </w:r>
      <w:r w:rsidR="00A50719" w:rsidRPr="00267A07">
        <w:rPr>
          <w:rFonts w:cs="Arial"/>
        </w:rPr>
        <w:t>Rationale</w:t>
      </w:r>
      <w:bookmarkEnd w:id="2"/>
    </w:p>
    <w:p w14:paraId="4264101F" w14:textId="63733FEF" w:rsidR="00B6724D" w:rsidRPr="00267A07" w:rsidRDefault="00B6724D"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The </w:t>
      </w:r>
      <w:r w:rsidR="00F57739" w:rsidRPr="00267A07">
        <w:rPr>
          <w:rFonts w:ascii="Arial" w:eastAsia="Times New Roman" w:hAnsi="Arial" w:cs="Arial"/>
          <w:sz w:val="24"/>
          <w:szCs w:val="24"/>
        </w:rPr>
        <w:t>rationale</w:t>
      </w:r>
      <w:r w:rsidRPr="00267A07">
        <w:rPr>
          <w:rFonts w:ascii="Arial" w:eastAsia="Times New Roman" w:hAnsi="Arial" w:cs="Arial"/>
          <w:sz w:val="24"/>
          <w:szCs w:val="24"/>
        </w:rPr>
        <w:t xml:space="preserve"> for this </w:t>
      </w:r>
      <w:r w:rsidR="00F57739" w:rsidRPr="00267A07">
        <w:rPr>
          <w:rFonts w:ascii="Arial" w:eastAsia="Times New Roman" w:hAnsi="Arial" w:cs="Arial"/>
          <w:sz w:val="24"/>
          <w:szCs w:val="24"/>
        </w:rPr>
        <w:t>review</w:t>
      </w:r>
      <w:r w:rsidRPr="00267A07">
        <w:rPr>
          <w:rFonts w:ascii="Arial" w:eastAsia="Times New Roman" w:hAnsi="Arial" w:cs="Arial"/>
          <w:sz w:val="24"/>
          <w:szCs w:val="24"/>
        </w:rPr>
        <w:t xml:space="preserve"> </w:t>
      </w:r>
      <w:r w:rsidR="00F57739" w:rsidRPr="00267A07">
        <w:rPr>
          <w:rFonts w:ascii="Arial" w:eastAsia="Times New Roman" w:hAnsi="Arial" w:cs="Arial"/>
          <w:sz w:val="24"/>
          <w:szCs w:val="24"/>
        </w:rPr>
        <w:t>is</w:t>
      </w:r>
      <w:r w:rsidRPr="00267A07">
        <w:rPr>
          <w:rFonts w:ascii="Arial" w:eastAsia="Times New Roman" w:hAnsi="Arial" w:cs="Arial"/>
          <w:sz w:val="24"/>
          <w:szCs w:val="24"/>
        </w:rPr>
        <w:t xml:space="preserve"> that digital healthcare has become increasingly prevalent in NHS services, but it is not accepted by all patients</w:t>
      </w:r>
      <w:r w:rsidR="00E74964" w:rsidRPr="00267A07">
        <w:rPr>
          <w:rFonts w:ascii="Arial" w:eastAsia="Times New Roman" w:hAnsi="Arial" w:cs="Arial"/>
          <w:sz w:val="24"/>
          <w:szCs w:val="24"/>
        </w:rPr>
        <w:t xml:space="preserve"> (Peters et al., 2021)</w:t>
      </w:r>
      <w:r w:rsidRPr="00267A07">
        <w:rPr>
          <w:rFonts w:ascii="Arial" w:eastAsia="Times New Roman" w:hAnsi="Arial" w:cs="Arial"/>
          <w:sz w:val="24"/>
          <w:szCs w:val="24"/>
        </w:rPr>
        <w:t xml:space="preserve">. Digital health and social care should be more </w:t>
      </w:r>
      <w:r w:rsidR="00460079" w:rsidRPr="00267A07">
        <w:rPr>
          <w:rFonts w:ascii="Arial" w:eastAsia="Times New Roman" w:hAnsi="Arial" w:cs="Arial"/>
          <w:sz w:val="24"/>
          <w:szCs w:val="24"/>
        </w:rPr>
        <w:t>personalized</w:t>
      </w:r>
      <w:r w:rsidRPr="00267A07">
        <w:rPr>
          <w:rFonts w:ascii="Arial" w:eastAsia="Times New Roman" w:hAnsi="Arial" w:cs="Arial"/>
          <w:sz w:val="24"/>
          <w:szCs w:val="24"/>
        </w:rPr>
        <w:t>, efficient and accessible, and the NHS App should be central to the way that services are delivered in the future, the Department of Health and Social Care (2022) states. NHS England (2023) also acknowledges that digital exclusion is a significant issue as there are variations in digital skills, confidence, access, and motivation. It is important to understand patient attitudes, then, in order to increase uptake, minimize inequality and develop services that can serve various patient groups.</w:t>
      </w:r>
    </w:p>
    <w:p w14:paraId="13CB5DA4" w14:textId="77777777" w:rsidR="00100402" w:rsidRPr="00267A07" w:rsidRDefault="002B223E" w:rsidP="00267A07">
      <w:pPr>
        <w:pStyle w:val="Heading2"/>
        <w:spacing w:before="120" w:beforeAutospacing="0" w:after="120" w:afterAutospacing="0" w:line="360" w:lineRule="auto"/>
        <w:jc w:val="both"/>
        <w:rPr>
          <w:rFonts w:cs="Arial"/>
        </w:rPr>
      </w:pPr>
      <w:bookmarkStart w:id="3" w:name="_Toc234586549"/>
      <w:r w:rsidRPr="00267A07">
        <w:rPr>
          <w:rFonts w:cs="Arial"/>
        </w:rPr>
        <w:t xml:space="preserve">1.3 </w:t>
      </w:r>
      <w:r w:rsidR="00100402" w:rsidRPr="00267A07">
        <w:rPr>
          <w:rFonts w:cs="Arial"/>
        </w:rPr>
        <w:t>Review Questio</w:t>
      </w:r>
      <w:r w:rsidR="00BC4EFA" w:rsidRPr="00267A07">
        <w:rPr>
          <w:rFonts w:cs="Arial"/>
        </w:rPr>
        <w:t>n</w:t>
      </w:r>
      <w:bookmarkEnd w:id="3"/>
    </w:p>
    <w:p w14:paraId="7BD41106" w14:textId="77777777" w:rsidR="00744717" w:rsidRPr="00267A07" w:rsidRDefault="00EC53C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lastRenderedPageBreak/>
        <w:t xml:space="preserve">The review question is: </w:t>
      </w:r>
      <w:r w:rsidRPr="00267A07">
        <w:rPr>
          <w:rFonts w:ascii="Arial" w:eastAsia="Times New Roman" w:hAnsi="Arial" w:cs="Arial"/>
          <w:b/>
          <w:bCs/>
          <w:sz w:val="24"/>
          <w:szCs w:val="24"/>
        </w:rPr>
        <w:t>What are patient attitudes towards digital healthcare services in the UK, and what factors influence their acceptance and use?</w:t>
      </w:r>
      <w:r w:rsidRPr="00267A07">
        <w:rPr>
          <w:rFonts w:ascii="Arial" w:eastAsia="Times New Roman" w:hAnsi="Arial" w:cs="Arial"/>
          <w:sz w:val="24"/>
          <w:szCs w:val="24"/>
        </w:rPr>
        <w:t xml:space="preserve"> The aim is to explore peer-reviewed evidence on this topic through a scoping review. </w:t>
      </w:r>
    </w:p>
    <w:p w14:paraId="119E1914" w14:textId="77777777" w:rsidR="00943723" w:rsidRPr="00267A07" w:rsidRDefault="002B223E" w:rsidP="00267A07">
      <w:pPr>
        <w:pStyle w:val="Heading2"/>
        <w:spacing w:before="120" w:beforeAutospacing="0" w:after="120" w:afterAutospacing="0" w:line="360" w:lineRule="auto"/>
        <w:jc w:val="both"/>
        <w:rPr>
          <w:rFonts w:cs="Arial"/>
        </w:rPr>
      </w:pPr>
      <w:bookmarkStart w:id="4" w:name="_Toc234586550"/>
      <w:r w:rsidRPr="00267A07">
        <w:rPr>
          <w:rFonts w:cs="Arial"/>
        </w:rPr>
        <w:t xml:space="preserve">1.4 </w:t>
      </w:r>
      <w:r w:rsidR="00943723" w:rsidRPr="00267A07">
        <w:rPr>
          <w:rFonts w:cs="Arial"/>
        </w:rPr>
        <w:t>Aim and Objectives</w:t>
      </w:r>
      <w:bookmarkEnd w:id="4"/>
    </w:p>
    <w:p w14:paraId="7934DE84" w14:textId="77777777" w:rsidR="00744717" w:rsidRPr="00267A07" w:rsidRDefault="00744717"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b/>
          <w:bCs/>
          <w:sz w:val="24"/>
          <w:szCs w:val="24"/>
        </w:rPr>
        <w:t>Aim:</w:t>
      </w:r>
      <w:r w:rsidRPr="00267A07">
        <w:rPr>
          <w:rFonts w:ascii="Arial" w:eastAsia="Times New Roman" w:hAnsi="Arial" w:cs="Arial"/>
          <w:sz w:val="24"/>
          <w:szCs w:val="24"/>
        </w:rPr>
        <w:br/>
        <w:t>To explore patient attitudes toward digital healthcare services in the UK through a scoping review of peer-reviewed literature.</w:t>
      </w:r>
    </w:p>
    <w:p w14:paraId="7C496E60" w14:textId="77777777" w:rsidR="00744717" w:rsidRPr="00267A07" w:rsidRDefault="00744717"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b/>
          <w:bCs/>
          <w:sz w:val="24"/>
          <w:szCs w:val="24"/>
        </w:rPr>
        <w:t>Objectives:</w:t>
      </w:r>
    </w:p>
    <w:p w14:paraId="281C65F7" w14:textId="77777777" w:rsidR="00744717" w:rsidRPr="00267A07" w:rsidRDefault="00744717" w:rsidP="00267A07">
      <w:pPr>
        <w:numPr>
          <w:ilvl w:val="0"/>
          <w:numId w:val="1"/>
        </w:num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To identify the main types of digital healthcare services discussed in UK research. </w:t>
      </w:r>
    </w:p>
    <w:p w14:paraId="64808FC4" w14:textId="77777777" w:rsidR="00744717" w:rsidRPr="00267A07" w:rsidRDefault="00744717" w:rsidP="00267A07">
      <w:pPr>
        <w:numPr>
          <w:ilvl w:val="0"/>
          <w:numId w:val="1"/>
        </w:num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To examine patient perceptions and experiences of digital healthcare services. </w:t>
      </w:r>
    </w:p>
    <w:p w14:paraId="331846A5" w14:textId="77777777" w:rsidR="00744717" w:rsidRDefault="00744717" w:rsidP="00267A07">
      <w:pPr>
        <w:numPr>
          <w:ilvl w:val="0"/>
          <w:numId w:val="1"/>
        </w:num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To identify barriers and facilitators influencing patient acceptance and use of digital healthcare. </w:t>
      </w:r>
    </w:p>
    <w:p w14:paraId="455AE5C2" w14:textId="77777777" w:rsidR="008C7996" w:rsidRDefault="008C7996" w:rsidP="008C7996">
      <w:pPr>
        <w:spacing w:before="120" w:after="120" w:line="360" w:lineRule="auto"/>
        <w:ind w:left="720"/>
        <w:jc w:val="both"/>
        <w:rPr>
          <w:rFonts w:ascii="Arial" w:eastAsia="Times New Roman" w:hAnsi="Arial" w:cs="Arial"/>
          <w:sz w:val="24"/>
          <w:szCs w:val="24"/>
        </w:rPr>
      </w:pPr>
    </w:p>
    <w:p w14:paraId="4B2D17B2" w14:textId="77777777" w:rsidR="008C7996" w:rsidRDefault="008C7996" w:rsidP="008C7996">
      <w:pPr>
        <w:spacing w:before="120" w:after="120" w:line="360" w:lineRule="auto"/>
        <w:ind w:left="720"/>
        <w:jc w:val="both"/>
        <w:rPr>
          <w:rFonts w:ascii="Arial" w:eastAsia="Times New Roman" w:hAnsi="Arial" w:cs="Arial"/>
          <w:sz w:val="24"/>
          <w:szCs w:val="24"/>
        </w:rPr>
      </w:pPr>
    </w:p>
    <w:p w14:paraId="1BF2E7CD" w14:textId="77777777" w:rsidR="008C7996" w:rsidRDefault="008C7996" w:rsidP="008C7996">
      <w:pPr>
        <w:spacing w:before="120" w:after="120" w:line="360" w:lineRule="auto"/>
        <w:ind w:left="720"/>
        <w:jc w:val="both"/>
        <w:rPr>
          <w:rFonts w:ascii="Arial" w:eastAsia="Times New Roman" w:hAnsi="Arial" w:cs="Arial"/>
          <w:sz w:val="24"/>
          <w:szCs w:val="24"/>
        </w:rPr>
      </w:pPr>
    </w:p>
    <w:p w14:paraId="50B358AC" w14:textId="77777777" w:rsidR="008C7996" w:rsidRDefault="008C7996" w:rsidP="008C7996">
      <w:pPr>
        <w:spacing w:before="120" w:after="120" w:line="360" w:lineRule="auto"/>
        <w:ind w:left="720"/>
        <w:jc w:val="both"/>
        <w:rPr>
          <w:rFonts w:ascii="Arial" w:eastAsia="Times New Roman" w:hAnsi="Arial" w:cs="Arial"/>
          <w:sz w:val="24"/>
          <w:szCs w:val="24"/>
        </w:rPr>
      </w:pPr>
    </w:p>
    <w:p w14:paraId="0B5D96FA" w14:textId="77777777" w:rsidR="008C7996" w:rsidRDefault="008C7996" w:rsidP="008C7996">
      <w:pPr>
        <w:spacing w:before="120" w:after="120" w:line="360" w:lineRule="auto"/>
        <w:ind w:left="720"/>
        <w:jc w:val="both"/>
        <w:rPr>
          <w:rFonts w:ascii="Arial" w:eastAsia="Times New Roman" w:hAnsi="Arial" w:cs="Arial"/>
          <w:sz w:val="24"/>
          <w:szCs w:val="24"/>
        </w:rPr>
      </w:pPr>
    </w:p>
    <w:p w14:paraId="2075BC28" w14:textId="77777777" w:rsidR="008C7996" w:rsidRDefault="008C7996" w:rsidP="008C7996">
      <w:pPr>
        <w:spacing w:before="120" w:after="120" w:line="360" w:lineRule="auto"/>
        <w:ind w:left="720"/>
        <w:jc w:val="both"/>
        <w:rPr>
          <w:rFonts w:ascii="Arial" w:eastAsia="Times New Roman" w:hAnsi="Arial" w:cs="Arial"/>
          <w:sz w:val="24"/>
          <w:szCs w:val="24"/>
        </w:rPr>
      </w:pPr>
    </w:p>
    <w:p w14:paraId="5FBFFB02" w14:textId="77777777" w:rsidR="008C7996" w:rsidRDefault="008C7996" w:rsidP="008C7996">
      <w:pPr>
        <w:spacing w:before="120" w:after="120" w:line="360" w:lineRule="auto"/>
        <w:ind w:left="720"/>
        <w:jc w:val="both"/>
        <w:rPr>
          <w:rFonts w:ascii="Arial" w:eastAsia="Times New Roman" w:hAnsi="Arial" w:cs="Arial"/>
          <w:sz w:val="24"/>
          <w:szCs w:val="24"/>
        </w:rPr>
      </w:pPr>
    </w:p>
    <w:p w14:paraId="630D6992" w14:textId="77777777" w:rsidR="008C7996" w:rsidRDefault="008C7996" w:rsidP="008C7996">
      <w:pPr>
        <w:spacing w:before="120" w:after="120" w:line="360" w:lineRule="auto"/>
        <w:ind w:left="720"/>
        <w:jc w:val="both"/>
        <w:rPr>
          <w:rFonts w:ascii="Arial" w:eastAsia="Times New Roman" w:hAnsi="Arial" w:cs="Arial"/>
          <w:sz w:val="24"/>
          <w:szCs w:val="24"/>
        </w:rPr>
      </w:pPr>
    </w:p>
    <w:p w14:paraId="1497EAD2" w14:textId="77777777" w:rsidR="008C7996" w:rsidRDefault="008C7996" w:rsidP="008C7996">
      <w:pPr>
        <w:spacing w:before="120" w:after="120" w:line="360" w:lineRule="auto"/>
        <w:ind w:left="720"/>
        <w:jc w:val="both"/>
        <w:rPr>
          <w:rFonts w:ascii="Arial" w:eastAsia="Times New Roman" w:hAnsi="Arial" w:cs="Arial"/>
          <w:sz w:val="24"/>
          <w:szCs w:val="24"/>
        </w:rPr>
      </w:pPr>
    </w:p>
    <w:p w14:paraId="23183988" w14:textId="77777777" w:rsidR="008C7996" w:rsidRDefault="008C7996" w:rsidP="008C7996">
      <w:pPr>
        <w:spacing w:before="120" w:after="120" w:line="360" w:lineRule="auto"/>
        <w:ind w:left="720"/>
        <w:jc w:val="both"/>
        <w:rPr>
          <w:rFonts w:ascii="Arial" w:eastAsia="Times New Roman" w:hAnsi="Arial" w:cs="Arial"/>
          <w:sz w:val="24"/>
          <w:szCs w:val="24"/>
        </w:rPr>
      </w:pPr>
    </w:p>
    <w:p w14:paraId="7363D591" w14:textId="77777777" w:rsidR="008C7996" w:rsidRDefault="008C7996" w:rsidP="008C7996">
      <w:pPr>
        <w:spacing w:before="120" w:after="120" w:line="360" w:lineRule="auto"/>
        <w:ind w:left="720"/>
        <w:jc w:val="both"/>
        <w:rPr>
          <w:rFonts w:ascii="Arial" w:eastAsia="Times New Roman" w:hAnsi="Arial" w:cs="Arial"/>
          <w:sz w:val="24"/>
          <w:szCs w:val="24"/>
        </w:rPr>
      </w:pPr>
    </w:p>
    <w:p w14:paraId="58052099" w14:textId="77777777" w:rsidR="008C7996" w:rsidRDefault="008C7996" w:rsidP="008C7996">
      <w:pPr>
        <w:spacing w:before="120" w:after="120" w:line="360" w:lineRule="auto"/>
        <w:ind w:left="720"/>
        <w:jc w:val="both"/>
        <w:rPr>
          <w:rFonts w:ascii="Arial" w:eastAsia="Times New Roman" w:hAnsi="Arial" w:cs="Arial"/>
          <w:sz w:val="24"/>
          <w:szCs w:val="24"/>
        </w:rPr>
      </w:pPr>
    </w:p>
    <w:p w14:paraId="57C07069" w14:textId="77777777" w:rsidR="008C7996" w:rsidRDefault="008C7996" w:rsidP="008C7996">
      <w:pPr>
        <w:spacing w:before="120" w:after="120" w:line="360" w:lineRule="auto"/>
        <w:ind w:left="720"/>
        <w:jc w:val="both"/>
        <w:rPr>
          <w:rFonts w:ascii="Arial" w:eastAsia="Times New Roman" w:hAnsi="Arial" w:cs="Arial"/>
          <w:sz w:val="24"/>
          <w:szCs w:val="24"/>
        </w:rPr>
      </w:pPr>
    </w:p>
    <w:p w14:paraId="0CA55C64" w14:textId="77777777" w:rsidR="008C7996" w:rsidRDefault="008C7996" w:rsidP="008C7996">
      <w:pPr>
        <w:spacing w:before="120" w:after="120" w:line="360" w:lineRule="auto"/>
        <w:ind w:left="720"/>
        <w:jc w:val="both"/>
        <w:rPr>
          <w:rFonts w:ascii="Arial" w:eastAsia="Times New Roman" w:hAnsi="Arial" w:cs="Arial"/>
          <w:sz w:val="24"/>
          <w:szCs w:val="24"/>
        </w:rPr>
      </w:pPr>
    </w:p>
    <w:p w14:paraId="3ED61F8D" w14:textId="77777777" w:rsidR="008C7996" w:rsidRDefault="008C7996" w:rsidP="008C7996">
      <w:pPr>
        <w:spacing w:before="120" w:after="120" w:line="360" w:lineRule="auto"/>
        <w:ind w:left="720"/>
        <w:jc w:val="both"/>
        <w:rPr>
          <w:rFonts w:ascii="Arial" w:eastAsia="Times New Roman" w:hAnsi="Arial" w:cs="Arial"/>
          <w:sz w:val="24"/>
          <w:szCs w:val="24"/>
        </w:rPr>
      </w:pPr>
    </w:p>
    <w:p w14:paraId="3785390B" w14:textId="77777777" w:rsidR="008C7996" w:rsidRDefault="008C7996" w:rsidP="008C7996">
      <w:pPr>
        <w:spacing w:before="120" w:after="120" w:line="360" w:lineRule="auto"/>
        <w:ind w:left="720"/>
        <w:jc w:val="both"/>
        <w:rPr>
          <w:rFonts w:ascii="Arial" w:eastAsia="Times New Roman" w:hAnsi="Arial" w:cs="Arial"/>
          <w:sz w:val="24"/>
          <w:szCs w:val="24"/>
        </w:rPr>
      </w:pPr>
    </w:p>
    <w:p w14:paraId="0CEA2627" w14:textId="77777777" w:rsidR="008C7996" w:rsidRDefault="008C7996" w:rsidP="008C7996">
      <w:pPr>
        <w:spacing w:before="120" w:after="120" w:line="360" w:lineRule="auto"/>
        <w:ind w:left="720"/>
        <w:jc w:val="both"/>
        <w:rPr>
          <w:rFonts w:ascii="Arial" w:eastAsia="Times New Roman" w:hAnsi="Arial" w:cs="Arial"/>
          <w:sz w:val="24"/>
          <w:szCs w:val="24"/>
        </w:rPr>
      </w:pPr>
    </w:p>
    <w:p w14:paraId="0DC660C4" w14:textId="77777777" w:rsidR="008C7996" w:rsidRPr="00267A07" w:rsidRDefault="008C7996" w:rsidP="008C7996">
      <w:pPr>
        <w:spacing w:before="120" w:after="120" w:line="360" w:lineRule="auto"/>
        <w:ind w:left="720"/>
        <w:jc w:val="both"/>
        <w:rPr>
          <w:rFonts w:ascii="Arial" w:eastAsia="Times New Roman" w:hAnsi="Arial" w:cs="Arial"/>
          <w:sz w:val="24"/>
          <w:szCs w:val="24"/>
        </w:rPr>
      </w:pPr>
    </w:p>
    <w:p w14:paraId="0E7AF455" w14:textId="77777777" w:rsidR="00EC53CB" w:rsidRPr="00267A07" w:rsidRDefault="00EC53CB" w:rsidP="00267A07">
      <w:pPr>
        <w:pStyle w:val="Heading1"/>
        <w:rPr>
          <w:rFonts w:eastAsia="Times New Roman" w:cs="Arial"/>
        </w:rPr>
      </w:pPr>
      <w:bookmarkStart w:id="5" w:name="_Toc234586551"/>
      <w:r w:rsidRPr="00267A07">
        <w:rPr>
          <w:rFonts w:eastAsia="Times New Roman" w:cs="Arial"/>
        </w:rPr>
        <w:t>Background</w:t>
      </w:r>
      <w:bookmarkEnd w:id="5"/>
    </w:p>
    <w:p w14:paraId="1DFC0C0A" w14:textId="77777777" w:rsidR="00DF6B34" w:rsidRPr="00267A07" w:rsidRDefault="00DF6B34"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There is significant impact of digital healthcare in the UK, especially since COVID-19. A digitally enabled health and social care system is a national ambition (Department of Health and Social Care 2022) and inclusive digital healthcare is planned to be designed to improve access and experience for all patients (NHS England 2023). This in practice means that more and more patients are being faced with the use of online booking services, phone and video consultations, the NHS App, remote monitoring and even access to digital records. The NHS App is now an important patient facing platform and NHS England (2023) confirms that it is accessible to patients aged 13 and older registered with an NHS GP practice in England or the Isle of Man.</w:t>
      </w:r>
    </w:p>
    <w:p w14:paraId="6966A715" w14:textId="77777777" w:rsidR="00DF6B34" w:rsidRPr="00267A07" w:rsidRDefault="00DF6B34"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Inclusion is a strong focus in policy and guidance. NHS England (2023) suggests that digital solutions should complement rather than replace non-digital options and services. It also calls for NHS </w:t>
      </w:r>
      <w:proofErr w:type="spellStart"/>
      <w:r w:rsidRPr="00267A07">
        <w:rPr>
          <w:rFonts w:ascii="Arial" w:eastAsia="Times New Roman" w:hAnsi="Arial" w:cs="Arial"/>
          <w:sz w:val="24"/>
          <w:szCs w:val="24"/>
        </w:rPr>
        <w:t>organisations</w:t>
      </w:r>
      <w:proofErr w:type="spellEnd"/>
      <w:r w:rsidRPr="00267A07">
        <w:rPr>
          <w:rFonts w:ascii="Arial" w:eastAsia="Times New Roman" w:hAnsi="Arial" w:cs="Arial"/>
          <w:sz w:val="24"/>
          <w:szCs w:val="24"/>
        </w:rPr>
        <w:t xml:space="preserve"> to enable patients that might require assistance to use services online and for services to be available to all those with varying needs. This is supported by NHS England's guidance on accessibility, which includes that websites, apps and </w:t>
      </w:r>
      <w:r w:rsidR="007A1F69" w:rsidRPr="00267A07">
        <w:rPr>
          <w:rFonts w:ascii="Arial" w:eastAsia="Times New Roman" w:hAnsi="Arial" w:cs="Arial"/>
          <w:sz w:val="24"/>
          <w:szCs w:val="24"/>
        </w:rPr>
        <w:t>browser-based</w:t>
      </w:r>
      <w:r w:rsidRPr="00267A07">
        <w:rPr>
          <w:rFonts w:ascii="Arial" w:eastAsia="Times New Roman" w:hAnsi="Arial" w:cs="Arial"/>
          <w:sz w:val="24"/>
          <w:szCs w:val="24"/>
        </w:rPr>
        <w:t xml:space="preserve"> services must be accessible to all and that GP websites should adhere to clear principles of accessibility. Similarly, NHS England's patients' guide to digital skills </w:t>
      </w:r>
      <w:proofErr w:type="spellStart"/>
      <w:r w:rsidRPr="00267A07">
        <w:rPr>
          <w:rFonts w:ascii="Arial" w:eastAsia="Times New Roman" w:hAnsi="Arial" w:cs="Arial"/>
          <w:sz w:val="24"/>
          <w:szCs w:val="24"/>
        </w:rPr>
        <w:t>emphasises</w:t>
      </w:r>
      <w:proofErr w:type="spellEnd"/>
      <w:r w:rsidRPr="00267A07">
        <w:rPr>
          <w:rFonts w:ascii="Arial" w:eastAsia="Times New Roman" w:hAnsi="Arial" w:cs="Arial"/>
          <w:sz w:val="24"/>
          <w:szCs w:val="24"/>
        </w:rPr>
        <w:t xml:space="preserve"> the importance of simple online journeys and staff support and evaluation of online services to ensure they are effective in practice.</w:t>
      </w:r>
    </w:p>
    <w:p w14:paraId="2224CD76" w14:textId="77777777" w:rsidR="00DF6B34" w:rsidRPr="00267A07" w:rsidRDefault="00DF6B34"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Legislation is also pertinent as the digital healthcare relies on the secure treatment of personal information. UK health data is regulated by the Data Protection Act (2018) which makes this legislation fundamental for the processing of health data in the UK, particularly for patients using online consultation services, patient portals and accessing patient </w:t>
      </w:r>
      <w:r w:rsidRPr="00267A07">
        <w:rPr>
          <w:rFonts w:ascii="Arial" w:eastAsia="Times New Roman" w:hAnsi="Arial" w:cs="Arial"/>
          <w:sz w:val="24"/>
          <w:szCs w:val="24"/>
        </w:rPr>
        <w:lastRenderedPageBreak/>
        <w:t>records. NHS England's data-driven and inclusive guidance further indicates that individuals should be assured that their data will be managed securely and ethically. All of this points to digital healthcare as a privacy, trust and confidence matter, as well as a technical one.</w:t>
      </w:r>
    </w:p>
    <w:p w14:paraId="78EAF2DE" w14:textId="77777777" w:rsidR="00DF6B34" w:rsidRPr="00267A07" w:rsidRDefault="00DF6B34"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Services and practice that has already been provided continues to grow. NHS England (2023) states that GP practices should have accessible websites, promote digital inclusion and have clear pathways for patients to access services. The Digital Exclusion Risk Atlas also illustrates that exclusion is influenced by a range of factors and is not only shaped by access to a device, but by a combination of factors including access to devices, connectivity, affordability and digital skills. This is important because a patient might want to use a digital care but may find it hard to use. Therefore, the concept of digital care is a point of intersection between the three concepts of service design, patients' capability and system-level inclusion.</w:t>
      </w:r>
    </w:p>
    <w:p w14:paraId="68742808" w14:textId="77777777" w:rsidR="00EC53CB" w:rsidRDefault="005E3F8E"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Several challenges justify the need for this review</w:t>
      </w:r>
      <w:r w:rsidR="00DF6B34" w:rsidRPr="00267A07">
        <w:rPr>
          <w:rFonts w:ascii="Arial" w:eastAsia="Times New Roman" w:hAnsi="Arial" w:cs="Arial"/>
          <w:sz w:val="24"/>
          <w:szCs w:val="24"/>
        </w:rPr>
        <w:t>. For one, patients' attitudes are not consistent, ranging from valuing speed and convenience, less travel time, to preferring the in-person interaction, fearing privacy breach, misunderstanding, and less personal touch (Li et al., 2025; Bostan &amp; Unal, 2019; Alessa et al., 2024). Secondly, the issue of digital exclusion is still very real in the NHS, especially for those who lack digital confidence, have limited access to the internet, or face language or long-term condition barriers (Xue et al., 2026; Palmer &amp; Robjohns, 2026). Third, the literature is distributed in a variety of different digital services, and evidence must be mapped instead of being considered a one-off intervention. NHS England (2023) thus calls for inclusive design, yet there is a need for further data regarding the experience and response of patients in the UK to digital healthcare in day-to-day use. This evidence review fills this void by consolidating evidence regarding attitudes, experiences, barriers and facilitators within a single framework</w:t>
      </w:r>
      <w:r w:rsidR="00EC53CB" w:rsidRPr="00267A07">
        <w:rPr>
          <w:rFonts w:ascii="Arial" w:eastAsia="Times New Roman" w:hAnsi="Arial" w:cs="Arial"/>
          <w:sz w:val="24"/>
          <w:szCs w:val="24"/>
        </w:rPr>
        <w:t>.</w:t>
      </w:r>
    </w:p>
    <w:p w14:paraId="4B309EA3" w14:textId="77777777" w:rsidR="008C7996" w:rsidRDefault="008C7996" w:rsidP="00267A07">
      <w:pPr>
        <w:spacing w:before="120" w:after="120" w:line="360" w:lineRule="auto"/>
        <w:jc w:val="both"/>
        <w:rPr>
          <w:rFonts w:ascii="Arial" w:eastAsia="Times New Roman" w:hAnsi="Arial" w:cs="Arial"/>
          <w:sz w:val="24"/>
          <w:szCs w:val="24"/>
        </w:rPr>
      </w:pPr>
    </w:p>
    <w:p w14:paraId="2342A3FD" w14:textId="77777777" w:rsidR="008C7996" w:rsidRDefault="008C7996" w:rsidP="00267A07">
      <w:pPr>
        <w:spacing w:before="120" w:after="120" w:line="360" w:lineRule="auto"/>
        <w:jc w:val="both"/>
        <w:rPr>
          <w:rFonts w:ascii="Arial" w:eastAsia="Times New Roman" w:hAnsi="Arial" w:cs="Arial"/>
          <w:sz w:val="24"/>
          <w:szCs w:val="24"/>
        </w:rPr>
      </w:pPr>
    </w:p>
    <w:p w14:paraId="4E99F368" w14:textId="77777777" w:rsidR="008C7996" w:rsidRDefault="008C7996" w:rsidP="00267A07">
      <w:pPr>
        <w:spacing w:before="120" w:after="120" w:line="360" w:lineRule="auto"/>
        <w:jc w:val="both"/>
        <w:rPr>
          <w:rFonts w:ascii="Arial" w:eastAsia="Times New Roman" w:hAnsi="Arial" w:cs="Arial"/>
          <w:sz w:val="24"/>
          <w:szCs w:val="24"/>
        </w:rPr>
      </w:pPr>
    </w:p>
    <w:p w14:paraId="031BB61A" w14:textId="77777777" w:rsidR="008C7996" w:rsidRDefault="008C7996" w:rsidP="00267A07">
      <w:pPr>
        <w:spacing w:before="120" w:after="120" w:line="360" w:lineRule="auto"/>
        <w:jc w:val="both"/>
        <w:rPr>
          <w:rFonts w:ascii="Arial" w:eastAsia="Times New Roman" w:hAnsi="Arial" w:cs="Arial"/>
          <w:sz w:val="24"/>
          <w:szCs w:val="24"/>
        </w:rPr>
      </w:pPr>
    </w:p>
    <w:p w14:paraId="5925A456" w14:textId="77777777" w:rsidR="008C7996" w:rsidRDefault="008C7996" w:rsidP="00267A07">
      <w:pPr>
        <w:spacing w:before="120" w:after="120" w:line="360" w:lineRule="auto"/>
        <w:jc w:val="both"/>
        <w:rPr>
          <w:rFonts w:ascii="Arial" w:eastAsia="Times New Roman" w:hAnsi="Arial" w:cs="Arial"/>
          <w:sz w:val="24"/>
          <w:szCs w:val="24"/>
        </w:rPr>
      </w:pPr>
    </w:p>
    <w:p w14:paraId="141E6D7C" w14:textId="77777777" w:rsidR="008C7996" w:rsidRDefault="008C7996" w:rsidP="00267A07">
      <w:pPr>
        <w:spacing w:before="120" w:after="120" w:line="360" w:lineRule="auto"/>
        <w:jc w:val="both"/>
        <w:rPr>
          <w:rFonts w:ascii="Arial" w:eastAsia="Times New Roman" w:hAnsi="Arial" w:cs="Arial"/>
          <w:sz w:val="24"/>
          <w:szCs w:val="24"/>
        </w:rPr>
      </w:pPr>
    </w:p>
    <w:p w14:paraId="6E5AEA49" w14:textId="77777777" w:rsidR="008C7996" w:rsidRPr="00267A07" w:rsidRDefault="008C7996" w:rsidP="00267A07">
      <w:pPr>
        <w:spacing w:before="120" w:after="120" w:line="360" w:lineRule="auto"/>
        <w:jc w:val="both"/>
        <w:rPr>
          <w:rFonts w:ascii="Arial" w:eastAsia="Times New Roman" w:hAnsi="Arial" w:cs="Arial"/>
          <w:sz w:val="24"/>
          <w:szCs w:val="24"/>
        </w:rPr>
      </w:pPr>
    </w:p>
    <w:p w14:paraId="30DAF439" w14:textId="77777777" w:rsidR="00EC53CB" w:rsidRPr="00267A07" w:rsidRDefault="00EC53CB" w:rsidP="00267A07">
      <w:pPr>
        <w:pStyle w:val="Heading1"/>
        <w:rPr>
          <w:rFonts w:eastAsia="Times New Roman" w:cs="Arial"/>
        </w:rPr>
      </w:pPr>
      <w:bookmarkStart w:id="6" w:name="_Toc234586552"/>
      <w:r w:rsidRPr="00267A07">
        <w:rPr>
          <w:rFonts w:eastAsia="Times New Roman" w:cs="Arial"/>
        </w:rPr>
        <w:t>Methods</w:t>
      </w:r>
      <w:bookmarkEnd w:id="6"/>
    </w:p>
    <w:p w14:paraId="5AD7F25E" w14:textId="77777777" w:rsidR="00450EB2" w:rsidRPr="00267A07" w:rsidRDefault="00450EB2"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A structured and transparent search strategy </w:t>
      </w:r>
      <w:r w:rsidR="00463683" w:rsidRPr="00267A07">
        <w:rPr>
          <w:rFonts w:ascii="Arial" w:eastAsia="Times New Roman" w:hAnsi="Arial" w:cs="Arial"/>
          <w:sz w:val="24"/>
          <w:szCs w:val="24"/>
        </w:rPr>
        <w:t>is</w:t>
      </w:r>
      <w:r w:rsidRPr="00267A07">
        <w:rPr>
          <w:rFonts w:ascii="Arial" w:eastAsia="Times New Roman" w:hAnsi="Arial" w:cs="Arial"/>
          <w:sz w:val="24"/>
          <w:szCs w:val="24"/>
        </w:rPr>
        <w:t xml:space="preserve"> used in this scoping review. According to Aveyard (2019), literature reviews should be systematically planned, have a clearly stated question, clearly defined terms, and a replicable search process. Search </w:t>
      </w:r>
      <w:r w:rsidR="00463683" w:rsidRPr="00267A07">
        <w:rPr>
          <w:rFonts w:ascii="Arial" w:eastAsia="Times New Roman" w:hAnsi="Arial" w:cs="Arial"/>
          <w:sz w:val="24"/>
          <w:szCs w:val="24"/>
        </w:rPr>
        <w:t>are</w:t>
      </w:r>
      <w:r w:rsidRPr="00267A07">
        <w:rPr>
          <w:rFonts w:ascii="Arial" w:eastAsia="Times New Roman" w:hAnsi="Arial" w:cs="Arial"/>
          <w:sz w:val="24"/>
          <w:szCs w:val="24"/>
        </w:rPr>
        <w:t xml:space="preserve"> carried out in PubMed, CINAHL, Scopus, PsycINFO and the UWTSD Library. Search terms use a combination of digital healthcare, digital health, telehealth, telemedicine, video consultation, online consultation, NHS App, electronic health record, patient attitudes, patient perception, patient experience, acceptance, and satisfaction with Boolean operators (AND and OR) and UK. Peer reviewed articles published in English between 2020 and 2025 within the UK and concerning patient attitudes to digital healthcare services </w:t>
      </w:r>
      <w:r w:rsidR="00B35813" w:rsidRPr="00267A07">
        <w:rPr>
          <w:rFonts w:ascii="Arial" w:eastAsia="Times New Roman" w:hAnsi="Arial" w:cs="Arial"/>
          <w:sz w:val="24"/>
          <w:szCs w:val="24"/>
        </w:rPr>
        <w:t>are</w:t>
      </w:r>
      <w:r w:rsidRPr="00267A07">
        <w:rPr>
          <w:rFonts w:ascii="Arial" w:eastAsia="Times New Roman" w:hAnsi="Arial" w:cs="Arial"/>
          <w:sz w:val="24"/>
          <w:szCs w:val="24"/>
        </w:rPr>
        <w:t xml:space="preserve"> included. Non-peer reviewed, non-UK studies, studies lacking patient views and studies focusing on the clinician or system design are excluded.</w:t>
      </w:r>
    </w:p>
    <w:p w14:paraId="2979DAD0" w14:textId="77777777" w:rsidR="00450EB2" w:rsidRPr="00267A07" w:rsidRDefault="00450EB2"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The initial database search resulted in 268 records from PubMed (82), CINAHL (61), Scopus (74) and PsycINFO (51). A total of 230 articles were left to be screened for titles and abstracts after excluding 38 duplicate articles. In this phase, 165 records were removed as they were not UK-based, did not assess patients' attitudes, were not published between 2020 and 2025, or because they were not peer-reviewed. The other 65 full-text articles were evaluated for eligibility. After full text review, 30 articles were not included because of not meeting inclusion criteria. 35 peer-reviewed studies were thus included for the final scoping review and thematic analysis. </w:t>
      </w:r>
    </w:p>
    <w:p w14:paraId="42CC2F29" w14:textId="15500A4F" w:rsidR="00450EB2" w:rsidRPr="00267A07" w:rsidRDefault="00450EB2"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The selected studies are screened, charted and grouped based on the review objectives. According to Peters et al (2021), the scoping reviews are suitable for mapping the extent of evidence from across a range of study designs and PRISMA 2020 is useful for clearly reporting search and selection decisions. The results of the charting will be </w:t>
      </w:r>
      <w:r w:rsidR="006017BF" w:rsidRPr="00267A07">
        <w:rPr>
          <w:rFonts w:ascii="Arial" w:eastAsia="Times New Roman" w:hAnsi="Arial" w:cs="Arial"/>
          <w:sz w:val="24"/>
          <w:szCs w:val="24"/>
        </w:rPr>
        <w:t>organized</w:t>
      </w:r>
      <w:r w:rsidRPr="00267A07">
        <w:rPr>
          <w:rFonts w:ascii="Arial" w:eastAsia="Times New Roman" w:hAnsi="Arial" w:cs="Arial"/>
          <w:sz w:val="24"/>
          <w:szCs w:val="24"/>
        </w:rPr>
        <w:t xml:space="preserve"> by recurring patterns and then </w:t>
      </w:r>
      <w:r w:rsidR="001F2704" w:rsidRPr="00267A07">
        <w:rPr>
          <w:rFonts w:ascii="Arial" w:eastAsia="Times New Roman" w:hAnsi="Arial" w:cs="Arial"/>
          <w:sz w:val="24"/>
          <w:szCs w:val="24"/>
        </w:rPr>
        <w:t>synthesized</w:t>
      </w:r>
      <w:r w:rsidRPr="00267A07">
        <w:rPr>
          <w:rFonts w:ascii="Arial" w:eastAsia="Times New Roman" w:hAnsi="Arial" w:cs="Arial"/>
          <w:sz w:val="24"/>
          <w:szCs w:val="24"/>
        </w:rPr>
        <w:t xml:space="preserve"> using thematic analysis. Thematic analysis is a </w:t>
      </w:r>
      <w:r w:rsidRPr="00267A07">
        <w:rPr>
          <w:rFonts w:ascii="Arial" w:eastAsia="Times New Roman" w:hAnsi="Arial" w:cs="Arial"/>
          <w:sz w:val="24"/>
          <w:szCs w:val="24"/>
        </w:rPr>
        <w:lastRenderedPageBreak/>
        <w:t xml:space="preserve">flexible approach to identifying and naming patterns across data from a body of evidence, as described by Braun and Clarke (2021). Within this review, the studies will be repeatedly </w:t>
      </w:r>
      <w:r w:rsidR="00D34972" w:rsidRPr="00267A07">
        <w:rPr>
          <w:rFonts w:ascii="Arial" w:eastAsia="Times New Roman" w:hAnsi="Arial" w:cs="Arial"/>
          <w:sz w:val="24"/>
          <w:szCs w:val="24"/>
        </w:rPr>
        <w:t>familiarized</w:t>
      </w:r>
      <w:r w:rsidRPr="00267A07">
        <w:rPr>
          <w:rFonts w:ascii="Arial" w:eastAsia="Times New Roman" w:hAnsi="Arial" w:cs="Arial"/>
          <w:sz w:val="24"/>
          <w:szCs w:val="24"/>
        </w:rPr>
        <w:t>, initial codes of key ideas will be generated which will then be grouped together into themes and themes reviewed against the evidence and then named in a manner that reflects the research question. It is suitable as it enables uniform comparison between studies and helps to synthesize barriers, facilitators and patient experience.</w:t>
      </w:r>
    </w:p>
    <w:p w14:paraId="2E3A0A51" w14:textId="77777777" w:rsidR="00EC53CB" w:rsidRPr="00267A07" w:rsidRDefault="00450EB2"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This is a secondary research and there will be no contact with participants and thus no formal ethical approval is normally required. Even with that said ethical practice is vital. The review will strive to reduce bias by using the inclusion criteria uniformly, reporting decisions clearly and transparently and reporting the search and selection process. It will also prevent plagiarism, properly reflect the results of each study and ensure integrity in </w:t>
      </w:r>
      <w:proofErr w:type="spellStart"/>
      <w:r w:rsidRPr="00267A07">
        <w:rPr>
          <w:rFonts w:ascii="Arial" w:eastAsia="Times New Roman" w:hAnsi="Arial" w:cs="Arial"/>
          <w:sz w:val="24"/>
          <w:szCs w:val="24"/>
        </w:rPr>
        <w:t>summarising</w:t>
      </w:r>
      <w:proofErr w:type="spellEnd"/>
      <w:r w:rsidRPr="00267A07">
        <w:rPr>
          <w:rFonts w:ascii="Arial" w:eastAsia="Times New Roman" w:hAnsi="Arial" w:cs="Arial"/>
          <w:sz w:val="24"/>
          <w:szCs w:val="24"/>
        </w:rPr>
        <w:t xml:space="preserve"> the evidence. Aveyard (2019) highlights the need for careful and detailed note taking during literature reviews, and clear decision making regarding the interpretation of themes, whereas Braun and Clarke (2021) point out that the researcher should be reflexive and careful when interpreting themes</w:t>
      </w:r>
      <w:r w:rsidR="00EC53CB" w:rsidRPr="00267A07">
        <w:rPr>
          <w:rFonts w:ascii="Arial" w:eastAsia="Times New Roman" w:hAnsi="Arial" w:cs="Arial"/>
          <w:sz w:val="24"/>
          <w:szCs w:val="24"/>
        </w:rPr>
        <w:t>.</w:t>
      </w:r>
    </w:p>
    <w:p w14:paraId="03AA97C7" w14:textId="77777777" w:rsidR="00775BD0" w:rsidRPr="00267A07" w:rsidRDefault="00775BD0" w:rsidP="00267A07">
      <w:pPr>
        <w:spacing w:before="120" w:after="120" w:line="360" w:lineRule="auto"/>
        <w:jc w:val="both"/>
        <w:rPr>
          <w:rFonts w:ascii="Arial" w:hAnsi="Arial" w:cs="Arial"/>
        </w:rPr>
      </w:pPr>
    </w:p>
    <w:p w14:paraId="428D524F" w14:textId="77777777" w:rsidR="00775BD0" w:rsidRDefault="00775BD0" w:rsidP="00267A07">
      <w:pPr>
        <w:spacing w:before="120" w:after="120" w:line="360" w:lineRule="auto"/>
        <w:jc w:val="both"/>
        <w:rPr>
          <w:rFonts w:ascii="Arial" w:hAnsi="Arial" w:cs="Arial"/>
        </w:rPr>
      </w:pPr>
    </w:p>
    <w:p w14:paraId="429B7033" w14:textId="77777777" w:rsidR="008C7996" w:rsidRDefault="008C7996" w:rsidP="00267A07">
      <w:pPr>
        <w:spacing w:before="120" w:after="120" w:line="360" w:lineRule="auto"/>
        <w:jc w:val="both"/>
        <w:rPr>
          <w:rFonts w:ascii="Arial" w:hAnsi="Arial" w:cs="Arial"/>
        </w:rPr>
      </w:pPr>
    </w:p>
    <w:p w14:paraId="602C23A6" w14:textId="77777777" w:rsidR="008C7996" w:rsidRDefault="008C7996" w:rsidP="00267A07">
      <w:pPr>
        <w:spacing w:before="120" w:after="120" w:line="360" w:lineRule="auto"/>
        <w:jc w:val="both"/>
        <w:rPr>
          <w:rFonts w:ascii="Arial" w:hAnsi="Arial" w:cs="Arial"/>
        </w:rPr>
      </w:pPr>
    </w:p>
    <w:p w14:paraId="18609051" w14:textId="77777777" w:rsidR="008C7996" w:rsidRDefault="008C7996" w:rsidP="00267A07">
      <w:pPr>
        <w:spacing w:before="120" w:after="120" w:line="360" w:lineRule="auto"/>
        <w:jc w:val="both"/>
        <w:rPr>
          <w:rFonts w:ascii="Arial" w:hAnsi="Arial" w:cs="Arial"/>
        </w:rPr>
      </w:pPr>
    </w:p>
    <w:p w14:paraId="4B8D3450" w14:textId="77777777" w:rsidR="008C7996" w:rsidRDefault="008C7996" w:rsidP="00267A07">
      <w:pPr>
        <w:spacing w:before="120" w:after="120" w:line="360" w:lineRule="auto"/>
        <w:jc w:val="both"/>
        <w:rPr>
          <w:rFonts w:ascii="Arial" w:hAnsi="Arial" w:cs="Arial"/>
        </w:rPr>
      </w:pPr>
    </w:p>
    <w:p w14:paraId="031CC672" w14:textId="77777777" w:rsidR="008C7996" w:rsidRDefault="008C7996" w:rsidP="00267A07">
      <w:pPr>
        <w:spacing w:before="120" w:after="120" w:line="360" w:lineRule="auto"/>
        <w:jc w:val="both"/>
        <w:rPr>
          <w:rFonts w:ascii="Arial" w:hAnsi="Arial" w:cs="Arial"/>
        </w:rPr>
      </w:pPr>
    </w:p>
    <w:p w14:paraId="01F5ADAE" w14:textId="77777777" w:rsidR="008C7996" w:rsidRDefault="008C7996" w:rsidP="00267A07">
      <w:pPr>
        <w:spacing w:before="120" w:after="120" w:line="360" w:lineRule="auto"/>
        <w:jc w:val="both"/>
        <w:rPr>
          <w:rFonts w:ascii="Arial" w:hAnsi="Arial" w:cs="Arial"/>
        </w:rPr>
      </w:pPr>
    </w:p>
    <w:p w14:paraId="49148A69" w14:textId="77777777" w:rsidR="008C7996" w:rsidRDefault="008C7996" w:rsidP="00267A07">
      <w:pPr>
        <w:spacing w:before="120" w:after="120" w:line="360" w:lineRule="auto"/>
        <w:jc w:val="both"/>
        <w:rPr>
          <w:rFonts w:ascii="Arial" w:hAnsi="Arial" w:cs="Arial"/>
        </w:rPr>
      </w:pPr>
    </w:p>
    <w:p w14:paraId="340EB056" w14:textId="77777777" w:rsidR="008C7996" w:rsidRDefault="008C7996" w:rsidP="00267A07">
      <w:pPr>
        <w:spacing w:before="120" w:after="120" w:line="360" w:lineRule="auto"/>
        <w:jc w:val="both"/>
        <w:rPr>
          <w:rFonts w:ascii="Arial" w:hAnsi="Arial" w:cs="Arial"/>
        </w:rPr>
      </w:pPr>
    </w:p>
    <w:p w14:paraId="328FAF68" w14:textId="77777777" w:rsidR="008C7996" w:rsidRDefault="008C7996" w:rsidP="00267A07">
      <w:pPr>
        <w:spacing w:before="120" w:after="120" w:line="360" w:lineRule="auto"/>
        <w:jc w:val="both"/>
        <w:rPr>
          <w:rFonts w:ascii="Arial" w:hAnsi="Arial" w:cs="Arial"/>
        </w:rPr>
      </w:pPr>
    </w:p>
    <w:p w14:paraId="4D48EC4B" w14:textId="77777777" w:rsidR="008C7996" w:rsidRDefault="008C7996" w:rsidP="00267A07">
      <w:pPr>
        <w:spacing w:before="120" w:after="120" w:line="360" w:lineRule="auto"/>
        <w:jc w:val="both"/>
        <w:rPr>
          <w:rFonts w:ascii="Arial" w:hAnsi="Arial" w:cs="Arial"/>
        </w:rPr>
      </w:pPr>
    </w:p>
    <w:p w14:paraId="019DC5FA" w14:textId="77777777" w:rsidR="008C7996" w:rsidRDefault="008C7996" w:rsidP="00267A07">
      <w:pPr>
        <w:spacing w:before="120" w:after="120" w:line="360" w:lineRule="auto"/>
        <w:jc w:val="both"/>
        <w:rPr>
          <w:rFonts w:ascii="Arial" w:hAnsi="Arial" w:cs="Arial"/>
        </w:rPr>
      </w:pPr>
    </w:p>
    <w:p w14:paraId="1CC0BB4C" w14:textId="77777777" w:rsidR="008C7996" w:rsidRDefault="008C7996" w:rsidP="00267A07">
      <w:pPr>
        <w:spacing w:before="120" w:after="120" w:line="360" w:lineRule="auto"/>
        <w:jc w:val="both"/>
        <w:rPr>
          <w:rFonts w:ascii="Arial" w:hAnsi="Arial" w:cs="Arial"/>
        </w:rPr>
      </w:pPr>
    </w:p>
    <w:p w14:paraId="28DE2449" w14:textId="77777777" w:rsidR="008C7996" w:rsidRPr="00267A07" w:rsidRDefault="008C7996" w:rsidP="00267A07">
      <w:pPr>
        <w:spacing w:before="120" w:after="120" w:line="360" w:lineRule="auto"/>
        <w:jc w:val="both"/>
        <w:rPr>
          <w:rFonts w:ascii="Arial" w:hAnsi="Arial" w:cs="Arial"/>
        </w:rPr>
      </w:pPr>
    </w:p>
    <w:p w14:paraId="6D22C30B" w14:textId="77777777" w:rsidR="00775BD0" w:rsidRPr="00267A07" w:rsidRDefault="006037B6" w:rsidP="00267A07">
      <w:pPr>
        <w:pStyle w:val="Heading1"/>
        <w:rPr>
          <w:rFonts w:cs="Arial"/>
        </w:rPr>
      </w:pPr>
      <w:bookmarkStart w:id="7" w:name="_Toc234586553"/>
      <w:r w:rsidRPr="00267A07">
        <w:rPr>
          <w:rFonts w:cs="Arial"/>
        </w:rPr>
        <w:t>Results</w:t>
      </w:r>
      <w:bookmarkEnd w:id="7"/>
    </w:p>
    <w:p w14:paraId="69A1803B" w14:textId="77777777" w:rsidR="000D5E90" w:rsidRPr="00267A07" w:rsidRDefault="000D5E9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The 35 included studies were organized into three themes, as identified by the thematic analysis, and are displayed in Figure 1. The most common theme was Theme 2: Patient perceptions and experiences of digital healthcare services, which included 14 studies, suggesting that current research in the UK focuses on patient perception and experience. Theme 1 – Main types of digital healthcare services – included 13 studies, showing a high level of interest in various forms of Digital HealthCare. Theme 3: Barriers and facilitators that influenced patient acceptance and use comprised 8 studies, indicating that there was comparatively less research on implementation factors, which are important for the successful adoption and sustained use of digital healthcare services.</w:t>
      </w:r>
    </w:p>
    <w:p w14:paraId="73C149FF" w14:textId="77777777" w:rsidR="00BE3206" w:rsidRPr="00146038" w:rsidRDefault="000B1330" w:rsidP="00146038">
      <w:pPr>
        <w:keepNext/>
        <w:spacing w:before="120" w:after="120" w:line="360" w:lineRule="auto"/>
        <w:jc w:val="center"/>
        <w:rPr>
          <w:rFonts w:ascii="Arial" w:hAnsi="Arial" w:cs="Arial"/>
          <w:color w:val="000000" w:themeColor="text1"/>
        </w:rPr>
      </w:pPr>
      <w:r w:rsidRPr="00146038">
        <w:rPr>
          <w:rFonts w:ascii="Arial" w:hAnsi="Arial" w:cs="Arial"/>
          <w:noProof/>
          <w:color w:val="000000" w:themeColor="text1"/>
        </w:rPr>
        <w:drawing>
          <wp:inline distT="0" distB="0" distL="0" distR="0" wp14:anchorId="46A6918E" wp14:editId="7F2AD697">
            <wp:extent cx="5591175" cy="3543300"/>
            <wp:effectExtent l="0" t="0" r="9525" b="0"/>
            <wp:docPr id="1" name="Chart 1">
              <a:extLst xmlns:a="http://schemas.openxmlformats.org/drawingml/2006/main">
                <a:ext uri="{FF2B5EF4-FFF2-40B4-BE49-F238E27FC236}">
                  <a16:creationId xmlns:a16="http://schemas.microsoft.com/office/drawing/2014/main" id="{9C4AC477-1CC9-4ADA-9049-758F306E09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940B16C" w14:textId="77777777" w:rsidR="00955B3F" w:rsidRPr="00146038" w:rsidRDefault="00BE3206" w:rsidP="00146038">
      <w:pPr>
        <w:pStyle w:val="Caption"/>
        <w:spacing w:before="120" w:after="120" w:line="360" w:lineRule="auto"/>
        <w:jc w:val="center"/>
        <w:rPr>
          <w:rFonts w:ascii="Arial" w:eastAsia="Times New Roman" w:hAnsi="Arial" w:cs="Arial"/>
          <w:color w:val="000000" w:themeColor="text1"/>
          <w:sz w:val="24"/>
          <w:szCs w:val="24"/>
        </w:rPr>
      </w:pPr>
      <w:r w:rsidRPr="00146038">
        <w:rPr>
          <w:rFonts w:ascii="Arial" w:hAnsi="Arial" w:cs="Arial"/>
          <w:color w:val="000000" w:themeColor="text1"/>
        </w:rPr>
        <w:t xml:space="preserve">Figure </w:t>
      </w:r>
      <w:r w:rsidR="007A02C2" w:rsidRPr="00146038">
        <w:rPr>
          <w:rFonts w:ascii="Arial" w:hAnsi="Arial" w:cs="Arial"/>
          <w:color w:val="000000" w:themeColor="text1"/>
        </w:rPr>
        <w:fldChar w:fldCharType="begin"/>
      </w:r>
      <w:r w:rsidR="007A02C2" w:rsidRPr="00146038">
        <w:rPr>
          <w:rFonts w:ascii="Arial" w:hAnsi="Arial" w:cs="Arial"/>
          <w:color w:val="000000" w:themeColor="text1"/>
        </w:rPr>
        <w:instrText xml:space="preserve"> SEQ Figure \* ARABIC </w:instrText>
      </w:r>
      <w:r w:rsidR="007A02C2" w:rsidRPr="00146038">
        <w:rPr>
          <w:rFonts w:ascii="Arial" w:hAnsi="Arial" w:cs="Arial"/>
          <w:color w:val="000000" w:themeColor="text1"/>
        </w:rPr>
        <w:fldChar w:fldCharType="separate"/>
      </w:r>
      <w:r w:rsidRPr="00146038">
        <w:rPr>
          <w:rFonts w:ascii="Arial" w:hAnsi="Arial" w:cs="Arial"/>
          <w:noProof/>
          <w:color w:val="000000" w:themeColor="text1"/>
        </w:rPr>
        <w:t>1</w:t>
      </w:r>
      <w:r w:rsidR="007A02C2" w:rsidRPr="00146038">
        <w:rPr>
          <w:rFonts w:ascii="Arial" w:hAnsi="Arial" w:cs="Arial"/>
          <w:noProof/>
          <w:color w:val="000000" w:themeColor="text1"/>
        </w:rPr>
        <w:fldChar w:fldCharType="end"/>
      </w:r>
      <w:r w:rsidRPr="00146038">
        <w:rPr>
          <w:rFonts w:ascii="Arial" w:hAnsi="Arial" w:cs="Arial"/>
          <w:color w:val="000000" w:themeColor="text1"/>
        </w:rPr>
        <w:t xml:space="preserve">: </w:t>
      </w:r>
      <w:r w:rsidR="00631804" w:rsidRPr="00146038">
        <w:rPr>
          <w:rFonts w:ascii="Arial" w:hAnsi="Arial" w:cs="Arial"/>
          <w:color w:val="000000" w:themeColor="text1"/>
        </w:rPr>
        <w:t>T</w:t>
      </w:r>
      <w:r w:rsidRPr="00146038">
        <w:rPr>
          <w:rFonts w:ascii="Arial" w:hAnsi="Arial" w:cs="Arial"/>
          <w:color w:val="000000" w:themeColor="text1"/>
        </w:rPr>
        <w:t>hree linked themes across the selected studies</w:t>
      </w:r>
      <w:r w:rsidR="00631804" w:rsidRPr="00146038">
        <w:rPr>
          <w:rFonts w:ascii="Arial" w:hAnsi="Arial" w:cs="Arial"/>
          <w:color w:val="000000" w:themeColor="text1"/>
        </w:rPr>
        <w:t xml:space="preserve"> vs. Numbers of article used</w:t>
      </w:r>
    </w:p>
    <w:p w14:paraId="21E36AC1" w14:textId="77777777" w:rsidR="00951D89" w:rsidRPr="00267A07" w:rsidRDefault="005A5F0C"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First, </w:t>
      </w:r>
      <w:r w:rsidRPr="00267A07">
        <w:rPr>
          <w:rFonts w:ascii="Arial" w:eastAsia="Times New Roman" w:hAnsi="Arial" w:cs="Arial"/>
          <w:bCs/>
          <w:sz w:val="24"/>
          <w:szCs w:val="24"/>
        </w:rPr>
        <w:t>convenience and improved access</w:t>
      </w:r>
      <w:r w:rsidRPr="00267A07">
        <w:rPr>
          <w:rFonts w:ascii="Arial" w:eastAsia="Times New Roman" w:hAnsi="Arial" w:cs="Arial"/>
          <w:sz w:val="24"/>
          <w:szCs w:val="24"/>
        </w:rPr>
        <w:t xml:space="preserve"> were the strongest positive drivers of patient acceptance</w:t>
      </w:r>
      <w:r w:rsidR="00951D89" w:rsidRPr="00267A07">
        <w:rPr>
          <w:rFonts w:ascii="Arial" w:eastAsia="Times New Roman" w:hAnsi="Arial" w:cs="Arial"/>
          <w:sz w:val="24"/>
          <w:szCs w:val="24"/>
        </w:rPr>
        <w:t>.</w:t>
      </w:r>
      <w:r w:rsidR="0054092D" w:rsidRPr="00267A07">
        <w:rPr>
          <w:rFonts w:ascii="Arial" w:eastAsia="Times New Roman" w:hAnsi="Arial" w:cs="Arial"/>
          <w:sz w:val="24"/>
          <w:szCs w:val="24"/>
        </w:rPr>
        <w:t xml:space="preserve"> </w:t>
      </w:r>
      <w:r w:rsidR="00951D89" w:rsidRPr="00267A07">
        <w:rPr>
          <w:rFonts w:ascii="Arial" w:eastAsia="Times New Roman" w:hAnsi="Arial" w:cs="Arial"/>
          <w:sz w:val="24"/>
          <w:szCs w:val="24"/>
        </w:rPr>
        <w:t xml:space="preserve">Thiyagarajan et al. (2020), Anderson et al. (2021), Contractor et al. (2022) and Hakim et al. (2021) reported increased preference for the patients to reduce travel, </w:t>
      </w:r>
      <w:r w:rsidR="00951D89" w:rsidRPr="00267A07">
        <w:rPr>
          <w:rFonts w:ascii="Arial" w:eastAsia="Times New Roman" w:hAnsi="Arial" w:cs="Arial"/>
          <w:sz w:val="24"/>
          <w:szCs w:val="24"/>
        </w:rPr>
        <w:lastRenderedPageBreak/>
        <w:t>shorten waiting times and improve access to clinicians. Shared experiences provided similar results when it came to remote home monitoring and video-based follow-up, with patients finding these services reassuring, feasible, and user-friendly with the right support. These results indicate that online healthcare is often well-received, when the experience is less burdensome and more convenient.</w:t>
      </w:r>
    </w:p>
    <w:p w14:paraId="2C8344E2" w14:textId="77777777" w:rsidR="00951D89" w:rsidRPr="00267A07" w:rsidRDefault="00951D89"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Secondly, patients' preference for hybrid or face-to-face care was still evident particularly for complex conditions and for those that require sensitivity or examination. Greenhalgh et al. (2022), De Visser et al. (2024), Antonio et al. (2024) and Archer et al. (2025) demonstrated that remote care was helpful, but there were a number of patients who still preferred in-person consultations for mental health, complex long-term conditions or appointments requiring a personal interaction. This trend reflects the fact that digital health care is seen as a supplement to -- not as a replacement for -- traditional health care.</w:t>
      </w:r>
    </w:p>
    <w:p w14:paraId="42F6529D" w14:textId="77777777" w:rsidR="005A5F0C" w:rsidRPr="00267A07" w:rsidRDefault="00951D89"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Third, there were barriers and facilitators for implementation that influenced successful usage of digital services. Studies such as Murphy et al. (2021), </w:t>
      </w:r>
      <w:proofErr w:type="spellStart"/>
      <w:r w:rsidRPr="00267A07">
        <w:rPr>
          <w:rFonts w:ascii="Arial" w:eastAsia="Times New Roman" w:hAnsi="Arial" w:cs="Arial"/>
          <w:sz w:val="24"/>
          <w:szCs w:val="24"/>
        </w:rPr>
        <w:t>Wherton</w:t>
      </w:r>
      <w:proofErr w:type="spellEnd"/>
      <w:r w:rsidRPr="00267A07">
        <w:rPr>
          <w:rFonts w:ascii="Arial" w:eastAsia="Times New Roman" w:hAnsi="Arial" w:cs="Arial"/>
          <w:sz w:val="24"/>
          <w:szCs w:val="24"/>
        </w:rPr>
        <w:t xml:space="preserve"> et al. (2022), McGowan et al. (2024), McLean et al. (2024) and Li et al. (2024) highlighted the importance of infrastructure, staff support, interoperability, clear guidance, and digital literacy. Factors that were barriers were: technical issues, access, workload, usability and privacy concerns; and the factors that were facilitators were: good system design, clinician support, and patient confidence. In general, the findings indicate that factors other than convenience are relevant to patient attitudes: service design, trust, and appropriateness of the digital option for the patient's needs</w:t>
      </w:r>
      <w:r w:rsidR="005A5F0C" w:rsidRPr="00267A07">
        <w:rPr>
          <w:rFonts w:ascii="Arial" w:eastAsia="Times New Roman" w:hAnsi="Arial" w:cs="Arial"/>
          <w:sz w:val="24"/>
          <w:szCs w:val="24"/>
        </w:rPr>
        <w:t>.</w:t>
      </w:r>
    </w:p>
    <w:p w14:paraId="7ECC39EE" w14:textId="77777777" w:rsidR="005A26C8" w:rsidRDefault="005A26C8" w:rsidP="00267A07">
      <w:pPr>
        <w:pStyle w:val="Heading2"/>
        <w:spacing w:before="120" w:beforeAutospacing="0" w:after="120" w:afterAutospacing="0" w:line="360" w:lineRule="auto"/>
        <w:jc w:val="both"/>
        <w:rPr>
          <w:rFonts w:cs="Arial"/>
        </w:rPr>
        <w:sectPr w:rsidR="005A26C8">
          <w:footerReference w:type="default" r:id="rId10"/>
          <w:pgSz w:w="12240" w:h="15840"/>
          <w:pgMar w:top="1440" w:right="1440" w:bottom="1440" w:left="1440" w:header="720" w:footer="720" w:gutter="0"/>
          <w:cols w:space="720"/>
          <w:docGrid w:linePitch="360"/>
        </w:sectPr>
      </w:pPr>
      <w:bookmarkStart w:id="8" w:name="_Toc234586554"/>
    </w:p>
    <w:p w14:paraId="7BD76B0D" w14:textId="77777777" w:rsidR="00BB016C" w:rsidRPr="00267A07" w:rsidRDefault="002B223E" w:rsidP="00267A07">
      <w:pPr>
        <w:pStyle w:val="Heading2"/>
        <w:spacing w:before="120" w:beforeAutospacing="0" w:after="120" w:afterAutospacing="0" w:line="360" w:lineRule="auto"/>
        <w:jc w:val="both"/>
        <w:rPr>
          <w:rFonts w:cs="Arial"/>
        </w:rPr>
      </w:pPr>
      <w:r w:rsidRPr="00267A07">
        <w:rPr>
          <w:rFonts w:cs="Arial"/>
        </w:rPr>
        <w:lastRenderedPageBreak/>
        <w:t xml:space="preserve">4.1 </w:t>
      </w:r>
      <w:r w:rsidR="00A35F39" w:rsidRPr="00267A07">
        <w:rPr>
          <w:rFonts w:cs="Arial"/>
        </w:rPr>
        <w:t xml:space="preserve">Theme 1: </w:t>
      </w:r>
      <w:r w:rsidR="00BB016C" w:rsidRPr="00267A07">
        <w:rPr>
          <w:rFonts w:cs="Arial"/>
        </w:rPr>
        <w:t>Main types of digital healthcare services discussed in UK research</w:t>
      </w:r>
      <w:bookmarkEnd w:id="8"/>
    </w:p>
    <w:p w14:paraId="1232BADA" w14:textId="77777777" w:rsidR="00BB016C" w:rsidRPr="00267A07" w:rsidRDefault="00BB016C" w:rsidP="00267A07">
      <w:pPr>
        <w:pStyle w:val="Caption"/>
        <w:keepNext/>
        <w:spacing w:before="120" w:after="120" w:line="360" w:lineRule="auto"/>
        <w:jc w:val="both"/>
        <w:rPr>
          <w:rFonts w:ascii="Arial" w:hAnsi="Arial" w:cs="Arial"/>
        </w:rPr>
      </w:pPr>
      <w:r w:rsidRPr="00267A07">
        <w:rPr>
          <w:rFonts w:ascii="Arial" w:hAnsi="Arial" w:cs="Arial"/>
        </w:rPr>
        <w:t xml:space="preserve">Table </w:t>
      </w:r>
      <w:r w:rsidR="007A02C2" w:rsidRPr="00267A07">
        <w:rPr>
          <w:rFonts w:ascii="Arial" w:hAnsi="Arial" w:cs="Arial"/>
        </w:rPr>
        <w:fldChar w:fldCharType="begin"/>
      </w:r>
      <w:r w:rsidR="007A02C2" w:rsidRPr="00267A07">
        <w:rPr>
          <w:rFonts w:ascii="Arial" w:hAnsi="Arial" w:cs="Arial"/>
        </w:rPr>
        <w:instrText xml:space="preserve"> SEQ Table \* ARABIC </w:instrText>
      </w:r>
      <w:r w:rsidR="007A02C2" w:rsidRPr="00267A07">
        <w:rPr>
          <w:rFonts w:ascii="Arial" w:hAnsi="Arial" w:cs="Arial"/>
        </w:rPr>
        <w:fldChar w:fldCharType="separate"/>
      </w:r>
      <w:r w:rsidRPr="00267A07">
        <w:rPr>
          <w:rFonts w:ascii="Arial" w:hAnsi="Arial" w:cs="Arial"/>
          <w:noProof/>
        </w:rPr>
        <w:t>1</w:t>
      </w:r>
      <w:r w:rsidR="007A02C2" w:rsidRPr="00267A07">
        <w:rPr>
          <w:rFonts w:ascii="Arial" w:hAnsi="Arial" w:cs="Arial"/>
          <w:noProof/>
        </w:rPr>
        <w:fldChar w:fldCharType="end"/>
      </w:r>
      <w:r w:rsidRPr="00267A07">
        <w:rPr>
          <w:rFonts w:ascii="Arial" w:hAnsi="Arial" w:cs="Arial"/>
        </w:rPr>
        <w:t>: Main types of digital healthcare services discussed in UK research</w:t>
      </w:r>
    </w:p>
    <w:tbl>
      <w:tblPr>
        <w:tblStyle w:val="TableGrid"/>
        <w:tblW w:w="14580" w:type="dxa"/>
        <w:tblInd w:w="-905" w:type="dxa"/>
        <w:tblLook w:val="04A0" w:firstRow="1" w:lastRow="0" w:firstColumn="1" w:lastColumn="0" w:noHBand="0" w:noVBand="1"/>
      </w:tblPr>
      <w:tblGrid>
        <w:gridCol w:w="2141"/>
        <w:gridCol w:w="1709"/>
        <w:gridCol w:w="1537"/>
        <w:gridCol w:w="1097"/>
        <w:gridCol w:w="2876"/>
        <w:gridCol w:w="2135"/>
        <w:gridCol w:w="1297"/>
        <w:gridCol w:w="1788"/>
      </w:tblGrid>
      <w:tr w:rsidR="00BB7980" w:rsidRPr="00267A07" w14:paraId="6D6D70C4" w14:textId="77777777" w:rsidTr="00BB7980">
        <w:tc>
          <w:tcPr>
            <w:tcW w:w="2141" w:type="dxa"/>
            <w:hideMark/>
          </w:tcPr>
          <w:p w14:paraId="3F36EAAD"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Aim</w:t>
            </w:r>
          </w:p>
        </w:tc>
        <w:tc>
          <w:tcPr>
            <w:tcW w:w="1709" w:type="dxa"/>
            <w:hideMark/>
          </w:tcPr>
          <w:p w14:paraId="38D5D281"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Method</w:t>
            </w:r>
          </w:p>
        </w:tc>
        <w:tc>
          <w:tcPr>
            <w:tcW w:w="1537" w:type="dxa"/>
            <w:hideMark/>
          </w:tcPr>
          <w:p w14:paraId="7DF968AA"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Sample</w:t>
            </w:r>
          </w:p>
        </w:tc>
        <w:tc>
          <w:tcPr>
            <w:tcW w:w="1097" w:type="dxa"/>
            <w:hideMark/>
          </w:tcPr>
          <w:p w14:paraId="64313EBC"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UK Region</w:t>
            </w:r>
          </w:p>
        </w:tc>
        <w:tc>
          <w:tcPr>
            <w:tcW w:w="2876" w:type="dxa"/>
            <w:hideMark/>
          </w:tcPr>
          <w:p w14:paraId="5040B199"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Main Finding</w:t>
            </w:r>
          </w:p>
        </w:tc>
        <w:tc>
          <w:tcPr>
            <w:tcW w:w="2135" w:type="dxa"/>
            <w:hideMark/>
          </w:tcPr>
          <w:p w14:paraId="5CEA2BB9"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Relevance</w:t>
            </w:r>
            <w:r w:rsidR="00375F6A" w:rsidRPr="00267A07">
              <w:rPr>
                <w:rFonts w:ascii="Arial" w:eastAsia="Times New Roman" w:hAnsi="Arial" w:cs="Arial"/>
                <w:b/>
                <w:bCs/>
                <w:sz w:val="24"/>
                <w:szCs w:val="24"/>
              </w:rPr>
              <w:t xml:space="preserve"> to RQ</w:t>
            </w:r>
          </w:p>
        </w:tc>
        <w:tc>
          <w:tcPr>
            <w:tcW w:w="1297" w:type="dxa"/>
            <w:hideMark/>
          </w:tcPr>
          <w:p w14:paraId="1E9C3CB0" w14:textId="77777777" w:rsidR="00B92F4C" w:rsidRPr="00267A07" w:rsidRDefault="00C13D94"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 xml:space="preserve">Link with </w:t>
            </w:r>
            <w:r w:rsidR="00B92F4C" w:rsidRPr="00267A07">
              <w:rPr>
                <w:rFonts w:ascii="Arial" w:eastAsia="Times New Roman" w:hAnsi="Arial" w:cs="Arial"/>
                <w:b/>
                <w:bCs/>
                <w:sz w:val="24"/>
                <w:szCs w:val="24"/>
              </w:rPr>
              <w:t>Objective</w:t>
            </w:r>
          </w:p>
        </w:tc>
        <w:tc>
          <w:tcPr>
            <w:tcW w:w="1788" w:type="dxa"/>
            <w:hideMark/>
          </w:tcPr>
          <w:p w14:paraId="6AD0F5AA" w14:textId="77777777" w:rsidR="00B92F4C" w:rsidRPr="00267A07" w:rsidRDefault="00B92F4C" w:rsidP="005A26C8">
            <w:pPr>
              <w:spacing w:before="120" w:after="120" w:line="240" w:lineRule="auto"/>
              <w:jc w:val="both"/>
              <w:rPr>
                <w:rFonts w:ascii="Arial" w:eastAsia="Times New Roman" w:hAnsi="Arial" w:cs="Arial"/>
                <w:b/>
                <w:bCs/>
                <w:sz w:val="24"/>
                <w:szCs w:val="24"/>
              </w:rPr>
            </w:pPr>
            <w:r w:rsidRPr="00267A07">
              <w:rPr>
                <w:rFonts w:ascii="Arial" w:eastAsia="Times New Roman" w:hAnsi="Arial" w:cs="Arial"/>
                <w:b/>
                <w:bCs/>
                <w:sz w:val="24"/>
                <w:szCs w:val="24"/>
              </w:rPr>
              <w:t>Citation</w:t>
            </w:r>
          </w:p>
        </w:tc>
      </w:tr>
      <w:tr w:rsidR="00BB7980" w:rsidRPr="00267A07" w14:paraId="3B4F60DC" w14:textId="77777777" w:rsidTr="00BB7980">
        <w:tc>
          <w:tcPr>
            <w:tcW w:w="2141" w:type="dxa"/>
            <w:hideMark/>
          </w:tcPr>
          <w:p w14:paraId="1A8C12B4"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Explore video consultation experiences</w:t>
            </w:r>
          </w:p>
        </w:tc>
        <w:tc>
          <w:tcPr>
            <w:tcW w:w="1709" w:type="dxa"/>
            <w:hideMark/>
          </w:tcPr>
          <w:p w14:paraId="0AB654D7"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Scoping review</w:t>
            </w:r>
          </w:p>
        </w:tc>
        <w:tc>
          <w:tcPr>
            <w:tcW w:w="1537" w:type="dxa"/>
            <w:hideMark/>
          </w:tcPr>
          <w:p w14:paraId="0FE18098"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7 studies</w:t>
            </w:r>
          </w:p>
        </w:tc>
        <w:tc>
          <w:tcPr>
            <w:tcW w:w="1097" w:type="dxa"/>
            <w:hideMark/>
          </w:tcPr>
          <w:p w14:paraId="590EFB7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2ED10F0B"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Video consultations improved convenience but were unsuitable for some conditions.</w:t>
            </w:r>
          </w:p>
        </w:tc>
        <w:tc>
          <w:tcPr>
            <w:tcW w:w="2135" w:type="dxa"/>
            <w:hideMark/>
          </w:tcPr>
          <w:p w14:paraId="253AEF8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Patient attitudes to video consultations</w:t>
            </w:r>
          </w:p>
        </w:tc>
        <w:tc>
          <w:tcPr>
            <w:tcW w:w="1297" w:type="dxa"/>
            <w:hideMark/>
          </w:tcPr>
          <w:p w14:paraId="6104531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7DF501B4"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Thiyagarajan et al. (2020)</w:t>
            </w:r>
          </w:p>
        </w:tc>
      </w:tr>
      <w:tr w:rsidR="00BB7980" w:rsidRPr="00267A07" w14:paraId="689AAA34" w14:textId="77777777" w:rsidTr="00BB7980">
        <w:tc>
          <w:tcPr>
            <w:tcW w:w="2141" w:type="dxa"/>
            <w:hideMark/>
          </w:tcPr>
          <w:p w14:paraId="6F43A52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Investigate remote consulting implementation</w:t>
            </w:r>
          </w:p>
        </w:tc>
        <w:tc>
          <w:tcPr>
            <w:tcW w:w="1709" w:type="dxa"/>
            <w:hideMark/>
          </w:tcPr>
          <w:p w14:paraId="11246D3E"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537" w:type="dxa"/>
            <w:hideMark/>
          </w:tcPr>
          <w:p w14:paraId="3D7F988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21 GP practices</w:t>
            </w:r>
          </w:p>
        </w:tc>
        <w:tc>
          <w:tcPr>
            <w:tcW w:w="1097" w:type="dxa"/>
            <w:hideMark/>
          </w:tcPr>
          <w:p w14:paraId="630A2A1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17FD61B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Telephone consultations dominated; video, SMS and online consultations increased.</w:t>
            </w:r>
          </w:p>
        </w:tc>
        <w:tc>
          <w:tcPr>
            <w:tcW w:w="2135" w:type="dxa"/>
            <w:hideMark/>
          </w:tcPr>
          <w:p w14:paraId="6E9972A7"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Main NHS digital services</w:t>
            </w:r>
          </w:p>
        </w:tc>
        <w:tc>
          <w:tcPr>
            <w:tcW w:w="1297" w:type="dxa"/>
            <w:hideMark/>
          </w:tcPr>
          <w:p w14:paraId="0FD0691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495BFA3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Murphy et al. (2021)</w:t>
            </w:r>
          </w:p>
        </w:tc>
      </w:tr>
      <w:tr w:rsidR="00BB7980" w:rsidRPr="00267A07" w14:paraId="7C2C1097" w14:textId="77777777" w:rsidTr="00BB7980">
        <w:tc>
          <w:tcPr>
            <w:tcW w:w="2141" w:type="dxa"/>
            <w:hideMark/>
          </w:tcPr>
          <w:p w14:paraId="10807CC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Examine public perceptions of GP services</w:t>
            </w:r>
          </w:p>
        </w:tc>
        <w:tc>
          <w:tcPr>
            <w:tcW w:w="1709" w:type="dxa"/>
            <w:hideMark/>
          </w:tcPr>
          <w:p w14:paraId="2C3EFF9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537" w:type="dxa"/>
            <w:hideMark/>
          </w:tcPr>
          <w:p w14:paraId="07DFE08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206 respondents</w:t>
            </w:r>
          </w:p>
        </w:tc>
        <w:tc>
          <w:tcPr>
            <w:tcW w:w="1097" w:type="dxa"/>
            <w:hideMark/>
          </w:tcPr>
          <w:p w14:paraId="32B670DE"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1C14C0D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Telephone, video, email and e-consults supported access, although face-to-face remained preferred by some.</w:t>
            </w:r>
          </w:p>
        </w:tc>
        <w:tc>
          <w:tcPr>
            <w:tcW w:w="2135" w:type="dxa"/>
            <w:hideMark/>
          </w:tcPr>
          <w:p w14:paraId="63373A9E"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Types of remote care</w:t>
            </w:r>
          </w:p>
        </w:tc>
        <w:tc>
          <w:tcPr>
            <w:tcW w:w="1297" w:type="dxa"/>
            <w:hideMark/>
          </w:tcPr>
          <w:p w14:paraId="58D0ADEB"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58ACE72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Duncan and Cheng (2021)</w:t>
            </w:r>
          </w:p>
        </w:tc>
      </w:tr>
      <w:tr w:rsidR="00BB7980" w:rsidRPr="00267A07" w14:paraId="4758331A" w14:textId="77777777" w:rsidTr="00BB7980">
        <w:tc>
          <w:tcPr>
            <w:tcW w:w="2141" w:type="dxa"/>
            <w:hideMark/>
          </w:tcPr>
          <w:p w14:paraId="418559C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Assess telemedicine satisfaction</w:t>
            </w:r>
          </w:p>
        </w:tc>
        <w:tc>
          <w:tcPr>
            <w:tcW w:w="1709" w:type="dxa"/>
            <w:hideMark/>
          </w:tcPr>
          <w:p w14:paraId="33D12658"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537" w:type="dxa"/>
            <w:hideMark/>
          </w:tcPr>
          <w:p w14:paraId="79B8C0A7"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68 patients</w:t>
            </w:r>
          </w:p>
        </w:tc>
        <w:tc>
          <w:tcPr>
            <w:tcW w:w="1097" w:type="dxa"/>
            <w:hideMark/>
          </w:tcPr>
          <w:p w14:paraId="3FC3B9D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52BD014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High satisfaction with telephone consultations; video used less frequently.</w:t>
            </w:r>
          </w:p>
        </w:tc>
        <w:tc>
          <w:tcPr>
            <w:tcW w:w="2135" w:type="dxa"/>
            <w:hideMark/>
          </w:tcPr>
          <w:p w14:paraId="37E63BD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Acceptance of telemedicine</w:t>
            </w:r>
          </w:p>
        </w:tc>
        <w:tc>
          <w:tcPr>
            <w:tcW w:w="1297" w:type="dxa"/>
            <w:hideMark/>
          </w:tcPr>
          <w:p w14:paraId="16933C9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298751C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Contractor et al. (2022)</w:t>
            </w:r>
          </w:p>
        </w:tc>
      </w:tr>
      <w:tr w:rsidR="00BB7980" w:rsidRPr="00267A07" w14:paraId="65A3AEC4" w14:textId="77777777" w:rsidTr="00BB7980">
        <w:tc>
          <w:tcPr>
            <w:tcW w:w="2141" w:type="dxa"/>
            <w:hideMark/>
          </w:tcPr>
          <w:p w14:paraId="1DAD4C0E"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Explain low video consultation use</w:t>
            </w:r>
          </w:p>
        </w:tc>
        <w:tc>
          <w:tcPr>
            <w:tcW w:w="1709" w:type="dxa"/>
            <w:hideMark/>
          </w:tcPr>
          <w:p w14:paraId="1C4B863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537" w:type="dxa"/>
            <w:hideMark/>
          </w:tcPr>
          <w:p w14:paraId="18697AC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121 participants</w:t>
            </w:r>
          </w:p>
        </w:tc>
        <w:tc>
          <w:tcPr>
            <w:tcW w:w="1097" w:type="dxa"/>
            <w:hideMark/>
          </w:tcPr>
          <w:p w14:paraId="2197C2A4"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5612D6B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Telephone better suited routine care; video useful only in selected situations.</w:t>
            </w:r>
          </w:p>
        </w:tc>
        <w:tc>
          <w:tcPr>
            <w:tcW w:w="2135" w:type="dxa"/>
            <w:hideMark/>
          </w:tcPr>
          <w:p w14:paraId="2BC3C26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Digital consultation preferences</w:t>
            </w:r>
          </w:p>
        </w:tc>
        <w:tc>
          <w:tcPr>
            <w:tcW w:w="1297" w:type="dxa"/>
            <w:hideMark/>
          </w:tcPr>
          <w:p w14:paraId="1005014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2B0E7B7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Greenhalgh et al. (2022)</w:t>
            </w:r>
          </w:p>
        </w:tc>
      </w:tr>
      <w:tr w:rsidR="00BB7980" w:rsidRPr="00267A07" w14:paraId="44B72F7B" w14:textId="77777777" w:rsidTr="00BB7980">
        <w:tc>
          <w:tcPr>
            <w:tcW w:w="2141" w:type="dxa"/>
            <w:hideMark/>
          </w:tcPr>
          <w:p w14:paraId="53747EED"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lastRenderedPageBreak/>
              <w:t>Examine video consultation implementation</w:t>
            </w:r>
          </w:p>
        </w:tc>
        <w:tc>
          <w:tcPr>
            <w:tcW w:w="1709" w:type="dxa"/>
            <w:hideMark/>
          </w:tcPr>
          <w:p w14:paraId="37362F4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537" w:type="dxa"/>
            <w:hideMark/>
          </w:tcPr>
          <w:p w14:paraId="34BF8C5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4 NHS trusts</w:t>
            </w:r>
          </w:p>
        </w:tc>
        <w:tc>
          <w:tcPr>
            <w:tcW w:w="1097" w:type="dxa"/>
            <w:hideMark/>
          </w:tcPr>
          <w:p w14:paraId="337769CD"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0722BDE9"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Video expanded but telephone remained dominant; infrastructure influenced uptake.</w:t>
            </w:r>
          </w:p>
        </w:tc>
        <w:tc>
          <w:tcPr>
            <w:tcW w:w="2135" w:type="dxa"/>
            <w:hideMark/>
          </w:tcPr>
          <w:p w14:paraId="5ADC3E5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NHS implementation</w:t>
            </w:r>
          </w:p>
        </w:tc>
        <w:tc>
          <w:tcPr>
            <w:tcW w:w="1297" w:type="dxa"/>
            <w:hideMark/>
          </w:tcPr>
          <w:p w14:paraId="4E50F11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123CE202" w14:textId="77777777" w:rsidR="00B92F4C" w:rsidRPr="00267A07" w:rsidRDefault="00B92F4C" w:rsidP="005A26C8">
            <w:pPr>
              <w:spacing w:before="120" w:after="120" w:line="240" w:lineRule="auto"/>
              <w:jc w:val="both"/>
              <w:rPr>
                <w:rFonts w:ascii="Arial" w:eastAsia="Times New Roman" w:hAnsi="Arial" w:cs="Arial"/>
                <w:sz w:val="24"/>
                <w:szCs w:val="24"/>
              </w:rPr>
            </w:pPr>
            <w:proofErr w:type="spellStart"/>
            <w:r w:rsidRPr="00267A07">
              <w:rPr>
                <w:rFonts w:ascii="Arial" w:eastAsia="Times New Roman" w:hAnsi="Arial" w:cs="Arial"/>
                <w:sz w:val="24"/>
                <w:szCs w:val="24"/>
              </w:rPr>
              <w:t>Wherton</w:t>
            </w:r>
            <w:proofErr w:type="spellEnd"/>
            <w:r w:rsidRPr="00267A07">
              <w:rPr>
                <w:rFonts w:ascii="Arial" w:eastAsia="Times New Roman" w:hAnsi="Arial" w:cs="Arial"/>
                <w:sz w:val="24"/>
                <w:szCs w:val="24"/>
              </w:rPr>
              <w:t xml:space="preserve"> et al. (2022)</w:t>
            </w:r>
          </w:p>
        </w:tc>
      </w:tr>
      <w:tr w:rsidR="00BB7980" w:rsidRPr="00267A07" w14:paraId="51981975" w14:textId="77777777" w:rsidTr="00BB7980">
        <w:tc>
          <w:tcPr>
            <w:tcW w:w="2141" w:type="dxa"/>
            <w:hideMark/>
          </w:tcPr>
          <w:p w14:paraId="42A569D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Explore NHS-wide video consulting</w:t>
            </w:r>
          </w:p>
        </w:tc>
        <w:tc>
          <w:tcPr>
            <w:tcW w:w="1709" w:type="dxa"/>
            <w:hideMark/>
          </w:tcPr>
          <w:p w14:paraId="5ED9FCA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537" w:type="dxa"/>
            <w:hideMark/>
          </w:tcPr>
          <w:p w14:paraId="6BBE583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809 survey respondents</w:t>
            </w:r>
          </w:p>
        </w:tc>
        <w:tc>
          <w:tcPr>
            <w:tcW w:w="1097" w:type="dxa"/>
            <w:hideMark/>
          </w:tcPr>
          <w:p w14:paraId="004A8BF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46E7A0A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Video consultations expanded across NHS services alongside telephone care.</w:t>
            </w:r>
          </w:p>
        </w:tc>
        <w:tc>
          <w:tcPr>
            <w:tcW w:w="2135" w:type="dxa"/>
            <w:hideMark/>
          </w:tcPr>
          <w:p w14:paraId="3F0AE31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Digital service adoption</w:t>
            </w:r>
          </w:p>
        </w:tc>
        <w:tc>
          <w:tcPr>
            <w:tcW w:w="1297" w:type="dxa"/>
            <w:hideMark/>
          </w:tcPr>
          <w:p w14:paraId="1FB5AE1D"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17E5451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Hughes et al. (2022)</w:t>
            </w:r>
          </w:p>
        </w:tc>
      </w:tr>
      <w:tr w:rsidR="00BB7980" w:rsidRPr="00267A07" w14:paraId="6BF64FAF" w14:textId="77777777" w:rsidTr="00BB7980">
        <w:tc>
          <w:tcPr>
            <w:tcW w:w="2141" w:type="dxa"/>
            <w:hideMark/>
          </w:tcPr>
          <w:p w14:paraId="53158DB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Investigate sustainable remote care</w:t>
            </w:r>
          </w:p>
        </w:tc>
        <w:tc>
          <w:tcPr>
            <w:tcW w:w="1709" w:type="dxa"/>
            <w:hideMark/>
          </w:tcPr>
          <w:p w14:paraId="7CEBB5F8"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537" w:type="dxa"/>
            <w:hideMark/>
          </w:tcPr>
          <w:p w14:paraId="79B0E64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11 GP practices</w:t>
            </w:r>
          </w:p>
        </w:tc>
        <w:tc>
          <w:tcPr>
            <w:tcW w:w="1097" w:type="dxa"/>
            <w:hideMark/>
          </w:tcPr>
          <w:p w14:paraId="127EFCF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2CBAB0F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Telephone, video and e-consults became integrated into routine practice.</w:t>
            </w:r>
          </w:p>
        </w:tc>
        <w:tc>
          <w:tcPr>
            <w:tcW w:w="2135" w:type="dxa"/>
            <w:hideMark/>
          </w:tcPr>
          <w:p w14:paraId="1123165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Modern primary care</w:t>
            </w:r>
          </w:p>
        </w:tc>
        <w:tc>
          <w:tcPr>
            <w:tcW w:w="1297" w:type="dxa"/>
            <w:hideMark/>
          </w:tcPr>
          <w:p w14:paraId="0A1E07EB"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3D2267D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Greenhalgh, Shaw, et al. (2022)</w:t>
            </w:r>
          </w:p>
        </w:tc>
      </w:tr>
      <w:tr w:rsidR="00BB7980" w:rsidRPr="00267A07" w14:paraId="3117F19D" w14:textId="77777777" w:rsidTr="00BB7980">
        <w:tc>
          <w:tcPr>
            <w:tcW w:w="2141" w:type="dxa"/>
            <w:hideMark/>
          </w:tcPr>
          <w:p w14:paraId="635BEFB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Assess telephone consultation satisfaction</w:t>
            </w:r>
          </w:p>
        </w:tc>
        <w:tc>
          <w:tcPr>
            <w:tcW w:w="1709" w:type="dxa"/>
            <w:hideMark/>
          </w:tcPr>
          <w:p w14:paraId="59077B1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537" w:type="dxa"/>
            <w:hideMark/>
          </w:tcPr>
          <w:p w14:paraId="0F09419A"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104 patients</w:t>
            </w:r>
          </w:p>
        </w:tc>
        <w:tc>
          <w:tcPr>
            <w:tcW w:w="1097" w:type="dxa"/>
            <w:hideMark/>
          </w:tcPr>
          <w:p w14:paraId="71265F2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681E1DF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High satisfaction but face-to-face preferred for complex issues.</w:t>
            </w:r>
          </w:p>
        </w:tc>
        <w:tc>
          <w:tcPr>
            <w:tcW w:w="2135" w:type="dxa"/>
            <w:hideMark/>
          </w:tcPr>
          <w:p w14:paraId="66702D5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Telephone consultation experience</w:t>
            </w:r>
          </w:p>
        </w:tc>
        <w:tc>
          <w:tcPr>
            <w:tcW w:w="1297" w:type="dxa"/>
            <w:hideMark/>
          </w:tcPr>
          <w:p w14:paraId="7887A38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0698DB0B"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Anderson et al. (2021)</w:t>
            </w:r>
          </w:p>
        </w:tc>
      </w:tr>
      <w:tr w:rsidR="00BB7980" w:rsidRPr="00267A07" w14:paraId="3399E1EA" w14:textId="77777777" w:rsidTr="00BB7980">
        <w:tc>
          <w:tcPr>
            <w:tcW w:w="2141" w:type="dxa"/>
            <w:hideMark/>
          </w:tcPr>
          <w:p w14:paraId="7E9CEBD9"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Evaluate ophthalmology remote consultations</w:t>
            </w:r>
          </w:p>
        </w:tc>
        <w:tc>
          <w:tcPr>
            <w:tcW w:w="1709" w:type="dxa"/>
            <w:hideMark/>
          </w:tcPr>
          <w:p w14:paraId="6510DF89"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537" w:type="dxa"/>
            <w:hideMark/>
          </w:tcPr>
          <w:p w14:paraId="535C86C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51 patients</w:t>
            </w:r>
          </w:p>
        </w:tc>
        <w:tc>
          <w:tcPr>
            <w:tcW w:w="1097" w:type="dxa"/>
            <w:hideMark/>
          </w:tcPr>
          <w:p w14:paraId="1FAB4B6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876" w:type="dxa"/>
            <w:hideMark/>
          </w:tcPr>
          <w:p w14:paraId="0977558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Most patients preferred remote consultations for convenience despite examination limitations.</w:t>
            </w:r>
          </w:p>
        </w:tc>
        <w:tc>
          <w:tcPr>
            <w:tcW w:w="2135" w:type="dxa"/>
            <w:hideMark/>
          </w:tcPr>
          <w:p w14:paraId="4217EF1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Specialist remote care</w:t>
            </w:r>
          </w:p>
        </w:tc>
        <w:tc>
          <w:tcPr>
            <w:tcW w:w="1297" w:type="dxa"/>
            <w:hideMark/>
          </w:tcPr>
          <w:p w14:paraId="2B3CD65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57F6D6C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Hakim et al. (2021)</w:t>
            </w:r>
          </w:p>
        </w:tc>
      </w:tr>
      <w:tr w:rsidR="00BB7980" w:rsidRPr="00267A07" w14:paraId="23943EFC" w14:textId="77777777" w:rsidTr="00BB7980">
        <w:tc>
          <w:tcPr>
            <w:tcW w:w="2141" w:type="dxa"/>
            <w:hideMark/>
          </w:tcPr>
          <w:p w14:paraId="317C9724"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Evaluate e-consultation management</w:t>
            </w:r>
          </w:p>
        </w:tc>
        <w:tc>
          <w:tcPr>
            <w:tcW w:w="1709" w:type="dxa"/>
            <w:hideMark/>
          </w:tcPr>
          <w:p w14:paraId="13BEFE59"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Quality improvement</w:t>
            </w:r>
          </w:p>
        </w:tc>
        <w:tc>
          <w:tcPr>
            <w:tcW w:w="1537" w:type="dxa"/>
            <w:hideMark/>
          </w:tcPr>
          <w:p w14:paraId="21304DA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12 patients</w:t>
            </w:r>
          </w:p>
        </w:tc>
        <w:tc>
          <w:tcPr>
            <w:tcW w:w="1097" w:type="dxa"/>
            <w:hideMark/>
          </w:tcPr>
          <w:p w14:paraId="551F2D9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28260A9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E-consults improved access but required telephone or face-to-face follow-up for complex cases.</w:t>
            </w:r>
          </w:p>
        </w:tc>
        <w:tc>
          <w:tcPr>
            <w:tcW w:w="2135" w:type="dxa"/>
            <w:hideMark/>
          </w:tcPr>
          <w:p w14:paraId="56706CC3"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E-consultation use</w:t>
            </w:r>
          </w:p>
        </w:tc>
        <w:tc>
          <w:tcPr>
            <w:tcW w:w="1297" w:type="dxa"/>
            <w:hideMark/>
          </w:tcPr>
          <w:p w14:paraId="320959F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2BCE475B"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Leung and Qureshi (2021)</w:t>
            </w:r>
          </w:p>
        </w:tc>
      </w:tr>
      <w:tr w:rsidR="00BB7980" w:rsidRPr="00267A07" w14:paraId="266BF369" w14:textId="77777777" w:rsidTr="00BB7980">
        <w:tc>
          <w:tcPr>
            <w:tcW w:w="2141" w:type="dxa"/>
            <w:hideMark/>
          </w:tcPr>
          <w:p w14:paraId="0941039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Assess GP online consultations</w:t>
            </w:r>
          </w:p>
        </w:tc>
        <w:tc>
          <w:tcPr>
            <w:tcW w:w="1709" w:type="dxa"/>
            <w:hideMark/>
          </w:tcPr>
          <w:p w14:paraId="1E349579"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Observational</w:t>
            </w:r>
          </w:p>
        </w:tc>
        <w:tc>
          <w:tcPr>
            <w:tcW w:w="1537" w:type="dxa"/>
            <w:hideMark/>
          </w:tcPr>
          <w:p w14:paraId="62570AF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189 records</w:t>
            </w:r>
          </w:p>
        </w:tc>
        <w:tc>
          <w:tcPr>
            <w:tcW w:w="1097" w:type="dxa"/>
            <w:hideMark/>
          </w:tcPr>
          <w:p w14:paraId="404C6E90"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4F3A5311"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 xml:space="preserve">Online consultations improved access but </w:t>
            </w:r>
            <w:r w:rsidRPr="00267A07">
              <w:rPr>
                <w:rFonts w:ascii="Arial" w:eastAsia="Times New Roman" w:hAnsi="Arial" w:cs="Arial"/>
                <w:sz w:val="24"/>
                <w:szCs w:val="24"/>
              </w:rPr>
              <w:lastRenderedPageBreak/>
              <w:t>often required further consultation.</w:t>
            </w:r>
          </w:p>
        </w:tc>
        <w:tc>
          <w:tcPr>
            <w:tcW w:w="2135" w:type="dxa"/>
            <w:hideMark/>
          </w:tcPr>
          <w:p w14:paraId="0B919B54"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lastRenderedPageBreak/>
              <w:t>Online consultation effectiveness</w:t>
            </w:r>
          </w:p>
        </w:tc>
        <w:tc>
          <w:tcPr>
            <w:tcW w:w="1297" w:type="dxa"/>
            <w:hideMark/>
          </w:tcPr>
          <w:p w14:paraId="6C00AB6C"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70BD3A21" w14:textId="77777777" w:rsidR="00B92F4C" w:rsidRPr="00267A07" w:rsidRDefault="00B92F4C" w:rsidP="005A26C8">
            <w:pPr>
              <w:spacing w:before="120" w:after="120" w:line="240" w:lineRule="auto"/>
              <w:jc w:val="both"/>
              <w:rPr>
                <w:rFonts w:ascii="Arial" w:eastAsia="Times New Roman" w:hAnsi="Arial" w:cs="Arial"/>
                <w:sz w:val="24"/>
                <w:szCs w:val="24"/>
              </w:rPr>
            </w:pPr>
            <w:proofErr w:type="spellStart"/>
            <w:r w:rsidRPr="00267A07">
              <w:rPr>
                <w:rFonts w:ascii="Arial" w:eastAsia="Times New Roman" w:hAnsi="Arial" w:cs="Arial"/>
                <w:sz w:val="24"/>
                <w:szCs w:val="24"/>
              </w:rPr>
              <w:t>Nijhof</w:t>
            </w:r>
            <w:proofErr w:type="spellEnd"/>
            <w:r w:rsidRPr="00267A07">
              <w:rPr>
                <w:rFonts w:ascii="Arial" w:eastAsia="Times New Roman" w:hAnsi="Arial" w:cs="Arial"/>
                <w:sz w:val="24"/>
                <w:szCs w:val="24"/>
              </w:rPr>
              <w:t xml:space="preserve"> et al. (2021)</w:t>
            </w:r>
          </w:p>
        </w:tc>
      </w:tr>
      <w:tr w:rsidR="00BB7980" w:rsidRPr="00267A07" w14:paraId="074153C8" w14:textId="77777777" w:rsidTr="00BB7980">
        <w:tc>
          <w:tcPr>
            <w:tcW w:w="2141" w:type="dxa"/>
            <w:hideMark/>
          </w:tcPr>
          <w:p w14:paraId="1665BA8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Examine online consultation systems</w:t>
            </w:r>
          </w:p>
        </w:tc>
        <w:tc>
          <w:tcPr>
            <w:tcW w:w="1709" w:type="dxa"/>
            <w:hideMark/>
          </w:tcPr>
          <w:p w14:paraId="57B13CB5"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Cross-sectional</w:t>
            </w:r>
          </w:p>
        </w:tc>
        <w:tc>
          <w:tcPr>
            <w:tcW w:w="1537" w:type="dxa"/>
            <w:hideMark/>
          </w:tcPr>
          <w:p w14:paraId="4572D507"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287,194 responses</w:t>
            </w:r>
          </w:p>
        </w:tc>
        <w:tc>
          <w:tcPr>
            <w:tcW w:w="1097" w:type="dxa"/>
            <w:hideMark/>
          </w:tcPr>
          <w:p w14:paraId="61634F3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876" w:type="dxa"/>
            <w:hideMark/>
          </w:tcPr>
          <w:p w14:paraId="39E41EB2"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Well-designed online systems improved patient experience and reduced inequalities.</w:t>
            </w:r>
          </w:p>
        </w:tc>
        <w:tc>
          <w:tcPr>
            <w:tcW w:w="2135" w:type="dxa"/>
            <w:hideMark/>
          </w:tcPr>
          <w:p w14:paraId="7F7A6156"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Digital access and experience</w:t>
            </w:r>
          </w:p>
        </w:tc>
        <w:tc>
          <w:tcPr>
            <w:tcW w:w="1297" w:type="dxa"/>
            <w:hideMark/>
          </w:tcPr>
          <w:p w14:paraId="14F515CF"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O1</w:t>
            </w:r>
          </w:p>
        </w:tc>
        <w:tc>
          <w:tcPr>
            <w:tcW w:w="1788" w:type="dxa"/>
            <w:hideMark/>
          </w:tcPr>
          <w:p w14:paraId="19525987" w14:textId="77777777" w:rsidR="00B92F4C" w:rsidRPr="00267A07" w:rsidRDefault="00B92F4C" w:rsidP="005A26C8">
            <w:pPr>
              <w:spacing w:before="120" w:after="120" w:line="240" w:lineRule="auto"/>
              <w:jc w:val="both"/>
              <w:rPr>
                <w:rFonts w:ascii="Arial" w:eastAsia="Times New Roman" w:hAnsi="Arial" w:cs="Arial"/>
                <w:sz w:val="24"/>
                <w:szCs w:val="24"/>
              </w:rPr>
            </w:pPr>
            <w:r w:rsidRPr="00267A07">
              <w:rPr>
                <w:rFonts w:ascii="Arial" w:eastAsia="Times New Roman" w:hAnsi="Arial" w:cs="Arial"/>
                <w:sz w:val="24"/>
                <w:szCs w:val="24"/>
              </w:rPr>
              <w:t>Ge et al. (2024)</w:t>
            </w:r>
          </w:p>
        </w:tc>
      </w:tr>
    </w:tbl>
    <w:p w14:paraId="7037DAEC" w14:textId="77777777" w:rsidR="00C10ADD" w:rsidRPr="00267A07" w:rsidRDefault="002B223E" w:rsidP="00267A07">
      <w:pPr>
        <w:pStyle w:val="Heading2"/>
        <w:spacing w:before="120" w:beforeAutospacing="0" w:after="120" w:afterAutospacing="0" w:line="360" w:lineRule="auto"/>
        <w:jc w:val="both"/>
        <w:rPr>
          <w:rFonts w:cs="Arial"/>
        </w:rPr>
      </w:pPr>
      <w:bookmarkStart w:id="9" w:name="_Toc234586555"/>
      <w:r w:rsidRPr="00267A07">
        <w:rPr>
          <w:rFonts w:cs="Arial"/>
        </w:rPr>
        <w:t xml:space="preserve">4.2 </w:t>
      </w:r>
      <w:r w:rsidR="004D6A5E" w:rsidRPr="00267A07">
        <w:rPr>
          <w:rFonts w:cs="Arial"/>
        </w:rPr>
        <w:t xml:space="preserve">Theme 2: </w:t>
      </w:r>
      <w:r w:rsidR="00C10ADD" w:rsidRPr="00267A07">
        <w:rPr>
          <w:rFonts w:cs="Arial"/>
        </w:rPr>
        <w:t>Patient perceptions and experiences of digital healthcare services</w:t>
      </w:r>
      <w:bookmarkEnd w:id="9"/>
    </w:p>
    <w:p w14:paraId="29D68393" w14:textId="77777777" w:rsidR="00C10ADD" w:rsidRPr="00267A07" w:rsidRDefault="00C10ADD" w:rsidP="00267A07">
      <w:pPr>
        <w:pStyle w:val="Caption"/>
        <w:keepNext/>
        <w:spacing w:before="120" w:after="120" w:line="360" w:lineRule="auto"/>
        <w:jc w:val="both"/>
        <w:rPr>
          <w:rFonts w:ascii="Arial" w:hAnsi="Arial" w:cs="Arial"/>
        </w:rPr>
      </w:pPr>
      <w:r w:rsidRPr="00267A07">
        <w:rPr>
          <w:rFonts w:ascii="Arial" w:hAnsi="Arial" w:cs="Arial"/>
        </w:rPr>
        <w:t xml:space="preserve">Table </w:t>
      </w:r>
      <w:r w:rsidR="007A02C2" w:rsidRPr="00267A07">
        <w:rPr>
          <w:rFonts w:ascii="Arial" w:hAnsi="Arial" w:cs="Arial"/>
        </w:rPr>
        <w:fldChar w:fldCharType="begin"/>
      </w:r>
      <w:r w:rsidR="007A02C2" w:rsidRPr="00267A07">
        <w:rPr>
          <w:rFonts w:ascii="Arial" w:hAnsi="Arial" w:cs="Arial"/>
        </w:rPr>
        <w:instrText xml:space="preserve"> SEQ Table \* ARABIC </w:instrText>
      </w:r>
      <w:r w:rsidR="007A02C2" w:rsidRPr="00267A07">
        <w:rPr>
          <w:rFonts w:ascii="Arial" w:hAnsi="Arial" w:cs="Arial"/>
        </w:rPr>
        <w:fldChar w:fldCharType="separate"/>
      </w:r>
      <w:r w:rsidRPr="00267A07">
        <w:rPr>
          <w:rFonts w:ascii="Arial" w:hAnsi="Arial" w:cs="Arial"/>
          <w:noProof/>
        </w:rPr>
        <w:t>2</w:t>
      </w:r>
      <w:r w:rsidR="007A02C2" w:rsidRPr="00267A07">
        <w:rPr>
          <w:rFonts w:ascii="Arial" w:hAnsi="Arial" w:cs="Arial"/>
          <w:noProof/>
        </w:rPr>
        <w:fldChar w:fldCharType="end"/>
      </w:r>
      <w:r w:rsidRPr="00267A07">
        <w:rPr>
          <w:rFonts w:ascii="Arial" w:hAnsi="Arial" w:cs="Arial"/>
        </w:rPr>
        <w:t>: Patient perceptions and experiences of digital healthcare services</w:t>
      </w:r>
    </w:p>
    <w:tbl>
      <w:tblPr>
        <w:tblStyle w:val="TableGrid"/>
        <w:tblW w:w="14580" w:type="dxa"/>
        <w:tblInd w:w="-905" w:type="dxa"/>
        <w:tblLook w:val="04A0" w:firstRow="1" w:lastRow="0" w:firstColumn="1" w:lastColumn="0" w:noHBand="0" w:noVBand="1"/>
      </w:tblPr>
      <w:tblGrid>
        <w:gridCol w:w="2242"/>
        <w:gridCol w:w="1562"/>
        <w:gridCol w:w="1414"/>
        <w:gridCol w:w="1390"/>
        <w:gridCol w:w="2890"/>
        <w:gridCol w:w="1990"/>
        <w:gridCol w:w="1297"/>
        <w:gridCol w:w="1795"/>
      </w:tblGrid>
      <w:tr w:rsidR="00D74FFC" w:rsidRPr="00267A07" w14:paraId="28B81E05" w14:textId="77777777" w:rsidTr="00BB7980">
        <w:tc>
          <w:tcPr>
            <w:tcW w:w="2242" w:type="dxa"/>
            <w:hideMark/>
          </w:tcPr>
          <w:p w14:paraId="2582715A"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Aim</w:t>
            </w:r>
          </w:p>
        </w:tc>
        <w:tc>
          <w:tcPr>
            <w:tcW w:w="1565" w:type="dxa"/>
            <w:hideMark/>
          </w:tcPr>
          <w:p w14:paraId="18434019"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Method</w:t>
            </w:r>
          </w:p>
        </w:tc>
        <w:tc>
          <w:tcPr>
            <w:tcW w:w="1419" w:type="dxa"/>
            <w:hideMark/>
          </w:tcPr>
          <w:p w14:paraId="66FEAD9C"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Sample</w:t>
            </w:r>
          </w:p>
        </w:tc>
        <w:tc>
          <w:tcPr>
            <w:tcW w:w="1390" w:type="dxa"/>
            <w:hideMark/>
          </w:tcPr>
          <w:p w14:paraId="53573228"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Region</w:t>
            </w:r>
          </w:p>
        </w:tc>
        <w:tc>
          <w:tcPr>
            <w:tcW w:w="2907" w:type="dxa"/>
            <w:hideMark/>
          </w:tcPr>
          <w:p w14:paraId="532C055E"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Key Finding</w:t>
            </w:r>
          </w:p>
        </w:tc>
        <w:tc>
          <w:tcPr>
            <w:tcW w:w="1997" w:type="dxa"/>
            <w:hideMark/>
          </w:tcPr>
          <w:p w14:paraId="5AD6C302"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Relevance</w:t>
            </w:r>
            <w:r w:rsidR="00D74FFC" w:rsidRPr="00267A07">
              <w:rPr>
                <w:rFonts w:ascii="Arial" w:eastAsia="Times New Roman" w:hAnsi="Arial" w:cs="Arial"/>
                <w:b/>
                <w:bCs/>
                <w:sz w:val="24"/>
                <w:szCs w:val="24"/>
              </w:rPr>
              <w:t xml:space="preserve"> to RQ</w:t>
            </w:r>
          </w:p>
        </w:tc>
        <w:tc>
          <w:tcPr>
            <w:tcW w:w="1260" w:type="dxa"/>
            <w:hideMark/>
          </w:tcPr>
          <w:p w14:paraId="7C041816" w14:textId="77777777" w:rsidR="001E08A0" w:rsidRPr="00267A07" w:rsidRDefault="00D74FFC"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 xml:space="preserve">Link with </w:t>
            </w:r>
            <w:r w:rsidR="001E08A0" w:rsidRPr="00267A07">
              <w:rPr>
                <w:rFonts w:ascii="Arial" w:eastAsia="Times New Roman" w:hAnsi="Arial" w:cs="Arial"/>
                <w:b/>
                <w:bCs/>
                <w:sz w:val="24"/>
                <w:szCs w:val="24"/>
              </w:rPr>
              <w:t>Objective</w:t>
            </w:r>
          </w:p>
        </w:tc>
        <w:tc>
          <w:tcPr>
            <w:tcW w:w="1800" w:type="dxa"/>
            <w:hideMark/>
          </w:tcPr>
          <w:p w14:paraId="441D0791" w14:textId="77777777" w:rsidR="001E08A0" w:rsidRPr="00267A07" w:rsidRDefault="001E08A0"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Citation</w:t>
            </w:r>
          </w:p>
        </w:tc>
      </w:tr>
      <w:tr w:rsidR="00D74FFC" w:rsidRPr="00267A07" w14:paraId="16749CD7" w14:textId="77777777" w:rsidTr="00BB7980">
        <w:tc>
          <w:tcPr>
            <w:tcW w:w="2242" w:type="dxa"/>
            <w:hideMark/>
          </w:tcPr>
          <w:p w14:paraId="3A645F3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remote consultation experiences</w:t>
            </w:r>
          </w:p>
        </w:tc>
        <w:tc>
          <w:tcPr>
            <w:tcW w:w="1565" w:type="dxa"/>
            <w:hideMark/>
          </w:tcPr>
          <w:p w14:paraId="37A579B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623AB51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17</w:t>
            </w:r>
          </w:p>
        </w:tc>
        <w:tc>
          <w:tcPr>
            <w:tcW w:w="1390" w:type="dxa"/>
            <w:hideMark/>
          </w:tcPr>
          <w:p w14:paraId="0143521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0EB0D81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Convenience valued; communication and continuity challenges.</w:t>
            </w:r>
          </w:p>
        </w:tc>
        <w:tc>
          <w:tcPr>
            <w:tcW w:w="1997" w:type="dxa"/>
            <w:hideMark/>
          </w:tcPr>
          <w:p w14:paraId="315E590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experiences</w:t>
            </w:r>
          </w:p>
        </w:tc>
        <w:tc>
          <w:tcPr>
            <w:tcW w:w="1260" w:type="dxa"/>
            <w:hideMark/>
          </w:tcPr>
          <w:p w14:paraId="0B8B084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6FC93EA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De Visser et al. (2024)</w:t>
            </w:r>
          </w:p>
        </w:tc>
      </w:tr>
      <w:tr w:rsidR="00D74FFC" w:rsidRPr="00267A07" w14:paraId="602EBB7B" w14:textId="77777777" w:rsidTr="00BB7980">
        <w:tc>
          <w:tcPr>
            <w:tcW w:w="2242" w:type="dxa"/>
            <w:hideMark/>
          </w:tcPr>
          <w:p w14:paraId="12B1A70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Assess satisfaction with remote GP consultations</w:t>
            </w:r>
          </w:p>
        </w:tc>
        <w:tc>
          <w:tcPr>
            <w:tcW w:w="1565" w:type="dxa"/>
            <w:hideMark/>
          </w:tcPr>
          <w:p w14:paraId="4461262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419" w:type="dxa"/>
            <w:hideMark/>
          </w:tcPr>
          <w:p w14:paraId="5E01C75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1,426</w:t>
            </w:r>
          </w:p>
        </w:tc>
        <w:tc>
          <w:tcPr>
            <w:tcW w:w="1390" w:type="dxa"/>
            <w:hideMark/>
          </w:tcPr>
          <w:p w14:paraId="0549234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61DB505B"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Overall satisfaction positive; demographic differences observed.</w:t>
            </w:r>
          </w:p>
        </w:tc>
        <w:tc>
          <w:tcPr>
            <w:tcW w:w="1997" w:type="dxa"/>
            <w:hideMark/>
          </w:tcPr>
          <w:p w14:paraId="35A68CA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satisfaction</w:t>
            </w:r>
          </w:p>
        </w:tc>
        <w:tc>
          <w:tcPr>
            <w:tcW w:w="1260" w:type="dxa"/>
            <w:hideMark/>
          </w:tcPr>
          <w:p w14:paraId="516F859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3E65BDC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Lifford et al. (2023)</w:t>
            </w:r>
          </w:p>
        </w:tc>
      </w:tr>
      <w:tr w:rsidR="00D74FFC" w:rsidRPr="00267A07" w14:paraId="0D29E7D9" w14:textId="77777777" w:rsidTr="00BB7980">
        <w:tc>
          <w:tcPr>
            <w:tcW w:w="2242" w:type="dxa"/>
            <w:hideMark/>
          </w:tcPr>
          <w:p w14:paraId="7BDB5A5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Review mental health remote consultations</w:t>
            </w:r>
          </w:p>
        </w:tc>
        <w:tc>
          <w:tcPr>
            <w:tcW w:w="1565" w:type="dxa"/>
            <w:hideMark/>
          </w:tcPr>
          <w:p w14:paraId="2926853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Systematic review</w:t>
            </w:r>
          </w:p>
        </w:tc>
        <w:tc>
          <w:tcPr>
            <w:tcW w:w="1419" w:type="dxa"/>
            <w:hideMark/>
          </w:tcPr>
          <w:p w14:paraId="45D16A5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6 studies</w:t>
            </w:r>
          </w:p>
        </w:tc>
        <w:tc>
          <w:tcPr>
            <w:tcW w:w="1390" w:type="dxa"/>
            <w:hideMark/>
          </w:tcPr>
          <w:p w14:paraId="0DE88F6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2DD1299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Positive experiences; face-to-face preferred for complex care.</w:t>
            </w:r>
          </w:p>
        </w:tc>
        <w:tc>
          <w:tcPr>
            <w:tcW w:w="1997" w:type="dxa"/>
            <w:hideMark/>
          </w:tcPr>
          <w:p w14:paraId="4C349BC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preferences</w:t>
            </w:r>
          </w:p>
        </w:tc>
        <w:tc>
          <w:tcPr>
            <w:tcW w:w="1260" w:type="dxa"/>
            <w:hideMark/>
          </w:tcPr>
          <w:p w14:paraId="1948338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01ED718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Antonio et al. (2024)</w:t>
            </w:r>
          </w:p>
        </w:tc>
      </w:tr>
      <w:tr w:rsidR="00D74FFC" w:rsidRPr="00267A07" w14:paraId="7F891046" w14:textId="77777777" w:rsidTr="00BB7980">
        <w:tc>
          <w:tcPr>
            <w:tcW w:w="2242" w:type="dxa"/>
            <w:hideMark/>
          </w:tcPr>
          <w:p w14:paraId="1BB0171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lastRenderedPageBreak/>
              <w:t>Explore views on anxiety/depression consultations</w:t>
            </w:r>
          </w:p>
        </w:tc>
        <w:tc>
          <w:tcPr>
            <w:tcW w:w="1565" w:type="dxa"/>
            <w:hideMark/>
          </w:tcPr>
          <w:p w14:paraId="4D72EB7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4CBF490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41</w:t>
            </w:r>
          </w:p>
        </w:tc>
        <w:tc>
          <w:tcPr>
            <w:tcW w:w="1390" w:type="dxa"/>
            <w:hideMark/>
          </w:tcPr>
          <w:p w14:paraId="61621E3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0C2ECB93"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Convenience valued; hybrid care preferred.</w:t>
            </w:r>
          </w:p>
        </w:tc>
        <w:tc>
          <w:tcPr>
            <w:tcW w:w="1997" w:type="dxa"/>
            <w:hideMark/>
          </w:tcPr>
          <w:p w14:paraId="7A448FD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perceptions</w:t>
            </w:r>
          </w:p>
        </w:tc>
        <w:tc>
          <w:tcPr>
            <w:tcW w:w="1260" w:type="dxa"/>
            <w:hideMark/>
          </w:tcPr>
          <w:p w14:paraId="334EB88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6E098D9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Archer et al. (2025)</w:t>
            </w:r>
          </w:p>
        </w:tc>
      </w:tr>
      <w:tr w:rsidR="00D74FFC" w:rsidRPr="00267A07" w14:paraId="53673250" w14:textId="77777777" w:rsidTr="00BB7980">
        <w:tc>
          <w:tcPr>
            <w:tcW w:w="2242" w:type="dxa"/>
            <w:hideMark/>
          </w:tcPr>
          <w:p w14:paraId="48423F8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Evaluate remote home monitoring</w:t>
            </w:r>
          </w:p>
        </w:tc>
        <w:tc>
          <w:tcPr>
            <w:tcW w:w="1565" w:type="dxa"/>
            <w:hideMark/>
          </w:tcPr>
          <w:p w14:paraId="308CA9E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419" w:type="dxa"/>
            <w:hideMark/>
          </w:tcPr>
          <w:p w14:paraId="1F5F377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1,131</w:t>
            </w:r>
          </w:p>
        </w:tc>
        <w:tc>
          <w:tcPr>
            <w:tcW w:w="1390" w:type="dxa"/>
            <w:hideMark/>
          </w:tcPr>
          <w:p w14:paraId="22E0D38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907" w:type="dxa"/>
            <w:hideMark/>
          </w:tcPr>
          <w:p w14:paraId="262004C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Reassuring and accessible; support influenced engagement.</w:t>
            </w:r>
          </w:p>
        </w:tc>
        <w:tc>
          <w:tcPr>
            <w:tcW w:w="1997" w:type="dxa"/>
            <w:hideMark/>
          </w:tcPr>
          <w:p w14:paraId="356480F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engagement</w:t>
            </w:r>
          </w:p>
        </w:tc>
        <w:tc>
          <w:tcPr>
            <w:tcW w:w="1260" w:type="dxa"/>
            <w:hideMark/>
          </w:tcPr>
          <w:p w14:paraId="6BB362E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5BE74C4E"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Walton et al. (2022)</w:t>
            </w:r>
          </w:p>
        </w:tc>
      </w:tr>
      <w:tr w:rsidR="00D74FFC" w:rsidRPr="00267A07" w14:paraId="21ED15AB" w14:textId="77777777" w:rsidTr="00BB7980">
        <w:tc>
          <w:tcPr>
            <w:tcW w:w="2242" w:type="dxa"/>
            <w:hideMark/>
          </w:tcPr>
          <w:p w14:paraId="3902091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psoriasis remote consultations</w:t>
            </w:r>
          </w:p>
        </w:tc>
        <w:tc>
          <w:tcPr>
            <w:tcW w:w="1565" w:type="dxa"/>
            <w:hideMark/>
          </w:tcPr>
          <w:p w14:paraId="1E22C17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419" w:type="dxa"/>
            <w:hideMark/>
          </w:tcPr>
          <w:p w14:paraId="3665E35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126</w:t>
            </w:r>
          </w:p>
        </w:tc>
        <w:tc>
          <w:tcPr>
            <w:tcW w:w="1390" w:type="dxa"/>
            <w:hideMark/>
          </w:tcPr>
          <w:p w14:paraId="7DCEDE3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042FAF83"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High satisfaction; communication concerns; hybrid preferred.</w:t>
            </w:r>
          </w:p>
        </w:tc>
        <w:tc>
          <w:tcPr>
            <w:tcW w:w="1997" w:type="dxa"/>
            <w:hideMark/>
          </w:tcPr>
          <w:p w14:paraId="346CEBA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Patient experience</w:t>
            </w:r>
          </w:p>
        </w:tc>
        <w:tc>
          <w:tcPr>
            <w:tcW w:w="1260" w:type="dxa"/>
            <w:hideMark/>
          </w:tcPr>
          <w:p w14:paraId="51999FA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0D8E29F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Hewitt et al. (2022)</w:t>
            </w:r>
          </w:p>
        </w:tc>
      </w:tr>
      <w:tr w:rsidR="00D74FFC" w:rsidRPr="00267A07" w14:paraId="6DD737E9" w14:textId="77777777" w:rsidTr="00BB7980">
        <w:tc>
          <w:tcPr>
            <w:tcW w:w="2242" w:type="dxa"/>
            <w:hideMark/>
          </w:tcPr>
          <w:p w14:paraId="1F64FD4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Evaluate epilepsy video consultations</w:t>
            </w:r>
          </w:p>
        </w:tc>
        <w:tc>
          <w:tcPr>
            <w:tcW w:w="1565" w:type="dxa"/>
            <w:hideMark/>
          </w:tcPr>
          <w:p w14:paraId="0055D44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419" w:type="dxa"/>
            <w:hideMark/>
          </w:tcPr>
          <w:p w14:paraId="77BC895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40</w:t>
            </w:r>
          </w:p>
        </w:tc>
        <w:tc>
          <w:tcPr>
            <w:tcW w:w="1390" w:type="dxa"/>
            <w:hideMark/>
          </w:tcPr>
          <w:p w14:paraId="16ECE21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18AB33C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Reduced travel; hybrid care preferred.</w:t>
            </w:r>
          </w:p>
        </w:tc>
        <w:tc>
          <w:tcPr>
            <w:tcW w:w="1997" w:type="dxa"/>
            <w:hideMark/>
          </w:tcPr>
          <w:p w14:paraId="7AEEFAF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Video consultation experience</w:t>
            </w:r>
          </w:p>
        </w:tc>
        <w:tc>
          <w:tcPr>
            <w:tcW w:w="1260" w:type="dxa"/>
            <w:hideMark/>
          </w:tcPr>
          <w:p w14:paraId="3D1EB81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5E89F70B"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Bara et al. (2023)</w:t>
            </w:r>
          </w:p>
        </w:tc>
      </w:tr>
      <w:tr w:rsidR="00D74FFC" w:rsidRPr="00267A07" w14:paraId="387F65B5" w14:textId="77777777" w:rsidTr="00BB7980">
        <w:tc>
          <w:tcPr>
            <w:tcW w:w="2242" w:type="dxa"/>
            <w:hideMark/>
          </w:tcPr>
          <w:p w14:paraId="7488DA7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parents' remote consultation experiences</w:t>
            </w:r>
          </w:p>
        </w:tc>
        <w:tc>
          <w:tcPr>
            <w:tcW w:w="1565" w:type="dxa"/>
            <w:hideMark/>
          </w:tcPr>
          <w:p w14:paraId="41319B3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Mixed methods</w:t>
            </w:r>
          </w:p>
        </w:tc>
        <w:tc>
          <w:tcPr>
            <w:tcW w:w="1419" w:type="dxa"/>
            <w:hideMark/>
          </w:tcPr>
          <w:p w14:paraId="271D39D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29</w:t>
            </w:r>
          </w:p>
        </w:tc>
        <w:tc>
          <w:tcPr>
            <w:tcW w:w="1390" w:type="dxa"/>
            <w:hideMark/>
          </w:tcPr>
          <w:p w14:paraId="273FEBC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5A451DD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Acceptance increased; convenience highly valued.</w:t>
            </w:r>
          </w:p>
        </w:tc>
        <w:tc>
          <w:tcPr>
            <w:tcW w:w="1997" w:type="dxa"/>
            <w:hideMark/>
          </w:tcPr>
          <w:p w14:paraId="289788B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Parent experience</w:t>
            </w:r>
          </w:p>
        </w:tc>
        <w:tc>
          <w:tcPr>
            <w:tcW w:w="1260" w:type="dxa"/>
            <w:hideMark/>
          </w:tcPr>
          <w:p w14:paraId="5863CD3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07C555F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McCullough et al. (2024)</w:t>
            </w:r>
          </w:p>
        </w:tc>
      </w:tr>
      <w:tr w:rsidR="00D74FFC" w:rsidRPr="00267A07" w14:paraId="1D21C621" w14:textId="77777777" w:rsidTr="00BB7980">
        <w:tc>
          <w:tcPr>
            <w:tcW w:w="2242" w:type="dxa"/>
            <w:hideMark/>
          </w:tcPr>
          <w:p w14:paraId="0A6D921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lastRenderedPageBreak/>
              <w:t xml:space="preserve">Explore </w:t>
            </w:r>
            <w:proofErr w:type="spellStart"/>
            <w:r w:rsidRPr="00267A07">
              <w:rPr>
                <w:rFonts w:ascii="Arial" w:eastAsia="Times New Roman" w:hAnsi="Arial" w:cs="Arial"/>
                <w:sz w:val="24"/>
                <w:szCs w:val="24"/>
              </w:rPr>
              <w:t>paediatric</w:t>
            </w:r>
            <w:proofErr w:type="spellEnd"/>
            <w:r w:rsidRPr="00267A07">
              <w:rPr>
                <w:rFonts w:ascii="Arial" w:eastAsia="Times New Roman" w:hAnsi="Arial" w:cs="Arial"/>
                <w:sz w:val="24"/>
                <w:szCs w:val="24"/>
              </w:rPr>
              <w:t xml:space="preserve"> outpatient consultations</w:t>
            </w:r>
          </w:p>
        </w:tc>
        <w:tc>
          <w:tcPr>
            <w:tcW w:w="1565" w:type="dxa"/>
            <w:hideMark/>
          </w:tcPr>
          <w:p w14:paraId="288A652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605873F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37</w:t>
            </w:r>
          </w:p>
        </w:tc>
        <w:tc>
          <w:tcPr>
            <w:tcW w:w="1390" w:type="dxa"/>
            <w:hideMark/>
          </w:tcPr>
          <w:p w14:paraId="3C65DE4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2B0CA32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Flexible and convenient; more family responsibility.</w:t>
            </w:r>
          </w:p>
        </w:tc>
        <w:tc>
          <w:tcPr>
            <w:tcW w:w="1997" w:type="dxa"/>
            <w:hideMark/>
          </w:tcPr>
          <w:p w14:paraId="1EDB0D5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Family experiences</w:t>
            </w:r>
          </w:p>
        </w:tc>
        <w:tc>
          <w:tcPr>
            <w:tcW w:w="1260" w:type="dxa"/>
            <w:hideMark/>
          </w:tcPr>
          <w:p w14:paraId="549ABE9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4F8E320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Saron et al. (2025)</w:t>
            </w:r>
          </w:p>
        </w:tc>
      </w:tr>
      <w:tr w:rsidR="00D74FFC" w:rsidRPr="00267A07" w14:paraId="2153F966" w14:textId="77777777" w:rsidTr="00BB7980">
        <w:tc>
          <w:tcPr>
            <w:tcW w:w="2242" w:type="dxa"/>
            <w:hideMark/>
          </w:tcPr>
          <w:p w14:paraId="33BAB170"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CFS/ME remote consultations</w:t>
            </w:r>
          </w:p>
        </w:tc>
        <w:tc>
          <w:tcPr>
            <w:tcW w:w="1565" w:type="dxa"/>
            <w:hideMark/>
          </w:tcPr>
          <w:p w14:paraId="1C35DA2D"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58FFA49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13</w:t>
            </w:r>
          </w:p>
        </w:tc>
        <w:tc>
          <w:tcPr>
            <w:tcW w:w="1390" w:type="dxa"/>
            <w:hideMark/>
          </w:tcPr>
          <w:p w14:paraId="6259660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907" w:type="dxa"/>
            <w:hideMark/>
          </w:tcPr>
          <w:p w14:paraId="1AAC1773"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Reduced travel; communication and trust issues.</w:t>
            </w:r>
          </w:p>
        </w:tc>
        <w:tc>
          <w:tcPr>
            <w:tcW w:w="1997" w:type="dxa"/>
            <w:hideMark/>
          </w:tcPr>
          <w:p w14:paraId="570C68B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Long-term condition care</w:t>
            </w:r>
          </w:p>
        </w:tc>
        <w:tc>
          <w:tcPr>
            <w:tcW w:w="1260" w:type="dxa"/>
            <w:hideMark/>
          </w:tcPr>
          <w:p w14:paraId="121B5CA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3EBE306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Leach et al. (2024)</w:t>
            </w:r>
          </w:p>
        </w:tc>
      </w:tr>
      <w:tr w:rsidR="00D74FFC" w:rsidRPr="00267A07" w14:paraId="188F1ABF" w14:textId="77777777" w:rsidTr="00BB7980">
        <w:tc>
          <w:tcPr>
            <w:tcW w:w="2242" w:type="dxa"/>
            <w:hideMark/>
          </w:tcPr>
          <w:p w14:paraId="2D937BF2"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Evaluate cancer telephone clinics</w:t>
            </w:r>
          </w:p>
        </w:tc>
        <w:tc>
          <w:tcPr>
            <w:tcW w:w="1565" w:type="dxa"/>
            <w:hideMark/>
          </w:tcPr>
          <w:p w14:paraId="0E06CE1B"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419" w:type="dxa"/>
            <w:hideMark/>
          </w:tcPr>
          <w:p w14:paraId="361D977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55</w:t>
            </w:r>
          </w:p>
        </w:tc>
        <w:tc>
          <w:tcPr>
            <w:tcW w:w="1390" w:type="dxa"/>
            <w:hideMark/>
          </w:tcPr>
          <w:p w14:paraId="28483F7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2907" w:type="dxa"/>
            <w:hideMark/>
          </w:tcPr>
          <w:p w14:paraId="76B6A70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Convenient but unsuitable for complex consultations.</w:t>
            </w:r>
          </w:p>
        </w:tc>
        <w:tc>
          <w:tcPr>
            <w:tcW w:w="1997" w:type="dxa"/>
            <w:hideMark/>
          </w:tcPr>
          <w:p w14:paraId="583243E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Telephone consultation experience</w:t>
            </w:r>
          </w:p>
        </w:tc>
        <w:tc>
          <w:tcPr>
            <w:tcW w:w="1260" w:type="dxa"/>
            <w:hideMark/>
          </w:tcPr>
          <w:p w14:paraId="1B63F413"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649739BE"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Dalby et al. (2021)</w:t>
            </w:r>
          </w:p>
        </w:tc>
      </w:tr>
      <w:tr w:rsidR="00D74FFC" w:rsidRPr="00267A07" w14:paraId="563CAB63" w14:textId="77777777" w:rsidTr="00BB7980">
        <w:tc>
          <w:tcPr>
            <w:tcW w:w="2242" w:type="dxa"/>
            <w:hideMark/>
          </w:tcPr>
          <w:p w14:paraId="4501DA5E"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hypertension telemonitoring</w:t>
            </w:r>
          </w:p>
        </w:tc>
        <w:tc>
          <w:tcPr>
            <w:tcW w:w="1565" w:type="dxa"/>
            <w:hideMark/>
          </w:tcPr>
          <w:p w14:paraId="73231ED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2562FE04"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43</w:t>
            </w:r>
          </w:p>
        </w:tc>
        <w:tc>
          <w:tcPr>
            <w:tcW w:w="1390" w:type="dxa"/>
            <w:hideMark/>
          </w:tcPr>
          <w:p w14:paraId="61B7A61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Scotland</w:t>
            </w:r>
          </w:p>
        </w:tc>
        <w:tc>
          <w:tcPr>
            <w:tcW w:w="2907" w:type="dxa"/>
            <w:hideMark/>
          </w:tcPr>
          <w:p w14:paraId="5D6C650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Improved self-management and access.</w:t>
            </w:r>
          </w:p>
        </w:tc>
        <w:tc>
          <w:tcPr>
            <w:tcW w:w="1997" w:type="dxa"/>
            <w:hideMark/>
          </w:tcPr>
          <w:p w14:paraId="226C83C1"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Remote monitoring experience</w:t>
            </w:r>
          </w:p>
        </w:tc>
        <w:tc>
          <w:tcPr>
            <w:tcW w:w="1260" w:type="dxa"/>
            <w:hideMark/>
          </w:tcPr>
          <w:p w14:paraId="38073E2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08E86378" w14:textId="77777777" w:rsidR="001E08A0" w:rsidRPr="00267A07" w:rsidRDefault="001E08A0" w:rsidP="00267A07">
            <w:pPr>
              <w:spacing w:before="120" w:after="120" w:line="360" w:lineRule="auto"/>
              <w:jc w:val="both"/>
              <w:rPr>
                <w:rFonts w:ascii="Arial" w:eastAsia="Times New Roman" w:hAnsi="Arial" w:cs="Arial"/>
                <w:sz w:val="24"/>
                <w:szCs w:val="24"/>
              </w:rPr>
            </w:pPr>
            <w:proofErr w:type="spellStart"/>
            <w:r w:rsidRPr="00267A07">
              <w:rPr>
                <w:rFonts w:ascii="Arial" w:eastAsia="Times New Roman" w:hAnsi="Arial" w:cs="Arial"/>
                <w:sz w:val="24"/>
                <w:szCs w:val="24"/>
              </w:rPr>
              <w:t>Mchale</w:t>
            </w:r>
            <w:proofErr w:type="spellEnd"/>
            <w:r w:rsidRPr="00267A07">
              <w:rPr>
                <w:rFonts w:ascii="Arial" w:eastAsia="Times New Roman" w:hAnsi="Arial" w:cs="Arial"/>
                <w:sz w:val="24"/>
                <w:szCs w:val="24"/>
              </w:rPr>
              <w:t xml:space="preserve"> et al. (2023)</w:t>
            </w:r>
          </w:p>
        </w:tc>
      </w:tr>
      <w:tr w:rsidR="00D74FFC" w:rsidRPr="00267A07" w14:paraId="7091D137" w14:textId="77777777" w:rsidTr="00BB7980">
        <w:tc>
          <w:tcPr>
            <w:tcW w:w="2242" w:type="dxa"/>
            <w:hideMark/>
          </w:tcPr>
          <w:p w14:paraId="7087E90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Evaluate chemotherapy remote monitoring</w:t>
            </w:r>
          </w:p>
        </w:tc>
        <w:tc>
          <w:tcPr>
            <w:tcW w:w="1565" w:type="dxa"/>
            <w:hideMark/>
          </w:tcPr>
          <w:p w14:paraId="2903993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419" w:type="dxa"/>
            <w:hideMark/>
          </w:tcPr>
          <w:p w14:paraId="0A1AC85A"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47</w:t>
            </w:r>
          </w:p>
        </w:tc>
        <w:tc>
          <w:tcPr>
            <w:tcW w:w="1390" w:type="dxa"/>
            <w:hideMark/>
          </w:tcPr>
          <w:p w14:paraId="4084DC98"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UK/Europe</w:t>
            </w:r>
          </w:p>
        </w:tc>
        <w:tc>
          <w:tcPr>
            <w:tcW w:w="2907" w:type="dxa"/>
            <w:hideMark/>
          </w:tcPr>
          <w:p w14:paraId="440F7A07"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Better communication and reassurance.</w:t>
            </w:r>
          </w:p>
        </w:tc>
        <w:tc>
          <w:tcPr>
            <w:tcW w:w="1997" w:type="dxa"/>
            <w:hideMark/>
          </w:tcPr>
          <w:p w14:paraId="20C92AF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Remote monitoring acceptance</w:t>
            </w:r>
          </w:p>
        </w:tc>
        <w:tc>
          <w:tcPr>
            <w:tcW w:w="1260" w:type="dxa"/>
            <w:hideMark/>
          </w:tcPr>
          <w:p w14:paraId="6082506C"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0254216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McCann et al. (2024)</w:t>
            </w:r>
          </w:p>
        </w:tc>
      </w:tr>
      <w:tr w:rsidR="00D74FFC" w:rsidRPr="00267A07" w14:paraId="6B5640A0" w14:textId="77777777" w:rsidTr="00BB7980">
        <w:tc>
          <w:tcPr>
            <w:tcW w:w="2242" w:type="dxa"/>
            <w:hideMark/>
          </w:tcPr>
          <w:p w14:paraId="25142DA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Evaluate neurorehabilitation video consultations</w:t>
            </w:r>
          </w:p>
        </w:tc>
        <w:tc>
          <w:tcPr>
            <w:tcW w:w="1565" w:type="dxa"/>
            <w:hideMark/>
          </w:tcPr>
          <w:p w14:paraId="12286E8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419" w:type="dxa"/>
            <w:hideMark/>
          </w:tcPr>
          <w:p w14:paraId="34262656"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637</w:t>
            </w:r>
          </w:p>
        </w:tc>
        <w:tc>
          <w:tcPr>
            <w:tcW w:w="1390" w:type="dxa"/>
            <w:hideMark/>
          </w:tcPr>
          <w:p w14:paraId="36998889"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2907" w:type="dxa"/>
            <w:hideMark/>
          </w:tcPr>
          <w:p w14:paraId="3B17BAB3"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High satisfaction; technical issues remained.</w:t>
            </w:r>
          </w:p>
        </w:tc>
        <w:tc>
          <w:tcPr>
            <w:tcW w:w="1997" w:type="dxa"/>
            <w:hideMark/>
          </w:tcPr>
          <w:p w14:paraId="18623115"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Video consultation experience</w:t>
            </w:r>
          </w:p>
        </w:tc>
        <w:tc>
          <w:tcPr>
            <w:tcW w:w="1260" w:type="dxa"/>
            <w:hideMark/>
          </w:tcPr>
          <w:p w14:paraId="0A01B41F"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O2</w:t>
            </w:r>
          </w:p>
        </w:tc>
        <w:tc>
          <w:tcPr>
            <w:tcW w:w="1800" w:type="dxa"/>
            <w:hideMark/>
          </w:tcPr>
          <w:p w14:paraId="7E67B34B" w14:textId="77777777" w:rsidR="001E08A0" w:rsidRPr="00267A07" w:rsidRDefault="001E08A0"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Saif et al. (2024)</w:t>
            </w:r>
          </w:p>
        </w:tc>
      </w:tr>
    </w:tbl>
    <w:p w14:paraId="66FA280B" w14:textId="77777777" w:rsidR="00C10ADD" w:rsidRPr="00267A07" w:rsidRDefault="00C10ADD" w:rsidP="00267A07">
      <w:pPr>
        <w:spacing w:before="120" w:after="120" w:line="360" w:lineRule="auto"/>
        <w:jc w:val="both"/>
        <w:rPr>
          <w:rFonts w:ascii="Arial" w:eastAsia="Times New Roman" w:hAnsi="Arial" w:cs="Arial"/>
          <w:sz w:val="24"/>
          <w:szCs w:val="24"/>
        </w:rPr>
      </w:pPr>
    </w:p>
    <w:p w14:paraId="25DF19D2" w14:textId="77777777" w:rsidR="00C10ADD" w:rsidRPr="00267A07" w:rsidRDefault="00C10ADD" w:rsidP="00267A07">
      <w:pPr>
        <w:spacing w:before="120" w:after="120" w:line="360" w:lineRule="auto"/>
        <w:jc w:val="both"/>
        <w:rPr>
          <w:rFonts w:ascii="Arial" w:eastAsia="Times New Roman" w:hAnsi="Arial" w:cs="Arial"/>
          <w:sz w:val="24"/>
          <w:szCs w:val="24"/>
        </w:rPr>
      </w:pPr>
    </w:p>
    <w:p w14:paraId="7AEE4F5F" w14:textId="77777777" w:rsidR="004D6A5E" w:rsidRPr="00267A07" w:rsidRDefault="002B223E" w:rsidP="00267A07">
      <w:pPr>
        <w:pStyle w:val="Heading2"/>
        <w:spacing w:before="120" w:beforeAutospacing="0" w:after="120" w:afterAutospacing="0" w:line="360" w:lineRule="auto"/>
        <w:jc w:val="both"/>
        <w:rPr>
          <w:rFonts w:cs="Arial"/>
        </w:rPr>
      </w:pPr>
      <w:bookmarkStart w:id="10" w:name="_Toc234586556"/>
      <w:r w:rsidRPr="00267A07">
        <w:rPr>
          <w:rFonts w:cs="Arial"/>
        </w:rPr>
        <w:t xml:space="preserve">4.3 </w:t>
      </w:r>
      <w:r w:rsidR="00EE7013" w:rsidRPr="00267A07">
        <w:rPr>
          <w:rFonts w:cs="Arial"/>
        </w:rPr>
        <w:t xml:space="preserve">Theme 3: </w:t>
      </w:r>
      <w:r w:rsidR="004D6A5E" w:rsidRPr="00267A07">
        <w:rPr>
          <w:rFonts w:cs="Arial"/>
        </w:rPr>
        <w:t>Barriers and facilitators affecting acceptance and use</w:t>
      </w:r>
      <w:bookmarkEnd w:id="10"/>
    </w:p>
    <w:p w14:paraId="2367F7A9" w14:textId="77777777" w:rsidR="004D6A5E" w:rsidRPr="00267A07" w:rsidRDefault="004D6A5E" w:rsidP="00267A07">
      <w:pPr>
        <w:pStyle w:val="Caption"/>
        <w:keepNext/>
        <w:spacing w:before="120" w:after="120" w:line="360" w:lineRule="auto"/>
        <w:jc w:val="both"/>
        <w:rPr>
          <w:rFonts w:ascii="Arial" w:hAnsi="Arial" w:cs="Arial"/>
        </w:rPr>
      </w:pPr>
      <w:r w:rsidRPr="00267A07">
        <w:rPr>
          <w:rFonts w:ascii="Arial" w:hAnsi="Arial" w:cs="Arial"/>
        </w:rPr>
        <w:t xml:space="preserve">Table </w:t>
      </w:r>
      <w:r w:rsidR="007A02C2" w:rsidRPr="00267A07">
        <w:rPr>
          <w:rFonts w:ascii="Arial" w:hAnsi="Arial" w:cs="Arial"/>
        </w:rPr>
        <w:fldChar w:fldCharType="begin"/>
      </w:r>
      <w:r w:rsidR="007A02C2" w:rsidRPr="00267A07">
        <w:rPr>
          <w:rFonts w:ascii="Arial" w:hAnsi="Arial" w:cs="Arial"/>
        </w:rPr>
        <w:instrText xml:space="preserve"> SEQ Table \* ARABIC </w:instrText>
      </w:r>
      <w:r w:rsidR="007A02C2" w:rsidRPr="00267A07">
        <w:rPr>
          <w:rFonts w:ascii="Arial" w:hAnsi="Arial" w:cs="Arial"/>
        </w:rPr>
        <w:fldChar w:fldCharType="separate"/>
      </w:r>
      <w:r w:rsidRPr="00267A07">
        <w:rPr>
          <w:rFonts w:ascii="Arial" w:hAnsi="Arial" w:cs="Arial"/>
          <w:noProof/>
        </w:rPr>
        <w:t>3</w:t>
      </w:r>
      <w:r w:rsidR="007A02C2" w:rsidRPr="00267A07">
        <w:rPr>
          <w:rFonts w:ascii="Arial" w:hAnsi="Arial" w:cs="Arial"/>
          <w:noProof/>
        </w:rPr>
        <w:fldChar w:fldCharType="end"/>
      </w:r>
      <w:r w:rsidRPr="00267A07">
        <w:rPr>
          <w:rFonts w:ascii="Arial" w:hAnsi="Arial" w:cs="Arial"/>
        </w:rPr>
        <w:t>: Barriers and facilitators affecting acceptance and use</w:t>
      </w:r>
    </w:p>
    <w:tbl>
      <w:tblPr>
        <w:tblStyle w:val="TableGrid"/>
        <w:tblW w:w="14580" w:type="dxa"/>
        <w:tblInd w:w="-905" w:type="dxa"/>
        <w:tblLayout w:type="fixed"/>
        <w:tblLook w:val="04A0" w:firstRow="1" w:lastRow="0" w:firstColumn="1" w:lastColumn="0" w:noHBand="0" w:noVBand="1"/>
      </w:tblPr>
      <w:tblGrid>
        <w:gridCol w:w="2165"/>
        <w:gridCol w:w="1857"/>
        <w:gridCol w:w="1137"/>
        <w:gridCol w:w="961"/>
        <w:gridCol w:w="3960"/>
        <w:gridCol w:w="1440"/>
        <w:gridCol w:w="1710"/>
        <w:gridCol w:w="1350"/>
      </w:tblGrid>
      <w:tr w:rsidR="003550CF" w:rsidRPr="00267A07" w14:paraId="3D15DC21" w14:textId="77777777" w:rsidTr="003550CF">
        <w:tc>
          <w:tcPr>
            <w:tcW w:w="2165" w:type="dxa"/>
            <w:hideMark/>
          </w:tcPr>
          <w:p w14:paraId="6694C384"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Objective/Aim</w:t>
            </w:r>
          </w:p>
        </w:tc>
        <w:tc>
          <w:tcPr>
            <w:tcW w:w="1857" w:type="dxa"/>
            <w:hideMark/>
          </w:tcPr>
          <w:p w14:paraId="741D96D6"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Method</w:t>
            </w:r>
          </w:p>
        </w:tc>
        <w:tc>
          <w:tcPr>
            <w:tcW w:w="1137" w:type="dxa"/>
            <w:hideMark/>
          </w:tcPr>
          <w:p w14:paraId="2E30818F"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Sample</w:t>
            </w:r>
          </w:p>
        </w:tc>
        <w:tc>
          <w:tcPr>
            <w:tcW w:w="961" w:type="dxa"/>
            <w:hideMark/>
          </w:tcPr>
          <w:p w14:paraId="15E7217F"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Region</w:t>
            </w:r>
          </w:p>
        </w:tc>
        <w:tc>
          <w:tcPr>
            <w:tcW w:w="3960" w:type="dxa"/>
            <w:hideMark/>
          </w:tcPr>
          <w:p w14:paraId="5EFCB0BE"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Key Finding</w:t>
            </w:r>
          </w:p>
        </w:tc>
        <w:tc>
          <w:tcPr>
            <w:tcW w:w="1440" w:type="dxa"/>
            <w:hideMark/>
          </w:tcPr>
          <w:p w14:paraId="1F155E4A"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Relevance</w:t>
            </w:r>
          </w:p>
        </w:tc>
        <w:tc>
          <w:tcPr>
            <w:tcW w:w="1710" w:type="dxa"/>
            <w:hideMark/>
          </w:tcPr>
          <w:p w14:paraId="11CEFAA0"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Objective</w:t>
            </w:r>
          </w:p>
        </w:tc>
        <w:tc>
          <w:tcPr>
            <w:tcW w:w="1350" w:type="dxa"/>
            <w:hideMark/>
          </w:tcPr>
          <w:p w14:paraId="4C719960" w14:textId="77777777" w:rsidR="002B10EB" w:rsidRPr="00267A07" w:rsidRDefault="002B10EB" w:rsidP="00267A07">
            <w:pPr>
              <w:spacing w:before="120" w:after="120" w:line="360" w:lineRule="auto"/>
              <w:jc w:val="both"/>
              <w:rPr>
                <w:rFonts w:ascii="Arial" w:eastAsia="Times New Roman" w:hAnsi="Arial" w:cs="Arial"/>
                <w:b/>
                <w:bCs/>
                <w:sz w:val="24"/>
                <w:szCs w:val="24"/>
              </w:rPr>
            </w:pPr>
            <w:r w:rsidRPr="00267A07">
              <w:rPr>
                <w:rFonts w:ascii="Arial" w:eastAsia="Times New Roman" w:hAnsi="Arial" w:cs="Arial"/>
                <w:b/>
                <w:bCs/>
                <w:sz w:val="24"/>
                <w:szCs w:val="24"/>
              </w:rPr>
              <w:t>Citation</w:t>
            </w:r>
          </w:p>
        </w:tc>
      </w:tr>
      <w:tr w:rsidR="003550CF" w:rsidRPr="00267A07" w14:paraId="79C248FB" w14:textId="77777777" w:rsidTr="003550CF">
        <w:tc>
          <w:tcPr>
            <w:tcW w:w="2165" w:type="dxa"/>
            <w:hideMark/>
          </w:tcPr>
          <w:p w14:paraId="0AAAB92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virtual ward implementation</w:t>
            </w:r>
          </w:p>
        </w:tc>
        <w:tc>
          <w:tcPr>
            <w:tcW w:w="1857" w:type="dxa"/>
            <w:hideMark/>
          </w:tcPr>
          <w:p w14:paraId="528ECF5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137" w:type="dxa"/>
            <w:hideMark/>
          </w:tcPr>
          <w:p w14:paraId="4BB5D85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20</w:t>
            </w:r>
          </w:p>
        </w:tc>
        <w:tc>
          <w:tcPr>
            <w:tcW w:w="961" w:type="dxa"/>
            <w:hideMark/>
          </w:tcPr>
          <w:p w14:paraId="1A3A1665"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3960" w:type="dxa"/>
            <w:hideMark/>
          </w:tcPr>
          <w:p w14:paraId="4179D36B" w14:textId="053A0624"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Funding, interoperability and guidance were barriers; leadership and patient-</w:t>
            </w:r>
            <w:r w:rsidR="002E0EE1" w:rsidRPr="00267A07">
              <w:rPr>
                <w:rFonts w:ascii="Arial" w:eastAsia="Times New Roman" w:hAnsi="Arial" w:cs="Arial"/>
                <w:sz w:val="24"/>
                <w:szCs w:val="24"/>
              </w:rPr>
              <w:t>centered</w:t>
            </w:r>
            <w:r w:rsidRPr="00267A07">
              <w:rPr>
                <w:rFonts w:ascii="Arial" w:eastAsia="Times New Roman" w:hAnsi="Arial" w:cs="Arial"/>
                <w:sz w:val="24"/>
                <w:szCs w:val="24"/>
              </w:rPr>
              <w:t xml:space="preserve"> design facilitated adoption.</w:t>
            </w:r>
          </w:p>
        </w:tc>
        <w:tc>
          <w:tcPr>
            <w:tcW w:w="1440" w:type="dxa"/>
            <w:hideMark/>
          </w:tcPr>
          <w:p w14:paraId="79B08895"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Digital implementation</w:t>
            </w:r>
          </w:p>
        </w:tc>
        <w:tc>
          <w:tcPr>
            <w:tcW w:w="1710" w:type="dxa"/>
            <w:hideMark/>
          </w:tcPr>
          <w:p w14:paraId="0474BEB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0DC5D67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McGowan et al. (2024)</w:t>
            </w:r>
          </w:p>
        </w:tc>
      </w:tr>
      <w:tr w:rsidR="003550CF" w:rsidRPr="00267A07" w14:paraId="619E3AB7" w14:textId="77777777" w:rsidTr="003550CF">
        <w:tc>
          <w:tcPr>
            <w:tcW w:w="2165" w:type="dxa"/>
            <w:hideMark/>
          </w:tcPr>
          <w:p w14:paraId="2D76C1A4"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remote postoperative monitoring</w:t>
            </w:r>
          </w:p>
        </w:tc>
        <w:tc>
          <w:tcPr>
            <w:tcW w:w="1857" w:type="dxa"/>
            <w:hideMark/>
          </w:tcPr>
          <w:p w14:paraId="3FEF7F2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137" w:type="dxa"/>
            <w:hideMark/>
          </w:tcPr>
          <w:p w14:paraId="61EECFF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28</w:t>
            </w:r>
          </w:p>
        </w:tc>
        <w:tc>
          <w:tcPr>
            <w:tcW w:w="961" w:type="dxa"/>
            <w:hideMark/>
          </w:tcPr>
          <w:p w14:paraId="21AC2E4A"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3960" w:type="dxa"/>
            <w:hideMark/>
          </w:tcPr>
          <w:p w14:paraId="65788946"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 xml:space="preserve">Clinical benefits </w:t>
            </w:r>
            <w:proofErr w:type="spellStart"/>
            <w:r w:rsidRPr="00267A07">
              <w:rPr>
                <w:rFonts w:ascii="Arial" w:eastAsia="Times New Roman" w:hAnsi="Arial" w:cs="Arial"/>
                <w:sz w:val="24"/>
                <w:szCs w:val="24"/>
              </w:rPr>
              <w:t>recognised</w:t>
            </w:r>
            <w:proofErr w:type="spellEnd"/>
            <w:r w:rsidRPr="00267A07">
              <w:rPr>
                <w:rFonts w:ascii="Arial" w:eastAsia="Times New Roman" w:hAnsi="Arial" w:cs="Arial"/>
                <w:sz w:val="24"/>
                <w:szCs w:val="24"/>
              </w:rPr>
              <w:t xml:space="preserve">; barriers included IT, staffing and digital access; </w:t>
            </w:r>
            <w:proofErr w:type="spellStart"/>
            <w:r w:rsidRPr="00267A07">
              <w:rPr>
                <w:rFonts w:ascii="Arial" w:eastAsia="Times New Roman" w:hAnsi="Arial" w:cs="Arial"/>
                <w:sz w:val="24"/>
                <w:szCs w:val="24"/>
              </w:rPr>
              <w:t>organisational</w:t>
            </w:r>
            <w:proofErr w:type="spellEnd"/>
            <w:r w:rsidRPr="00267A07">
              <w:rPr>
                <w:rFonts w:ascii="Arial" w:eastAsia="Times New Roman" w:hAnsi="Arial" w:cs="Arial"/>
                <w:sz w:val="24"/>
                <w:szCs w:val="24"/>
              </w:rPr>
              <w:t xml:space="preserve"> support facilitated implementation.</w:t>
            </w:r>
          </w:p>
        </w:tc>
        <w:tc>
          <w:tcPr>
            <w:tcW w:w="1440" w:type="dxa"/>
            <w:hideMark/>
          </w:tcPr>
          <w:p w14:paraId="5C372BB4"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Remote monitoring</w:t>
            </w:r>
          </w:p>
        </w:tc>
        <w:tc>
          <w:tcPr>
            <w:tcW w:w="1710" w:type="dxa"/>
            <w:hideMark/>
          </w:tcPr>
          <w:p w14:paraId="4B947A19"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1A1CE587"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McLean et al. (2024)</w:t>
            </w:r>
          </w:p>
        </w:tc>
      </w:tr>
      <w:tr w:rsidR="003550CF" w:rsidRPr="00267A07" w14:paraId="6D9D9D9F" w14:textId="77777777" w:rsidTr="003550CF">
        <w:tc>
          <w:tcPr>
            <w:tcW w:w="2165" w:type="dxa"/>
            <w:hideMark/>
          </w:tcPr>
          <w:p w14:paraId="0E3F740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Review remote monitoring implementation</w:t>
            </w:r>
          </w:p>
        </w:tc>
        <w:tc>
          <w:tcPr>
            <w:tcW w:w="1857" w:type="dxa"/>
            <w:hideMark/>
          </w:tcPr>
          <w:p w14:paraId="3353A39D"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Implementation review</w:t>
            </w:r>
          </w:p>
        </w:tc>
        <w:tc>
          <w:tcPr>
            <w:tcW w:w="1137" w:type="dxa"/>
            <w:hideMark/>
          </w:tcPr>
          <w:p w14:paraId="2AB87AC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N/A</w:t>
            </w:r>
          </w:p>
        </w:tc>
        <w:tc>
          <w:tcPr>
            <w:tcW w:w="961" w:type="dxa"/>
            <w:hideMark/>
          </w:tcPr>
          <w:p w14:paraId="024BF03B"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UK/USA</w:t>
            </w:r>
          </w:p>
        </w:tc>
        <w:tc>
          <w:tcPr>
            <w:tcW w:w="3960" w:type="dxa"/>
            <w:hideMark/>
          </w:tcPr>
          <w:p w14:paraId="364BAE2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Workflow, usability and device limitations were barriers; patient-</w:t>
            </w:r>
            <w:proofErr w:type="spellStart"/>
            <w:r w:rsidRPr="00267A07">
              <w:rPr>
                <w:rFonts w:ascii="Arial" w:eastAsia="Times New Roman" w:hAnsi="Arial" w:cs="Arial"/>
                <w:sz w:val="24"/>
                <w:szCs w:val="24"/>
              </w:rPr>
              <w:t>centred</w:t>
            </w:r>
            <w:proofErr w:type="spellEnd"/>
            <w:r w:rsidRPr="00267A07">
              <w:rPr>
                <w:rFonts w:ascii="Arial" w:eastAsia="Times New Roman" w:hAnsi="Arial" w:cs="Arial"/>
                <w:sz w:val="24"/>
                <w:szCs w:val="24"/>
              </w:rPr>
              <w:t xml:space="preserve"> design improved adoption.</w:t>
            </w:r>
          </w:p>
        </w:tc>
        <w:tc>
          <w:tcPr>
            <w:tcW w:w="1440" w:type="dxa"/>
            <w:hideMark/>
          </w:tcPr>
          <w:p w14:paraId="1065A44F"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Implementation factors</w:t>
            </w:r>
          </w:p>
        </w:tc>
        <w:tc>
          <w:tcPr>
            <w:tcW w:w="1710" w:type="dxa"/>
            <w:hideMark/>
          </w:tcPr>
          <w:p w14:paraId="265D1868"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5C7E1FFA"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Wilkes et al. (2024)</w:t>
            </w:r>
          </w:p>
        </w:tc>
      </w:tr>
      <w:tr w:rsidR="003550CF" w:rsidRPr="00267A07" w14:paraId="5BF9DF4F" w14:textId="77777777" w:rsidTr="003550CF">
        <w:tc>
          <w:tcPr>
            <w:tcW w:w="2165" w:type="dxa"/>
            <w:hideMark/>
          </w:tcPr>
          <w:p w14:paraId="52B4DADD"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lastRenderedPageBreak/>
              <w:t>Explore frailty virtual wards</w:t>
            </w:r>
          </w:p>
        </w:tc>
        <w:tc>
          <w:tcPr>
            <w:tcW w:w="1857" w:type="dxa"/>
            <w:hideMark/>
          </w:tcPr>
          <w:p w14:paraId="7F3D4518"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Qualitative</w:t>
            </w:r>
          </w:p>
        </w:tc>
        <w:tc>
          <w:tcPr>
            <w:tcW w:w="1137" w:type="dxa"/>
            <w:hideMark/>
          </w:tcPr>
          <w:p w14:paraId="6C90B0BD"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42</w:t>
            </w:r>
          </w:p>
        </w:tc>
        <w:tc>
          <w:tcPr>
            <w:tcW w:w="961" w:type="dxa"/>
            <w:hideMark/>
          </w:tcPr>
          <w:p w14:paraId="05D928CB"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3960" w:type="dxa"/>
            <w:hideMark/>
          </w:tcPr>
          <w:p w14:paraId="76FE9709"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Workload, equipment and patient suitability limited adoption; co-design and support improved implementation.</w:t>
            </w:r>
          </w:p>
        </w:tc>
        <w:tc>
          <w:tcPr>
            <w:tcW w:w="1440" w:type="dxa"/>
            <w:hideMark/>
          </w:tcPr>
          <w:p w14:paraId="1FF5235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Virtual ward adoption</w:t>
            </w:r>
          </w:p>
        </w:tc>
        <w:tc>
          <w:tcPr>
            <w:tcW w:w="1710" w:type="dxa"/>
            <w:hideMark/>
          </w:tcPr>
          <w:p w14:paraId="1A589566"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53681BA8"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Lindsay et al. (2025)</w:t>
            </w:r>
          </w:p>
        </w:tc>
      </w:tr>
      <w:tr w:rsidR="003550CF" w:rsidRPr="00267A07" w14:paraId="531BCE77" w14:textId="77777777" w:rsidTr="003550CF">
        <w:tc>
          <w:tcPr>
            <w:tcW w:w="2165" w:type="dxa"/>
            <w:hideMark/>
          </w:tcPr>
          <w:p w14:paraId="1BF8CD64"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Explore EHR interoperability</w:t>
            </w:r>
          </w:p>
        </w:tc>
        <w:tc>
          <w:tcPr>
            <w:tcW w:w="1857" w:type="dxa"/>
            <w:hideMark/>
          </w:tcPr>
          <w:p w14:paraId="32EC3A30"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Focus groups</w:t>
            </w:r>
          </w:p>
        </w:tc>
        <w:tc>
          <w:tcPr>
            <w:tcW w:w="1137" w:type="dxa"/>
            <w:hideMark/>
          </w:tcPr>
          <w:p w14:paraId="2B811A8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18</w:t>
            </w:r>
          </w:p>
        </w:tc>
        <w:tc>
          <w:tcPr>
            <w:tcW w:w="961" w:type="dxa"/>
            <w:hideMark/>
          </w:tcPr>
          <w:p w14:paraId="12E2A34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UK</w:t>
            </w:r>
          </w:p>
        </w:tc>
        <w:tc>
          <w:tcPr>
            <w:tcW w:w="3960" w:type="dxa"/>
            <w:hideMark/>
          </w:tcPr>
          <w:p w14:paraId="1B9DA6AB"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Poor interoperability reduced care quality; integrated systems and staff training were facilitators.</w:t>
            </w:r>
          </w:p>
        </w:tc>
        <w:tc>
          <w:tcPr>
            <w:tcW w:w="1440" w:type="dxa"/>
            <w:hideMark/>
          </w:tcPr>
          <w:p w14:paraId="0A0FAE7D"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Electronic health records</w:t>
            </w:r>
          </w:p>
        </w:tc>
        <w:tc>
          <w:tcPr>
            <w:tcW w:w="1710" w:type="dxa"/>
            <w:hideMark/>
          </w:tcPr>
          <w:p w14:paraId="16A5A603"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6BDE8832"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Li et al. (2024)</w:t>
            </w:r>
          </w:p>
        </w:tc>
      </w:tr>
      <w:tr w:rsidR="003550CF" w:rsidRPr="00267A07" w14:paraId="045C6F82" w14:textId="77777777" w:rsidTr="003550CF">
        <w:tc>
          <w:tcPr>
            <w:tcW w:w="2165" w:type="dxa"/>
            <w:hideMark/>
          </w:tcPr>
          <w:p w14:paraId="6CCC7F13"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Assess online GP record access</w:t>
            </w:r>
          </w:p>
        </w:tc>
        <w:tc>
          <w:tcPr>
            <w:tcW w:w="1857" w:type="dxa"/>
            <w:hideMark/>
          </w:tcPr>
          <w:p w14:paraId="7C33DF8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Survey</w:t>
            </w:r>
          </w:p>
        </w:tc>
        <w:tc>
          <w:tcPr>
            <w:tcW w:w="1137" w:type="dxa"/>
            <w:hideMark/>
          </w:tcPr>
          <w:p w14:paraId="6D143AE7"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400</w:t>
            </w:r>
          </w:p>
        </w:tc>
        <w:tc>
          <w:tcPr>
            <w:tcW w:w="961" w:type="dxa"/>
            <w:hideMark/>
          </w:tcPr>
          <w:p w14:paraId="3C24948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England</w:t>
            </w:r>
          </w:p>
        </w:tc>
        <w:tc>
          <w:tcPr>
            <w:tcW w:w="3960" w:type="dxa"/>
            <w:hideMark/>
          </w:tcPr>
          <w:p w14:paraId="62639699"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Better patient engagement but workload and privacy concerns limited acceptance.</w:t>
            </w:r>
          </w:p>
        </w:tc>
        <w:tc>
          <w:tcPr>
            <w:tcW w:w="1440" w:type="dxa"/>
            <w:hideMark/>
          </w:tcPr>
          <w:p w14:paraId="21956053"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Online health records</w:t>
            </w:r>
          </w:p>
        </w:tc>
        <w:tc>
          <w:tcPr>
            <w:tcW w:w="1710" w:type="dxa"/>
            <w:hideMark/>
          </w:tcPr>
          <w:p w14:paraId="7A9D037A"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749B496A"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Blease et al. (2024)</w:t>
            </w:r>
          </w:p>
        </w:tc>
      </w:tr>
      <w:tr w:rsidR="003550CF" w:rsidRPr="00267A07" w14:paraId="1D174FFD" w14:textId="77777777" w:rsidTr="003550CF">
        <w:tc>
          <w:tcPr>
            <w:tcW w:w="2165" w:type="dxa"/>
            <w:hideMark/>
          </w:tcPr>
          <w:p w14:paraId="692E7569"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Review patient access to EHRs</w:t>
            </w:r>
          </w:p>
        </w:tc>
        <w:tc>
          <w:tcPr>
            <w:tcW w:w="1857" w:type="dxa"/>
            <w:hideMark/>
          </w:tcPr>
          <w:p w14:paraId="365B3D46"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Systematic review</w:t>
            </w:r>
          </w:p>
        </w:tc>
        <w:tc>
          <w:tcPr>
            <w:tcW w:w="1137" w:type="dxa"/>
            <w:hideMark/>
          </w:tcPr>
          <w:p w14:paraId="654A7122"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74 studies</w:t>
            </w:r>
          </w:p>
        </w:tc>
        <w:tc>
          <w:tcPr>
            <w:tcW w:w="961" w:type="dxa"/>
            <w:hideMark/>
          </w:tcPr>
          <w:p w14:paraId="73E302D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International</w:t>
            </w:r>
          </w:p>
        </w:tc>
        <w:tc>
          <w:tcPr>
            <w:tcW w:w="3960" w:type="dxa"/>
            <w:hideMark/>
          </w:tcPr>
          <w:p w14:paraId="66F1A622"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Improved engagement and self-management; privacy and security remained concerns.</w:t>
            </w:r>
          </w:p>
        </w:tc>
        <w:tc>
          <w:tcPr>
            <w:tcW w:w="1440" w:type="dxa"/>
            <w:hideMark/>
          </w:tcPr>
          <w:p w14:paraId="5F7F5C10"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Digital health acceptance</w:t>
            </w:r>
          </w:p>
        </w:tc>
        <w:tc>
          <w:tcPr>
            <w:tcW w:w="1710" w:type="dxa"/>
            <w:hideMark/>
          </w:tcPr>
          <w:p w14:paraId="33FBB95D"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5B02FFA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Tapuria et al. (2021)</w:t>
            </w:r>
          </w:p>
        </w:tc>
      </w:tr>
      <w:tr w:rsidR="003550CF" w:rsidRPr="00267A07" w14:paraId="3BBEC7E5" w14:textId="77777777" w:rsidTr="003550CF">
        <w:tc>
          <w:tcPr>
            <w:tcW w:w="2165" w:type="dxa"/>
            <w:hideMark/>
          </w:tcPr>
          <w:p w14:paraId="226462F8"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Identify drivers of digital engagement</w:t>
            </w:r>
          </w:p>
        </w:tc>
        <w:tc>
          <w:tcPr>
            <w:tcW w:w="1857" w:type="dxa"/>
            <w:hideMark/>
          </w:tcPr>
          <w:p w14:paraId="0035979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Scoping review</w:t>
            </w:r>
          </w:p>
        </w:tc>
        <w:tc>
          <w:tcPr>
            <w:tcW w:w="1137" w:type="dxa"/>
            <w:hideMark/>
          </w:tcPr>
          <w:p w14:paraId="2304567E"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292 studies</w:t>
            </w:r>
          </w:p>
        </w:tc>
        <w:tc>
          <w:tcPr>
            <w:tcW w:w="961" w:type="dxa"/>
            <w:hideMark/>
          </w:tcPr>
          <w:p w14:paraId="7876D7D1"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International</w:t>
            </w:r>
          </w:p>
        </w:tc>
        <w:tc>
          <w:tcPr>
            <w:tcW w:w="3960" w:type="dxa"/>
            <w:hideMark/>
          </w:tcPr>
          <w:p w14:paraId="0242766C"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Digital literacy, usability and clinician support promoted adoption; inequalities limited engagement.</w:t>
            </w:r>
          </w:p>
        </w:tc>
        <w:tc>
          <w:tcPr>
            <w:tcW w:w="1440" w:type="dxa"/>
            <w:hideMark/>
          </w:tcPr>
          <w:p w14:paraId="4AC5CCB3"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Digital healthcare adoption</w:t>
            </w:r>
          </w:p>
        </w:tc>
        <w:tc>
          <w:tcPr>
            <w:tcW w:w="1710" w:type="dxa"/>
            <w:hideMark/>
          </w:tcPr>
          <w:p w14:paraId="214AC31A"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O3</w:t>
            </w:r>
          </w:p>
        </w:tc>
        <w:tc>
          <w:tcPr>
            <w:tcW w:w="1350" w:type="dxa"/>
            <w:hideMark/>
          </w:tcPr>
          <w:p w14:paraId="4C2B7F48" w14:textId="77777777" w:rsidR="002B10EB" w:rsidRPr="00267A07" w:rsidRDefault="002B10EB" w:rsidP="00267A07">
            <w:pPr>
              <w:spacing w:before="120" w:after="120" w:line="360" w:lineRule="auto"/>
              <w:jc w:val="both"/>
              <w:rPr>
                <w:rFonts w:ascii="Arial" w:eastAsia="Times New Roman" w:hAnsi="Arial" w:cs="Arial"/>
                <w:sz w:val="24"/>
                <w:szCs w:val="24"/>
              </w:rPr>
            </w:pPr>
            <w:r w:rsidRPr="00267A07">
              <w:rPr>
                <w:rFonts w:ascii="Arial" w:eastAsia="Times New Roman" w:hAnsi="Arial" w:cs="Arial"/>
                <w:sz w:val="24"/>
                <w:szCs w:val="24"/>
              </w:rPr>
              <w:t>van Kessel et al. (2024)</w:t>
            </w:r>
          </w:p>
        </w:tc>
      </w:tr>
    </w:tbl>
    <w:p w14:paraId="210774C2" w14:textId="77777777" w:rsidR="005A26C8" w:rsidRDefault="005A26C8" w:rsidP="00267A07">
      <w:pPr>
        <w:spacing w:before="120" w:after="120" w:line="360" w:lineRule="auto"/>
        <w:jc w:val="both"/>
        <w:rPr>
          <w:rFonts w:ascii="Arial" w:eastAsia="Times New Roman" w:hAnsi="Arial" w:cs="Arial"/>
          <w:sz w:val="24"/>
          <w:szCs w:val="24"/>
        </w:rPr>
        <w:sectPr w:rsidR="005A26C8" w:rsidSect="005A26C8">
          <w:pgSz w:w="15840" w:h="12240" w:orient="landscape"/>
          <w:pgMar w:top="1440" w:right="1440" w:bottom="1440" w:left="1440" w:header="720" w:footer="720" w:gutter="0"/>
          <w:cols w:space="720"/>
          <w:docGrid w:linePitch="360"/>
        </w:sectPr>
      </w:pPr>
    </w:p>
    <w:p w14:paraId="545F5377" w14:textId="786F2FE6" w:rsidR="00A276B8" w:rsidRPr="00267A07" w:rsidRDefault="00115983" w:rsidP="00A276B8">
      <w:pPr>
        <w:spacing w:before="120" w:after="120" w:line="360" w:lineRule="auto"/>
        <w:jc w:val="both"/>
        <w:rPr>
          <w:rFonts w:ascii="Arial" w:hAnsi="Arial" w:cs="Arial"/>
        </w:rPr>
      </w:pPr>
      <w:r w:rsidRPr="00267A07">
        <w:rPr>
          <w:rFonts w:ascii="Arial" w:eastAsia="Times New Roman" w:hAnsi="Arial" w:cs="Arial"/>
          <w:bCs/>
          <w:sz w:val="24"/>
          <w:szCs w:val="24"/>
        </w:rPr>
        <w:lastRenderedPageBreak/>
        <w:t>et al. (2024)</w:t>
      </w:r>
      <w:r w:rsidRPr="00115983">
        <w:rPr>
          <w:rFonts w:ascii="Arial" w:eastAsia="Times New Roman" w:hAnsi="Arial" w:cs="Arial"/>
          <w:sz w:val="24"/>
          <w:szCs w:val="24"/>
        </w:rPr>
        <w:t xml:space="preserve">, </w:t>
      </w:r>
      <w:r w:rsidRPr="00267A07">
        <w:rPr>
          <w:rFonts w:ascii="Arial" w:eastAsia="Times New Roman" w:hAnsi="Arial" w:cs="Arial"/>
          <w:bCs/>
          <w:sz w:val="24"/>
          <w:szCs w:val="24"/>
        </w:rPr>
        <w:t>Archer et al. (2025)</w:t>
      </w:r>
      <w:r w:rsidRPr="00115983">
        <w:rPr>
          <w:rFonts w:ascii="Arial" w:eastAsia="Times New Roman" w:hAnsi="Arial" w:cs="Arial"/>
          <w:sz w:val="24"/>
          <w:szCs w:val="24"/>
        </w:rPr>
        <w:t xml:space="preserve"> and </w:t>
      </w:r>
      <w:r w:rsidRPr="00267A07">
        <w:rPr>
          <w:rFonts w:ascii="Arial" w:eastAsia="Times New Roman" w:hAnsi="Arial" w:cs="Arial"/>
          <w:bCs/>
          <w:sz w:val="24"/>
          <w:szCs w:val="24"/>
        </w:rPr>
        <w:t>Saif et al. (2024)</w:t>
      </w:r>
      <w:r w:rsidRPr="00115983">
        <w:rPr>
          <w:rFonts w:ascii="Arial" w:eastAsia="Times New Roman" w:hAnsi="Arial" w:cs="Arial"/>
          <w:sz w:val="24"/>
          <w:szCs w:val="24"/>
        </w:rPr>
        <w:t xml:space="preserve">. Continuous education for healthcare professionals should be provided on how to provide effective digital </w:t>
      </w:r>
      <w:r w:rsidR="0052542A" w:rsidRPr="00115983">
        <w:rPr>
          <w:rFonts w:ascii="Arial" w:eastAsia="Times New Roman" w:hAnsi="Arial" w:cs="Arial"/>
          <w:sz w:val="24"/>
          <w:szCs w:val="24"/>
        </w:rPr>
        <w:t>consultation</w:t>
      </w:r>
    </w:p>
    <w:p w14:paraId="6811EBCC" w14:textId="77777777" w:rsidR="00A276B8" w:rsidRPr="00267A07" w:rsidRDefault="00A276B8" w:rsidP="00A276B8">
      <w:pPr>
        <w:pStyle w:val="Heading1"/>
        <w:rPr>
          <w:rFonts w:cs="Arial"/>
        </w:rPr>
      </w:pPr>
      <w:bookmarkStart w:id="11" w:name="_Toc234586557"/>
      <w:r w:rsidRPr="00267A07">
        <w:rPr>
          <w:rFonts w:cs="Arial"/>
        </w:rPr>
        <w:t>Discussion</w:t>
      </w:r>
      <w:bookmarkEnd w:id="11"/>
    </w:p>
    <w:p w14:paraId="128FDCB6" w14:textId="77777777"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The review question asked what patient attitudes towards digital healthcare services in the UK are, and what shapes acceptance and use. Overall, the evidence shows that patients are not simply “for” or “against” digital care; rather, their views are conditional. Across the studies, digital services were welcomed when they improved convenience, reduced travel, and supported access, but they were less acceptable when they reduced personal contact, made communication harder, or felt unsuitable for complex care. This pattern supports the review’s central argument that acceptance depends on service type, context, and patient need rather than on technology alone.</w:t>
      </w:r>
    </w:p>
    <w:p w14:paraId="3412DF4D" w14:textId="368C854E"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 xml:space="preserve">The reviewed studies for Objective 1 indicate that the most popular aspects of digital healthcare in the UK are telephone consultations, video consultations, online/e-consultation systems, remote monitoring and access to patient records. These studies by Thiyagarajan et al. (2020), Murphy et al. (2021), Duncan and Cheng (2021), Contractor et al. (2022), Greenhalgh et al. (2022), </w:t>
      </w:r>
      <w:proofErr w:type="spellStart"/>
      <w:r w:rsidRPr="00267A07">
        <w:rPr>
          <w:rFonts w:ascii="Arial" w:hAnsi="Arial" w:cs="Arial"/>
        </w:rPr>
        <w:t>Wherton</w:t>
      </w:r>
      <w:proofErr w:type="spellEnd"/>
      <w:r w:rsidRPr="00267A07">
        <w:rPr>
          <w:rFonts w:ascii="Arial" w:hAnsi="Arial" w:cs="Arial"/>
        </w:rPr>
        <w:t xml:space="preserve"> et al. (2022), Hughes et al. (2022), Greenhalgh, Shaw, et al. (2022), Anderson et al. (2021), Hakim et al. (2021), Leung and Qureshi (2021), </w:t>
      </w:r>
      <w:r w:rsidR="002E0EE1" w:rsidRPr="00267A07">
        <w:rPr>
          <w:rFonts w:ascii="Arial" w:hAnsi="Arial" w:cs="Arial"/>
        </w:rPr>
        <w:t>Niehoff</w:t>
      </w:r>
      <w:r w:rsidRPr="00267A07">
        <w:rPr>
          <w:rFonts w:ascii="Arial" w:hAnsi="Arial" w:cs="Arial"/>
        </w:rPr>
        <w:t xml:space="preserve"> et al. (2021) and Ge et al. (2024) demonstrate that the most common of the remote models was telephone consulting, while video and online systems grew in a more disparate manner. Across the studies, findings that telephone care is easy to implement and often sufficient to address many routine needs, while video consultation is used more selectively, requiring more infrastructure, clinical appropriateness, and user capability. The study by Greenhalgh et al. (2022) and </w:t>
      </w:r>
      <w:proofErr w:type="spellStart"/>
      <w:r w:rsidRPr="00267A07">
        <w:rPr>
          <w:rFonts w:ascii="Arial" w:hAnsi="Arial" w:cs="Arial"/>
        </w:rPr>
        <w:t>Wherton</w:t>
      </w:r>
      <w:proofErr w:type="spellEnd"/>
      <w:r w:rsidRPr="00267A07">
        <w:rPr>
          <w:rFonts w:ascii="Arial" w:hAnsi="Arial" w:cs="Arial"/>
        </w:rPr>
        <w:t xml:space="preserve"> et al. (2022) are particularly significant as they detail the reasons why video consulting, despite being supported by policy, continued to be less common: sometimes phone consulting fitted into existing workflows better, and there were infrastructural and governance challenges. However, as Ge et al. (2024) and </w:t>
      </w:r>
      <w:r w:rsidR="002E0EE1" w:rsidRPr="00267A07">
        <w:rPr>
          <w:rFonts w:ascii="Arial" w:hAnsi="Arial" w:cs="Arial"/>
        </w:rPr>
        <w:t>Niehoff</w:t>
      </w:r>
      <w:r w:rsidRPr="00267A07">
        <w:rPr>
          <w:rFonts w:ascii="Arial" w:hAnsi="Arial" w:cs="Arial"/>
        </w:rPr>
        <w:t xml:space="preserve"> et al. (2021) point out, online consultation systems </w:t>
      </w:r>
      <w:proofErr w:type="gramStart"/>
      <w:r w:rsidRPr="00267A07">
        <w:rPr>
          <w:rFonts w:ascii="Arial" w:hAnsi="Arial" w:cs="Arial"/>
        </w:rPr>
        <w:t>are capable of enhancing</w:t>
      </w:r>
      <w:proofErr w:type="gramEnd"/>
      <w:r w:rsidRPr="00267A07">
        <w:rPr>
          <w:rFonts w:ascii="Arial" w:hAnsi="Arial" w:cs="Arial"/>
        </w:rPr>
        <w:t xml:space="preserve"> access if designed well, therefore, the question is not so much on </w:t>
      </w:r>
      <w:proofErr w:type="gramStart"/>
      <w:r w:rsidRPr="00267A07">
        <w:rPr>
          <w:rFonts w:ascii="Arial" w:hAnsi="Arial" w:cs="Arial"/>
        </w:rPr>
        <w:t>whether or not</w:t>
      </w:r>
      <w:proofErr w:type="gramEnd"/>
      <w:r w:rsidRPr="00267A07">
        <w:rPr>
          <w:rFonts w:ascii="Arial" w:hAnsi="Arial" w:cs="Arial"/>
        </w:rPr>
        <w:t xml:space="preserve"> online care works, but which works for which?</w:t>
      </w:r>
    </w:p>
    <w:p w14:paraId="530D54C1" w14:textId="117D4F0D"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lastRenderedPageBreak/>
        <w:t xml:space="preserve">The general impression for Objective 2 was a mix of positive perceptions on the part of patients. De Visser et al. (2024), Lifford et al. (2023), Antonio et al. (2024), Archer et al. (2025), Walton et al. (2022), Hewitt et al. (2022), Bara et al. (2023), McCullough et al. (2024), Saron et al. (2025), Leach et al. (2024), Dalby et al. (2021), </w:t>
      </w:r>
      <w:r w:rsidR="00FD5D34" w:rsidRPr="00267A07">
        <w:rPr>
          <w:rFonts w:ascii="Arial" w:hAnsi="Arial" w:cs="Arial"/>
        </w:rPr>
        <w:t>McHale</w:t>
      </w:r>
      <w:r w:rsidRPr="00267A07">
        <w:rPr>
          <w:rFonts w:ascii="Arial" w:hAnsi="Arial" w:cs="Arial"/>
        </w:rPr>
        <w:t xml:space="preserve"> et al. (2023), McCann et al. (2024) and Saif et al. (2024) show that patients valued convenience, shorter travel time, reduced disruption, reassurance, and easier access to services. But these advantages were offset by the fact of diminished empathy and communication skills, absence of non-verbal cues, and restricted physical examination. Results are consistent between studies, particularly in relation to primary care, mental health, cancer and long-term conditions. Although remote care was sometimes acceptable in mental health for appropriate follow-up, face-to-face care was still preferred in the case of sensitive, complex, and high-risk situations, as detailed in Antonio et al. (2024) and Archer et al. (2025). Similarly, Dalby et al. (2021) and Saif et al. (2024) demonstrate that telephone and video consultations were appreciated; however, patients desired hybrid models whereby remote care with in-person review was provided. There </w:t>
      </w:r>
      <w:proofErr w:type="gramStart"/>
      <w:r w:rsidRPr="00267A07">
        <w:rPr>
          <w:rFonts w:ascii="Arial" w:hAnsi="Arial" w:cs="Arial"/>
        </w:rPr>
        <w:t>is</w:t>
      </w:r>
      <w:proofErr w:type="gramEnd"/>
      <w:r w:rsidRPr="00267A07">
        <w:rPr>
          <w:rFonts w:ascii="Arial" w:hAnsi="Arial" w:cs="Arial"/>
        </w:rPr>
        <w:t xml:space="preserve"> also some differences by patient group as Lifford et al. (2023) demonstrated that satisfaction was lower for those with lower education level, and that support, confidence, and digital familiarity were aspects of engagement in Walton et al. (2022) and </w:t>
      </w:r>
      <w:r w:rsidR="00FD5D34" w:rsidRPr="00267A07">
        <w:rPr>
          <w:rFonts w:ascii="Arial" w:hAnsi="Arial" w:cs="Arial"/>
        </w:rPr>
        <w:t>McHale</w:t>
      </w:r>
      <w:r w:rsidRPr="00267A07">
        <w:rPr>
          <w:rFonts w:ascii="Arial" w:hAnsi="Arial" w:cs="Arial"/>
        </w:rPr>
        <w:t xml:space="preserve"> et al. (2023). This implies that social and digital capability are not only factors that influence clinical need but also patient attitudes.</w:t>
      </w:r>
    </w:p>
    <w:p w14:paraId="41794A67" w14:textId="638341D1"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Objective 3 shows the strongest explanation for why attitudes differ. The findings of McGowan et al. (2024), McLean et al. (2024), Wilkes et al. (2024), Lindsay et al. (2025), Li et al. (2024), Blease et al. (2024), Tapuria et al. (2021) and van Kessel et al. (2024) all indicate that acceptance and use rely on a socio-technical combination of factors, including infrastructure, interoperability, workload, training, usability, privacy and patient confidence. In the studies, patient-</w:t>
      </w:r>
      <w:r w:rsidR="00FD5D34" w:rsidRPr="00267A07">
        <w:rPr>
          <w:rFonts w:ascii="Arial" w:hAnsi="Arial" w:cs="Arial"/>
        </w:rPr>
        <w:t>centered</w:t>
      </w:r>
      <w:r w:rsidRPr="00267A07">
        <w:rPr>
          <w:rFonts w:ascii="Arial" w:hAnsi="Arial" w:cs="Arial"/>
        </w:rPr>
        <w:t xml:space="preserve"> design, leadership, flexibility, and staff support enhance implementation while low-quality IT systems, guidance, procurement delays, and the lack of digital equality hinder implementation. Tapuria et al. (2021) and van Kessel et al. (2024) extends this to reveal that benefits are offset by concerns of privacy, anxiety and poor digital skills. Perhaps the most effective practical takeaway is </w:t>
      </w:r>
      <w:r w:rsidRPr="00267A07">
        <w:rPr>
          <w:rFonts w:ascii="Arial" w:hAnsi="Arial" w:cs="Arial"/>
        </w:rPr>
        <w:lastRenderedPageBreak/>
        <w:t>that digital health is effective only when it's user-centric and based on service workflows rather than something bolted onto an existing platform.</w:t>
      </w:r>
    </w:p>
    <w:p w14:paraId="65282689" w14:textId="77777777" w:rsidR="00A276B8" w:rsidRPr="00267A07" w:rsidRDefault="00A276B8" w:rsidP="00A276B8">
      <w:pPr>
        <w:pStyle w:val="NormalWeb"/>
        <w:spacing w:before="120" w:beforeAutospacing="0" w:after="120" w:afterAutospacing="0" w:line="360" w:lineRule="auto"/>
        <w:jc w:val="both"/>
        <w:rPr>
          <w:rFonts w:ascii="Arial" w:hAnsi="Arial" w:cs="Arial"/>
        </w:rPr>
      </w:pPr>
      <w:r w:rsidRPr="005B252F">
        <w:rPr>
          <w:rFonts w:ascii="Arial" w:hAnsi="Arial" w:cs="Arial"/>
        </w:rPr>
        <w:t xml:space="preserve">Several gaps are clear. First, the evidence was largely from primary care and from remote consultations, particularly telephone and video, with less evidence available for other digital services, such as app-based care, asynchronous communication and patient portals, as demonstrated by </w:t>
      </w:r>
      <w:r w:rsidRPr="00267A07">
        <w:rPr>
          <w:rFonts w:ascii="Arial" w:hAnsi="Arial" w:cs="Arial"/>
          <w:bCs/>
        </w:rPr>
        <w:t>Murphy et al. (2021)</w:t>
      </w:r>
      <w:r w:rsidRPr="005B252F">
        <w:rPr>
          <w:rFonts w:ascii="Arial" w:hAnsi="Arial" w:cs="Arial"/>
        </w:rPr>
        <w:t xml:space="preserve">, </w:t>
      </w:r>
      <w:r w:rsidRPr="00267A07">
        <w:rPr>
          <w:rFonts w:ascii="Arial" w:hAnsi="Arial" w:cs="Arial"/>
          <w:bCs/>
        </w:rPr>
        <w:t>Greenhalgh et al. (2022)</w:t>
      </w:r>
      <w:r w:rsidRPr="005B252F">
        <w:rPr>
          <w:rFonts w:ascii="Arial" w:hAnsi="Arial" w:cs="Arial"/>
        </w:rPr>
        <w:t xml:space="preserve"> and </w:t>
      </w:r>
      <w:r w:rsidRPr="00267A07">
        <w:rPr>
          <w:rFonts w:ascii="Arial" w:hAnsi="Arial" w:cs="Arial"/>
          <w:bCs/>
        </w:rPr>
        <w:t>Thiyagarajan et al. (2020)</w:t>
      </w:r>
      <w:r w:rsidRPr="005B252F">
        <w:rPr>
          <w:rFonts w:ascii="Arial" w:hAnsi="Arial" w:cs="Arial"/>
        </w:rPr>
        <w:t xml:space="preserve">. Second, many of the studies were conducted during or immediately after the COVID-19 pandemic, so attitudes could be a consequence of emergency circumstances rather than reflecting long-term preferences, as noted by </w:t>
      </w:r>
      <w:r w:rsidRPr="00267A07">
        <w:rPr>
          <w:rFonts w:ascii="Arial" w:hAnsi="Arial" w:cs="Arial"/>
          <w:bCs/>
        </w:rPr>
        <w:t>Walton et al. (2022)</w:t>
      </w:r>
      <w:r w:rsidRPr="005B252F">
        <w:rPr>
          <w:rFonts w:ascii="Arial" w:hAnsi="Arial" w:cs="Arial"/>
        </w:rPr>
        <w:t xml:space="preserve">, </w:t>
      </w:r>
      <w:r w:rsidRPr="00267A07">
        <w:rPr>
          <w:rFonts w:ascii="Arial" w:hAnsi="Arial" w:cs="Arial"/>
          <w:bCs/>
        </w:rPr>
        <w:t>Hughes et al. (2022)</w:t>
      </w:r>
      <w:r w:rsidRPr="005B252F">
        <w:rPr>
          <w:rFonts w:ascii="Arial" w:hAnsi="Arial" w:cs="Arial"/>
        </w:rPr>
        <w:t xml:space="preserve">, </w:t>
      </w:r>
      <w:r w:rsidRPr="00267A07">
        <w:rPr>
          <w:rFonts w:ascii="Arial" w:hAnsi="Arial" w:cs="Arial"/>
          <w:bCs/>
        </w:rPr>
        <w:t>Lifford et al. (2023)</w:t>
      </w:r>
      <w:r w:rsidRPr="005B252F">
        <w:rPr>
          <w:rFonts w:ascii="Arial" w:hAnsi="Arial" w:cs="Arial"/>
        </w:rPr>
        <w:t xml:space="preserve"> and </w:t>
      </w:r>
      <w:proofErr w:type="spellStart"/>
      <w:r w:rsidRPr="00267A07">
        <w:rPr>
          <w:rFonts w:ascii="Arial" w:hAnsi="Arial" w:cs="Arial"/>
          <w:bCs/>
        </w:rPr>
        <w:t>Mchale</w:t>
      </w:r>
      <w:proofErr w:type="spellEnd"/>
      <w:r w:rsidRPr="00267A07">
        <w:rPr>
          <w:rFonts w:ascii="Arial" w:hAnsi="Arial" w:cs="Arial"/>
          <w:bCs/>
        </w:rPr>
        <w:t xml:space="preserve"> et al. (2023)</w:t>
      </w:r>
      <w:r w:rsidRPr="005B252F">
        <w:rPr>
          <w:rFonts w:ascii="Arial" w:hAnsi="Arial" w:cs="Arial"/>
        </w:rPr>
        <w:t xml:space="preserve">. Third, many of the studies employed cross-sectional surveys or qualitative interviews, which provide valuable insight into patient experiences but not long-term outcomes, sustained use or causal effects, including studies by </w:t>
      </w:r>
      <w:r w:rsidRPr="00267A07">
        <w:rPr>
          <w:rFonts w:ascii="Arial" w:hAnsi="Arial" w:cs="Arial"/>
          <w:bCs/>
        </w:rPr>
        <w:t>Anderson et al. (2021)</w:t>
      </w:r>
      <w:r w:rsidRPr="005B252F">
        <w:rPr>
          <w:rFonts w:ascii="Arial" w:hAnsi="Arial" w:cs="Arial"/>
        </w:rPr>
        <w:t xml:space="preserve">, </w:t>
      </w:r>
      <w:r w:rsidRPr="00267A07">
        <w:rPr>
          <w:rFonts w:ascii="Arial" w:hAnsi="Arial" w:cs="Arial"/>
          <w:bCs/>
        </w:rPr>
        <w:t>De Visser et al. (2024)</w:t>
      </w:r>
      <w:r w:rsidRPr="005B252F">
        <w:rPr>
          <w:rFonts w:ascii="Arial" w:hAnsi="Arial" w:cs="Arial"/>
        </w:rPr>
        <w:t xml:space="preserve">, </w:t>
      </w:r>
      <w:r w:rsidRPr="00267A07">
        <w:rPr>
          <w:rFonts w:ascii="Arial" w:hAnsi="Arial" w:cs="Arial"/>
          <w:bCs/>
        </w:rPr>
        <w:t>Archer et al. (2025)</w:t>
      </w:r>
      <w:r w:rsidRPr="005B252F">
        <w:rPr>
          <w:rFonts w:ascii="Arial" w:hAnsi="Arial" w:cs="Arial"/>
        </w:rPr>
        <w:t xml:space="preserve"> and </w:t>
      </w:r>
      <w:r w:rsidRPr="00267A07">
        <w:rPr>
          <w:rFonts w:ascii="Arial" w:hAnsi="Arial" w:cs="Arial"/>
          <w:bCs/>
        </w:rPr>
        <w:t>Saif et al. (2024)</w:t>
      </w:r>
      <w:r w:rsidRPr="005B252F">
        <w:rPr>
          <w:rFonts w:ascii="Arial" w:hAnsi="Arial" w:cs="Arial"/>
        </w:rPr>
        <w:t xml:space="preserve">. Fourth, certain studies included relatively small or specialist samples, reducing the </w:t>
      </w:r>
      <w:proofErr w:type="spellStart"/>
      <w:r w:rsidRPr="005B252F">
        <w:rPr>
          <w:rFonts w:ascii="Arial" w:hAnsi="Arial" w:cs="Arial"/>
        </w:rPr>
        <w:t>generalisability</w:t>
      </w:r>
      <w:proofErr w:type="spellEnd"/>
      <w:r w:rsidRPr="005B252F">
        <w:rPr>
          <w:rFonts w:ascii="Arial" w:hAnsi="Arial" w:cs="Arial"/>
        </w:rPr>
        <w:t xml:space="preserve"> of their findings, particularly </w:t>
      </w:r>
      <w:r w:rsidRPr="00267A07">
        <w:rPr>
          <w:rFonts w:ascii="Arial" w:hAnsi="Arial" w:cs="Arial"/>
          <w:bCs/>
        </w:rPr>
        <w:t>Hakim et al. (2021)</w:t>
      </w:r>
      <w:r w:rsidRPr="005B252F">
        <w:rPr>
          <w:rFonts w:ascii="Arial" w:hAnsi="Arial" w:cs="Arial"/>
        </w:rPr>
        <w:t xml:space="preserve">, </w:t>
      </w:r>
      <w:r w:rsidRPr="00267A07">
        <w:rPr>
          <w:rFonts w:ascii="Arial" w:hAnsi="Arial" w:cs="Arial"/>
          <w:bCs/>
        </w:rPr>
        <w:t>Bara et al. (2023)</w:t>
      </w:r>
      <w:r w:rsidRPr="005B252F">
        <w:rPr>
          <w:rFonts w:ascii="Arial" w:hAnsi="Arial" w:cs="Arial"/>
        </w:rPr>
        <w:t xml:space="preserve">, </w:t>
      </w:r>
      <w:r w:rsidRPr="00267A07">
        <w:rPr>
          <w:rFonts w:ascii="Arial" w:hAnsi="Arial" w:cs="Arial"/>
          <w:bCs/>
        </w:rPr>
        <w:t>McCullough et al. (2024)</w:t>
      </w:r>
      <w:r w:rsidRPr="005B252F">
        <w:rPr>
          <w:rFonts w:ascii="Arial" w:hAnsi="Arial" w:cs="Arial"/>
        </w:rPr>
        <w:t xml:space="preserve"> and </w:t>
      </w:r>
      <w:r w:rsidRPr="00267A07">
        <w:rPr>
          <w:rFonts w:ascii="Arial" w:hAnsi="Arial" w:cs="Arial"/>
          <w:bCs/>
        </w:rPr>
        <w:t>Leach et al. (2024)</w:t>
      </w:r>
      <w:r w:rsidRPr="005B252F">
        <w:rPr>
          <w:rFonts w:ascii="Arial" w:hAnsi="Arial" w:cs="Arial"/>
        </w:rPr>
        <w:t xml:space="preserve">. There is also limited evidence regarding underrepresented groups, including older adults with low digital literacy, people with disabilities, ethnic minority communities and patients living in rural or deprived areas, despite </w:t>
      </w:r>
      <w:r w:rsidRPr="00267A07">
        <w:rPr>
          <w:rFonts w:ascii="Arial" w:hAnsi="Arial" w:cs="Arial"/>
          <w:bCs/>
        </w:rPr>
        <w:t>Van Kessel et al. (2024)</w:t>
      </w:r>
      <w:r w:rsidRPr="005B252F">
        <w:rPr>
          <w:rFonts w:ascii="Arial" w:hAnsi="Arial" w:cs="Arial"/>
        </w:rPr>
        <w:t xml:space="preserve"> highlighting digital inequalities as an important factor influencing engagement with digital healthcare. The review therefore highlights the need for more longitudinal, comparative and inclusive studies in the UK. </w:t>
      </w:r>
    </w:p>
    <w:p w14:paraId="505B3CCC" w14:textId="77777777" w:rsidR="00A276B8" w:rsidRPr="001015F4" w:rsidRDefault="00A276B8" w:rsidP="00A276B8">
      <w:pPr>
        <w:pStyle w:val="NormalWeb"/>
        <w:spacing w:before="120" w:beforeAutospacing="0" w:after="120" w:afterAutospacing="0" w:line="360" w:lineRule="auto"/>
        <w:jc w:val="both"/>
        <w:rPr>
          <w:rFonts w:ascii="Arial" w:hAnsi="Arial" w:cs="Arial"/>
        </w:rPr>
      </w:pPr>
      <w:r w:rsidRPr="001015F4">
        <w:rPr>
          <w:rFonts w:ascii="Arial" w:hAnsi="Arial" w:cs="Arial"/>
        </w:rPr>
        <w:t xml:space="preserve">The findings theoretically contribute to a socio-technical perspective of digital healthcare. The extent to which patients accept technology is influenced by more than just the technology itself; by the design of the services, preparedness of the </w:t>
      </w:r>
      <w:proofErr w:type="spellStart"/>
      <w:r w:rsidRPr="001015F4">
        <w:rPr>
          <w:rFonts w:ascii="Arial" w:hAnsi="Arial" w:cs="Arial"/>
        </w:rPr>
        <w:t>organisation</w:t>
      </w:r>
      <w:proofErr w:type="spellEnd"/>
      <w:r w:rsidRPr="001015F4">
        <w:rPr>
          <w:rFonts w:ascii="Arial" w:hAnsi="Arial" w:cs="Arial"/>
        </w:rPr>
        <w:t xml:space="preserve">, and </w:t>
      </w:r>
      <w:proofErr w:type="spellStart"/>
      <w:r w:rsidRPr="001015F4">
        <w:rPr>
          <w:rFonts w:ascii="Arial" w:hAnsi="Arial" w:cs="Arial"/>
        </w:rPr>
        <w:t>behaviour</w:t>
      </w:r>
      <w:proofErr w:type="spellEnd"/>
      <w:r w:rsidRPr="001015F4">
        <w:rPr>
          <w:rFonts w:ascii="Arial" w:hAnsi="Arial" w:cs="Arial"/>
        </w:rPr>
        <w:t xml:space="preserve"> of staff, as well as the patient context, as demonstrated by </w:t>
      </w:r>
      <w:r w:rsidRPr="00267A07">
        <w:rPr>
          <w:rFonts w:ascii="Arial" w:hAnsi="Arial" w:cs="Arial"/>
          <w:bCs/>
        </w:rPr>
        <w:t>McGowan et al. (2024)</w:t>
      </w:r>
      <w:r w:rsidRPr="001015F4">
        <w:rPr>
          <w:rFonts w:ascii="Arial" w:hAnsi="Arial" w:cs="Arial"/>
        </w:rPr>
        <w:t xml:space="preserve">, </w:t>
      </w:r>
      <w:r w:rsidRPr="00267A07">
        <w:rPr>
          <w:rFonts w:ascii="Arial" w:hAnsi="Arial" w:cs="Arial"/>
          <w:bCs/>
        </w:rPr>
        <w:t>McLean et al. (2024)</w:t>
      </w:r>
      <w:r w:rsidRPr="001015F4">
        <w:rPr>
          <w:rFonts w:ascii="Arial" w:hAnsi="Arial" w:cs="Arial"/>
        </w:rPr>
        <w:t xml:space="preserve">, </w:t>
      </w:r>
      <w:r w:rsidRPr="00267A07">
        <w:rPr>
          <w:rFonts w:ascii="Arial" w:hAnsi="Arial" w:cs="Arial"/>
          <w:bCs/>
        </w:rPr>
        <w:t>Wilkes et al. (2024)</w:t>
      </w:r>
      <w:r w:rsidRPr="001015F4">
        <w:rPr>
          <w:rFonts w:ascii="Arial" w:hAnsi="Arial" w:cs="Arial"/>
        </w:rPr>
        <w:t xml:space="preserve"> and </w:t>
      </w:r>
      <w:r w:rsidRPr="00267A07">
        <w:rPr>
          <w:rFonts w:ascii="Arial" w:hAnsi="Arial" w:cs="Arial"/>
          <w:bCs/>
        </w:rPr>
        <w:t>Van Kessel et al. (2024)</w:t>
      </w:r>
      <w:r w:rsidRPr="001015F4">
        <w:rPr>
          <w:rFonts w:ascii="Arial" w:hAnsi="Arial" w:cs="Arial"/>
        </w:rPr>
        <w:t xml:space="preserve">. In practical terms, the studies recommend that the NHS services continue to operate in hybrid ways, enhance digital care, keep face-to-face services for more complex care and invest in accessible systems and staff training, as highlighted by </w:t>
      </w:r>
      <w:r w:rsidRPr="00267A07">
        <w:rPr>
          <w:rFonts w:ascii="Arial" w:hAnsi="Arial" w:cs="Arial"/>
          <w:bCs/>
        </w:rPr>
        <w:t>Hewitt et al. (2022)</w:t>
      </w:r>
      <w:r w:rsidRPr="001015F4">
        <w:rPr>
          <w:rFonts w:ascii="Arial" w:hAnsi="Arial" w:cs="Arial"/>
        </w:rPr>
        <w:t xml:space="preserve">, </w:t>
      </w:r>
      <w:r w:rsidRPr="00267A07">
        <w:rPr>
          <w:rFonts w:ascii="Arial" w:hAnsi="Arial" w:cs="Arial"/>
          <w:bCs/>
        </w:rPr>
        <w:t>Bara et al. (2023)</w:t>
      </w:r>
      <w:r w:rsidRPr="001015F4">
        <w:rPr>
          <w:rFonts w:ascii="Arial" w:hAnsi="Arial" w:cs="Arial"/>
        </w:rPr>
        <w:t xml:space="preserve">, </w:t>
      </w:r>
      <w:r w:rsidRPr="00267A07">
        <w:rPr>
          <w:rFonts w:ascii="Arial" w:hAnsi="Arial" w:cs="Arial"/>
          <w:bCs/>
        </w:rPr>
        <w:t>Saif et al. (2024)</w:t>
      </w:r>
      <w:r w:rsidRPr="001015F4">
        <w:rPr>
          <w:rFonts w:ascii="Arial" w:hAnsi="Arial" w:cs="Arial"/>
        </w:rPr>
        <w:t xml:space="preserve"> and </w:t>
      </w:r>
      <w:r w:rsidRPr="00267A07">
        <w:rPr>
          <w:rFonts w:ascii="Arial" w:hAnsi="Arial" w:cs="Arial"/>
          <w:bCs/>
        </w:rPr>
        <w:t>McCullough et al. (2024)</w:t>
      </w:r>
      <w:r w:rsidRPr="001015F4">
        <w:rPr>
          <w:rFonts w:ascii="Arial" w:hAnsi="Arial" w:cs="Arial"/>
        </w:rPr>
        <w:t xml:space="preserve">. Digital healthcare should be </w:t>
      </w:r>
      <w:r w:rsidRPr="001015F4">
        <w:rPr>
          <w:rFonts w:ascii="Arial" w:hAnsi="Arial" w:cs="Arial"/>
        </w:rPr>
        <w:lastRenderedPageBreak/>
        <w:t xml:space="preserve">designed as a flexible pathway to care, not the one-size-fits-all solution to care. Future studies should focus on the patient population that can most benefit from each of these digital models, how digital inclusion can be enhanced, and how patient preference will shift with time as digital literacy and service design continues to change, as suggested by </w:t>
      </w:r>
      <w:r w:rsidRPr="00267A07">
        <w:rPr>
          <w:rFonts w:ascii="Arial" w:hAnsi="Arial" w:cs="Arial"/>
          <w:bCs/>
        </w:rPr>
        <w:t>Li et al. (2024)</w:t>
      </w:r>
      <w:r w:rsidRPr="001015F4">
        <w:rPr>
          <w:rFonts w:ascii="Arial" w:hAnsi="Arial" w:cs="Arial"/>
        </w:rPr>
        <w:t xml:space="preserve">, </w:t>
      </w:r>
      <w:r w:rsidRPr="00267A07">
        <w:rPr>
          <w:rFonts w:ascii="Arial" w:hAnsi="Arial" w:cs="Arial"/>
          <w:bCs/>
        </w:rPr>
        <w:t>Tapuria et al. (2021)</w:t>
      </w:r>
      <w:r w:rsidRPr="001015F4">
        <w:rPr>
          <w:rFonts w:ascii="Arial" w:hAnsi="Arial" w:cs="Arial"/>
        </w:rPr>
        <w:t xml:space="preserve">, </w:t>
      </w:r>
      <w:r w:rsidRPr="00267A07">
        <w:rPr>
          <w:rFonts w:ascii="Arial" w:hAnsi="Arial" w:cs="Arial"/>
          <w:bCs/>
        </w:rPr>
        <w:t>Lindsay et al. (2025)</w:t>
      </w:r>
      <w:r w:rsidRPr="001015F4">
        <w:rPr>
          <w:rFonts w:ascii="Arial" w:hAnsi="Arial" w:cs="Arial"/>
        </w:rPr>
        <w:t xml:space="preserve"> and </w:t>
      </w:r>
      <w:r w:rsidRPr="00267A07">
        <w:rPr>
          <w:rFonts w:ascii="Arial" w:hAnsi="Arial" w:cs="Arial"/>
          <w:bCs/>
        </w:rPr>
        <w:t>Van Kessel et al. (2024)</w:t>
      </w:r>
      <w:r w:rsidRPr="001015F4">
        <w:rPr>
          <w:rFonts w:ascii="Arial" w:hAnsi="Arial" w:cs="Arial"/>
        </w:rPr>
        <w:t xml:space="preserve">. </w:t>
      </w:r>
    </w:p>
    <w:p w14:paraId="57382E95" w14:textId="77777777"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Overall, the evidence answers the review question by showing that UK patient attitudes towards digital healthcare are broadly positive when services are convenient, usable, and supportive, but acceptance weakens when care becomes impersonal, technically difficult, or unsuitable for the patient’s needs.</w:t>
      </w:r>
    </w:p>
    <w:p w14:paraId="215FE71E" w14:textId="77777777" w:rsidR="00A276B8" w:rsidRPr="00267A07" w:rsidRDefault="00A276B8" w:rsidP="00A276B8">
      <w:pPr>
        <w:pStyle w:val="NormalWeb"/>
        <w:spacing w:before="120" w:beforeAutospacing="0" w:after="120" w:afterAutospacing="0" w:line="360" w:lineRule="auto"/>
        <w:jc w:val="both"/>
        <w:rPr>
          <w:rFonts w:ascii="Arial" w:hAnsi="Arial" w:cs="Arial"/>
        </w:rPr>
      </w:pPr>
    </w:p>
    <w:p w14:paraId="77322D55" w14:textId="77777777" w:rsidR="00A276B8" w:rsidRPr="00267A07" w:rsidRDefault="00A276B8" w:rsidP="00A276B8">
      <w:pPr>
        <w:pStyle w:val="z-TopofForm"/>
        <w:spacing w:before="120" w:after="120" w:line="360" w:lineRule="auto"/>
        <w:jc w:val="both"/>
      </w:pPr>
      <w:r w:rsidRPr="00267A07">
        <w:t>Top of Form</w:t>
      </w:r>
    </w:p>
    <w:p w14:paraId="5B020200" w14:textId="77777777" w:rsidR="00A276B8" w:rsidRPr="00267A07" w:rsidRDefault="00A276B8" w:rsidP="00A276B8">
      <w:pPr>
        <w:pStyle w:val="placeholder"/>
        <w:spacing w:before="120" w:beforeAutospacing="0" w:after="120" w:afterAutospacing="0" w:line="360" w:lineRule="auto"/>
        <w:jc w:val="both"/>
        <w:rPr>
          <w:rFonts w:ascii="Arial" w:hAnsi="Arial" w:cs="Arial"/>
        </w:rPr>
      </w:pPr>
    </w:p>
    <w:p w14:paraId="77139808" w14:textId="77777777" w:rsidR="00A276B8" w:rsidRPr="00267A07" w:rsidRDefault="00A276B8" w:rsidP="00A276B8">
      <w:pPr>
        <w:pStyle w:val="z-BottomofForm"/>
        <w:spacing w:before="120" w:after="120" w:line="360" w:lineRule="auto"/>
        <w:jc w:val="both"/>
      </w:pPr>
      <w:r w:rsidRPr="00267A07">
        <w:t>Bottom of Form</w:t>
      </w:r>
    </w:p>
    <w:p w14:paraId="45BC6989" w14:textId="77777777" w:rsidR="00A276B8" w:rsidRDefault="00A276B8" w:rsidP="00A276B8">
      <w:pPr>
        <w:spacing w:before="120" w:after="120" w:line="360" w:lineRule="auto"/>
        <w:jc w:val="both"/>
        <w:rPr>
          <w:rFonts w:ascii="Arial" w:hAnsi="Arial" w:cs="Arial"/>
        </w:rPr>
      </w:pPr>
    </w:p>
    <w:p w14:paraId="682985B5" w14:textId="77777777" w:rsidR="00A276B8" w:rsidRDefault="00A276B8" w:rsidP="00A276B8">
      <w:pPr>
        <w:spacing w:before="120" w:after="120" w:line="360" w:lineRule="auto"/>
        <w:jc w:val="both"/>
        <w:rPr>
          <w:rFonts w:ascii="Arial" w:hAnsi="Arial" w:cs="Arial"/>
        </w:rPr>
      </w:pPr>
    </w:p>
    <w:p w14:paraId="1BFB61E6" w14:textId="77777777" w:rsidR="00A276B8" w:rsidRDefault="00A276B8" w:rsidP="00A276B8">
      <w:pPr>
        <w:spacing w:before="120" w:after="120" w:line="360" w:lineRule="auto"/>
        <w:jc w:val="both"/>
        <w:rPr>
          <w:rFonts w:ascii="Arial" w:hAnsi="Arial" w:cs="Arial"/>
        </w:rPr>
      </w:pPr>
    </w:p>
    <w:p w14:paraId="15E772AC" w14:textId="77777777" w:rsidR="00A276B8" w:rsidRDefault="00A276B8" w:rsidP="00A276B8">
      <w:pPr>
        <w:spacing w:before="120" w:after="120" w:line="360" w:lineRule="auto"/>
        <w:jc w:val="both"/>
        <w:rPr>
          <w:rFonts w:ascii="Arial" w:hAnsi="Arial" w:cs="Arial"/>
        </w:rPr>
      </w:pPr>
    </w:p>
    <w:p w14:paraId="6B26FA36" w14:textId="77777777" w:rsidR="00A276B8" w:rsidRDefault="00A276B8" w:rsidP="00A276B8">
      <w:pPr>
        <w:spacing w:before="120" w:after="120" w:line="360" w:lineRule="auto"/>
        <w:jc w:val="both"/>
        <w:rPr>
          <w:rFonts w:ascii="Arial" w:hAnsi="Arial" w:cs="Arial"/>
        </w:rPr>
      </w:pPr>
    </w:p>
    <w:p w14:paraId="5159DFA1" w14:textId="77777777" w:rsidR="00A276B8" w:rsidRDefault="00A276B8" w:rsidP="00A276B8">
      <w:pPr>
        <w:spacing w:before="120" w:after="120" w:line="360" w:lineRule="auto"/>
        <w:jc w:val="both"/>
        <w:rPr>
          <w:rFonts w:ascii="Arial" w:hAnsi="Arial" w:cs="Arial"/>
        </w:rPr>
      </w:pPr>
    </w:p>
    <w:p w14:paraId="7FE5009F" w14:textId="77777777" w:rsidR="00A276B8" w:rsidRDefault="00A276B8" w:rsidP="00A276B8">
      <w:pPr>
        <w:spacing w:before="120" w:after="120" w:line="360" w:lineRule="auto"/>
        <w:jc w:val="both"/>
        <w:rPr>
          <w:rFonts w:ascii="Arial" w:hAnsi="Arial" w:cs="Arial"/>
        </w:rPr>
      </w:pPr>
    </w:p>
    <w:p w14:paraId="0F55CB80" w14:textId="77777777" w:rsidR="00A276B8" w:rsidRDefault="00A276B8" w:rsidP="00A276B8">
      <w:pPr>
        <w:spacing w:before="120" w:after="120" w:line="360" w:lineRule="auto"/>
        <w:jc w:val="both"/>
        <w:rPr>
          <w:rFonts w:ascii="Arial" w:hAnsi="Arial" w:cs="Arial"/>
        </w:rPr>
      </w:pPr>
    </w:p>
    <w:p w14:paraId="696CAB2A" w14:textId="77777777" w:rsidR="00A276B8" w:rsidRDefault="00A276B8" w:rsidP="00A276B8">
      <w:pPr>
        <w:spacing w:before="120" w:after="120" w:line="360" w:lineRule="auto"/>
        <w:jc w:val="both"/>
        <w:rPr>
          <w:rFonts w:ascii="Arial" w:hAnsi="Arial" w:cs="Arial"/>
        </w:rPr>
      </w:pPr>
    </w:p>
    <w:p w14:paraId="08EF56E8" w14:textId="77777777" w:rsidR="00A276B8" w:rsidRDefault="00A276B8" w:rsidP="00A276B8">
      <w:pPr>
        <w:spacing w:before="120" w:after="120" w:line="360" w:lineRule="auto"/>
        <w:jc w:val="both"/>
        <w:rPr>
          <w:rFonts w:ascii="Arial" w:hAnsi="Arial" w:cs="Arial"/>
        </w:rPr>
      </w:pPr>
    </w:p>
    <w:p w14:paraId="60E5C44B" w14:textId="77777777" w:rsidR="00A276B8" w:rsidRDefault="00A276B8" w:rsidP="00A276B8">
      <w:pPr>
        <w:spacing w:before="120" w:after="120" w:line="360" w:lineRule="auto"/>
        <w:jc w:val="both"/>
        <w:rPr>
          <w:rFonts w:ascii="Arial" w:hAnsi="Arial" w:cs="Arial"/>
        </w:rPr>
      </w:pPr>
    </w:p>
    <w:p w14:paraId="69A84C0F" w14:textId="77777777" w:rsidR="00A276B8" w:rsidRDefault="00A276B8" w:rsidP="00A276B8">
      <w:pPr>
        <w:spacing w:before="120" w:after="120" w:line="360" w:lineRule="auto"/>
        <w:jc w:val="both"/>
        <w:rPr>
          <w:rFonts w:ascii="Arial" w:hAnsi="Arial" w:cs="Arial"/>
        </w:rPr>
      </w:pPr>
    </w:p>
    <w:p w14:paraId="787ABAFB" w14:textId="77777777" w:rsidR="00A276B8" w:rsidRDefault="00A276B8" w:rsidP="00A276B8">
      <w:pPr>
        <w:spacing w:before="120" w:after="120" w:line="360" w:lineRule="auto"/>
        <w:jc w:val="both"/>
        <w:rPr>
          <w:rFonts w:ascii="Arial" w:hAnsi="Arial" w:cs="Arial"/>
        </w:rPr>
      </w:pPr>
    </w:p>
    <w:p w14:paraId="17641FBB" w14:textId="77777777" w:rsidR="00A276B8" w:rsidRDefault="00A276B8" w:rsidP="00A276B8">
      <w:pPr>
        <w:spacing w:before="120" w:after="120" w:line="360" w:lineRule="auto"/>
        <w:jc w:val="both"/>
        <w:rPr>
          <w:rFonts w:ascii="Arial" w:hAnsi="Arial" w:cs="Arial"/>
        </w:rPr>
      </w:pPr>
    </w:p>
    <w:p w14:paraId="7721F5D0" w14:textId="77777777" w:rsidR="00A276B8" w:rsidRDefault="00A276B8" w:rsidP="00A276B8">
      <w:pPr>
        <w:spacing w:before="120" w:after="120" w:line="360" w:lineRule="auto"/>
        <w:jc w:val="both"/>
        <w:rPr>
          <w:rFonts w:ascii="Arial" w:hAnsi="Arial" w:cs="Arial"/>
        </w:rPr>
      </w:pPr>
    </w:p>
    <w:p w14:paraId="6CE02532" w14:textId="77777777" w:rsidR="00A276B8" w:rsidRPr="00267A07" w:rsidRDefault="00A276B8" w:rsidP="00A276B8">
      <w:pPr>
        <w:spacing w:before="120" w:after="120" w:line="360" w:lineRule="auto"/>
        <w:jc w:val="both"/>
        <w:rPr>
          <w:rFonts w:ascii="Arial" w:hAnsi="Arial" w:cs="Arial"/>
        </w:rPr>
      </w:pPr>
    </w:p>
    <w:p w14:paraId="6DFFDA16" w14:textId="77777777" w:rsidR="00A276B8" w:rsidRPr="00267A07" w:rsidRDefault="00A276B8" w:rsidP="00A276B8">
      <w:pPr>
        <w:spacing w:before="120" w:after="120" w:line="360" w:lineRule="auto"/>
        <w:jc w:val="both"/>
        <w:rPr>
          <w:rFonts w:ascii="Arial" w:hAnsi="Arial" w:cs="Arial"/>
        </w:rPr>
      </w:pPr>
    </w:p>
    <w:p w14:paraId="0B5E5FA1" w14:textId="77777777" w:rsidR="00A276B8" w:rsidRPr="00267A07" w:rsidRDefault="00A276B8" w:rsidP="00A276B8">
      <w:pPr>
        <w:pStyle w:val="Heading1"/>
        <w:rPr>
          <w:rFonts w:cs="Arial"/>
        </w:rPr>
      </w:pPr>
      <w:bookmarkStart w:id="12" w:name="_Toc234586558"/>
      <w:r w:rsidRPr="00267A07">
        <w:rPr>
          <w:rFonts w:cs="Arial"/>
        </w:rPr>
        <w:t>Conclusion and Recommendations</w:t>
      </w:r>
      <w:bookmarkEnd w:id="12"/>
    </w:p>
    <w:p w14:paraId="3E874AAD" w14:textId="77777777" w:rsidR="00A276B8" w:rsidRPr="00267A07" w:rsidRDefault="00A276B8" w:rsidP="00A276B8">
      <w:pPr>
        <w:pStyle w:val="Heading2"/>
        <w:spacing w:before="120" w:beforeAutospacing="0" w:after="120" w:afterAutospacing="0" w:line="360" w:lineRule="auto"/>
        <w:jc w:val="both"/>
        <w:rPr>
          <w:rFonts w:cs="Arial"/>
        </w:rPr>
      </w:pPr>
      <w:bookmarkStart w:id="13" w:name="_Toc234586559"/>
      <w:r w:rsidRPr="00267A07">
        <w:rPr>
          <w:rFonts w:cs="Arial"/>
        </w:rPr>
        <w:t>6.1 Conclusion</w:t>
      </w:r>
      <w:bookmarkEnd w:id="13"/>
    </w:p>
    <w:p w14:paraId="6748A89C" w14:textId="77777777"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 xml:space="preserve">This scoping review explored patient attitudes towards digital healthcare services in the UK by identifying the main types of digital healthcare services, examining patient perceptions and experiences, and identifying the barriers and facilitators influencing their acceptance and use. Overall, the evidence indicates that digital healthcare has become an established component of NHS service delivery, particularly through telephone consultations, video consultations, online consultation systems, remote monitoring and electronic health records. Although patients generally </w:t>
      </w:r>
      <w:proofErr w:type="spellStart"/>
      <w:r w:rsidRPr="00267A07">
        <w:rPr>
          <w:rFonts w:ascii="Arial" w:hAnsi="Arial" w:cs="Arial"/>
        </w:rPr>
        <w:t>recognised</w:t>
      </w:r>
      <w:proofErr w:type="spellEnd"/>
      <w:r w:rsidRPr="00267A07">
        <w:rPr>
          <w:rFonts w:ascii="Arial" w:hAnsi="Arial" w:cs="Arial"/>
        </w:rPr>
        <w:t xml:space="preserve"> the convenience, accessibility and efficiency of these services, their acceptance was influenced by the purpose of the consultation, individual health needs, digital literacy and the quality of communication. Digital healthcare was therefore viewed as a valuable complement to, rather than a replacement for, traditional face-to-face care.</w:t>
      </w:r>
    </w:p>
    <w:p w14:paraId="697959BD" w14:textId="77777777" w:rsidR="00A276B8" w:rsidRPr="00267A07" w:rsidRDefault="00A276B8" w:rsidP="00A276B8">
      <w:pPr>
        <w:pStyle w:val="NormalWeb"/>
        <w:spacing w:before="120" w:beforeAutospacing="0" w:after="120" w:afterAutospacing="0" w:line="360" w:lineRule="auto"/>
        <w:jc w:val="both"/>
        <w:rPr>
          <w:rFonts w:ascii="Arial" w:hAnsi="Arial" w:cs="Arial"/>
        </w:rPr>
      </w:pPr>
      <w:r w:rsidRPr="00267A07">
        <w:rPr>
          <w:rFonts w:ascii="Arial" w:hAnsi="Arial" w:cs="Arial"/>
        </w:rPr>
        <w:t xml:space="preserve">The review also demonstrated that patient experiences are shaped by a combination of individual, technological and </w:t>
      </w:r>
      <w:proofErr w:type="spellStart"/>
      <w:r w:rsidRPr="00267A07">
        <w:rPr>
          <w:rFonts w:ascii="Arial" w:hAnsi="Arial" w:cs="Arial"/>
        </w:rPr>
        <w:t>organisational</w:t>
      </w:r>
      <w:proofErr w:type="spellEnd"/>
      <w:r w:rsidRPr="00267A07">
        <w:rPr>
          <w:rFonts w:ascii="Arial" w:hAnsi="Arial" w:cs="Arial"/>
        </w:rPr>
        <w:t xml:space="preserve"> factors. Positive experiences were associated with reduced travel, improved access to care, continuity of services and greater flexibility. However, concerns regarding communication, reduced personal interaction, privacy, digital exclusion and limited suitability for complex conditions continued to influence patient preferences. The findings therefore suggest that improving patient attitudes requires more than technological innovation; successful digital healthcare depends on user-</w:t>
      </w:r>
      <w:proofErr w:type="spellStart"/>
      <w:r w:rsidRPr="00267A07">
        <w:rPr>
          <w:rFonts w:ascii="Arial" w:hAnsi="Arial" w:cs="Arial"/>
        </w:rPr>
        <w:t>centred</w:t>
      </w:r>
      <w:proofErr w:type="spellEnd"/>
      <w:r w:rsidRPr="00267A07">
        <w:rPr>
          <w:rFonts w:ascii="Arial" w:hAnsi="Arial" w:cs="Arial"/>
        </w:rPr>
        <w:t xml:space="preserve"> service design, adequate infrastructure, staff training and equitable access across different population groups.</w:t>
      </w:r>
    </w:p>
    <w:p w14:paraId="6F74852B" w14:textId="77777777" w:rsidR="00A276B8" w:rsidRPr="00267A07" w:rsidRDefault="00A276B8" w:rsidP="00A276B8">
      <w:pPr>
        <w:pStyle w:val="Heading2"/>
        <w:spacing w:before="120" w:beforeAutospacing="0" w:after="120" w:afterAutospacing="0" w:line="360" w:lineRule="auto"/>
        <w:jc w:val="both"/>
        <w:rPr>
          <w:rFonts w:cs="Arial"/>
        </w:rPr>
      </w:pPr>
      <w:bookmarkStart w:id="14" w:name="_Toc234586560"/>
      <w:r w:rsidRPr="00267A07">
        <w:rPr>
          <w:rFonts w:cs="Arial"/>
        </w:rPr>
        <w:t>6.2 Recommendations</w:t>
      </w:r>
      <w:bookmarkEnd w:id="14"/>
    </w:p>
    <w:p w14:paraId="72F7A2E8" w14:textId="6425B6D5" w:rsidR="00115983" w:rsidRPr="00115983" w:rsidRDefault="00A276B8" w:rsidP="00A276B8">
      <w:pPr>
        <w:spacing w:before="120" w:after="120" w:line="360" w:lineRule="auto"/>
        <w:jc w:val="both"/>
        <w:rPr>
          <w:rFonts w:ascii="Arial" w:eastAsia="Times New Roman" w:hAnsi="Arial" w:cs="Arial"/>
          <w:sz w:val="24"/>
          <w:szCs w:val="24"/>
        </w:rPr>
      </w:pPr>
      <w:r w:rsidRPr="00115983">
        <w:rPr>
          <w:rFonts w:ascii="Arial" w:eastAsia="Times New Roman" w:hAnsi="Arial" w:cs="Arial"/>
          <w:sz w:val="24"/>
          <w:szCs w:val="24"/>
        </w:rPr>
        <w:t xml:space="preserve">This review suggests a number of recommendations. In the context of health care practice, NHS </w:t>
      </w:r>
      <w:proofErr w:type="spellStart"/>
      <w:r w:rsidRPr="00115983">
        <w:rPr>
          <w:rFonts w:ascii="Arial" w:eastAsia="Times New Roman" w:hAnsi="Arial" w:cs="Arial"/>
          <w:sz w:val="24"/>
          <w:szCs w:val="24"/>
        </w:rPr>
        <w:t>organisations</w:t>
      </w:r>
      <w:proofErr w:type="spellEnd"/>
      <w:r w:rsidRPr="00115983">
        <w:rPr>
          <w:rFonts w:ascii="Arial" w:eastAsia="Times New Roman" w:hAnsi="Arial" w:cs="Arial"/>
          <w:sz w:val="24"/>
          <w:szCs w:val="24"/>
        </w:rPr>
        <w:t xml:space="preserve"> should continue to work on models that combine face-to-face and digital health care services, based on patient preferences and clinical needs, as recommended by </w:t>
      </w:r>
      <w:r w:rsidRPr="00267A07">
        <w:rPr>
          <w:rFonts w:ascii="Arial" w:eastAsia="Times New Roman" w:hAnsi="Arial" w:cs="Arial"/>
          <w:bCs/>
          <w:sz w:val="24"/>
          <w:szCs w:val="24"/>
        </w:rPr>
        <w:t>Greenhalgh et al. (2022)</w:t>
      </w:r>
      <w:r w:rsidRPr="00115983">
        <w:rPr>
          <w:rFonts w:ascii="Arial" w:eastAsia="Times New Roman" w:hAnsi="Arial" w:cs="Arial"/>
          <w:sz w:val="24"/>
          <w:szCs w:val="24"/>
        </w:rPr>
        <w:t xml:space="preserve">, </w:t>
      </w:r>
      <w:r w:rsidRPr="00267A07">
        <w:rPr>
          <w:rFonts w:ascii="Arial" w:eastAsia="Times New Roman" w:hAnsi="Arial" w:cs="Arial"/>
          <w:bCs/>
          <w:sz w:val="24"/>
          <w:szCs w:val="24"/>
        </w:rPr>
        <w:t xml:space="preserve">Antonio </w:t>
      </w:r>
      <w:r w:rsidR="00115983" w:rsidRPr="00115983">
        <w:rPr>
          <w:rFonts w:ascii="Arial" w:eastAsia="Times New Roman" w:hAnsi="Arial" w:cs="Arial"/>
          <w:sz w:val="24"/>
          <w:szCs w:val="24"/>
        </w:rPr>
        <w:t xml:space="preserve">n, and patients should be provided with digital literacy support as per their need to eliminate inequalities in access, as </w:t>
      </w:r>
      <w:r w:rsidR="00115983" w:rsidRPr="00115983">
        <w:rPr>
          <w:rFonts w:ascii="Arial" w:eastAsia="Times New Roman" w:hAnsi="Arial" w:cs="Arial"/>
          <w:sz w:val="24"/>
          <w:szCs w:val="24"/>
        </w:rPr>
        <w:lastRenderedPageBreak/>
        <w:t xml:space="preserve">highlighted by </w:t>
      </w:r>
      <w:r w:rsidR="00115983" w:rsidRPr="00267A07">
        <w:rPr>
          <w:rFonts w:ascii="Arial" w:eastAsia="Times New Roman" w:hAnsi="Arial" w:cs="Arial"/>
          <w:bCs/>
          <w:sz w:val="24"/>
          <w:szCs w:val="24"/>
        </w:rPr>
        <w:t>McGowan et al. (2024)</w:t>
      </w:r>
      <w:r w:rsidR="00115983" w:rsidRPr="00115983">
        <w:rPr>
          <w:rFonts w:ascii="Arial" w:eastAsia="Times New Roman" w:hAnsi="Arial" w:cs="Arial"/>
          <w:sz w:val="24"/>
          <w:szCs w:val="24"/>
        </w:rPr>
        <w:t xml:space="preserve">, </w:t>
      </w:r>
      <w:r w:rsidR="00115983" w:rsidRPr="00267A07">
        <w:rPr>
          <w:rFonts w:ascii="Arial" w:eastAsia="Times New Roman" w:hAnsi="Arial" w:cs="Arial"/>
          <w:bCs/>
          <w:sz w:val="24"/>
          <w:szCs w:val="24"/>
        </w:rPr>
        <w:t>McLean et al. (2024)</w:t>
      </w:r>
      <w:r w:rsidR="00115983" w:rsidRPr="00115983">
        <w:rPr>
          <w:rFonts w:ascii="Arial" w:eastAsia="Times New Roman" w:hAnsi="Arial" w:cs="Arial"/>
          <w:sz w:val="24"/>
          <w:szCs w:val="24"/>
        </w:rPr>
        <w:t xml:space="preserve">, </w:t>
      </w:r>
      <w:r w:rsidR="00115983" w:rsidRPr="00267A07">
        <w:rPr>
          <w:rFonts w:ascii="Arial" w:eastAsia="Times New Roman" w:hAnsi="Arial" w:cs="Arial"/>
          <w:bCs/>
          <w:sz w:val="24"/>
          <w:szCs w:val="24"/>
        </w:rPr>
        <w:t>Li et al. (2024)</w:t>
      </w:r>
      <w:r w:rsidR="00115983" w:rsidRPr="00115983">
        <w:rPr>
          <w:rFonts w:ascii="Arial" w:eastAsia="Times New Roman" w:hAnsi="Arial" w:cs="Arial"/>
          <w:sz w:val="24"/>
          <w:szCs w:val="24"/>
        </w:rPr>
        <w:t xml:space="preserve"> and </w:t>
      </w:r>
      <w:r w:rsidR="00115983" w:rsidRPr="00267A07">
        <w:rPr>
          <w:rFonts w:ascii="Arial" w:eastAsia="Times New Roman" w:hAnsi="Arial" w:cs="Arial"/>
          <w:bCs/>
          <w:sz w:val="24"/>
          <w:szCs w:val="24"/>
        </w:rPr>
        <w:t>Van Kessel et al. (2024)</w:t>
      </w:r>
      <w:r w:rsidR="00115983" w:rsidRPr="00115983">
        <w:rPr>
          <w:rFonts w:ascii="Arial" w:eastAsia="Times New Roman" w:hAnsi="Arial" w:cs="Arial"/>
          <w:sz w:val="24"/>
          <w:szCs w:val="24"/>
        </w:rPr>
        <w:t xml:space="preserve">. Interoperable digital systems, robust infrastructure and user-friendly technologies should also be continued to invest in, to boost patients' confidence and the quality of service, as </w:t>
      </w:r>
      <w:proofErr w:type="spellStart"/>
      <w:r w:rsidR="00115983" w:rsidRPr="00115983">
        <w:rPr>
          <w:rFonts w:ascii="Arial" w:eastAsia="Times New Roman" w:hAnsi="Arial" w:cs="Arial"/>
          <w:sz w:val="24"/>
          <w:szCs w:val="24"/>
        </w:rPr>
        <w:t>emphasised</w:t>
      </w:r>
      <w:proofErr w:type="spellEnd"/>
      <w:r w:rsidR="00115983" w:rsidRPr="00115983">
        <w:rPr>
          <w:rFonts w:ascii="Arial" w:eastAsia="Times New Roman" w:hAnsi="Arial" w:cs="Arial"/>
          <w:sz w:val="24"/>
          <w:szCs w:val="24"/>
        </w:rPr>
        <w:t xml:space="preserve"> by </w:t>
      </w:r>
      <w:r w:rsidR="00115983" w:rsidRPr="00267A07">
        <w:rPr>
          <w:rFonts w:ascii="Arial" w:eastAsia="Times New Roman" w:hAnsi="Arial" w:cs="Arial"/>
          <w:bCs/>
          <w:sz w:val="24"/>
          <w:szCs w:val="24"/>
        </w:rPr>
        <w:t>Wilkes et al. (2024)</w:t>
      </w:r>
      <w:r w:rsidR="00115983" w:rsidRPr="00115983">
        <w:rPr>
          <w:rFonts w:ascii="Arial" w:eastAsia="Times New Roman" w:hAnsi="Arial" w:cs="Arial"/>
          <w:sz w:val="24"/>
          <w:szCs w:val="24"/>
        </w:rPr>
        <w:t xml:space="preserve">, </w:t>
      </w:r>
      <w:r w:rsidR="00115983" w:rsidRPr="00267A07">
        <w:rPr>
          <w:rFonts w:ascii="Arial" w:eastAsia="Times New Roman" w:hAnsi="Arial" w:cs="Arial"/>
          <w:bCs/>
          <w:sz w:val="24"/>
          <w:szCs w:val="24"/>
        </w:rPr>
        <w:t>Lindsay et al. (2025)</w:t>
      </w:r>
      <w:r w:rsidR="00115983" w:rsidRPr="00115983">
        <w:rPr>
          <w:rFonts w:ascii="Arial" w:eastAsia="Times New Roman" w:hAnsi="Arial" w:cs="Arial"/>
          <w:sz w:val="24"/>
          <w:szCs w:val="24"/>
        </w:rPr>
        <w:t xml:space="preserve"> and </w:t>
      </w:r>
      <w:r w:rsidR="00115983" w:rsidRPr="00267A07">
        <w:rPr>
          <w:rFonts w:ascii="Arial" w:eastAsia="Times New Roman" w:hAnsi="Arial" w:cs="Arial"/>
          <w:bCs/>
          <w:sz w:val="24"/>
          <w:szCs w:val="24"/>
        </w:rPr>
        <w:t>Tapuria et al. (2021)</w:t>
      </w:r>
      <w:r w:rsidR="00115983" w:rsidRPr="00115983">
        <w:rPr>
          <w:rFonts w:ascii="Arial" w:eastAsia="Times New Roman" w:hAnsi="Arial" w:cs="Arial"/>
          <w:sz w:val="24"/>
          <w:szCs w:val="24"/>
        </w:rPr>
        <w:t>.</w:t>
      </w:r>
    </w:p>
    <w:p w14:paraId="2131A1DC" w14:textId="77777777" w:rsidR="00115983" w:rsidRPr="00115983" w:rsidRDefault="00115983" w:rsidP="00267A07">
      <w:pPr>
        <w:spacing w:before="120" w:after="120" w:line="360" w:lineRule="auto"/>
        <w:jc w:val="both"/>
        <w:rPr>
          <w:rFonts w:ascii="Arial" w:eastAsia="Times New Roman" w:hAnsi="Arial" w:cs="Arial"/>
          <w:sz w:val="24"/>
          <w:szCs w:val="24"/>
        </w:rPr>
      </w:pPr>
      <w:r w:rsidRPr="00115983">
        <w:rPr>
          <w:rFonts w:ascii="Arial" w:eastAsia="Times New Roman" w:hAnsi="Arial" w:cs="Arial"/>
          <w:sz w:val="24"/>
          <w:szCs w:val="24"/>
        </w:rPr>
        <w:t xml:space="preserve">A digital health strategy should also continue to focus on digital inclusion and the avoidance of any disadvantage to vulnerable groups, such as older people, people with disabilities and those with limited digital literacy, from a policy perspective, as suggested by </w:t>
      </w:r>
      <w:r w:rsidRPr="00267A07">
        <w:rPr>
          <w:rFonts w:ascii="Arial" w:eastAsia="Times New Roman" w:hAnsi="Arial" w:cs="Arial"/>
          <w:bCs/>
          <w:sz w:val="24"/>
          <w:szCs w:val="24"/>
        </w:rPr>
        <w:t>Van Kessel et al. (2024)</w:t>
      </w:r>
      <w:r w:rsidRPr="00115983">
        <w:rPr>
          <w:rFonts w:ascii="Arial" w:eastAsia="Times New Roman" w:hAnsi="Arial" w:cs="Arial"/>
          <w:sz w:val="24"/>
          <w:szCs w:val="24"/>
        </w:rPr>
        <w:t xml:space="preserve">, </w:t>
      </w:r>
      <w:r w:rsidRPr="00267A07">
        <w:rPr>
          <w:rFonts w:ascii="Arial" w:eastAsia="Times New Roman" w:hAnsi="Arial" w:cs="Arial"/>
          <w:bCs/>
          <w:sz w:val="24"/>
          <w:szCs w:val="24"/>
        </w:rPr>
        <w:t>Li et al. (2024)</w:t>
      </w:r>
      <w:r w:rsidRPr="00115983">
        <w:rPr>
          <w:rFonts w:ascii="Arial" w:eastAsia="Times New Roman" w:hAnsi="Arial" w:cs="Arial"/>
          <w:sz w:val="24"/>
          <w:szCs w:val="24"/>
        </w:rPr>
        <w:t xml:space="preserve"> and </w:t>
      </w:r>
      <w:r w:rsidRPr="00267A07">
        <w:rPr>
          <w:rFonts w:ascii="Arial" w:eastAsia="Times New Roman" w:hAnsi="Arial" w:cs="Arial"/>
          <w:bCs/>
          <w:sz w:val="24"/>
          <w:szCs w:val="24"/>
        </w:rPr>
        <w:t>McLean et al. (2024)</w:t>
      </w:r>
      <w:r w:rsidRPr="00115983">
        <w:rPr>
          <w:rFonts w:ascii="Arial" w:eastAsia="Times New Roman" w:hAnsi="Arial" w:cs="Arial"/>
          <w:sz w:val="24"/>
          <w:szCs w:val="24"/>
        </w:rPr>
        <w:t xml:space="preserve">. Policies should also ensure uniformity and consistency at the national level for digital platforms and flexibility at the local level in service delivery, as discussed by </w:t>
      </w:r>
      <w:r w:rsidRPr="00267A07">
        <w:rPr>
          <w:rFonts w:ascii="Arial" w:eastAsia="Times New Roman" w:hAnsi="Arial" w:cs="Arial"/>
          <w:bCs/>
          <w:sz w:val="24"/>
          <w:szCs w:val="24"/>
        </w:rPr>
        <w:t>McGowan et al. (2024)</w:t>
      </w:r>
      <w:r w:rsidRPr="00115983">
        <w:rPr>
          <w:rFonts w:ascii="Arial" w:eastAsia="Times New Roman" w:hAnsi="Arial" w:cs="Arial"/>
          <w:sz w:val="24"/>
          <w:szCs w:val="24"/>
        </w:rPr>
        <w:t xml:space="preserve"> and </w:t>
      </w:r>
      <w:r w:rsidRPr="00267A07">
        <w:rPr>
          <w:rFonts w:ascii="Arial" w:eastAsia="Times New Roman" w:hAnsi="Arial" w:cs="Arial"/>
          <w:bCs/>
          <w:sz w:val="24"/>
          <w:szCs w:val="24"/>
        </w:rPr>
        <w:t>Wilkes et al. (2024)</w:t>
      </w:r>
      <w:r w:rsidRPr="00115983">
        <w:rPr>
          <w:rFonts w:ascii="Arial" w:eastAsia="Times New Roman" w:hAnsi="Arial" w:cs="Arial"/>
          <w:sz w:val="24"/>
          <w:szCs w:val="24"/>
        </w:rPr>
        <w:t>.</w:t>
      </w:r>
    </w:p>
    <w:p w14:paraId="081B26E7" w14:textId="77777777" w:rsidR="00115983" w:rsidRDefault="00115983" w:rsidP="00267A07">
      <w:pPr>
        <w:spacing w:before="120" w:after="120" w:line="360" w:lineRule="auto"/>
        <w:jc w:val="both"/>
        <w:rPr>
          <w:rFonts w:ascii="Arial" w:eastAsia="Times New Roman" w:hAnsi="Arial" w:cs="Arial"/>
          <w:sz w:val="24"/>
          <w:szCs w:val="24"/>
        </w:rPr>
      </w:pPr>
      <w:r w:rsidRPr="00115983">
        <w:rPr>
          <w:rFonts w:ascii="Arial" w:eastAsia="Times New Roman" w:hAnsi="Arial" w:cs="Arial"/>
          <w:sz w:val="24"/>
          <w:szCs w:val="24"/>
        </w:rPr>
        <w:t xml:space="preserve">Future investigations should not be limited to COVID-19 and should explore patient attitudes towards the use of routine digital health care in the longer term, as indicated by </w:t>
      </w:r>
      <w:r w:rsidRPr="00267A07">
        <w:rPr>
          <w:rFonts w:ascii="Arial" w:eastAsia="Times New Roman" w:hAnsi="Arial" w:cs="Arial"/>
          <w:bCs/>
          <w:sz w:val="24"/>
          <w:szCs w:val="24"/>
        </w:rPr>
        <w:t>Lifford et al. (2023)</w:t>
      </w:r>
      <w:r w:rsidRPr="00115983">
        <w:rPr>
          <w:rFonts w:ascii="Arial" w:eastAsia="Times New Roman" w:hAnsi="Arial" w:cs="Arial"/>
          <w:sz w:val="24"/>
          <w:szCs w:val="24"/>
        </w:rPr>
        <w:t xml:space="preserve">, </w:t>
      </w:r>
      <w:r w:rsidRPr="00267A07">
        <w:rPr>
          <w:rFonts w:ascii="Arial" w:eastAsia="Times New Roman" w:hAnsi="Arial" w:cs="Arial"/>
          <w:bCs/>
          <w:sz w:val="24"/>
          <w:szCs w:val="24"/>
        </w:rPr>
        <w:t>Walton et al. (2022)</w:t>
      </w:r>
      <w:r w:rsidRPr="00115983">
        <w:rPr>
          <w:rFonts w:ascii="Arial" w:eastAsia="Times New Roman" w:hAnsi="Arial" w:cs="Arial"/>
          <w:sz w:val="24"/>
          <w:szCs w:val="24"/>
        </w:rPr>
        <w:t xml:space="preserve"> and </w:t>
      </w:r>
      <w:r w:rsidRPr="00267A07">
        <w:rPr>
          <w:rFonts w:ascii="Arial" w:eastAsia="Times New Roman" w:hAnsi="Arial" w:cs="Arial"/>
          <w:bCs/>
          <w:sz w:val="24"/>
          <w:szCs w:val="24"/>
        </w:rPr>
        <w:t>Hughes et al. (2022)</w:t>
      </w:r>
      <w:r w:rsidRPr="00115983">
        <w:rPr>
          <w:rFonts w:ascii="Arial" w:eastAsia="Times New Roman" w:hAnsi="Arial" w:cs="Arial"/>
          <w:sz w:val="24"/>
          <w:szCs w:val="24"/>
        </w:rPr>
        <w:t xml:space="preserve">. Longitudinal and mixed methods studies are needed to assess long-term patient involvement, health outcomes, and service effectiveness in a variety of patient groups. Additional studies could also investigate the impact of new digital tools, such as the use of artificial intelligence in health care, as well as mobile health apps and integrated patient portals, on patient trust, acceptance, and health care experiences in the UK, as proposed by </w:t>
      </w:r>
      <w:r w:rsidRPr="00267A07">
        <w:rPr>
          <w:rFonts w:ascii="Arial" w:eastAsia="Times New Roman" w:hAnsi="Arial" w:cs="Arial"/>
          <w:bCs/>
          <w:sz w:val="24"/>
          <w:szCs w:val="24"/>
        </w:rPr>
        <w:t>Tapuria et al. (2021)</w:t>
      </w:r>
      <w:r w:rsidRPr="00115983">
        <w:rPr>
          <w:rFonts w:ascii="Arial" w:eastAsia="Times New Roman" w:hAnsi="Arial" w:cs="Arial"/>
          <w:sz w:val="24"/>
          <w:szCs w:val="24"/>
        </w:rPr>
        <w:t xml:space="preserve">, </w:t>
      </w:r>
      <w:r w:rsidRPr="00267A07">
        <w:rPr>
          <w:rFonts w:ascii="Arial" w:eastAsia="Times New Roman" w:hAnsi="Arial" w:cs="Arial"/>
          <w:bCs/>
          <w:sz w:val="24"/>
          <w:szCs w:val="24"/>
        </w:rPr>
        <w:t>Van Kessel et al. (2024)</w:t>
      </w:r>
      <w:r w:rsidRPr="00115983">
        <w:rPr>
          <w:rFonts w:ascii="Arial" w:eastAsia="Times New Roman" w:hAnsi="Arial" w:cs="Arial"/>
          <w:sz w:val="24"/>
          <w:szCs w:val="24"/>
        </w:rPr>
        <w:t xml:space="preserve"> and </w:t>
      </w:r>
      <w:r w:rsidRPr="00267A07">
        <w:rPr>
          <w:rFonts w:ascii="Arial" w:eastAsia="Times New Roman" w:hAnsi="Arial" w:cs="Arial"/>
          <w:bCs/>
          <w:sz w:val="24"/>
          <w:szCs w:val="24"/>
        </w:rPr>
        <w:t>Ge et al. (2024)</w:t>
      </w:r>
      <w:r w:rsidRPr="00115983">
        <w:rPr>
          <w:rFonts w:ascii="Arial" w:eastAsia="Times New Roman" w:hAnsi="Arial" w:cs="Arial"/>
          <w:sz w:val="24"/>
          <w:szCs w:val="24"/>
        </w:rPr>
        <w:t xml:space="preserve">. </w:t>
      </w:r>
    </w:p>
    <w:p w14:paraId="14B02551" w14:textId="77777777" w:rsidR="003550CF" w:rsidRDefault="003550CF" w:rsidP="00267A07">
      <w:pPr>
        <w:spacing w:before="120" w:after="120" w:line="360" w:lineRule="auto"/>
        <w:jc w:val="both"/>
        <w:rPr>
          <w:rFonts w:ascii="Arial" w:eastAsia="Times New Roman" w:hAnsi="Arial" w:cs="Arial"/>
          <w:sz w:val="24"/>
          <w:szCs w:val="24"/>
        </w:rPr>
      </w:pPr>
    </w:p>
    <w:p w14:paraId="44944D26" w14:textId="77777777" w:rsidR="003550CF" w:rsidRDefault="003550CF" w:rsidP="00267A07">
      <w:pPr>
        <w:spacing w:before="120" w:after="120" w:line="360" w:lineRule="auto"/>
        <w:jc w:val="both"/>
        <w:rPr>
          <w:rFonts w:ascii="Arial" w:eastAsia="Times New Roman" w:hAnsi="Arial" w:cs="Arial"/>
          <w:sz w:val="24"/>
          <w:szCs w:val="24"/>
        </w:rPr>
      </w:pPr>
    </w:p>
    <w:p w14:paraId="0860718A" w14:textId="77777777" w:rsidR="003550CF" w:rsidRDefault="003550CF" w:rsidP="00267A07">
      <w:pPr>
        <w:spacing w:before="120" w:after="120" w:line="360" w:lineRule="auto"/>
        <w:jc w:val="both"/>
        <w:rPr>
          <w:rFonts w:ascii="Arial" w:eastAsia="Times New Roman" w:hAnsi="Arial" w:cs="Arial"/>
          <w:sz w:val="24"/>
          <w:szCs w:val="24"/>
        </w:rPr>
      </w:pPr>
    </w:p>
    <w:p w14:paraId="76F08097" w14:textId="77777777" w:rsidR="003550CF" w:rsidRDefault="003550CF" w:rsidP="00267A07">
      <w:pPr>
        <w:spacing w:before="120" w:after="120" w:line="360" w:lineRule="auto"/>
        <w:jc w:val="both"/>
        <w:rPr>
          <w:rFonts w:ascii="Arial" w:eastAsia="Times New Roman" w:hAnsi="Arial" w:cs="Arial"/>
          <w:sz w:val="24"/>
          <w:szCs w:val="24"/>
        </w:rPr>
      </w:pPr>
    </w:p>
    <w:p w14:paraId="0382094F" w14:textId="77777777" w:rsidR="003550CF" w:rsidRPr="00115983" w:rsidRDefault="003550CF" w:rsidP="00267A07">
      <w:pPr>
        <w:spacing w:before="120" w:after="120" w:line="360" w:lineRule="auto"/>
        <w:jc w:val="both"/>
        <w:rPr>
          <w:rFonts w:ascii="Arial" w:eastAsia="Times New Roman" w:hAnsi="Arial" w:cs="Arial"/>
          <w:sz w:val="24"/>
          <w:szCs w:val="24"/>
        </w:rPr>
      </w:pPr>
    </w:p>
    <w:p w14:paraId="2EABD745" w14:textId="77777777" w:rsidR="00BB11A5" w:rsidRPr="00267A07" w:rsidRDefault="00BB11A5" w:rsidP="00267A07">
      <w:pPr>
        <w:spacing w:before="120" w:after="120" w:line="360" w:lineRule="auto"/>
        <w:jc w:val="both"/>
        <w:rPr>
          <w:rFonts w:ascii="Arial" w:hAnsi="Arial" w:cs="Arial"/>
        </w:rPr>
      </w:pPr>
    </w:p>
    <w:p w14:paraId="116E350E" w14:textId="77777777" w:rsidR="009309B3" w:rsidRPr="003550CF" w:rsidRDefault="00BB11A5" w:rsidP="003550CF">
      <w:pPr>
        <w:pStyle w:val="Heading1"/>
        <w:rPr>
          <w:rFonts w:cs="Arial"/>
        </w:rPr>
      </w:pPr>
      <w:bookmarkStart w:id="15" w:name="_Toc234586561"/>
      <w:r w:rsidRPr="00267A07">
        <w:rPr>
          <w:rFonts w:cs="Arial"/>
        </w:rPr>
        <w:lastRenderedPageBreak/>
        <w:t>References</w:t>
      </w:r>
      <w:bookmarkEnd w:id="15"/>
    </w:p>
    <w:p w14:paraId="4BF61C66"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Alessa, T., Alhussaini, K., &amp; De Witte, L. (2024). Assessing Patient Use of and Attitudes toward eHealth Services for Communication with Primary Care Centers in Saudi Arabia and Factors Affecting Usage. </w:t>
      </w:r>
      <w:r w:rsidRPr="00267A07">
        <w:rPr>
          <w:rFonts w:ascii="Arial" w:hAnsi="Arial" w:cs="Arial"/>
          <w:i/>
          <w:iCs/>
        </w:rPr>
        <w:t>Healthcare</w:t>
      </w:r>
      <w:r w:rsidRPr="00267A07">
        <w:rPr>
          <w:rFonts w:ascii="Arial" w:hAnsi="Arial" w:cs="Arial"/>
        </w:rPr>
        <w:t xml:space="preserve">, </w:t>
      </w:r>
      <w:r w:rsidRPr="00267A07">
        <w:rPr>
          <w:rFonts w:ascii="Arial" w:hAnsi="Arial" w:cs="Arial"/>
          <w:i/>
          <w:iCs/>
        </w:rPr>
        <w:t>12</w:t>
      </w:r>
      <w:r w:rsidRPr="00267A07">
        <w:rPr>
          <w:rFonts w:ascii="Arial" w:hAnsi="Arial" w:cs="Arial"/>
        </w:rPr>
        <w:t xml:space="preserve">(19), 1929. </w:t>
      </w:r>
      <w:hyperlink r:id="rId11" w:history="1">
        <w:r w:rsidR="00412CD7" w:rsidRPr="00C72506">
          <w:rPr>
            <w:rStyle w:val="Hyperlink"/>
            <w:rFonts w:ascii="Arial" w:hAnsi="Arial" w:cs="Arial"/>
          </w:rPr>
          <w:t>https://doi.org/10.3390/healthcare12191929</w:t>
        </w:r>
      </w:hyperlink>
      <w:r w:rsidR="00412CD7">
        <w:rPr>
          <w:rStyle w:val="url"/>
          <w:rFonts w:ascii="Arial" w:hAnsi="Arial" w:cs="Arial"/>
        </w:rPr>
        <w:t xml:space="preserve"> </w:t>
      </w:r>
    </w:p>
    <w:p w14:paraId="3BAC4561"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Anderson, J., Walsh, J., Anderson, M., &amp; Burnley, R. (2021). Patient satisfaction with remote consultations in a primary care setting. </w:t>
      </w:r>
      <w:r w:rsidRPr="00267A07">
        <w:rPr>
          <w:rFonts w:ascii="Arial" w:hAnsi="Arial" w:cs="Arial"/>
          <w:i/>
          <w:iCs/>
        </w:rPr>
        <w:t>Cureus</w:t>
      </w:r>
      <w:r w:rsidRPr="00267A07">
        <w:rPr>
          <w:rFonts w:ascii="Arial" w:hAnsi="Arial" w:cs="Arial"/>
        </w:rPr>
        <w:t xml:space="preserve">, </w:t>
      </w:r>
      <w:r w:rsidRPr="00267A07">
        <w:rPr>
          <w:rFonts w:ascii="Arial" w:hAnsi="Arial" w:cs="Arial"/>
          <w:i/>
          <w:iCs/>
        </w:rPr>
        <w:t>13</w:t>
      </w:r>
      <w:r w:rsidRPr="00267A07">
        <w:rPr>
          <w:rFonts w:ascii="Arial" w:hAnsi="Arial" w:cs="Arial"/>
        </w:rPr>
        <w:t xml:space="preserve">(9), e17814. </w:t>
      </w:r>
      <w:hyperlink r:id="rId12" w:history="1">
        <w:r w:rsidR="00412CD7" w:rsidRPr="00C72506">
          <w:rPr>
            <w:rStyle w:val="Hyperlink"/>
            <w:rFonts w:ascii="Arial" w:hAnsi="Arial" w:cs="Arial"/>
          </w:rPr>
          <w:t>https://doi.org/10.7759/cureus.17814</w:t>
        </w:r>
      </w:hyperlink>
      <w:r w:rsidR="00412CD7">
        <w:rPr>
          <w:rStyle w:val="url"/>
          <w:rFonts w:ascii="Arial" w:hAnsi="Arial" w:cs="Arial"/>
        </w:rPr>
        <w:t xml:space="preserve"> </w:t>
      </w:r>
    </w:p>
    <w:p w14:paraId="5AEE6949"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Antonio, S., Joseph, D., Parsons, J., &amp; Atherton, H. (2024). Experiences of remote consultation in UK primary care for patients with mental health conditions: A systematic review. </w:t>
      </w:r>
      <w:r w:rsidRPr="00267A07">
        <w:rPr>
          <w:rFonts w:ascii="Arial" w:hAnsi="Arial" w:cs="Arial"/>
          <w:i/>
          <w:iCs/>
        </w:rPr>
        <w:t>Digital Health</w:t>
      </w:r>
      <w:r w:rsidRPr="00267A07">
        <w:rPr>
          <w:rFonts w:ascii="Arial" w:hAnsi="Arial" w:cs="Arial"/>
        </w:rPr>
        <w:t xml:space="preserve">, </w:t>
      </w:r>
      <w:r w:rsidRPr="00267A07">
        <w:rPr>
          <w:rFonts w:ascii="Arial" w:hAnsi="Arial" w:cs="Arial"/>
          <w:i/>
          <w:iCs/>
        </w:rPr>
        <w:t>10</w:t>
      </w:r>
      <w:r w:rsidRPr="00267A07">
        <w:rPr>
          <w:rFonts w:ascii="Arial" w:hAnsi="Arial" w:cs="Arial"/>
        </w:rPr>
        <w:t xml:space="preserve">, 20552076241233969. </w:t>
      </w:r>
      <w:hyperlink r:id="rId13" w:history="1">
        <w:r w:rsidR="00412CD7" w:rsidRPr="00C72506">
          <w:rPr>
            <w:rStyle w:val="Hyperlink"/>
            <w:rFonts w:ascii="Arial" w:hAnsi="Arial" w:cs="Arial"/>
          </w:rPr>
          <w:t>https://doi.org/10.1177/20552076241233969</w:t>
        </w:r>
      </w:hyperlink>
      <w:r w:rsidR="00412CD7">
        <w:rPr>
          <w:rStyle w:val="url"/>
          <w:rFonts w:ascii="Arial" w:hAnsi="Arial" w:cs="Arial"/>
        </w:rPr>
        <w:t xml:space="preserve"> </w:t>
      </w:r>
    </w:p>
    <w:p w14:paraId="074A0790" w14:textId="77777777" w:rsidR="00EC07C7" w:rsidRPr="00267A07" w:rsidRDefault="009309B3" w:rsidP="00267A07">
      <w:pPr>
        <w:pStyle w:val="NormalWeb"/>
        <w:spacing w:before="120" w:beforeAutospacing="0" w:after="120" w:afterAutospacing="0" w:line="360" w:lineRule="auto"/>
        <w:ind w:left="720" w:hanging="720"/>
        <w:jc w:val="both"/>
        <w:rPr>
          <w:rStyle w:val="url"/>
          <w:rFonts w:ascii="Arial" w:hAnsi="Arial" w:cs="Arial"/>
        </w:rPr>
      </w:pPr>
      <w:r w:rsidRPr="00267A07">
        <w:rPr>
          <w:rFonts w:ascii="Arial" w:hAnsi="Arial" w:cs="Arial"/>
        </w:rPr>
        <w:t xml:space="preserve">Archer, C., Ting, L., Kessler, D., Wiles, N., &amp; Turner, K. M. (2025). Primary care practitioners’ and patients’ views on the benefits and challenges of remote consulting for anxiety and depression in UK general practice: a qualitative interview study. </w:t>
      </w:r>
      <w:r w:rsidRPr="00267A07">
        <w:rPr>
          <w:rFonts w:ascii="Arial" w:hAnsi="Arial" w:cs="Arial"/>
          <w:i/>
          <w:iCs/>
        </w:rPr>
        <w:t>BMJ Open</w:t>
      </w:r>
      <w:r w:rsidRPr="00267A07">
        <w:rPr>
          <w:rFonts w:ascii="Arial" w:hAnsi="Arial" w:cs="Arial"/>
        </w:rPr>
        <w:t xml:space="preserve">, </w:t>
      </w:r>
      <w:r w:rsidRPr="00267A07">
        <w:rPr>
          <w:rFonts w:ascii="Arial" w:hAnsi="Arial" w:cs="Arial"/>
          <w:i/>
          <w:iCs/>
        </w:rPr>
        <w:t>15</w:t>
      </w:r>
      <w:r w:rsidRPr="00267A07">
        <w:rPr>
          <w:rFonts w:ascii="Arial" w:hAnsi="Arial" w:cs="Arial"/>
        </w:rPr>
        <w:t xml:space="preserve">(6), e093795. </w:t>
      </w:r>
      <w:hyperlink r:id="rId14" w:history="1">
        <w:r w:rsidR="00412CD7" w:rsidRPr="00C72506">
          <w:rPr>
            <w:rStyle w:val="Hyperlink"/>
            <w:rFonts w:ascii="Arial" w:hAnsi="Arial" w:cs="Arial"/>
          </w:rPr>
          <w:t>https://doi.org/10.1136/bmjopen-2024-093795</w:t>
        </w:r>
      </w:hyperlink>
      <w:r w:rsidR="00412CD7">
        <w:rPr>
          <w:rStyle w:val="url"/>
          <w:rFonts w:ascii="Arial" w:hAnsi="Arial" w:cs="Arial"/>
        </w:rPr>
        <w:t xml:space="preserve"> </w:t>
      </w:r>
    </w:p>
    <w:p w14:paraId="3E10E452" w14:textId="77777777" w:rsidR="00EC07C7" w:rsidRPr="00267A07" w:rsidRDefault="007707E5"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Aveyard, H. (2019) </w:t>
      </w:r>
      <w:r w:rsidRPr="00267A07">
        <w:rPr>
          <w:rStyle w:val="Emphasis"/>
          <w:rFonts w:ascii="Arial" w:hAnsi="Arial" w:cs="Arial"/>
        </w:rPr>
        <w:t>Doing a Literature Review in Health and Social Care: A Practical Guide</w:t>
      </w:r>
      <w:r w:rsidRPr="00267A07">
        <w:rPr>
          <w:rFonts w:ascii="Arial" w:hAnsi="Arial" w:cs="Arial"/>
        </w:rPr>
        <w:t xml:space="preserve">. 4th </w:t>
      </w:r>
      <w:proofErr w:type="spellStart"/>
      <w:r w:rsidRPr="00267A07">
        <w:rPr>
          <w:rFonts w:ascii="Arial" w:hAnsi="Arial" w:cs="Arial"/>
        </w:rPr>
        <w:t>edn</w:t>
      </w:r>
      <w:proofErr w:type="spellEnd"/>
      <w:r w:rsidRPr="00267A07">
        <w:rPr>
          <w:rFonts w:ascii="Arial" w:hAnsi="Arial" w:cs="Arial"/>
        </w:rPr>
        <w:t>. Maidenhead: Open University Press.</w:t>
      </w:r>
    </w:p>
    <w:p w14:paraId="291402CB" w14:textId="77777777" w:rsidR="007707E5" w:rsidRPr="00267A07" w:rsidRDefault="007707E5"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Braun, V. and Clarke, V. (2021) </w:t>
      </w:r>
      <w:r w:rsidRPr="00267A07">
        <w:rPr>
          <w:rStyle w:val="Emphasis"/>
          <w:rFonts w:ascii="Arial" w:hAnsi="Arial" w:cs="Arial"/>
        </w:rPr>
        <w:t>Thematic Analysis: A Practical Guide</w:t>
      </w:r>
      <w:r w:rsidRPr="00267A07">
        <w:rPr>
          <w:rFonts w:ascii="Arial" w:hAnsi="Arial" w:cs="Arial"/>
        </w:rPr>
        <w:t>. London: SAGE.</w:t>
      </w:r>
    </w:p>
    <w:p w14:paraId="7FBBF9E3"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Bara, V. B., Schoeler, N., Carroll, J. H., Simpson, Z., &amp; Cameron, T. (2023). Patient and carer perspectives on the use of video consultations in the management of the ketogenic diet for epilepsy. </w:t>
      </w:r>
      <w:r w:rsidRPr="00267A07">
        <w:rPr>
          <w:rFonts w:ascii="Arial" w:hAnsi="Arial" w:cs="Arial"/>
          <w:i/>
          <w:iCs/>
        </w:rPr>
        <w:t>Epilepsy &amp; Behavior</w:t>
      </w:r>
      <w:r w:rsidRPr="00267A07">
        <w:rPr>
          <w:rFonts w:ascii="Arial" w:hAnsi="Arial" w:cs="Arial"/>
        </w:rPr>
        <w:t xml:space="preserve">, </w:t>
      </w:r>
      <w:r w:rsidRPr="00267A07">
        <w:rPr>
          <w:rFonts w:ascii="Arial" w:hAnsi="Arial" w:cs="Arial"/>
          <w:i/>
          <w:iCs/>
        </w:rPr>
        <w:t>145</w:t>
      </w:r>
      <w:r w:rsidRPr="00267A07">
        <w:rPr>
          <w:rFonts w:ascii="Arial" w:hAnsi="Arial" w:cs="Arial"/>
        </w:rPr>
        <w:t xml:space="preserve">, 109280. </w:t>
      </w:r>
      <w:hyperlink r:id="rId15" w:history="1">
        <w:r w:rsidR="00412CD7" w:rsidRPr="00C72506">
          <w:rPr>
            <w:rStyle w:val="Hyperlink"/>
            <w:rFonts w:ascii="Arial" w:hAnsi="Arial" w:cs="Arial"/>
          </w:rPr>
          <w:t>https://doi.org/10.1016/j.yebeh.2023.109280</w:t>
        </w:r>
      </w:hyperlink>
      <w:r w:rsidR="00412CD7">
        <w:rPr>
          <w:rStyle w:val="url"/>
          <w:rFonts w:ascii="Arial" w:hAnsi="Arial" w:cs="Arial"/>
        </w:rPr>
        <w:t xml:space="preserve"> </w:t>
      </w:r>
    </w:p>
    <w:p w14:paraId="696E78FE"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Blease, C. R., </w:t>
      </w:r>
      <w:proofErr w:type="spellStart"/>
      <w:r w:rsidRPr="00267A07">
        <w:rPr>
          <w:rFonts w:ascii="Arial" w:hAnsi="Arial" w:cs="Arial"/>
        </w:rPr>
        <w:t>Kharko</w:t>
      </w:r>
      <w:proofErr w:type="spellEnd"/>
      <w:r w:rsidRPr="00267A07">
        <w:rPr>
          <w:rFonts w:ascii="Arial" w:hAnsi="Arial" w:cs="Arial"/>
        </w:rPr>
        <w:t xml:space="preserve">, A., Dong, Z., Jones, R. B., Davidge, G., Hagglund, M., Turner, A., DesRoches, C., &amp; McMillan, B. (2024). Experiences and opinions of general practitioners with patient online record access: an online survey in England. </w:t>
      </w:r>
      <w:r w:rsidRPr="00267A07">
        <w:rPr>
          <w:rFonts w:ascii="Arial" w:hAnsi="Arial" w:cs="Arial"/>
          <w:i/>
          <w:iCs/>
        </w:rPr>
        <w:t>BMJ Open</w:t>
      </w:r>
      <w:r w:rsidRPr="00267A07">
        <w:rPr>
          <w:rFonts w:ascii="Arial" w:hAnsi="Arial" w:cs="Arial"/>
        </w:rPr>
        <w:t xml:space="preserve">, </w:t>
      </w:r>
      <w:r w:rsidRPr="00267A07">
        <w:rPr>
          <w:rFonts w:ascii="Arial" w:hAnsi="Arial" w:cs="Arial"/>
          <w:i/>
          <w:iCs/>
        </w:rPr>
        <w:t>14</w:t>
      </w:r>
      <w:r w:rsidRPr="00267A07">
        <w:rPr>
          <w:rFonts w:ascii="Arial" w:hAnsi="Arial" w:cs="Arial"/>
        </w:rPr>
        <w:t xml:space="preserve">(1), e078158. </w:t>
      </w:r>
      <w:hyperlink r:id="rId16" w:history="1">
        <w:r w:rsidR="00412CD7" w:rsidRPr="00C72506">
          <w:rPr>
            <w:rStyle w:val="Hyperlink"/>
            <w:rFonts w:ascii="Arial" w:hAnsi="Arial" w:cs="Arial"/>
          </w:rPr>
          <w:t>https://doi.org/10.1136/bmjopen-2023-078158</w:t>
        </w:r>
      </w:hyperlink>
      <w:r w:rsidR="00412CD7">
        <w:rPr>
          <w:rStyle w:val="url"/>
          <w:rFonts w:ascii="Arial" w:hAnsi="Arial" w:cs="Arial"/>
        </w:rPr>
        <w:t xml:space="preserve"> </w:t>
      </w:r>
    </w:p>
    <w:p w14:paraId="4E24881B"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lastRenderedPageBreak/>
        <w:t xml:space="preserve">Bostan, S., &amp; Unal, C. (2019). Awareness and Attitude of Patients about Patient Privacy. </w:t>
      </w:r>
      <w:proofErr w:type="spellStart"/>
      <w:r w:rsidRPr="00267A07">
        <w:rPr>
          <w:rFonts w:ascii="Arial" w:hAnsi="Arial" w:cs="Arial"/>
          <w:i/>
          <w:iCs/>
        </w:rPr>
        <w:t>Turkiye</w:t>
      </w:r>
      <w:proofErr w:type="spellEnd"/>
      <w:r w:rsidRPr="00267A07">
        <w:rPr>
          <w:rFonts w:ascii="Arial" w:hAnsi="Arial" w:cs="Arial"/>
          <w:i/>
          <w:iCs/>
        </w:rPr>
        <w:t xml:space="preserve"> </w:t>
      </w:r>
      <w:proofErr w:type="spellStart"/>
      <w:r w:rsidRPr="00267A07">
        <w:rPr>
          <w:rFonts w:ascii="Arial" w:hAnsi="Arial" w:cs="Arial"/>
          <w:i/>
          <w:iCs/>
        </w:rPr>
        <w:t>Klinikleri</w:t>
      </w:r>
      <w:proofErr w:type="spellEnd"/>
      <w:r w:rsidRPr="00267A07">
        <w:rPr>
          <w:rFonts w:ascii="Arial" w:hAnsi="Arial" w:cs="Arial"/>
          <w:i/>
          <w:iCs/>
        </w:rPr>
        <w:t xml:space="preserve"> Journal of Medical Ethics-Law and History</w:t>
      </w:r>
      <w:r w:rsidRPr="00267A07">
        <w:rPr>
          <w:rFonts w:ascii="Arial" w:hAnsi="Arial" w:cs="Arial"/>
        </w:rPr>
        <w:t xml:space="preserve">, </w:t>
      </w:r>
      <w:r w:rsidRPr="00267A07">
        <w:rPr>
          <w:rFonts w:ascii="Arial" w:hAnsi="Arial" w:cs="Arial"/>
          <w:i/>
          <w:iCs/>
        </w:rPr>
        <w:t>27</w:t>
      </w:r>
      <w:r w:rsidRPr="00267A07">
        <w:rPr>
          <w:rFonts w:ascii="Arial" w:hAnsi="Arial" w:cs="Arial"/>
        </w:rPr>
        <w:t xml:space="preserve">(3), 239–249. </w:t>
      </w:r>
      <w:hyperlink r:id="rId17" w:history="1">
        <w:r w:rsidR="00412CD7" w:rsidRPr="00C72506">
          <w:rPr>
            <w:rStyle w:val="Hyperlink"/>
            <w:rFonts w:ascii="Arial" w:hAnsi="Arial" w:cs="Arial"/>
          </w:rPr>
          <w:t>https://doi.org/10.5336/mdethic.2019-66210</w:t>
        </w:r>
      </w:hyperlink>
      <w:r w:rsidR="00412CD7">
        <w:rPr>
          <w:rStyle w:val="url"/>
          <w:rFonts w:ascii="Arial" w:hAnsi="Arial" w:cs="Arial"/>
        </w:rPr>
        <w:t xml:space="preserve"> </w:t>
      </w:r>
    </w:p>
    <w:p w14:paraId="6A8659DC" w14:textId="77777777" w:rsidR="00714228" w:rsidRPr="00267A07" w:rsidRDefault="009309B3" w:rsidP="00267A07">
      <w:pPr>
        <w:pStyle w:val="NormalWeb"/>
        <w:spacing w:before="120" w:beforeAutospacing="0" w:after="120" w:afterAutospacing="0" w:line="360" w:lineRule="auto"/>
        <w:ind w:left="720" w:hanging="720"/>
        <w:jc w:val="both"/>
        <w:rPr>
          <w:rStyle w:val="url"/>
          <w:rFonts w:ascii="Arial" w:hAnsi="Arial" w:cs="Arial"/>
        </w:rPr>
      </w:pPr>
      <w:r w:rsidRPr="00267A07">
        <w:rPr>
          <w:rFonts w:ascii="Arial" w:hAnsi="Arial" w:cs="Arial"/>
        </w:rPr>
        <w:t xml:space="preserve">Contractor, U., Haas, W., Reed, P., Osborne, L., Tree, J., &amp; Bosanquet, D. C. (2022). Patient Satisfaction with Tele- and Video-Consultation in the COVID-19 Era – A Survey of Vascular Surgical Patients. </w:t>
      </w:r>
      <w:r w:rsidRPr="00267A07">
        <w:rPr>
          <w:rFonts w:ascii="Arial" w:hAnsi="Arial" w:cs="Arial"/>
          <w:i/>
          <w:iCs/>
        </w:rPr>
        <w:t>Annals of Vascular Surgery</w:t>
      </w:r>
      <w:r w:rsidRPr="00267A07">
        <w:rPr>
          <w:rFonts w:ascii="Arial" w:hAnsi="Arial" w:cs="Arial"/>
        </w:rPr>
        <w:t xml:space="preserve">, </w:t>
      </w:r>
      <w:r w:rsidRPr="00267A07">
        <w:rPr>
          <w:rFonts w:ascii="Arial" w:hAnsi="Arial" w:cs="Arial"/>
          <w:i/>
          <w:iCs/>
        </w:rPr>
        <w:t>85</w:t>
      </w:r>
      <w:r w:rsidRPr="00267A07">
        <w:rPr>
          <w:rFonts w:ascii="Arial" w:hAnsi="Arial" w:cs="Arial"/>
        </w:rPr>
        <w:t xml:space="preserve">, 105–109. </w:t>
      </w:r>
      <w:hyperlink r:id="rId18" w:history="1">
        <w:r w:rsidR="00714228" w:rsidRPr="00267A07">
          <w:rPr>
            <w:rStyle w:val="Hyperlink"/>
            <w:rFonts w:ascii="Arial" w:hAnsi="Arial" w:cs="Arial"/>
          </w:rPr>
          <w:t>https://doi.org/10.1016/j.avsg.2022.05.009</w:t>
        </w:r>
      </w:hyperlink>
    </w:p>
    <w:p w14:paraId="3F3235E6" w14:textId="77777777" w:rsidR="00714228" w:rsidRPr="00267A07" w:rsidRDefault="0039674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Department of Health and Social Care (2022) </w:t>
      </w:r>
      <w:r w:rsidRPr="00267A07">
        <w:rPr>
          <w:rStyle w:val="Emphasis"/>
          <w:rFonts w:ascii="Arial" w:hAnsi="Arial" w:cs="Arial"/>
        </w:rPr>
        <w:t>A plan for digital health and social care</w:t>
      </w:r>
      <w:r w:rsidRPr="00267A07">
        <w:rPr>
          <w:rFonts w:ascii="Arial" w:hAnsi="Arial" w:cs="Arial"/>
        </w:rPr>
        <w:t xml:space="preserve">. London: GOV.UK. </w:t>
      </w:r>
      <w:hyperlink r:id="rId19" w:history="1">
        <w:r w:rsidRPr="00267A07">
          <w:rPr>
            <w:rStyle w:val="Hyperlink"/>
            <w:rFonts w:ascii="Arial" w:hAnsi="Arial" w:cs="Arial"/>
          </w:rPr>
          <w:t>https://www.gov.uk/government/publications/a-plan-for-digital-health-and-social-care/a-plan-for-digital-health-and-social-care</w:t>
        </w:r>
      </w:hyperlink>
      <w:r w:rsidRPr="00267A07">
        <w:rPr>
          <w:rFonts w:ascii="Arial" w:hAnsi="Arial" w:cs="Arial"/>
        </w:rPr>
        <w:t xml:space="preserve"> </w:t>
      </w:r>
    </w:p>
    <w:p w14:paraId="044A7E64" w14:textId="77777777" w:rsidR="00396748" w:rsidRPr="00267A07" w:rsidRDefault="0039674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Data Protection Act 2018 (c. 12). London: The Stationery Office. </w:t>
      </w:r>
      <w:hyperlink r:id="rId20" w:history="1">
        <w:r w:rsidRPr="00267A07">
          <w:rPr>
            <w:rStyle w:val="Hyperlink"/>
            <w:rFonts w:ascii="Arial" w:hAnsi="Arial" w:cs="Arial"/>
          </w:rPr>
          <w:t>https://www.legislation.gov.uk/ukpga/2018/12/enacted/data.xht?view=snippet&amp;wrap=true</w:t>
        </w:r>
      </w:hyperlink>
      <w:r w:rsidRPr="00267A07">
        <w:rPr>
          <w:rFonts w:ascii="Arial" w:hAnsi="Arial" w:cs="Arial"/>
        </w:rPr>
        <w:t xml:space="preserve"> </w:t>
      </w:r>
      <w:r w:rsidR="00584AED">
        <w:rPr>
          <w:rFonts w:ascii="Arial" w:hAnsi="Arial" w:cs="Arial"/>
        </w:rPr>
        <w:t>(accessed: July 10, 2026).</w:t>
      </w:r>
    </w:p>
    <w:p w14:paraId="38DF80E5"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Dalby, M., Hill, A., &amp; </w:t>
      </w:r>
      <w:proofErr w:type="spellStart"/>
      <w:r w:rsidRPr="00267A07">
        <w:rPr>
          <w:rFonts w:ascii="Arial" w:hAnsi="Arial" w:cs="Arial"/>
        </w:rPr>
        <w:t>Nabhani</w:t>
      </w:r>
      <w:proofErr w:type="spellEnd"/>
      <w:r w:rsidRPr="00267A07">
        <w:rPr>
          <w:rFonts w:ascii="Arial" w:hAnsi="Arial" w:cs="Arial"/>
        </w:rPr>
        <w:t xml:space="preserve">-Gebara, S. (2021). Cancer patient experience of telephone clinics implemented in light of COVID-19. </w:t>
      </w:r>
      <w:r w:rsidRPr="00267A07">
        <w:rPr>
          <w:rFonts w:ascii="Arial" w:hAnsi="Arial" w:cs="Arial"/>
          <w:i/>
          <w:iCs/>
        </w:rPr>
        <w:t>Journal of Oncology Pharmacy Practice</w:t>
      </w:r>
      <w:r w:rsidRPr="00267A07">
        <w:rPr>
          <w:rFonts w:ascii="Arial" w:hAnsi="Arial" w:cs="Arial"/>
        </w:rPr>
        <w:t xml:space="preserve">, </w:t>
      </w:r>
      <w:r w:rsidRPr="00267A07">
        <w:rPr>
          <w:rFonts w:ascii="Arial" w:hAnsi="Arial" w:cs="Arial"/>
          <w:i/>
          <w:iCs/>
        </w:rPr>
        <w:t>27</w:t>
      </w:r>
      <w:r w:rsidRPr="00267A07">
        <w:rPr>
          <w:rFonts w:ascii="Arial" w:hAnsi="Arial" w:cs="Arial"/>
        </w:rPr>
        <w:t xml:space="preserve">(3), 644–649. </w:t>
      </w:r>
      <w:hyperlink r:id="rId21" w:history="1">
        <w:r w:rsidR="00412CD7" w:rsidRPr="00C72506">
          <w:rPr>
            <w:rStyle w:val="Hyperlink"/>
            <w:rFonts w:ascii="Arial" w:hAnsi="Arial" w:cs="Arial"/>
          </w:rPr>
          <w:t>https://doi.org/10.1177/1078155221990101</w:t>
        </w:r>
      </w:hyperlink>
      <w:r w:rsidR="00412CD7">
        <w:rPr>
          <w:rStyle w:val="url"/>
          <w:rFonts w:ascii="Arial" w:hAnsi="Arial" w:cs="Arial"/>
        </w:rPr>
        <w:t xml:space="preserve"> </w:t>
      </w:r>
    </w:p>
    <w:p w14:paraId="71609E5D"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De Visser, R. O., </w:t>
      </w:r>
      <w:proofErr w:type="spellStart"/>
      <w:r w:rsidRPr="00267A07">
        <w:rPr>
          <w:rFonts w:ascii="Arial" w:hAnsi="Arial" w:cs="Arial"/>
        </w:rPr>
        <w:t>Nwamba</w:t>
      </w:r>
      <w:proofErr w:type="spellEnd"/>
      <w:r w:rsidRPr="00267A07">
        <w:rPr>
          <w:rFonts w:ascii="Arial" w:hAnsi="Arial" w:cs="Arial"/>
        </w:rPr>
        <w:t xml:space="preserve">, C., Brearley, E., Shafiei, V., &amp; Hart, L. (2024). Remote consultations in primary care: Patient experiences and suggestions for improvement. </w:t>
      </w:r>
      <w:r w:rsidRPr="00267A07">
        <w:rPr>
          <w:rFonts w:ascii="Arial" w:hAnsi="Arial" w:cs="Arial"/>
          <w:i/>
          <w:iCs/>
        </w:rPr>
        <w:t>Journal of Health Psychology</w:t>
      </w:r>
      <w:r w:rsidRPr="00267A07">
        <w:rPr>
          <w:rFonts w:ascii="Arial" w:hAnsi="Arial" w:cs="Arial"/>
        </w:rPr>
        <w:t xml:space="preserve">, </w:t>
      </w:r>
      <w:r w:rsidRPr="00267A07">
        <w:rPr>
          <w:rFonts w:ascii="Arial" w:hAnsi="Arial" w:cs="Arial"/>
          <w:i/>
          <w:iCs/>
        </w:rPr>
        <w:t>29</w:t>
      </w:r>
      <w:r w:rsidRPr="00267A07">
        <w:rPr>
          <w:rFonts w:ascii="Arial" w:hAnsi="Arial" w:cs="Arial"/>
        </w:rPr>
        <w:t xml:space="preserve">(12), 1321–1335. </w:t>
      </w:r>
      <w:hyperlink r:id="rId22" w:history="1">
        <w:r w:rsidR="00584AED" w:rsidRPr="00C72506">
          <w:rPr>
            <w:rStyle w:val="Hyperlink"/>
            <w:rFonts w:ascii="Arial" w:hAnsi="Arial" w:cs="Arial"/>
          </w:rPr>
          <w:t>https://doi.org/10.1177/13591053241240383</w:t>
        </w:r>
      </w:hyperlink>
      <w:r w:rsidR="00584AED">
        <w:rPr>
          <w:rStyle w:val="url"/>
          <w:rFonts w:ascii="Arial" w:hAnsi="Arial" w:cs="Arial"/>
        </w:rPr>
        <w:t xml:space="preserve"> </w:t>
      </w:r>
    </w:p>
    <w:p w14:paraId="22A85970"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Duncan, L. J., &amp; Cheng, K. F. (2021). Public perception of NHS general practice during the first six months of the COVID-19 pandemic in England. </w:t>
      </w:r>
      <w:r w:rsidRPr="00267A07">
        <w:rPr>
          <w:rFonts w:ascii="Arial" w:hAnsi="Arial" w:cs="Arial"/>
          <w:i/>
          <w:iCs/>
        </w:rPr>
        <w:t>F1000Research</w:t>
      </w:r>
      <w:r w:rsidRPr="00267A07">
        <w:rPr>
          <w:rFonts w:ascii="Arial" w:hAnsi="Arial" w:cs="Arial"/>
        </w:rPr>
        <w:t xml:space="preserve">, </w:t>
      </w:r>
      <w:r w:rsidRPr="00267A07">
        <w:rPr>
          <w:rFonts w:ascii="Arial" w:hAnsi="Arial" w:cs="Arial"/>
          <w:i/>
          <w:iCs/>
        </w:rPr>
        <w:t>10</w:t>
      </w:r>
      <w:r w:rsidRPr="00267A07">
        <w:rPr>
          <w:rFonts w:ascii="Arial" w:hAnsi="Arial" w:cs="Arial"/>
        </w:rPr>
        <w:t xml:space="preserve">, 279. </w:t>
      </w:r>
      <w:hyperlink r:id="rId23" w:history="1">
        <w:r w:rsidR="00584AED" w:rsidRPr="00C72506">
          <w:rPr>
            <w:rStyle w:val="Hyperlink"/>
            <w:rFonts w:ascii="Arial" w:hAnsi="Arial" w:cs="Arial"/>
          </w:rPr>
          <w:t>https://doi.org/10.12688/f1000research.52392.2</w:t>
        </w:r>
      </w:hyperlink>
      <w:r w:rsidR="00584AED">
        <w:rPr>
          <w:rStyle w:val="url"/>
          <w:rFonts w:ascii="Arial" w:hAnsi="Arial" w:cs="Arial"/>
        </w:rPr>
        <w:t xml:space="preserve"> </w:t>
      </w:r>
    </w:p>
    <w:p w14:paraId="2F7BD6B6"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Ge, X., Chappell, P., Ledger, J., </w:t>
      </w:r>
      <w:proofErr w:type="spellStart"/>
      <w:r w:rsidRPr="00267A07">
        <w:rPr>
          <w:rFonts w:ascii="Arial" w:hAnsi="Arial" w:cs="Arial"/>
        </w:rPr>
        <w:t>Bakhai</w:t>
      </w:r>
      <w:proofErr w:type="spellEnd"/>
      <w:r w:rsidRPr="00267A07">
        <w:rPr>
          <w:rFonts w:ascii="Arial" w:hAnsi="Arial" w:cs="Arial"/>
        </w:rPr>
        <w:t xml:space="preserve">, M., &amp; Clarke, G. M. (2024). The use of online consultation systems and patient experience of Primary care: Cross-Sectional Analysis using the General Practice Patient Survey. </w:t>
      </w:r>
      <w:r w:rsidRPr="00267A07">
        <w:rPr>
          <w:rFonts w:ascii="Arial" w:hAnsi="Arial" w:cs="Arial"/>
          <w:i/>
          <w:iCs/>
        </w:rPr>
        <w:t>Journal of Medical Internet Research</w:t>
      </w:r>
      <w:r w:rsidRPr="00267A07">
        <w:rPr>
          <w:rFonts w:ascii="Arial" w:hAnsi="Arial" w:cs="Arial"/>
        </w:rPr>
        <w:t xml:space="preserve">, </w:t>
      </w:r>
      <w:r w:rsidRPr="00267A07">
        <w:rPr>
          <w:rFonts w:ascii="Arial" w:hAnsi="Arial" w:cs="Arial"/>
          <w:i/>
          <w:iCs/>
        </w:rPr>
        <w:t>26</w:t>
      </w:r>
      <w:r w:rsidRPr="00267A07">
        <w:rPr>
          <w:rFonts w:ascii="Arial" w:hAnsi="Arial" w:cs="Arial"/>
        </w:rPr>
        <w:t xml:space="preserve">, e51272. </w:t>
      </w:r>
      <w:hyperlink r:id="rId24" w:history="1">
        <w:r w:rsidR="00584AED" w:rsidRPr="00C72506">
          <w:rPr>
            <w:rStyle w:val="Hyperlink"/>
            <w:rFonts w:ascii="Arial" w:hAnsi="Arial" w:cs="Arial"/>
          </w:rPr>
          <w:t>https://doi.org/10.2196/51272</w:t>
        </w:r>
      </w:hyperlink>
      <w:r w:rsidR="00584AED">
        <w:rPr>
          <w:rStyle w:val="url"/>
          <w:rFonts w:ascii="Arial" w:hAnsi="Arial" w:cs="Arial"/>
        </w:rPr>
        <w:t xml:space="preserve"> </w:t>
      </w:r>
    </w:p>
    <w:p w14:paraId="3CE8C05C"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Greenhalgh, T., Ladds, E., Hughes, G., Moore, L., </w:t>
      </w:r>
      <w:proofErr w:type="spellStart"/>
      <w:r w:rsidRPr="00267A07">
        <w:rPr>
          <w:rFonts w:ascii="Arial" w:hAnsi="Arial" w:cs="Arial"/>
        </w:rPr>
        <w:t>Wherton</w:t>
      </w:r>
      <w:proofErr w:type="spellEnd"/>
      <w:r w:rsidRPr="00267A07">
        <w:rPr>
          <w:rFonts w:ascii="Arial" w:hAnsi="Arial" w:cs="Arial"/>
        </w:rPr>
        <w:t xml:space="preserve">, J., Shaw, S. E., Papoutsi, C., Wieringa, S., Rosen, R., Rushforth, A., &amp; </w:t>
      </w:r>
      <w:proofErr w:type="spellStart"/>
      <w:r w:rsidRPr="00267A07">
        <w:rPr>
          <w:rFonts w:ascii="Arial" w:hAnsi="Arial" w:cs="Arial"/>
        </w:rPr>
        <w:t>Rybczynska</w:t>
      </w:r>
      <w:proofErr w:type="spellEnd"/>
      <w:r w:rsidRPr="00267A07">
        <w:rPr>
          <w:rFonts w:ascii="Arial" w:hAnsi="Arial" w:cs="Arial"/>
        </w:rPr>
        <w:t xml:space="preserve">-Bunt, S. (2022). Why do </w:t>
      </w:r>
      <w:r w:rsidRPr="00267A07">
        <w:rPr>
          <w:rFonts w:ascii="Arial" w:hAnsi="Arial" w:cs="Arial"/>
        </w:rPr>
        <w:lastRenderedPageBreak/>
        <w:t xml:space="preserve">GPs rarely do video consultations? qualitative study in UK general practice. </w:t>
      </w:r>
      <w:r w:rsidRPr="00267A07">
        <w:rPr>
          <w:rFonts w:ascii="Arial" w:hAnsi="Arial" w:cs="Arial"/>
          <w:i/>
          <w:iCs/>
        </w:rPr>
        <w:t>British Journal of General Practice</w:t>
      </w:r>
      <w:r w:rsidRPr="00267A07">
        <w:rPr>
          <w:rFonts w:ascii="Arial" w:hAnsi="Arial" w:cs="Arial"/>
        </w:rPr>
        <w:t xml:space="preserve">, </w:t>
      </w:r>
      <w:r w:rsidRPr="00267A07">
        <w:rPr>
          <w:rFonts w:ascii="Arial" w:hAnsi="Arial" w:cs="Arial"/>
          <w:i/>
          <w:iCs/>
        </w:rPr>
        <w:t>72</w:t>
      </w:r>
      <w:r w:rsidRPr="00267A07">
        <w:rPr>
          <w:rFonts w:ascii="Arial" w:hAnsi="Arial" w:cs="Arial"/>
        </w:rPr>
        <w:t xml:space="preserve">(718), e351–e360. </w:t>
      </w:r>
      <w:hyperlink r:id="rId25" w:history="1">
        <w:r w:rsidR="00584AED" w:rsidRPr="00C72506">
          <w:rPr>
            <w:rStyle w:val="Hyperlink"/>
            <w:rFonts w:ascii="Arial" w:hAnsi="Arial" w:cs="Arial"/>
          </w:rPr>
          <w:t>https://doi.org/10.3399/bjgp.2021.0658</w:t>
        </w:r>
      </w:hyperlink>
      <w:r w:rsidR="00584AED">
        <w:rPr>
          <w:rStyle w:val="url"/>
          <w:rFonts w:ascii="Arial" w:hAnsi="Arial" w:cs="Arial"/>
        </w:rPr>
        <w:t xml:space="preserve"> </w:t>
      </w:r>
    </w:p>
    <w:p w14:paraId="482864C2"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Greenhalgh, T., Shaw, S. E., Nishio, A. A., Booth, A., Byng, R., Clarke, A., Dakin, F., Davies, R., Faulkner, S., Hemmings, N., Husain, L., Kalin, A., Ladds, E., Moore, L., Rosen, R., </w:t>
      </w:r>
      <w:proofErr w:type="spellStart"/>
      <w:r w:rsidRPr="00267A07">
        <w:rPr>
          <w:rFonts w:ascii="Arial" w:hAnsi="Arial" w:cs="Arial"/>
        </w:rPr>
        <w:t>Rybczynska</w:t>
      </w:r>
      <w:proofErr w:type="spellEnd"/>
      <w:r w:rsidRPr="00267A07">
        <w:rPr>
          <w:rFonts w:ascii="Arial" w:hAnsi="Arial" w:cs="Arial"/>
        </w:rPr>
        <w:t xml:space="preserve">-Bunt, S., </w:t>
      </w:r>
      <w:proofErr w:type="spellStart"/>
      <w:r w:rsidRPr="00267A07">
        <w:rPr>
          <w:rFonts w:ascii="Arial" w:hAnsi="Arial" w:cs="Arial"/>
        </w:rPr>
        <w:t>Wherton</w:t>
      </w:r>
      <w:proofErr w:type="spellEnd"/>
      <w:r w:rsidRPr="00267A07">
        <w:rPr>
          <w:rFonts w:ascii="Arial" w:hAnsi="Arial" w:cs="Arial"/>
        </w:rPr>
        <w:t xml:space="preserve">, J., &amp; Wieringa, S. (2022). Protocol: Remote care as the ‘new normal’?  Multi-site case study in UK general practice. </w:t>
      </w:r>
      <w:r w:rsidRPr="00267A07">
        <w:rPr>
          <w:rFonts w:ascii="Arial" w:hAnsi="Arial" w:cs="Arial"/>
          <w:i/>
          <w:iCs/>
        </w:rPr>
        <w:t>NIHR Open Research</w:t>
      </w:r>
      <w:r w:rsidRPr="00267A07">
        <w:rPr>
          <w:rFonts w:ascii="Arial" w:hAnsi="Arial" w:cs="Arial"/>
        </w:rPr>
        <w:t xml:space="preserve">, </w:t>
      </w:r>
      <w:r w:rsidRPr="00267A07">
        <w:rPr>
          <w:rFonts w:ascii="Arial" w:hAnsi="Arial" w:cs="Arial"/>
          <w:i/>
          <w:iCs/>
        </w:rPr>
        <w:t>2</w:t>
      </w:r>
      <w:r w:rsidRPr="00267A07">
        <w:rPr>
          <w:rFonts w:ascii="Arial" w:hAnsi="Arial" w:cs="Arial"/>
        </w:rPr>
        <w:t xml:space="preserve">, 46. </w:t>
      </w:r>
      <w:hyperlink r:id="rId26" w:history="1">
        <w:r w:rsidR="00584AED" w:rsidRPr="00C72506">
          <w:rPr>
            <w:rStyle w:val="Hyperlink"/>
            <w:rFonts w:ascii="Arial" w:hAnsi="Arial" w:cs="Arial"/>
          </w:rPr>
          <w:t>https://doi.org/10.3310/nihropenres.13289.1</w:t>
        </w:r>
      </w:hyperlink>
      <w:r w:rsidR="00584AED">
        <w:rPr>
          <w:rStyle w:val="url"/>
          <w:rFonts w:ascii="Arial" w:hAnsi="Arial" w:cs="Arial"/>
        </w:rPr>
        <w:t xml:space="preserve"> </w:t>
      </w:r>
    </w:p>
    <w:p w14:paraId="50AE506D"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Hakim, N., Longmore, P., &amp; Hu, V. H. (2021). Patient Experience Survey in a Corneal Service Conducted by Remote Consultation. </w:t>
      </w:r>
      <w:r w:rsidRPr="00267A07">
        <w:rPr>
          <w:rFonts w:ascii="Arial" w:hAnsi="Arial" w:cs="Arial"/>
          <w:i/>
          <w:iCs/>
        </w:rPr>
        <w:t>Clinical Ophthalmology</w:t>
      </w:r>
      <w:r w:rsidRPr="00267A07">
        <w:rPr>
          <w:rFonts w:ascii="Arial" w:hAnsi="Arial" w:cs="Arial"/>
        </w:rPr>
        <w:t xml:space="preserve">, </w:t>
      </w:r>
      <w:r w:rsidRPr="00267A07">
        <w:rPr>
          <w:rFonts w:ascii="Arial" w:hAnsi="Arial" w:cs="Arial"/>
          <w:i/>
          <w:iCs/>
        </w:rPr>
        <w:t>Volume 15</w:t>
      </w:r>
      <w:r w:rsidRPr="00267A07">
        <w:rPr>
          <w:rFonts w:ascii="Arial" w:hAnsi="Arial" w:cs="Arial"/>
        </w:rPr>
        <w:t xml:space="preserve">, 4747–4754. </w:t>
      </w:r>
      <w:hyperlink r:id="rId27" w:history="1">
        <w:r w:rsidR="00584AED" w:rsidRPr="00C72506">
          <w:rPr>
            <w:rStyle w:val="Hyperlink"/>
            <w:rFonts w:ascii="Arial" w:hAnsi="Arial" w:cs="Arial"/>
          </w:rPr>
          <w:t>https://doi.org/10.2147/opth.s331622</w:t>
        </w:r>
      </w:hyperlink>
      <w:r w:rsidR="00584AED">
        <w:rPr>
          <w:rStyle w:val="url"/>
          <w:rFonts w:ascii="Arial" w:hAnsi="Arial" w:cs="Arial"/>
        </w:rPr>
        <w:t xml:space="preserve"> </w:t>
      </w:r>
    </w:p>
    <w:p w14:paraId="4A50394B"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Hewitt, R. M., Urmston, D., </w:t>
      </w:r>
      <w:proofErr w:type="spellStart"/>
      <w:r w:rsidRPr="00267A07">
        <w:rPr>
          <w:rFonts w:ascii="Arial" w:hAnsi="Arial" w:cs="Arial"/>
        </w:rPr>
        <w:t>Mcateer</w:t>
      </w:r>
      <w:proofErr w:type="spellEnd"/>
      <w:r w:rsidRPr="00267A07">
        <w:rPr>
          <w:rFonts w:ascii="Arial" w:hAnsi="Arial" w:cs="Arial"/>
        </w:rPr>
        <w:t xml:space="preserve">, H., Schofield, J., &amp; Bundy, C. (2022). A UK online survey exploring patient perspectives of remote consultations for managing psoriasis and psoriatic arthritis during the SARS-CoV-2 pandemic. </w:t>
      </w:r>
      <w:r w:rsidRPr="00267A07">
        <w:rPr>
          <w:rFonts w:ascii="Arial" w:hAnsi="Arial" w:cs="Arial"/>
          <w:i/>
          <w:iCs/>
        </w:rPr>
        <w:t>Psychology Health &amp; Medicine</w:t>
      </w:r>
      <w:r w:rsidRPr="00267A07">
        <w:rPr>
          <w:rFonts w:ascii="Arial" w:hAnsi="Arial" w:cs="Arial"/>
        </w:rPr>
        <w:t xml:space="preserve">, </w:t>
      </w:r>
      <w:r w:rsidRPr="00267A07">
        <w:rPr>
          <w:rFonts w:ascii="Arial" w:hAnsi="Arial" w:cs="Arial"/>
          <w:i/>
          <w:iCs/>
        </w:rPr>
        <w:t>28</w:t>
      </w:r>
      <w:r w:rsidRPr="00267A07">
        <w:rPr>
          <w:rFonts w:ascii="Arial" w:hAnsi="Arial" w:cs="Arial"/>
        </w:rPr>
        <w:t xml:space="preserve">(10), 3163–3176. </w:t>
      </w:r>
      <w:hyperlink r:id="rId28" w:history="1">
        <w:r w:rsidR="00584AED" w:rsidRPr="00C72506">
          <w:rPr>
            <w:rStyle w:val="Hyperlink"/>
            <w:rFonts w:ascii="Arial" w:hAnsi="Arial" w:cs="Arial"/>
          </w:rPr>
          <w:t>https://doi.org/10.1080/13548506.2022.2104883</w:t>
        </w:r>
      </w:hyperlink>
      <w:r w:rsidR="00584AED">
        <w:rPr>
          <w:rStyle w:val="url"/>
          <w:rFonts w:ascii="Arial" w:hAnsi="Arial" w:cs="Arial"/>
        </w:rPr>
        <w:t xml:space="preserve"> </w:t>
      </w:r>
    </w:p>
    <w:p w14:paraId="02B2C7F8"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Hughes, G., Moore, L., </w:t>
      </w:r>
      <w:proofErr w:type="spellStart"/>
      <w:r w:rsidRPr="00267A07">
        <w:rPr>
          <w:rFonts w:ascii="Arial" w:hAnsi="Arial" w:cs="Arial"/>
        </w:rPr>
        <w:t>Maniatopoulos</w:t>
      </w:r>
      <w:proofErr w:type="spellEnd"/>
      <w:r w:rsidRPr="00267A07">
        <w:rPr>
          <w:rFonts w:ascii="Arial" w:hAnsi="Arial" w:cs="Arial"/>
        </w:rPr>
        <w:t xml:space="preserve">, G., </w:t>
      </w:r>
      <w:proofErr w:type="spellStart"/>
      <w:r w:rsidRPr="00267A07">
        <w:rPr>
          <w:rFonts w:ascii="Arial" w:hAnsi="Arial" w:cs="Arial"/>
        </w:rPr>
        <w:t>Wherton</w:t>
      </w:r>
      <w:proofErr w:type="spellEnd"/>
      <w:r w:rsidRPr="00267A07">
        <w:rPr>
          <w:rFonts w:ascii="Arial" w:hAnsi="Arial" w:cs="Arial"/>
        </w:rPr>
        <w:t xml:space="preserve">, J., Wood, G. W., Greenhalgh, T., &amp; Shaw, S. (2022). </w:t>
      </w:r>
      <w:proofErr w:type="spellStart"/>
      <w:r w:rsidRPr="00267A07">
        <w:rPr>
          <w:rFonts w:ascii="Arial" w:hAnsi="Arial" w:cs="Arial"/>
        </w:rPr>
        <w:t>Theorising</w:t>
      </w:r>
      <w:proofErr w:type="spellEnd"/>
      <w:r w:rsidRPr="00267A07">
        <w:rPr>
          <w:rFonts w:ascii="Arial" w:hAnsi="Arial" w:cs="Arial"/>
        </w:rPr>
        <w:t xml:space="preserve"> the shift to video consulting in the UK during the COVID-19 pandemic: Analysis of a mixed methods study using practice theory. </w:t>
      </w:r>
      <w:r w:rsidRPr="00267A07">
        <w:rPr>
          <w:rFonts w:ascii="Arial" w:hAnsi="Arial" w:cs="Arial"/>
          <w:i/>
          <w:iCs/>
        </w:rPr>
        <w:t>Social Science &amp; Medicine</w:t>
      </w:r>
      <w:r w:rsidRPr="00267A07">
        <w:rPr>
          <w:rFonts w:ascii="Arial" w:hAnsi="Arial" w:cs="Arial"/>
        </w:rPr>
        <w:t xml:space="preserve">, </w:t>
      </w:r>
      <w:r w:rsidRPr="00267A07">
        <w:rPr>
          <w:rFonts w:ascii="Arial" w:hAnsi="Arial" w:cs="Arial"/>
          <w:i/>
          <w:iCs/>
        </w:rPr>
        <w:t>311</w:t>
      </w:r>
      <w:r w:rsidRPr="00267A07">
        <w:rPr>
          <w:rFonts w:ascii="Arial" w:hAnsi="Arial" w:cs="Arial"/>
        </w:rPr>
        <w:t xml:space="preserve">, 115368. </w:t>
      </w:r>
      <w:hyperlink r:id="rId29" w:history="1">
        <w:r w:rsidR="00584AED" w:rsidRPr="00C72506">
          <w:rPr>
            <w:rStyle w:val="Hyperlink"/>
            <w:rFonts w:ascii="Arial" w:hAnsi="Arial" w:cs="Arial"/>
          </w:rPr>
          <w:t>https://doi.org/10.1016/j.socscimed.2022.115368</w:t>
        </w:r>
      </w:hyperlink>
      <w:r w:rsidR="00584AED">
        <w:rPr>
          <w:rStyle w:val="url"/>
          <w:rFonts w:ascii="Arial" w:hAnsi="Arial" w:cs="Arial"/>
        </w:rPr>
        <w:t xml:space="preserve"> </w:t>
      </w:r>
    </w:p>
    <w:p w14:paraId="1FAE20C7"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Leach, H., Eccles, A., Chew-Graham, C. A., &amp; Atherton, H. (2024). Patient experiences of remote consulting with chronic fatigue syndrome/</w:t>
      </w:r>
      <w:proofErr w:type="spellStart"/>
      <w:r w:rsidRPr="00267A07">
        <w:rPr>
          <w:rFonts w:ascii="Arial" w:hAnsi="Arial" w:cs="Arial"/>
        </w:rPr>
        <w:t>myalgic</w:t>
      </w:r>
      <w:proofErr w:type="spellEnd"/>
      <w:r w:rsidRPr="00267A07">
        <w:rPr>
          <w:rFonts w:ascii="Arial" w:hAnsi="Arial" w:cs="Arial"/>
        </w:rPr>
        <w:t xml:space="preserve"> encephalomyelitis and fibromyalgia: a qualitative study. </w:t>
      </w:r>
      <w:r w:rsidRPr="00267A07">
        <w:rPr>
          <w:rFonts w:ascii="Arial" w:hAnsi="Arial" w:cs="Arial"/>
          <w:i/>
          <w:iCs/>
        </w:rPr>
        <w:t>BJGP Open</w:t>
      </w:r>
      <w:r w:rsidRPr="00267A07">
        <w:rPr>
          <w:rFonts w:ascii="Arial" w:hAnsi="Arial" w:cs="Arial"/>
        </w:rPr>
        <w:t xml:space="preserve">, </w:t>
      </w:r>
      <w:r w:rsidRPr="00267A07">
        <w:rPr>
          <w:rFonts w:ascii="Arial" w:hAnsi="Arial" w:cs="Arial"/>
          <w:i/>
          <w:iCs/>
        </w:rPr>
        <w:t>9</w:t>
      </w:r>
      <w:r w:rsidRPr="00267A07">
        <w:rPr>
          <w:rFonts w:ascii="Arial" w:hAnsi="Arial" w:cs="Arial"/>
        </w:rPr>
        <w:t xml:space="preserve">(1), BJGPO.2024.0079. </w:t>
      </w:r>
      <w:hyperlink r:id="rId30" w:history="1">
        <w:r w:rsidR="00584AED" w:rsidRPr="00C72506">
          <w:rPr>
            <w:rStyle w:val="Hyperlink"/>
            <w:rFonts w:ascii="Arial" w:hAnsi="Arial" w:cs="Arial"/>
          </w:rPr>
          <w:t>https://doi.org/10.3399/bjgpo.2024.0079</w:t>
        </w:r>
      </w:hyperlink>
      <w:r w:rsidR="00584AED">
        <w:rPr>
          <w:rStyle w:val="url"/>
          <w:rFonts w:ascii="Arial" w:hAnsi="Arial" w:cs="Arial"/>
        </w:rPr>
        <w:t xml:space="preserve"> </w:t>
      </w:r>
    </w:p>
    <w:p w14:paraId="762C4829"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Leung, K., &amp; Qureshi, S. (2021). Managing high frequency users of an electronic consultation system in primary care: a quality improvement project. </w:t>
      </w:r>
      <w:r w:rsidRPr="00267A07">
        <w:rPr>
          <w:rFonts w:ascii="Arial" w:hAnsi="Arial" w:cs="Arial"/>
          <w:i/>
          <w:iCs/>
        </w:rPr>
        <w:t>BMJ Open Quality</w:t>
      </w:r>
      <w:r w:rsidRPr="00267A07">
        <w:rPr>
          <w:rFonts w:ascii="Arial" w:hAnsi="Arial" w:cs="Arial"/>
        </w:rPr>
        <w:t xml:space="preserve">, </w:t>
      </w:r>
      <w:r w:rsidRPr="00267A07">
        <w:rPr>
          <w:rFonts w:ascii="Arial" w:hAnsi="Arial" w:cs="Arial"/>
          <w:i/>
          <w:iCs/>
        </w:rPr>
        <w:t>10</w:t>
      </w:r>
      <w:r w:rsidRPr="00267A07">
        <w:rPr>
          <w:rFonts w:ascii="Arial" w:hAnsi="Arial" w:cs="Arial"/>
        </w:rPr>
        <w:t xml:space="preserve">(2), e001310. </w:t>
      </w:r>
      <w:hyperlink r:id="rId31" w:history="1">
        <w:r w:rsidR="00584AED" w:rsidRPr="00C72506">
          <w:rPr>
            <w:rStyle w:val="Hyperlink"/>
            <w:rFonts w:ascii="Arial" w:hAnsi="Arial" w:cs="Arial"/>
          </w:rPr>
          <w:t>https://doi.org/10.1136/bmjoq-2020-001310</w:t>
        </w:r>
      </w:hyperlink>
      <w:r w:rsidR="00584AED">
        <w:rPr>
          <w:rStyle w:val="url"/>
          <w:rFonts w:ascii="Arial" w:hAnsi="Arial" w:cs="Arial"/>
        </w:rPr>
        <w:t xml:space="preserve"> </w:t>
      </w:r>
    </w:p>
    <w:p w14:paraId="1BD943E2"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lastRenderedPageBreak/>
        <w:t>Li, B., Watson, B., &amp; Yung, A. (2025). When medical consultations are not face-to-face: a pilot study of patient-</w:t>
      </w:r>
      <w:proofErr w:type="spellStart"/>
      <w:r w:rsidRPr="00267A07">
        <w:rPr>
          <w:rFonts w:ascii="Arial" w:hAnsi="Arial" w:cs="Arial"/>
        </w:rPr>
        <w:t>centred</w:t>
      </w:r>
      <w:proofErr w:type="spellEnd"/>
      <w:r w:rsidRPr="00267A07">
        <w:rPr>
          <w:rFonts w:ascii="Arial" w:hAnsi="Arial" w:cs="Arial"/>
        </w:rPr>
        <w:t xml:space="preserve"> care communication during coronavirus disease 2019. </w:t>
      </w:r>
      <w:r w:rsidRPr="00267A07">
        <w:rPr>
          <w:rFonts w:ascii="Arial" w:hAnsi="Arial" w:cs="Arial"/>
          <w:i/>
          <w:iCs/>
        </w:rPr>
        <w:t>mHealth</w:t>
      </w:r>
      <w:r w:rsidRPr="00267A07">
        <w:rPr>
          <w:rFonts w:ascii="Arial" w:hAnsi="Arial" w:cs="Arial"/>
        </w:rPr>
        <w:t xml:space="preserve">, </w:t>
      </w:r>
      <w:r w:rsidRPr="00267A07">
        <w:rPr>
          <w:rFonts w:ascii="Arial" w:hAnsi="Arial" w:cs="Arial"/>
          <w:i/>
          <w:iCs/>
        </w:rPr>
        <w:t>11</w:t>
      </w:r>
      <w:r w:rsidRPr="00267A07">
        <w:rPr>
          <w:rFonts w:ascii="Arial" w:hAnsi="Arial" w:cs="Arial"/>
        </w:rPr>
        <w:t xml:space="preserve">, 14. </w:t>
      </w:r>
      <w:hyperlink r:id="rId32" w:history="1">
        <w:r w:rsidR="00584AED" w:rsidRPr="00C72506">
          <w:rPr>
            <w:rStyle w:val="Hyperlink"/>
            <w:rFonts w:ascii="Arial" w:hAnsi="Arial" w:cs="Arial"/>
          </w:rPr>
          <w:t>https://doi.org/10.21037/mhealth-24-59</w:t>
        </w:r>
      </w:hyperlink>
      <w:r w:rsidR="00584AED">
        <w:rPr>
          <w:rStyle w:val="url"/>
          <w:rFonts w:ascii="Arial" w:hAnsi="Arial" w:cs="Arial"/>
        </w:rPr>
        <w:t xml:space="preserve"> </w:t>
      </w:r>
    </w:p>
    <w:p w14:paraId="790DF9A8"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Li, E., Lounsbury, O., Clarke, J., </w:t>
      </w:r>
      <w:proofErr w:type="spellStart"/>
      <w:r w:rsidRPr="00267A07">
        <w:rPr>
          <w:rFonts w:ascii="Arial" w:hAnsi="Arial" w:cs="Arial"/>
        </w:rPr>
        <w:t>Ashrafian</w:t>
      </w:r>
      <w:proofErr w:type="spellEnd"/>
      <w:r w:rsidRPr="00267A07">
        <w:rPr>
          <w:rFonts w:ascii="Arial" w:hAnsi="Arial" w:cs="Arial"/>
        </w:rPr>
        <w:t xml:space="preserve">, H., Darzi, A., &amp; Neves, A. L. (2024). Patient and caregiver perceptions of electronic health records interoperability in the NHS and its impact on care quality: a focus group study. </w:t>
      </w:r>
      <w:r w:rsidRPr="00267A07">
        <w:rPr>
          <w:rFonts w:ascii="Arial" w:hAnsi="Arial" w:cs="Arial"/>
          <w:i/>
          <w:iCs/>
        </w:rPr>
        <w:t>BMC Medical Informatics and Decision Making</w:t>
      </w:r>
      <w:r w:rsidRPr="00267A07">
        <w:rPr>
          <w:rFonts w:ascii="Arial" w:hAnsi="Arial" w:cs="Arial"/>
        </w:rPr>
        <w:t xml:space="preserve">, </w:t>
      </w:r>
      <w:r w:rsidRPr="00267A07">
        <w:rPr>
          <w:rFonts w:ascii="Arial" w:hAnsi="Arial" w:cs="Arial"/>
          <w:i/>
          <w:iCs/>
        </w:rPr>
        <w:t>24</w:t>
      </w:r>
      <w:r w:rsidRPr="00267A07">
        <w:rPr>
          <w:rFonts w:ascii="Arial" w:hAnsi="Arial" w:cs="Arial"/>
        </w:rPr>
        <w:t xml:space="preserve">(1), 370. </w:t>
      </w:r>
      <w:hyperlink r:id="rId33" w:history="1">
        <w:r w:rsidR="00584AED" w:rsidRPr="00C72506">
          <w:rPr>
            <w:rStyle w:val="Hyperlink"/>
            <w:rFonts w:ascii="Arial" w:hAnsi="Arial" w:cs="Arial"/>
          </w:rPr>
          <w:t>https://doi.org/10.1186/s12911-024-02789-5</w:t>
        </w:r>
      </w:hyperlink>
      <w:r w:rsidR="00584AED">
        <w:rPr>
          <w:rStyle w:val="url"/>
          <w:rFonts w:ascii="Arial" w:hAnsi="Arial" w:cs="Arial"/>
        </w:rPr>
        <w:t xml:space="preserve"> </w:t>
      </w:r>
    </w:p>
    <w:p w14:paraId="282FA9F4"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Lifford, K. J., </w:t>
      </w:r>
      <w:proofErr w:type="spellStart"/>
      <w:r w:rsidRPr="00267A07">
        <w:rPr>
          <w:rFonts w:ascii="Arial" w:hAnsi="Arial" w:cs="Arial"/>
        </w:rPr>
        <w:t>Grozeva</w:t>
      </w:r>
      <w:proofErr w:type="spellEnd"/>
      <w:r w:rsidRPr="00267A07">
        <w:rPr>
          <w:rFonts w:ascii="Arial" w:hAnsi="Arial" w:cs="Arial"/>
        </w:rPr>
        <w:t xml:space="preserve">, D., Cannings-John, R., Quinn-Scoggins, H., Moriarty, Y., Gjini, A., Goddard, M., Hepburn, J., Hughes, J., Moore, G., Osborne, K., Robling, M., Townson, J., Waller, J., Whitelock, V., Whitaker, K. L., &amp; Brain, K. (2023). Satisfaction with remote consultations in primary care during COVID-19: a population survey of UK adults. </w:t>
      </w:r>
      <w:r w:rsidRPr="00267A07">
        <w:rPr>
          <w:rFonts w:ascii="Arial" w:hAnsi="Arial" w:cs="Arial"/>
          <w:i/>
          <w:iCs/>
        </w:rPr>
        <w:t>British Journal of General Practice</w:t>
      </w:r>
      <w:r w:rsidRPr="00267A07">
        <w:rPr>
          <w:rFonts w:ascii="Arial" w:hAnsi="Arial" w:cs="Arial"/>
        </w:rPr>
        <w:t xml:space="preserve">, </w:t>
      </w:r>
      <w:r w:rsidRPr="00267A07">
        <w:rPr>
          <w:rFonts w:ascii="Arial" w:hAnsi="Arial" w:cs="Arial"/>
          <w:i/>
          <w:iCs/>
        </w:rPr>
        <w:t>74</w:t>
      </w:r>
      <w:r w:rsidRPr="00267A07">
        <w:rPr>
          <w:rFonts w:ascii="Arial" w:hAnsi="Arial" w:cs="Arial"/>
        </w:rPr>
        <w:t xml:space="preserve">(739), e96–e103. </w:t>
      </w:r>
      <w:hyperlink r:id="rId34" w:history="1">
        <w:r w:rsidR="00584AED" w:rsidRPr="00C72506">
          <w:rPr>
            <w:rStyle w:val="Hyperlink"/>
            <w:rFonts w:ascii="Arial" w:hAnsi="Arial" w:cs="Arial"/>
          </w:rPr>
          <w:t>https://doi.org/10.3399/bjgp.2023.0092</w:t>
        </w:r>
      </w:hyperlink>
      <w:r w:rsidR="00584AED">
        <w:rPr>
          <w:rStyle w:val="url"/>
          <w:rFonts w:ascii="Arial" w:hAnsi="Arial" w:cs="Arial"/>
        </w:rPr>
        <w:t xml:space="preserve"> </w:t>
      </w:r>
    </w:p>
    <w:p w14:paraId="4797BC4C"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Lindsay, R. K., Cunnington, P., &amp; Dixon-Woods, M. (2025). Why is implementing remote monitoring in virtual wards (Hospital at Home) for people living with frailty so hard? Qualitative interview study. </w:t>
      </w:r>
      <w:r w:rsidRPr="00267A07">
        <w:rPr>
          <w:rFonts w:ascii="Arial" w:hAnsi="Arial" w:cs="Arial"/>
          <w:i/>
          <w:iCs/>
        </w:rPr>
        <w:t>Age And Ageing</w:t>
      </w:r>
      <w:r w:rsidRPr="00267A07">
        <w:rPr>
          <w:rFonts w:ascii="Arial" w:hAnsi="Arial" w:cs="Arial"/>
        </w:rPr>
        <w:t xml:space="preserve">, </w:t>
      </w:r>
      <w:r w:rsidRPr="00267A07">
        <w:rPr>
          <w:rFonts w:ascii="Arial" w:hAnsi="Arial" w:cs="Arial"/>
          <w:i/>
          <w:iCs/>
        </w:rPr>
        <w:t>54</w:t>
      </w:r>
      <w:r w:rsidRPr="00267A07">
        <w:rPr>
          <w:rFonts w:ascii="Arial" w:hAnsi="Arial" w:cs="Arial"/>
        </w:rPr>
        <w:t xml:space="preserve">(1). </w:t>
      </w:r>
      <w:hyperlink r:id="rId35" w:history="1">
        <w:r w:rsidR="00584AED" w:rsidRPr="00C72506">
          <w:rPr>
            <w:rStyle w:val="Hyperlink"/>
            <w:rFonts w:ascii="Arial" w:hAnsi="Arial" w:cs="Arial"/>
          </w:rPr>
          <w:t>https://doi.org/10.1093/ageing/afaf003</w:t>
        </w:r>
      </w:hyperlink>
      <w:r w:rsidR="00584AED">
        <w:rPr>
          <w:rStyle w:val="url"/>
          <w:rFonts w:ascii="Arial" w:hAnsi="Arial" w:cs="Arial"/>
        </w:rPr>
        <w:t xml:space="preserve"> </w:t>
      </w:r>
    </w:p>
    <w:p w14:paraId="231F9477"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McCann, L., Lewis, L., </w:t>
      </w:r>
      <w:proofErr w:type="spellStart"/>
      <w:r w:rsidRPr="00267A07">
        <w:rPr>
          <w:rFonts w:ascii="Arial" w:hAnsi="Arial" w:cs="Arial"/>
        </w:rPr>
        <w:t>Oduntan</w:t>
      </w:r>
      <w:proofErr w:type="spellEnd"/>
      <w:r w:rsidRPr="00267A07">
        <w:rPr>
          <w:rFonts w:ascii="Arial" w:hAnsi="Arial" w:cs="Arial"/>
        </w:rPr>
        <w:t xml:space="preserve">, O., Harris, J., Darley, A., Berg, G. V., </w:t>
      </w:r>
      <w:proofErr w:type="spellStart"/>
      <w:r w:rsidRPr="00267A07">
        <w:rPr>
          <w:rFonts w:ascii="Arial" w:hAnsi="Arial" w:cs="Arial"/>
        </w:rPr>
        <w:t>Lubowitzki</w:t>
      </w:r>
      <w:proofErr w:type="spellEnd"/>
      <w:r w:rsidRPr="00267A07">
        <w:rPr>
          <w:rFonts w:ascii="Arial" w:hAnsi="Arial" w:cs="Arial"/>
        </w:rPr>
        <w:t xml:space="preserve">, S., Cheevers, K., Miller, M., Armes, J., Ream, E., Fox, P., Furlong, E. P., Gaiger, A., </w:t>
      </w:r>
      <w:proofErr w:type="spellStart"/>
      <w:r w:rsidRPr="00267A07">
        <w:rPr>
          <w:rFonts w:ascii="Arial" w:hAnsi="Arial" w:cs="Arial"/>
        </w:rPr>
        <w:t>Kotronoulas</w:t>
      </w:r>
      <w:proofErr w:type="spellEnd"/>
      <w:r w:rsidRPr="00267A07">
        <w:rPr>
          <w:rFonts w:ascii="Arial" w:hAnsi="Arial" w:cs="Arial"/>
        </w:rPr>
        <w:t xml:space="preserve">, G., Patiraki, E., </w:t>
      </w:r>
      <w:proofErr w:type="spellStart"/>
      <w:r w:rsidRPr="00267A07">
        <w:rPr>
          <w:rFonts w:ascii="Arial" w:hAnsi="Arial" w:cs="Arial"/>
        </w:rPr>
        <w:t>Katsaragakis</w:t>
      </w:r>
      <w:proofErr w:type="spellEnd"/>
      <w:r w:rsidRPr="00267A07">
        <w:rPr>
          <w:rFonts w:ascii="Arial" w:hAnsi="Arial" w:cs="Arial"/>
        </w:rPr>
        <w:t xml:space="preserve">, S., McCrone, P., Miaskowski, C., . . . Maguire, R. (2024). Patients’ and clinicians’ experiences using a Real-Time Remote Monitoring System for Chemotherapy Symptom Management (ASYMS): Qualitative study. </w:t>
      </w:r>
      <w:r w:rsidRPr="00267A07">
        <w:rPr>
          <w:rFonts w:ascii="Arial" w:hAnsi="Arial" w:cs="Arial"/>
          <w:i/>
          <w:iCs/>
        </w:rPr>
        <w:t>Journal of Medical Internet Research</w:t>
      </w:r>
      <w:r w:rsidRPr="00267A07">
        <w:rPr>
          <w:rFonts w:ascii="Arial" w:hAnsi="Arial" w:cs="Arial"/>
        </w:rPr>
        <w:t xml:space="preserve">, </w:t>
      </w:r>
      <w:r w:rsidRPr="00267A07">
        <w:rPr>
          <w:rFonts w:ascii="Arial" w:hAnsi="Arial" w:cs="Arial"/>
          <w:i/>
          <w:iCs/>
        </w:rPr>
        <w:t>26</w:t>
      </w:r>
      <w:r w:rsidRPr="00267A07">
        <w:rPr>
          <w:rFonts w:ascii="Arial" w:hAnsi="Arial" w:cs="Arial"/>
        </w:rPr>
        <w:t xml:space="preserve">, e53834. </w:t>
      </w:r>
      <w:hyperlink r:id="rId36" w:history="1">
        <w:r w:rsidR="00584AED" w:rsidRPr="00C72506">
          <w:rPr>
            <w:rStyle w:val="Hyperlink"/>
            <w:rFonts w:ascii="Arial" w:hAnsi="Arial" w:cs="Arial"/>
          </w:rPr>
          <w:t>https://doi.org/10.2196/53834</w:t>
        </w:r>
      </w:hyperlink>
      <w:r w:rsidR="00584AED">
        <w:rPr>
          <w:rStyle w:val="url"/>
          <w:rFonts w:ascii="Arial" w:hAnsi="Arial" w:cs="Arial"/>
        </w:rPr>
        <w:t xml:space="preserve"> </w:t>
      </w:r>
    </w:p>
    <w:p w14:paraId="0D8F5F71"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McCullough, J. E. M., Sinclair, M., Gillender, J., McCrossan, B., Slater, P. F., Browne, R., &amp; Casey, F. (2024). Touching Technology—Parents’ experiences of remote consultations for children with severe congenital cardiac Conditions: Quasi-Experimental Cohort Study. </w:t>
      </w:r>
      <w:r w:rsidRPr="00267A07">
        <w:rPr>
          <w:rFonts w:ascii="Arial" w:hAnsi="Arial" w:cs="Arial"/>
          <w:i/>
          <w:iCs/>
        </w:rPr>
        <w:t>JMIR Pediatrics and Parenting</w:t>
      </w:r>
      <w:r w:rsidRPr="00267A07">
        <w:rPr>
          <w:rFonts w:ascii="Arial" w:hAnsi="Arial" w:cs="Arial"/>
        </w:rPr>
        <w:t xml:space="preserve">, </w:t>
      </w:r>
      <w:r w:rsidRPr="00267A07">
        <w:rPr>
          <w:rFonts w:ascii="Arial" w:hAnsi="Arial" w:cs="Arial"/>
          <w:i/>
          <w:iCs/>
        </w:rPr>
        <w:t>7</w:t>
      </w:r>
      <w:r w:rsidRPr="00267A07">
        <w:rPr>
          <w:rFonts w:ascii="Arial" w:hAnsi="Arial" w:cs="Arial"/>
        </w:rPr>
        <w:t xml:space="preserve">, e54598. </w:t>
      </w:r>
      <w:hyperlink r:id="rId37" w:history="1">
        <w:r w:rsidR="00584AED" w:rsidRPr="00C72506">
          <w:rPr>
            <w:rStyle w:val="Hyperlink"/>
            <w:rFonts w:ascii="Arial" w:hAnsi="Arial" w:cs="Arial"/>
          </w:rPr>
          <w:t>https://doi.org/10.2196/54598</w:t>
        </w:r>
      </w:hyperlink>
      <w:r w:rsidR="00584AED">
        <w:rPr>
          <w:rStyle w:val="url"/>
          <w:rFonts w:ascii="Arial" w:hAnsi="Arial" w:cs="Arial"/>
        </w:rPr>
        <w:t xml:space="preserve"> </w:t>
      </w:r>
    </w:p>
    <w:p w14:paraId="504D2D18"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lastRenderedPageBreak/>
        <w:t xml:space="preserve">McGowan, L. J., Graham, F., </w:t>
      </w:r>
      <w:proofErr w:type="spellStart"/>
      <w:r w:rsidRPr="00267A07">
        <w:rPr>
          <w:rFonts w:ascii="Arial" w:hAnsi="Arial" w:cs="Arial"/>
        </w:rPr>
        <w:t>Lecouturier</w:t>
      </w:r>
      <w:proofErr w:type="spellEnd"/>
      <w:r w:rsidRPr="00267A07">
        <w:rPr>
          <w:rFonts w:ascii="Arial" w:hAnsi="Arial" w:cs="Arial"/>
        </w:rPr>
        <w:t xml:space="preserve">, J., Goffe, L., Echevarria, C., Kelly, M. P., &amp; </w:t>
      </w:r>
      <w:proofErr w:type="spellStart"/>
      <w:r w:rsidRPr="00267A07">
        <w:rPr>
          <w:rFonts w:ascii="Arial" w:hAnsi="Arial" w:cs="Arial"/>
        </w:rPr>
        <w:t>Sniehotta</w:t>
      </w:r>
      <w:proofErr w:type="spellEnd"/>
      <w:r w:rsidRPr="00267A07">
        <w:rPr>
          <w:rFonts w:ascii="Arial" w:hAnsi="Arial" w:cs="Arial"/>
        </w:rPr>
        <w:t xml:space="preserve">, F. F. (2024). The views and experiences of Integrated Care System Commissioners about the adoption and implementation of virtual wards in England: Qualitative Exploration study. </w:t>
      </w:r>
      <w:r w:rsidRPr="00267A07">
        <w:rPr>
          <w:rFonts w:ascii="Arial" w:hAnsi="Arial" w:cs="Arial"/>
          <w:i/>
          <w:iCs/>
        </w:rPr>
        <w:t>Journal of Medical Internet Research</w:t>
      </w:r>
      <w:r w:rsidRPr="00267A07">
        <w:rPr>
          <w:rFonts w:ascii="Arial" w:hAnsi="Arial" w:cs="Arial"/>
        </w:rPr>
        <w:t xml:space="preserve">, </w:t>
      </w:r>
      <w:r w:rsidRPr="00267A07">
        <w:rPr>
          <w:rFonts w:ascii="Arial" w:hAnsi="Arial" w:cs="Arial"/>
          <w:i/>
          <w:iCs/>
        </w:rPr>
        <w:t>26</w:t>
      </w:r>
      <w:r w:rsidRPr="00267A07">
        <w:rPr>
          <w:rFonts w:ascii="Arial" w:hAnsi="Arial" w:cs="Arial"/>
        </w:rPr>
        <w:t xml:space="preserve">, e56494. </w:t>
      </w:r>
      <w:hyperlink r:id="rId38" w:history="1">
        <w:r w:rsidR="00584AED" w:rsidRPr="00C72506">
          <w:rPr>
            <w:rStyle w:val="Hyperlink"/>
            <w:rFonts w:ascii="Arial" w:hAnsi="Arial" w:cs="Arial"/>
          </w:rPr>
          <w:t>https://doi.org/10.2196/56494</w:t>
        </w:r>
      </w:hyperlink>
      <w:r w:rsidR="00584AED">
        <w:rPr>
          <w:rStyle w:val="url"/>
          <w:rFonts w:ascii="Arial" w:hAnsi="Arial" w:cs="Arial"/>
        </w:rPr>
        <w:t xml:space="preserve"> </w:t>
      </w:r>
    </w:p>
    <w:p w14:paraId="3BC7D0A7"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proofErr w:type="spellStart"/>
      <w:r w:rsidRPr="00267A07">
        <w:rPr>
          <w:rFonts w:ascii="Arial" w:hAnsi="Arial" w:cs="Arial"/>
        </w:rPr>
        <w:t>Mchale</w:t>
      </w:r>
      <w:proofErr w:type="spellEnd"/>
      <w:r w:rsidRPr="00267A07">
        <w:rPr>
          <w:rFonts w:ascii="Arial" w:hAnsi="Arial" w:cs="Arial"/>
        </w:rPr>
        <w:t xml:space="preserve">, S., Paterson, M., Pearsons, A., Neubeck, L., Atherton, I., Guthrie, B., McKinstry, B., &amp; Hanley, J. (2023). Exploring the patient experience of remote hypertension management in Scotland during COVID-19: a qualitative study. </w:t>
      </w:r>
      <w:r w:rsidRPr="00267A07">
        <w:rPr>
          <w:rFonts w:ascii="Arial" w:hAnsi="Arial" w:cs="Arial"/>
          <w:i/>
          <w:iCs/>
        </w:rPr>
        <w:t>BMJ Open</w:t>
      </w:r>
      <w:r w:rsidRPr="00267A07">
        <w:rPr>
          <w:rFonts w:ascii="Arial" w:hAnsi="Arial" w:cs="Arial"/>
        </w:rPr>
        <w:t xml:space="preserve">, </w:t>
      </w:r>
      <w:r w:rsidRPr="00267A07">
        <w:rPr>
          <w:rFonts w:ascii="Arial" w:hAnsi="Arial" w:cs="Arial"/>
          <w:i/>
          <w:iCs/>
        </w:rPr>
        <w:t>13</w:t>
      </w:r>
      <w:r w:rsidRPr="00267A07">
        <w:rPr>
          <w:rFonts w:ascii="Arial" w:hAnsi="Arial" w:cs="Arial"/>
        </w:rPr>
        <w:t xml:space="preserve">(12), e078944. </w:t>
      </w:r>
      <w:hyperlink r:id="rId39" w:history="1">
        <w:r w:rsidR="00584AED" w:rsidRPr="00C72506">
          <w:rPr>
            <w:rStyle w:val="Hyperlink"/>
            <w:rFonts w:ascii="Arial" w:hAnsi="Arial" w:cs="Arial"/>
          </w:rPr>
          <w:t>https://doi.org/10.1136/bmjopen-2023-078944</w:t>
        </w:r>
      </w:hyperlink>
      <w:r w:rsidR="00584AED">
        <w:rPr>
          <w:rStyle w:val="url"/>
          <w:rFonts w:ascii="Arial" w:hAnsi="Arial" w:cs="Arial"/>
        </w:rPr>
        <w:t xml:space="preserve"> </w:t>
      </w:r>
    </w:p>
    <w:p w14:paraId="7B9C75D3"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McLean, K. A., </w:t>
      </w:r>
      <w:proofErr w:type="spellStart"/>
      <w:r w:rsidRPr="00267A07">
        <w:rPr>
          <w:rFonts w:ascii="Arial" w:hAnsi="Arial" w:cs="Arial"/>
        </w:rPr>
        <w:t>Sgrò</w:t>
      </w:r>
      <w:proofErr w:type="spellEnd"/>
      <w:r w:rsidRPr="00267A07">
        <w:rPr>
          <w:rFonts w:ascii="Arial" w:hAnsi="Arial" w:cs="Arial"/>
        </w:rPr>
        <w:t xml:space="preserve">, A., Brown, L. R., Buijs, L. F., Mozolowski, K., Daines, L., Cresswell, K., Potter, M. A., </w:t>
      </w:r>
      <w:proofErr w:type="spellStart"/>
      <w:r w:rsidRPr="00267A07">
        <w:rPr>
          <w:rFonts w:ascii="Arial" w:hAnsi="Arial" w:cs="Arial"/>
        </w:rPr>
        <w:t>Bouamrane</w:t>
      </w:r>
      <w:proofErr w:type="spellEnd"/>
      <w:r w:rsidRPr="00267A07">
        <w:rPr>
          <w:rFonts w:ascii="Arial" w:hAnsi="Arial" w:cs="Arial"/>
        </w:rPr>
        <w:t xml:space="preserve">, M., &amp; Harrison, E. M. (2024). Implementation of digital remote postoperative monitoring in routine practice: a qualitative study of barriers and facilitators. </w:t>
      </w:r>
      <w:r w:rsidRPr="00267A07">
        <w:rPr>
          <w:rFonts w:ascii="Arial" w:hAnsi="Arial" w:cs="Arial"/>
          <w:i/>
          <w:iCs/>
        </w:rPr>
        <w:t>BMC Medical Informatics and Decision Making</w:t>
      </w:r>
      <w:r w:rsidRPr="00267A07">
        <w:rPr>
          <w:rFonts w:ascii="Arial" w:hAnsi="Arial" w:cs="Arial"/>
        </w:rPr>
        <w:t xml:space="preserve">, </w:t>
      </w:r>
      <w:r w:rsidRPr="00267A07">
        <w:rPr>
          <w:rFonts w:ascii="Arial" w:hAnsi="Arial" w:cs="Arial"/>
          <w:i/>
          <w:iCs/>
        </w:rPr>
        <w:t>24</w:t>
      </w:r>
      <w:r w:rsidRPr="00267A07">
        <w:rPr>
          <w:rFonts w:ascii="Arial" w:hAnsi="Arial" w:cs="Arial"/>
        </w:rPr>
        <w:t xml:space="preserve">(1), 307. </w:t>
      </w:r>
      <w:hyperlink r:id="rId40" w:history="1">
        <w:r w:rsidR="00584AED" w:rsidRPr="00C72506">
          <w:rPr>
            <w:rStyle w:val="Hyperlink"/>
            <w:rFonts w:ascii="Arial" w:hAnsi="Arial" w:cs="Arial"/>
          </w:rPr>
          <w:t>https://doi.org/10.1186/s12911-024-02670-5</w:t>
        </w:r>
      </w:hyperlink>
      <w:r w:rsidR="00584AED">
        <w:rPr>
          <w:rStyle w:val="url"/>
          <w:rFonts w:ascii="Arial" w:hAnsi="Arial" w:cs="Arial"/>
        </w:rPr>
        <w:t xml:space="preserve"> </w:t>
      </w:r>
    </w:p>
    <w:p w14:paraId="3C6113B8"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Murphy, M., Scott, L. J., Salisbury, C., Turner, A., Scott, A., Denholm, R., Lewis, R., Iyer, G., Macleod, J., &amp; Horwood, J. (2021). Implementation of remote consulting in UK primary care following the COVID-19 pandemic: a mixed-methods longitudinal study. </w:t>
      </w:r>
      <w:r w:rsidRPr="00267A07">
        <w:rPr>
          <w:rFonts w:ascii="Arial" w:hAnsi="Arial" w:cs="Arial"/>
          <w:i/>
          <w:iCs/>
        </w:rPr>
        <w:t>British Journal of General Practice</w:t>
      </w:r>
      <w:r w:rsidRPr="00267A07">
        <w:rPr>
          <w:rFonts w:ascii="Arial" w:hAnsi="Arial" w:cs="Arial"/>
        </w:rPr>
        <w:t xml:space="preserve">, </w:t>
      </w:r>
      <w:r w:rsidRPr="00267A07">
        <w:rPr>
          <w:rFonts w:ascii="Arial" w:hAnsi="Arial" w:cs="Arial"/>
          <w:i/>
          <w:iCs/>
        </w:rPr>
        <w:t>71</w:t>
      </w:r>
      <w:r w:rsidRPr="00267A07">
        <w:rPr>
          <w:rFonts w:ascii="Arial" w:hAnsi="Arial" w:cs="Arial"/>
        </w:rPr>
        <w:t xml:space="preserve">(704), e166–e177. </w:t>
      </w:r>
      <w:hyperlink r:id="rId41" w:history="1">
        <w:r w:rsidR="00584AED" w:rsidRPr="00C72506">
          <w:rPr>
            <w:rStyle w:val="Hyperlink"/>
            <w:rFonts w:ascii="Arial" w:hAnsi="Arial" w:cs="Arial"/>
          </w:rPr>
          <w:t>https://doi.org/10.3399/bjgp.2020.0948</w:t>
        </w:r>
      </w:hyperlink>
      <w:r w:rsidR="00584AED">
        <w:rPr>
          <w:rStyle w:val="url"/>
          <w:rFonts w:ascii="Arial" w:hAnsi="Arial" w:cs="Arial"/>
        </w:rPr>
        <w:t xml:space="preserve"> </w:t>
      </w:r>
    </w:p>
    <w:p w14:paraId="733E3B41" w14:textId="77777777" w:rsidR="00692EB6" w:rsidRPr="00267A07" w:rsidRDefault="009309B3" w:rsidP="00267A07">
      <w:pPr>
        <w:pStyle w:val="NormalWeb"/>
        <w:spacing w:before="120" w:beforeAutospacing="0" w:after="120" w:afterAutospacing="0" w:line="360" w:lineRule="auto"/>
        <w:ind w:left="720" w:hanging="720"/>
        <w:jc w:val="both"/>
        <w:rPr>
          <w:rStyle w:val="url"/>
          <w:rFonts w:ascii="Arial" w:hAnsi="Arial" w:cs="Arial"/>
        </w:rPr>
      </w:pPr>
      <w:proofErr w:type="spellStart"/>
      <w:r w:rsidRPr="00267A07">
        <w:rPr>
          <w:rFonts w:ascii="Arial" w:hAnsi="Arial" w:cs="Arial"/>
        </w:rPr>
        <w:t>Nijhof</w:t>
      </w:r>
      <w:proofErr w:type="spellEnd"/>
      <w:r w:rsidRPr="00267A07">
        <w:rPr>
          <w:rFonts w:ascii="Arial" w:hAnsi="Arial" w:cs="Arial"/>
        </w:rPr>
        <w:t xml:space="preserve">, D., Ingram, A., Ochieng, R., Roberts, E., Poulton, B., &amp; Ochieng, B. (2021). Examining GP online consultation in a primary care setting in east midlands, UK. </w:t>
      </w:r>
      <w:r w:rsidRPr="00267A07">
        <w:rPr>
          <w:rFonts w:ascii="Arial" w:hAnsi="Arial" w:cs="Arial"/>
          <w:i/>
          <w:iCs/>
        </w:rPr>
        <w:t>BMC Health Services Research</w:t>
      </w:r>
      <w:r w:rsidRPr="00267A07">
        <w:rPr>
          <w:rFonts w:ascii="Arial" w:hAnsi="Arial" w:cs="Arial"/>
        </w:rPr>
        <w:t xml:space="preserve">, </w:t>
      </w:r>
      <w:r w:rsidRPr="00267A07">
        <w:rPr>
          <w:rFonts w:ascii="Arial" w:hAnsi="Arial" w:cs="Arial"/>
          <w:i/>
          <w:iCs/>
        </w:rPr>
        <w:t>21</w:t>
      </w:r>
      <w:r w:rsidRPr="00267A07">
        <w:rPr>
          <w:rFonts w:ascii="Arial" w:hAnsi="Arial" w:cs="Arial"/>
        </w:rPr>
        <w:t xml:space="preserve">(1), 1030. </w:t>
      </w:r>
      <w:hyperlink r:id="rId42" w:history="1">
        <w:r w:rsidR="00692EB6" w:rsidRPr="00267A07">
          <w:rPr>
            <w:rStyle w:val="Hyperlink"/>
            <w:rFonts w:ascii="Arial" w:hAnsi="Arial" w:cs="Arial"/>
          </w:rPr>
          <w:t>https://doi.org/10.1186/s12913-021-07039-2</w:t>
        </w:r>
      </w:hyperlink>
    </w:p>
    <w:p w14:paraId="35741C68" w14:textId="77777777" w:rsidR="00692EB6"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NHS England (2023) </w:t>
      </w:r>
      <w:r w:rsidRPr="00267A07">
        <w:rPr>
          <w:rStyle w:val="Emphasis"/>
          <w:rFonts w:ascii="Arial" w:hAnsi="Arial" w:cs="Arial"/>
        </w:rPr>
        <w:t>Creating a highly usable and accessible GP website for patients</w:t>
      </w:r>
      <w:r w:rsidRPr="00267A07">
        <w:rPr>
          <w:rFonts w:ascii="Arial" w:hAnsi="Arial" w:cs="Arial"/>
        </w:rPr>
        <w:t xml:space="preserve">. London: NHS England. </w:t>
      </w:r>
      <w:hyperlink r:id="rId43" w:history="1">
        <w:r w:rsidRPr="00267A07">
          <w:rPr>
            <w:rStyle w:val="Hyperlink"/>
            <w:rFonts w:ascii="Arial" w:hAnsi="Arial" w:cs="Arial"/>
          </w:rPr>
          <w:t>https://www.england.nhs.uk/wp-content/uploads/2022/09/PRN00651-creating-a-highly-usable-and-accessible-gp-website-for-patients-v3.pdf</w:t>
        </w:r>
      </w:hyperlink>
      <w:r w:rsidRPr="00267A07">
        <w:rPr>
          <w:rFonts w:ascii="Arial" w:hAnsi="Arial" w:cs="Arial"/>
        </w:rPr>
        <w:t xml:space="preserve"> </w:t>
      </w:r>
      <w:r w:rsidR="00584AED">
        <w:rPr>
          <w:rFonts w:ascii="Arial" w:hAnsi="Arial" w:cs="Arial"/>
        </w:rPr>
        <w:t>(accessed: July 10, 2026).</w:t>
      </w:r>
    </w:p>
    <w:p w14:paraId="42729BEC" w14:textId="77777777" w:rsidR="00692EB6"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lastRenderedPageBreak/>
        <w:t xml:space="preserve">NHS England (2023) </w:t>
      </w:r>
      <w:r w:rsidRPr="00267A07">
        <w:rPr>
          <w:rStyle w:val="Emphasis"/>
          <w:rFonts w:ascii="Arial" w:hAnsi="Arial" w:cs="Arial"/>
        </w:rPr>
        <w:t>Digital accessibility standards</w:t>
      </w:r>
      <w:r w:rsidRPr="00267A07">
        <w:rPr>
          <w:rFonts w:ascii="Arial" w:hAnsi="Arial" w:cs="Arial"/>
        </w:rPr>
        <w:t xml:space="preserve">. London: NHS England. </w:t>
      </w:r>
      <w:hyperlink r:id="rId44" w:history="1">
        <w:r w:rsidRPr="00267A07">
          <w:rPr>
            <w:rStyle w:val="Hyperlink"/>
            <w:rFonts w:ascii="Arial" w:hAnsi="Arial" w:cs="Arial"/>
          </w:rPr>
          <w:t>https://www.england.nhs.uk/long-read/digital-accessibility/</w:t>
        </w:r>
      </w:hyperlink>
      <w:r w:rsidRPr="00267A07">
        <w:rPr>
          <w:rFonts w:ascii="Arial" w:hAnsi="Arial" w:cs="Arial"/>
        </w:rPr>
        <w:t xml:space="preserve"> </w:t>
      </w:r>
      <w:r w:rsidR="00584AED">
        <w:rPr>
          <w:rFonts w:ascii="Arial" w:hAnsi="Arial" w:cs="Arial"/>
        </w:rPr>
        <w:t>(accessed: July 10, 2026).</w:t>
      </w:r>
    </w:p>
    <w:p w14:paraId="41D473EB" w14:textId="77777777" w:rsidR="00692EB6"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NHS England (2023) </w:t>
      </w:r>
      <w:r w:rsidRPr="00267A07">
        <w:rPr>
          <w:rStyle w:val="Emphasis"/>
          <w:rFonts w:ascii="Arial" w:hAnsi="Arial" w:cs="Arial"/>
        </w:rPr>
        <w:t>Digital skills for patients</w:t>
      </w:r>
      <w:r w:rsidRPr="00267A07">
        <w:rPr>
          <w:rFonts w:ascii="Arial" w:hAnsi="Arial" w:cs="Arial"/>
        </w:rPr>
        <w:t xml:space="preserve">. London: NHS England. </w:t>
      </w:r>
      <w:hyperlink r:id="rId45" w:history="1">
        <w:r w:rsidRPr="00267A07">
          <w:rPr>
            <w:rStyle w:val="Hyperlink"/>
            <w:rFonts w:ascii="Arial" w:hAnsi="Arial" w:cs="Arial"/>
          </w:rPr>
          <w:t>https://www.england.nhs.uk/long-read/digital-skills-for-patients/</w:t>
        </w:r>
      </w:hyperlink>
      <w:r w:rsidRPr="00267A07">
        <w:rPr>
          <w:rFonts w:ascii="Arial" w:hAnsi="Arial" w:cs="Arial"/>
        </w:rPr>
        <w:t xml:space="preserve"> </w:t>
      </w:r>
      <w:r w:rsidR="00584AED">
        <w:rPr>
          <w:rFonts w:ascii="Arial" w:hAnsi="Arial" w:cs="Arial"/>
        </w:rPr>
        <w:t>(accessed: July 10, 2026).</w:t>
      </w:r>
    </w:p>
    <w:p w14:paraId="0E6FC748" w14:textId="77777777" w:rsidR="00692EB6"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NHS England (2023) </w:t>
      </w:r>
      <w:r w:rsidRPr="00267A07">
        <w:rPr>
          <w:rStyle w:val="Emphasis"/>
          <w:rFonts w:ascii="Arial" w:hAnsi="Arial" w:cs="Arial"/>
        </w:rPr>
        <w:t>Inclusive digital healthcare: a framework for NHS action on digital inclusion</w:t>
      </w:r>
      <w:r w:rsidRPr="00267A07">
        <w:rPr>
          <w:rFonts w:ascii="Arial" w:hAnsi="Arial" w:cs="Arial"/>
        </w:rPr>
        <w:t xml:space="preserve">. London: NHS England. </w:t>
      </w:r>
      <w:hyperlink r:id="rId46" w:history="1">
        <w:r w:rsidRPr="00267A07">
          <w:rPr>
            <w:rStyle w:val="Hyperlink"/>
            <w:rFonts w:ascii="Arial" w:hAnsi="Arial" w:cs="Arial"/>
          </w:rPr>
          <w:t>https://www.england.nhs.uk/long-read/inclusive-digital-healthcare-a-framework-for-nhs-action-on-digital-inclusion/</w:t>
        </w:r>
      </w:hyperlink>
      <w:r w:rsidRPr="00267A07">
        <w:rPr>
          <w:rFonts w:ascii="Arial" w:hAnsi="Arial" w:cs="Arial"/>
        </w:rPr>
        <w:t xml:space="preserve"> </w:t>
      </w:r>
      <w:r w:rsidR="00584AED">
        <w:rPr>
          <w:rFonts w:ascii="Arial" w:hAnsi="Arial" w:cs="Arial"/>
        </w:rPr>
        <w:t>(accessed: July 10, 2026).</w:t>
      </w:r>
    </w:p>
    <w:p w14:paraId="713CBE84" w14:textId="77777777" w:rsidR="00692EB6"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NHS England (2023) </w:t>
      </w:r>
      <w:r w:rsidRPr="00267A07">
        <w:rPr>
          <w:rStyle w:val="Emphasis"/>
          <w:rFonts w:ascii="Arial" w:hAnsi="Arial" w:cs="Arial"/>
        </w:rPr>
        <w:t>The Digital Exclusion Risk Atlas</w:t>
      </w:r>
      <w:r w:rsidRPr="00267A07">
        <w:rPr>
          <w:rFonts w:ascii="Arial" w:hAnsi="Arial" w:cs="Arial"/>
        </w:rPr>
        <w:t xml:space="preserve">. London: NHS England. </w:t>
      </w:r>
      <w:hyperlink r:id="rId47" w:history="1">
        <w:r w:rsidRPr="00267A07">
          <w:rPr>
            <w:rStyle w:val="Hyperlink"/>
            <w:rFonts w:ascii="Arial" w:hAnsi="Arial" w:cs="Arial"/>
          </w:rPr>
          <w:t>https://www.england.nhs.uk/about/equality/equality-hub/national-healthcare-inequalities-improvement-programme/the-digital-exclusion-risk-atlas/</w:t>
        </w:r>
      </w:hyperlink>
      <w:r w:rsidRPr="00267A07">
        <w:rPr>
          <w:rFonts w:ascii="Arial" w:hAnsi="Arial" w:cs="Arial"/>
        </w:rPr>
        <w:t xml:space="preserve"> </w:t>
      </w:r>
      <w:r w:rsidR="00584AED">
        <w:rPr>
          <w:rFonts w:ascii="Arial" w:hAnsi="Arial" w:cs="Arial"/>
        </w:rPr>
        <w:t>(accessed: July 10, 2026).</w:t>
      </w:r>
    </w:p>
    <w:p w14:paraId="4265B1FC" w14:textId="77777777" w:rsidR="00714228" w:rsidRPr="00267A07" w:rsidRDefault="00714228"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NHS England (2023) </w:t>
      </w:r>
      <w:r w:rsidRPr="00267A07">
        <w:rPr>
          <w:rStyle w:val="Emphasis"/>
          <w:rFonts w:ascii="Arial" w:hAnsi="Arial" w:cs="Arial"/>
        </w:rPr>
        <w:t>NHS App</w:t>
      </w:r>
      <w:r w:rsidRPr="00267A07">
        <w:rPr>
          <w:rFonts w:ascii="Arial" w:hAnsi="Arial" w:cs="Arial"/>
        </w:rPr>
        <w:t xml:space="preserve">. London: NHS England. </w:t>
      </w:r>
      <w:hyperlink r:id="rId48" w:history="1">
        <w:r w:rsidRPr="00267A07">
          <w:rPr>
            <w:rStyle w:val="Hyperlink"/>
            <w:rFonts w:ascii="Arial" w:hAnsi="Arial" w:cs="Arial"/>
          </w:rPr>
          <w:t>https://www.nhs.uk/nhs-app/</w:t>
        </w:r>
      </w:hyperlink>
      <w:r w:rsidRPr="00267A07">
        <w:rPr>
          <w:rFonts w:ascii="Arial" w:hAnsi="Arial" w:cs="Arial"/>
        </w:rPr>
        <w:t xml:space="preserve"> </w:t>
      </w:r>
      <w:r w:rsidR="00584AED">
        <w:rPr>
          <w:rFonts w:ascii="Arial" w:hAnsi="Arial" w:cs="Arial"/>
        </w:rPr>
        <w:t>(accessed: July 10, 2026).</w:t>
      </w:r>
    </w:p>
    <w:p w14:paraId="5269D6E7"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Page, M. J., McKenzie, J. E., Bossuyt, P. M., </w:t>
      </w:r>
      <w:proofErr w:type="spellStart"/>
      <w:r w:rsidRPr="00267A07">
        <w:rPr>
          <w:rFonts w:ascii="Arial" w:hAnsi="Arial" w:cs="Arial"/>
        </w:rPr>
        <w:t>Boutron</w:t>
      </w:r>
      <w:proofErr w:type="spellEnd"/>
      <w:r w:rsidRPr="00267A07">
        <w:rPr>
          <w:rFonts w:ascii="Arial" w:hAnsi="Arial" w:cs="Arial"/>
        </w:rPr>
        <w:t xml:space="preserve">, I., Hoffmann, T. C., Mulrow, C. D., </w:t>
      </w:r>
      <w:proofErr w:type="spellStart"/>
      <w:r w:rsidRPr="00267A07">
        <w:rPr>
          <w:rFonts w:ascii="Arial" w:hAnsi="Arial" w:cs="Arial"/>
        </w:rPr>
        <w:t>Shamseer</w:t>
      </w:r>
      <w:proofErr w:type="spellEnd"/>
      <w:r w:rsidRPr="00267A07">
        <w:rPr>
          <w:rFonts w:ascii="Arial" w:hAnsi="Arial" w:cs="Arial"/>
        </w:rPr>
        <w:t xml:space="preserve">, L., Tetzlaff, J. M., Akl, E. A., Brennan, S. E., Chou, R., Glanville, J., Grimshaw, J. M., Hróbjartsson, A., Lalu, M. M., Li, T., Loder, E. W., Mayo-Wilson, E., McDonald, S., . . . Moher, D. (2021). The PRISMA 2020 statement: an updated guideline for reporting systematic reviews. </w:t>
      </w:r>
      <w:r w:rsidRPr="00267A07">
        <w:rPr>
          <w:rFonts w:ascii="Arial" w:hAnsi="Arial" w:cs="Arial"/>
          <w:i/>
          <w:iCs/>
        </w:rPr>
        <w:t>BMJ</w:t>
      </w:r>
      <w:r w:rsidRPr="00267A07">
        <w:rPr>
          <w:rFonts w:ascii="Arial" w:hAnsi="Arial" w:cs="Arial"/>
        </w:rPr>
        <w:t xml:space="preserve">, </w:t>
      </w:r>
      <w:r w:rsidRPr="00267A07">
        <w:rPr>
          <w:rFonts w:ascii="Arial" w:hAnsi="Arial" w:cs="Arial"/>
          <w:i/>
          <w:iCs/>
        </w:rPr>
        <w:t>372</w:t>
      </w:r>
      <w:r w:rsidRPr="00267A07">
        <w:rPr>
          <w:rFonts w:ascii="Arial" w:hAnsi="Arial" w:cs="Arial"/>
        </w:rPr>
        <w:t xml:space="preserve">, n71. </w:t>
      </w:r>
      <w:hyperlink r:id="rId49" w:history="1">
        <w:r w:rsidR="00584AED" w:rsidRPr="00C72506">
          <w:rPr>
            <w:rStyle w:val="Hyperlink"/>
            <w:rFonts w:ascii="Arial" w:hAnsi="Arial" w:cs="Arial"/>
          </w:rPr>
          <w:t>https://doi.org/10.1136/bmj.n71</w:t>
        </w:r>
      </w:hyperlink>
      <w:r w:rsidR="00584AED">
        <w:rPr>
          <w:rStyle w:val="url"/>
          <w:rFonts w:ascii="Arial" w:hAnsi="Arial" w:cs="Arial"/>
        </w:rPr>
        <w:t xml:space="preserve"> </w:t>
      </w:r>
    </w:p>
    <w:p w14:paraId="41664B43"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Palmer, D. A., &amp; Robjohns, H. (2026). Bridging the digital divide in mental health: a community-led intervention to address digital exclusion in the NHS digital era. </w:t>
      </w:r>
      <w:r w:rsidRPr="00267A07">
        <w:rPr>
          <w:rFonts w:ascii="Arial" w:hAnsi="Arial" w:cs="Arial"/>
          <w:i/>
          <w:iCs/>
        </w:rPr>
        <w:t>Mental Health and Digital Technologies</w:t>
      </w:r>
      <w:r w:rsidRPr="00267A07">
        <w:rPr>
          <w:rFonts w:ascii="Arial" w:hAnsi="Arial" w:cs="Arial"/>
        </w:rPr>
        <w:t xml:space="preserve">, </w:t>
      </w:r>
      <w:r w:rsidRPr="00267A07">
        <w:rPr>
          <w:rFonts w:ascii="Arial" w:hAnsi="Arial" w:cs="Arial"/>
          <w:i/>
          <w:iCs/>
        </w:rPr>
        <w:t>3</w:t>
      </w:r>
      <w:r w:rsidRPr="00267A07">
        <w:rPr>
          <w:rFonts w:ascii="Arial" w:hAnsi="Arial" w:cs="Arial"/>
        </w:rPr>
        <w:t xml:space="preserve">(3), 363–380. </w:t>
      </w:r>
      <w:hyperlink r:id="rId50" w:history="1">
        <w:r w:rsidR="00584AED" w:rsidRPr="00C72506">
          <w:rPr>
            <w:rStyle w:val="Hyperlink"/>
            <w:rFonts w:ascii="Arial" w:hAnsi="Arial" w:cs="Arial"/>
          </w:rPr>
          <w:t>https://doi.org/10.1108/mhdt-08-2025-0054</w:t>
        </w:r>
      </w:hyperlink>
      <w:r w:rsidR="00584AED">
        <w:rPr>
          <w:rStyle w:val="url"/>
          <w:rFonts w:ascii="Arial" w:hAnsi="Arial" w:cs="Arial"/>
        </w:rPr>
        <w:t xml:space="preserve"> </w:t>
      </w:r>
    </w:p>
    <w:p w14:paraId="0C622009"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Peters, M. D. J., Marnie, C., Colquhoun, H., </w:t>
      </w:r>
      <w:proofErr w:type="spellStart"/>
      <w:r w:rsidRPr="00267A07">
        <w:rPr>
          <w:rFonts w:ascii="Arial" w:hAnsi="Arial" w:cs="Arial"/>
        </w:rPr>
        <w:t>Garritty</w:t>
      </w:r>
      <w:proofErr w:type="spellEnd"/>
      <w:r w:rsidRPr="00267A07">
        <w:rPr>
          <w:rFonts w:ascii="Arial" w:hAnsi="Arial" w:cs="Arial"/>
        </w:rPr>
        <w:t xml:space="preserve">, C. M., Hempel, S., Horsley, T., Langlois, E. V., Lillie, E., O’Brien, K. K., </w:t>
      </w:r>
      <w:proofErr w:type="spellStart"/>
      <w:r w:rsidRPr="00267A07">
        <w:rPr>
          <w:rFonts w:ascii="Arial" w:hAnsi="Arial" w:cs="Arial"/>
        </w:rPr>
        <w:t>Tunçalp</w:t>
      </w:r>
      <w:proofErr w:type="spellEnd"/>
      <w:r w:rsidRPr="00267A07">
        <w:rPr>
          <w:rFonts w:ascii="Arial" w:hAnsi="Arial" w:cs="Arial"/>
        </w:rPr>
        <w:t xml:space="preserve">, Ӧ., Wilson, M. G., Zarin, W., &amp; </w:t>
      </w:r>
      <w:proofErr w:type="spellStart"/>
      <w:r w:rsidRPr="00267A07">
        <w:rPr>
          <w:rFonts w:ascii="Arial" w:hAnsi="Arial" w:cs="Arial"/>
        </w:rPr>
        <w:t>Tricco</w:t>
      </w:r>
      <w:proofErr w:type="spellEnd"/>
      <w:r w:rsidRPr="00267A07">
        <w:rPr>
          <w:rFonts w:ascii="Arial" w:hAnsi="Arial" w:cs="Arial"/>
        </w:rPr>
        <w:t xml:space="preserve">, A. C. (2021). Scoping reviews: reinforcing and advancing the methodology </w:t>
      </w:r>
      <w:r w:rsidRPr="00267A07">
        <w:rPr>
          <w:rFonts w:ascii="Arial" w:hAnsi="Arial" w:cs="Arial"/>
        </w:rPr>
        <w:lastRenderedPageBreak/>
        <w:t xml:space="preserve">and application. </w:t>
      </w:r>
      <w:r w:rsidRPr="00267A07">
        <w:rPr>
          <w:rFonts w:ascii="Arial" w:hAnsi="Arial" w:cs="Arial"/>
          <w:i/>
          <w:iCs/>
        </w:rPr>
        <w:t>Systematic Reviews</w:t>
      </w:r>
      <w:r w:rsidRPr="00267A07">
        <w:rPr>
          <w:rFonts w:ascii="Arial" w:hAnsi="Arial" w:cs="Arial"/>
        </w:rPr>
        <w:t xml:space="preserve">, </w:t>
      </w:r>
      <w:r w:rsidRPr="00267A07">
        <w:rPr>
          <w:rFonts w:ascii="Arial" w:hAnsi="Arial" w:cs="Arial"/>
          <w:i/>
          <w:iCs/>
        </w:rPr>
        <w:t>10</w:t>
      </w:r>
      <w:r w:rsidRPr="00267A07">
        <w:rPr>
          <w:rFonts w:ascii="Arial" w:hAnsi="Arial" w:cs="Arial"/>
        </w:rPr>
        <w:t xml:space="preserve">(1), 263. </w:t>
      </w:r>
      <w:hyperlink r:id="rId51" w:history="1">
        <w:r w:rsidR="00584AED" w:rsidRPr="00C72506">
          <w:rPr>
            <w:rStyle w:val="Hyperlink"/>
            <w:rFonts w:ascii="Arial" w:hAnsi="Arial" w:cs="Arial"/>
          </w:rPr>
          <w:t>https://doi.org/10.1186/s13643-021-01821-3</w:t>
        </w:r>
      </w:hyperlink>
      <w:r w:rsidR="00584AED">
        <w:rPr>
          <w:rStyle w:val="url"/>
          <w:rFonts w:ascii="Arial" w:hAnsi="Arial" w:cs="Arial"/>
        </w:rPr>
        <w:t xml:space="preserve"> </w:t>
      </w:r>
    </w:p>
    <w:p w14:paraId="2B73B2D1"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Saif, A., Winward, C., Di Pierro, I., Butler, K., Cornish, J., Dawes, H., &amp; Collett, J. (2024). A service evaluation of patient and clinician experience of video consultations in a specialist outpatient neurorehabilitation service. </w:t>
      </w:r>
      <w:r w:rsidRPr="00267A07">
        <w:rPr>
          <w:rFonts w:ascii="Arial" w:hAnsi="Arial" w:cs="Arial"/>
          <w:i/>
          <w:iCs/>
        </w:rPr>
        <w:t>Future Healthcare Journal</w:t>
      </w:r>
      <w:r w:rsidRPr="00267A07">
        <w:rPr>
          <w:rFonts w:ascii="Arial" w:hAnsi="Arial" w:cs="Arial"/>
        </w:rPr>
        <w:t xml:space="preserve">, </w:t>
      </w:r>
      <w:r w:rsidRPr="00267A07">
        <w:rPr>
          <w:rFonts w:ascii="Arial" w:hAnsi="Arial" w:cs="Arial"/>
          <w:i/>
          <w:iCs/>
        </w:rPr>
        <w:t>12</w:t>
      </w:r>
      <w:r w:rsidRPr="00267A07">
        <w:rPr>
          <w:rFonts w:ascii="Arial" w:hAnsi="Arial" w:cs="Arial"/>
        </w:rPr>
        <w:t xml:space="preserve">(1), 100209. </w:t>
      </w:r>
      <w:hyperlink r:id="rId52" w:history="1">
        <w:r w:rsidR="00584AED" w:rsidRPr="00C72506">
          <w:rPr>
            <w:rStyle w:val="Hyperlink"/>
            <w:rFonts w:ascii="Arial" w:hAnsi="Arial" w:cs="Arial"/>
          </w:rPr>
          <w:t>https://doi.org/10.1016/j.fhj.2024.100209</w:t>
        </w:r>
      </w:hyperlink>
      <w:r w:rsidR="00584AED">
        <w:rPr>
          <w:rStyle w:val="url"/>
          <w:rFonts w:ascii="Arial" w:hAnsi="Arial" w:cs="Arial"/>
        </w:rPr>
        <w:t xml:space="preserve"> </w:t>
      </w:r>
    </w:p>
    <w:p w14:paraId="109FC296"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Saron, H., Cleary, G., Marson, A., Ainsworth, J., Downing, J., Sandars, J., Whitty, L., Cheetham, S., Sinha, I., Carter, B., &amp; Pain, C. E. (2025). Virtually the same, but remotely different: health professionals, parents and children’s experiences of remote out-patient consultations. </w:t>
      </w:r>
      <w:r w:rsidRPr="00267A07">
        <w:rPr>
          <w:rFonts w:ascii="Arial" w:hAnsi="Arial" w:cs="Arial"/>
          <w:i/>
          <w:iCs/>
        </w:rPr>
        <w:t xml:space="preserve">Lara D. </w:t>
      </w:r>
      <w:proofErr w:type="spellStart"/>
      <w:r w:rsidRPr="00267A07">
        <w:rPr>
          <w:rFonts w:ascii="Arial" w:hAnsi="Arial" w:cs="Arial"/>
          <w:i/>
          <w:iCs/>
        </w:rPr>
        <w:t>Veeken</w:t>
      </w:r>
      <w:proofErr w:type="spellEnd"/>
      <w:r w:rsidRPr="00267A07">
        <w:rPr>
          <w:rFonts w:ascii="Arial" w:hAnsi="Arial" w:cs="Arial"/>
        </w:rPr>
        <w:t xml:space="preserve">, </w:t>
      </w:r>
      <w:r w:rsidRPr="00267A07">
        <w:rPr>
          <w:rFonts w:ascii="Arial" w:hAnsi="Arial" w:cs="Arial"/>
          <w:i/>
          <w:iCs/>
        </w:rPr>
        <w:t>64</w:t>
      </w:r>
      <w:r w:rsidRPr="00267A07">
        <w:rPr>
          <w:rFonts w:ascii="Arial" w:hAnsi="Arial" w:cs="Arial"/>
        </w:rPr>
        <w:t xml:space="preserve">(6), 3361–3369. </w:t>
      </w:r>
      <w:hyperlink r:id="rId53" w:history="1">
        <w:r w:rsidR="00584AED" w:rsidRPr="00C72506">
          <w:rPr>
            <w:rStyle w:val="Hyperlink"/>
            <w:rFonts w:ascii="Arial" w:hAnsi="Arial" w:cs="Arial"/>
          </w:rPr>
          <w:t>https://doi.org/10.1093/rheumatology/keaf106</w:t>
        </w:r>
      </w:hyperlink>
      <w:r w:rsidR="00584AED">
        <w:rPr>
          <w:rStyle w:val="url"/>
          <w:rFonts w:ascii="Arial" w:hAnsi="Arial" w:cs="Arial"/>
        </w:rPr>
        <w:t xml:space="preserve"> </w:t>
      </w:r>
    </w:p>
    <w:p w14:paraId="5BF8B2FB"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Tapuria, A., Porat, T., Kalra, D., Dsouza, G., Xiaohui, S., &amp; </w:t>
      </w:r>
      <w:proofErr w:type="spellStart"/>
      <w:r w:rsidRPr="00267A07">
        <w:rPr>
          <w:rFonts w:ascii="Arial" w:hAnsi="Arial" w:cs="Arial"/>
        </w:rPr>
        <w:t>Curcin</w:t>
      </w:r>
      <w:proofErr w:type="spellEnd"/>
      <w:r w:rsidRPr="00267A07">
        <w:rPr>
          <w:rFonts w:ascii="Arial" w:hAnsi="Arial" w:cs="Arial"/>
        </w:rPr>
        <w:t xml:space="preserve">, V. (2021). Impact of patient access to their electronic health record: systematic review. </w:t>
      </w:r>
      <w:r w:rsidRPr="00267A07">
        <w:rPr>
          <w:rFonts w:ascii="Arial" w:hAnsi="Arial" w:cs="Arial"/>
          <w:i/>
          <w:iCs/>
        </w:rPr>
        <w:t>Informatics for Health and Social Care</w:t>
      </w:r>
      <w:r w:rsidRPr="00267A07">
        <w:rPr>
          <w:rFonts w:ascii="Arial" w:hAnsi="Arial" w:cs="Arial"/>
        </w:rPr>
        <w:t xml:space="preserve">, </w:t>
      </w:r>
      <w:r w:rsidRPr="00267A07">
        <w:rPr>
          <w:rFonts w:ascii="Arial" w:hAnsi="Arial" w:cs="Arial"/>
          <w:i/>
          <w:iCs/>
        </w:rPr>
        <w:t>46</w:t>
      </w:r>
      <w:r w:rsidRPr="00267A07">
        <w:rPr>
          <w:rFonts w:ascii="Arial" w:hAnsi="Arial" w:cs="Arial"/>
        </w:rPr>
        <w:t xml:space="preserve">(2), 194–206. </w:t>
      </w:r>
      <w:hyperlink r:id="rId54" w:history="1">
        <w:r w:rsidR="00584AED" w:rsidRPr="00C72506">
          <w:rPr>
            <w:rStyle w:val="Hyperlink"/>
            <w:rFonts w:ascii="Arial" w:hAnsi="Arial" w:cs="Arial"/>
          </w:rPr>
          <w:t>https://doi.org/10.1080/17538157.2021.1879810</w:t>
        </w:r>
      </w:hyperlink>
      <w:r w:rsidR="00584AED">
        <w:rPr>
          <w:rStyle w:val="url"/>
          <w:rFonts w:ascii="Arial" w:hAnsi="Arial" w:cs="Arial"/>
        </w:rPr>
        <w:t xml:space="preserve"> </w:t>
      </w:r>
    </w:p>
    <w:p w14:paraId="6EF733C1"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Thiyagarajan, A., Grant, C., Griffiths, F., &amp; Atherton, H. (2020). Exploring patients’ and clinicians’ experiences of video consultations in primary care: a systematic scoping review. </w:t>
      </w:r>
      <w:r w:rsidRPr="00267A07">
        <w:rPr>
          <w:rFonts w:ascii="Arial" w:hAnsi="Arial" w:cs="Arial"/>
          <w:i/>
          <w:iCs/>
        </w:rPr>
        <w:t>BJGP Open</w:t>
      </w:r>
      <w:r w:rsidRPr="00267A07">
        <w:rPr>
          <w:rFonts w:ascii="Arial" w:hAnsi="Arial" w:cs="Arial"/>
        </w:rPr>
        <w:t xml:space="preserve">, </w:t>
      </w:r>
      <w:r w:rsidRPr="00267A07">
        <w:rPr>
          <w:rFonts w:ascii="Arial" w:hAnsi="Arial" w:cs="Arial"/>
          <w:i/>
          <w:iCs/>
        </w:rPr>
        <w:t>4</w:t>
      </w:r>
      <w:r w:rsidRPr="00267A07">
        <w:rPr>
          <w:rFonts w:ascii="Arial" w:hAnsi="Arial" w:cs="Arial"/>
        </w:rPr>
        <w:t xml:space="preserve">(1), bjgpopen20X101020. </w:t>
      </w:r>
      <w:hyperlink r:id="rId55" w:history="1">
        <w:r w:rsidR="00584AED" w:rsidRPr="00C72506">
          <w:rPr>
            <w:rStyle w:val="Hyperlink"/>
            <w:rFonts w:ascii="Arial" w:hAnsi="Arial" w:cs="Arial"/>
          </w:rPr>
          <w:t>https://doi.org/10.3399/bjgpopen20x101020</w:t>
        </w:r>
      </w:hyperlink>
      <w:r w:rsidR="00584AED">
        <w:rPr>
          <w:rStyle w:val="url"/>
          <w:rFonts w:ascii="Arial" w:hAnsi="Arial" w:cs="Arial"/>
        </w:rPr>
        <w:t xml:space="preserve"> </w:t>
      </w:r>
    </w:p>
    <w:p w14:paraId="1C895486"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Van Kessel, R., Ranganathan, S., Anderson, M., McMillan, B., &amp; </w:t>
      </w:r>
      <w:proofErr w:type="spellStart"/>
      <w:r w:rsidRPr="00267A07">
        <w:rPr>
          <w:rFonts w:ascii="Arial" w:hAnsi="Arial" w:cs="Arial"/>
        </w:rPr>
        <w:t>Mossialos</w:t>
      </w:r>
      <w:proofErr w:type="spellEnd"/>
      <w:r w:rsidRPr="00267A07">
        <w:rPr>
          <w:rFonts w:ascii="Arial" w:hAnsi="Arial" w:cs="Arial"/>
        </w:rPr>
        <w:t xml:space="preserve">, E. (2024). Exploring potential drivers of patient engagement with their health data through digital platforms: A scoping review. </w:t>
      </w:r>
      <w:r w:rsidRPr="00267A07">
        <w:rPr>
          <w:rFonts w:ascii="Arial" w:hAnsi="Arial" w:cs="Arial"/>
          <w:i/>
          <w:iCs/>
        </w:rPr>
        <w:t>International Journal of Medical Informatics</w:t>
      </w:r>
      <w:r w:rsidRPr="00267A07">
        <w:rPr>
          <w:rFonts w:ascii="Arial" w:hAnsi="Arial" w:cs="Arial"/>
        </w:rPr>
        <w:t xml:space="preserve">, </w:t>
      </w:r>
      <w:r w:rsidRPr="00267A07">
        <w:rPr>
          <w:rFonts w:ascii="Arial" w:hAnsi="Arial" w:cs="Arial"/>
          <w:i/>
          <w:iCs/>
        </w:rPr>
        <w:t>189</w:t>
      </w:r>
      <w:r w:rsidRPr="00267A07">
        <w:rPr>
          <w:rFonts w:ascii="Arial" w:hAnsi="Arial" w:cs="Arial"/>
        </w:rPr>
        <w:t xml:space="preserve">, 105513. </w:t>
      </w:r>
      <w:hyperlink r:id="rId56" w:history="1">
        <w:r w:rsidR="00584AED" w:rsidRPr="00C72506">
          <w:rPr>
            <w:rStyle w:val="Hyperlink"/>
            <w:rFonts w:ascii="Arial" w:hAnsi="Arial" w:cs="Arial"/>
          </w:rPr>
          <w:t>https://doi.org/10.1016/j.ijmedinf.2024.105513</w:t>
        </w:r>
      </w:hyperlink>
      <w:r w:rsidR="00584AED">
        <w:rPr>
          <w:rStyle w:val="url"/>
          <w:rFonts w:ascii="Arial" w:hAnsi="Arial" w:cs="Arial"/>
        </w:rPr>
        <w:t xml:space="preserve"> </w:t>
      </w:r>
    </w:p>
    <w:p w14:paraId="5B7C5140"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Walton, H., </w:t>
      </w:r>
      <w:proofErr w:type="spellStart"/>
      <w:r w:rsidRPr="00267A07">
        <w:rPr>
          <w:rFonts w:ascii="Arial" w:hAnsi="Arial" w:cs="Arial"/>
        </w:rPr>
        <w:t>Vindrola</w:t>
      </w:r>
      <w:r w:rsidRPr="00267A07">
        <w:rPr>
          <w:rFonts w:ascii="Cambria Math" w:hAnsi="Cambria Math" w:cs="Cambria Math"/>
        </w:rPr>
        <w:t>‐</w:t>
      </w:r>
      <w:r w:rsidRPr="00267A07">
        <w:rPr>
          <w:rFonts w:ascii="Arial" w:hAnsi="Arial" w:cs="Arial"/>
        </w:rPr>
        <w:t>Padros</w:t>
      </w:r>
      <w:proofErr w:type="spellEnd"/>
      <w:r w:rsidRPr="00267A07">
        <w:rPr>
          <w:rFonts w:ascii="Arial" w:hAnsi="Arial" w:cs="Arial"/>
        </w:rPr>
        <w:t xml:space="preserve">, C., Crellin, N. E., Sidhu, M. S., Herlitz, L., Litchfield, I., Ellins, J., Ng, P. L., </w:t>
      </w:r>
      <w:proofErr w:type="spellStart"/>
      <w:r w:rsidRPr="00267A07">
        <w:rPr>
          <w:rFonts w:ascii="Arial" w:hAnsi="Arial" w:cs="Arial"/>
        </w:rPr>
        <w:t>Massou</w:t>
      </w:r>
      <w:proofErr w:type="spellEnd"/>
      <w:r w:rsidRPr="00267A07">
        <w:rPr>
          <w:rFonts w:ascii="Arial" w:hAnsi="Arial" w:cs="Arial"/>
        </w:rPr>
        <w:t xml:space="preserve">, E., </w:t>
      </w:r>
      <w:proofErr w:type="spellStart"/>
      <w:r w:rsidRPr="00267A07">
        <w:rPr>
          <w:rFonts w:ascii="Arial" w:hAnsi="Arial" w:cs="Arial"/>
        </w:rPr>
        <w:t>Tomini</w:t>
      </w:r>
      <w:proofErr w:type="spellEnd"/>
      <w:r w:rsidRPr="00267A07">
        <w:rPr>
          <w:rFonts w:ascii="Arial" w:hAnsi="Arial" w:cs="Arial"/>
        </w:rPr>
        <w:t>, S. M., &amp; Fulop, N. J. (2022). Patients’ experiences of, and engagement with, remote home monitoring services for COVID</w:t>
      </w:r>
      <w:r w:rsidRPr="00267A07">
        <w:rPr>
          <w:rFonts w:ascii="Cambria Math" w:hAnsi="Cambria Math" w:cs="Cambria Math"/>
        </w:rPr>
        <w:t>‐</w:t>
      </w:r>
      <w:r w:rsidRPr="00267A07">
        <w:rPr>
          <w:rFonts w:ascii="Arial" w:hAnsi="Arial" w:cs="Arial"/>
        </w:rPr>
        <w:t>19 patients: A rapid mixed</w:t>
      </w:r>
      <w:r w:rsidRPr="00267A07">
        <w:rPr>
          <w:rFonts w:ascii="Cambria Math" w:hAnsi="Cambria Math" w:cs="Cambria Math"/>
        </w:rPr>
        <w:t>‐</w:t>
      </w:r>
      <w:r w:rsidRPr="00267A07">
        <w:rPr>
          <w:rFonts w:ascii="Arial" w:hAnsi="Arial" w:cs="Arial"/>
        </w:rPr>
        <w:t xml:space="preserve">methods study. </w:t>
      </w:r>
      <w:r w:rsidRPr="00267A07">
        <w:rPr>
          <w:rFonts w:ascii="Arial" w:hAnsi="Arial" w:cs="Arial"/>
          <w:i/>
          <w:iCs/>
        </w:rPr>
        <w:t>Health Expectations</w:t>
      </w:r>
      <w:r w:rsidRPr="00267A07">
        <w:rPr>
          <w:rFonts w:ascii="Arial" w:hAnsi="Arial" w:cs="Arial"/>
        </w:rPr>
        <w:t xml:space="preserve">, </w:t>
      </w:r>
      <w:r w:rsidRPr="00267A07">
        <w:rPr>
          <w:rFonts w:ascii="Arial" w:hAnsi="Arial" w:cs="Arial"/>
          <w:i/>
          <w:iCs/>
        </w:rPr>
        <w:t>25</w:t>
      </w:r>
      <w:r w:rsidRPr="00267A07">
        <w:rPr>
          <w:rFonts w:ascii="Arial" w:hAnsi="Arial" w:cs="Arial"/>
        </w:rPr>
        <w:t xml:space="preserve">(5), 2386–2404. </w:t>
      </w:r>
      <w:hyperlink r:id="rId57" w:history="1">
        <w:r w:rsidR="00584AED" w:rsidRPr="00C72506">
          <w:rPr>
            <w:rStyle w:val="Hyperlink"/>
            <w:rFonts w:ascii="Arial" w:hAnsi="Arial" w:cs="Arial"/>
          </w:rPr>
          <w:t>https://doi.org/10.1111/hex.13548</w:t>
        </w:r>
      </w:hyperlink>
      <w:r w:rsidR="00584AED">
        <w:rPr>
          <w:rStyle w:val="url"/>
          <w:rFonts w:ascii="Arial" w:hAnsi="Arial" w:cs="Arial"/>
        </w:rPr>
        <w:t xml:space="preserve"> </w:t>
      </w:r>
    </w:p>
    <w:p w14:paraId="4B45E369"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proofErr w:type="spellStart"/>
      <w:r w:rsidRPr="00267A07">
        <w:rPr>
          <w:rFonts w:ascii="Arial" w:hAnsi="Arial" w:cs="Arial"/>
        </w:rPr>
        <w:lastRenderedPageBreak/>
        <w:t>Wherton</w:t>
      </w:r>
      <w:proofErr w:type="spellEnd"/>
      <w:r w:rsidRPr="00267A07">
        <w:rPr>
          <w:rFonts w:ascii="Arial" w:hAnsi="Arial" w:cs="Arial"/>
        </w:rPr>
        <w:t xml:space="preserve">, J., Greenhalgh, T., Hughes, G., &amp; Shaw, S. E. (2022). The Role of Information Infrastructures in Scaling up video consultations during COVID-19: Mixed Methods Case Study into Opportunity, Disruption, and Exposure. </w:t>
      </w:r>
      <w:r w:rsidRPr="00267A07">
        <w:rPr>
          <w:rFonts w:ascii="Arial" w:hAnsi="Arial" w:cs="Arial"/>
          <w:i/>
          <w:iCs/>
        </w:rPr>
        <w:t>Journal of Medical Internet Research</w:t>
      </w:r>
      <w:r w:rsidRPr="00267A07">
        <w:rPr>
          <w:rFonts w:ascii="Arial" w:hAnsi="Arial" w:cs="Arial"/>
        </w:rPr>
        <w:t xml:space="preserve">, </w:t>
      </w:r>
      <w:r w:rsidRPr="00267A07">
        <w:rPr>
          <w:rFonts w:ascii="Arial" w:hAnsi="Arial" w:cs="Arial"/>
          <w:i/>
          <w:iCs/>
        </w:rPr>
        <w:t>24</w:t>
      </w:r>
      <w:r w:rsidRPr="00267A07">
        <w:rPr>
          <w:rFonts w:ascii="Arial" w:hAnsi="Arial" w:cs="Arial"/>
        </w:rPr>
        <w:t xml:space="preserve">(11), e42431. </w:t>
      </w:r>
      <w:hyperlink r:id="rId58" w:history="1">
        <w:r w:rsidR="00584AED" w:rsidRPr="00C72506">
          <w:rPr>
            <w:rStyle w:val="Hyperlink"/>
            <w:rFonts w:ascii="Arial" w:hAnsi="Arial" w:cs="Arial"/>
          </w:rPr>
          <w:t>https://doi.org/10.2196/42431</w:t>
        </w:r>
      </w:hyperlink>
      <w:r w:rsidR="00584AED">
        <w:rPr>
          <w:rStyle w:val="url"/>
          <w:rFonts w:ascii="Arial" w:hAnsi="Arial" w:cs="Arial"/>
        </w:rPr>
        <w:t xml:space="preserve"> </w:t>
      </w:r>
    </w:p>
    <w:p w14:paraId="533200D8" w14:textId="77777777" w:rsidR="009309B3" w:rsidRPr="00267A07" w:rsidRDefault="009309B3" w:rsidP="00267A07">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Wilkes, M., Kramer, A., Pugmire, J., Pilkington, C., Zaniello, B., &amp; Zahradka, N. (2024). Hospital is not the home: Lessons from implementing remote technology to support acute inpatient and transitional care in the home in the United States and United Kingdom. </w:t>
      </w:r>
      <w:r w:rsidRPr="00267A07">
        <w:rPr>
          <w:rFonts w:ascii="Arial" w:hAnsi="Arial" w:cs="Arial"/>
          <w:i/>
          <w:iCs/>
        </w:rPr>
        <w:t>Journal of Medical Internet Research</w:t>
      </w:r>
      <w:r w:rsidRPr="00267A07">
        <w:rPr>
          <w:rFonts w:ascii="Arial" w:hAnsi="Arial" w:cs="Arial"/>
        </w:rPr>
        <w:t xml:space="preserve">, </w:t>
      </w:r>
      <w:r w:rsidRPr="00267A07">
        <w:rPr>
          <w:rFonts w:ascii="Arial" w:hAnsi="Arial" w:cs="Arial"/>
          <w:i/>
          <w:iCs/>
        </w:rPr>
        <w:t>26</w:t>
      </w:r>
      <w:r w:rsidRPr="00267A07">
        <w:rPr>
          <w:rFonts w:ascii="Arial" w:hAnsi="Arial" w:cs="Arial"/>
        </w:rPr>
        <w:t xml:space="preserve">, e58888. </w:t>
      </w:r>
      <w:hyperlink r:id="rId59" w:history="1">
        <w:r w:rsidR="00584AED" w:rsidRPr="00C72506">
          <w:rPr>
            <w:rStyle w:val="Hyperlink"/>
            <w:rFonts w:ascii="Arial" w:hAnsi="Arial" w:cs="Arial"/>
          </w:rPr>
          <w:t>https://doi.org/10.2196/58888</w:t>
        </w:r>
      </w:hyperlink>
      <w:r w:rsidR="00584AED">
        <w:rPr>
          <w:rStyle w:val="url"/>
          <w:rFonts w:ascii="Arial" w:hAnsi="Arial" w:cs="Arial"/>
        </w:rPr>
        <w:t xml:space="preserve"> </w:t>
      </w:r>
    </w:p>
    <w:p w14:paraId="4057462B" w14:textId="77777777" w:rsidR="009309B3" w:rsidRPr="00267A07" w:rsidRDefault="009309B3" w:rsidP="00584AED">
      <w:pPr>
        <w:pStyle w:val="NormalWeb"/>
        <w:spacing w:before="120" w:beforeAutospacing="0" w:after="120" w:afterAutospacing="0" w:line="360" w:lineRule="auto"/>
        <w:ind w:left="720" w:hanging="720"/>
        <w:jc w:val="both"/>
        <w:rPr>
          <w:rFonts w:ascii="Arial" w:hAnsi="Arial" w:cs="Arial"/>
        </w:rPr>
      </w:pPr>
      <w:r w:rsidRPr="00267A07">
        <w:rPr>
          <w:rFonts w:ascii="Arial" w:hAnsi="Arial" w:cs="Arial"/>
        </w:rPr>
        <w:t xml:space="preserve">Xue, Z., Zhou, N., Wu, Y., &amp; Qi, H. (2026). Digital exclusion in healthcare services: a scoping review. </w:t>
      </w:r>
      <w:r w:rsidRPr="00267A07">
        <w:rPr>
          <w:rFonts w:ascii="Arial" w:hAnsi="Arial" w:cs="Arial"/>
          <w:i/>
          <w:iCs/>
        </w:rPr>
        <w:t>International Journal for Equity in Health</w:t>
      </w:r>
      <w:r w:rsidRPr="00267A07">
        <w:rPr>
          <w:rFonts w:ascii="Arial" w:hAnsi="Arial" w:cs="Arial"/>
        </w:rPr>
        <w:t xml:space="preserve">, </w:t>
      </w:r>
      <w:r w:rsidRPr="00267A07">
        <w:rPr>
          <w:rFonts w:ascii="Arial" w:hAnsi="Arial" w:cs="Arial"/>
          <w:i/>
          <w:iCs/>
        </w:rPr>
        <w:t>25</w:t>
      </w:r>
      <w:r w:rsidRPr="00267A07">
        <w:rPr>
          <w:rFonts w:ascii="Arial" w:hAnsi="Arial" w:cs="Arial"/>
        </w:rPr>
        <w:t xml:space="preserve">(1), 37. </w:t>
      </w:r>
      <w:hyperlink r:id="rId60" w:history="1">
        <w:r w:rsidR="00584AED" w:rsidRPr="00C72506">
          <w:rPr>
            <w:rStyle w:val="Hyperlink"/>
            <w:rFonts w:ascii="Arial" w:hAnsi="Arial" w:cs="Arial"/>
          </w:rPr>
          <w:t>https://doi.org/10.1186/s12939-025-02755-1</w:t>
        </w:r>
      </w:hyperlink>
      <w:r w:rsidR="00584AED">
        <w:rPr>
          <w:rStyle w:val="url"/>
          <w:rFonts w:ascii="Arial" w:hAnsi="Arial" w:cs="Arial"/>
        </w:rPr>
        <w:t xml:space="preserve"> </w:t>
      </w:r>
    </w:p>
    <w:p w14:paraId="6F2BC871" w14:textId="77777777" w:rsidR="00BB11A5" w:rsidRPr="00267A07" w:rsidRDefault="00BB11A5" w:rsidP="00267A07">
      <w:pPr>
        <w:spacing w:before="120" w:after="120" w:line="360" w:lineRule="auto"/>
        <w:jc w:val="both"/>
        <w:rPr>
          <w:rFonts w:ascii="Arial" w:hAnsi="Arial" w:cs="Arial"/>
        </w:rPr>
      </w:pPr>
    </w:p>
    <w:p w14:paraId="7DB59BAC" w14:textId="77777777" w:rsidR="00775BD0" w:rsidRPr="00267A07" w:rsidRDefault="00775BD0" w:rsidP="00267A07">
      <w:pPr>
        <w:spacing w:before="120" w:after="120" w:line="360" w:lineRule="auto"/>
        <w:jc w:val="both"/>
        <w:rPr>
          <w:rFonts w:ascii="Arial" w:hAnsi="Arial" w:cs="Arial"/>
        </w:rPr>
      </w:pPr>
    </w:p>
    <w:sectPr w:rsidR="00775BD0" w:rsidRPr="00267A0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D90BA" w14:textId="77777777" w:rsidR="00341EF4" w:rsidRDefault="00341EF4" w:rsidP="00775BD0">
      <w:pPr>
        <w:spacing w:after="0" w:line="240" w:lineRule="auto"/>
      </w:pPr>
      <w:r>
        <w:separator/>
      </w:r>
    </w:p>
  </w:endnote>
  <w:endnote w:type="continuationSeparator" w:id="0">
    <w:p w14:paraId="4C13B7DC" w14:textId="77777777" w:rsidR="00341EF4" w:rsidRDefault="00341EF4" w:rsidP="00775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413569"/>
      <w:docPartObj>
        <w:docPartGallery w:val="Page Numbers (Bottom of Page)"/>
        <w:docPartUnique/>
      </w:docPartObj>
    </w:sdtPr>
    <w:sdtEndPr>
      <w:rPr>
        <w:noProof/>
      </w:rPr>
    </w:sdtEndPr>
    <w:sdtContent>
      <w:p w14:paraId="2945BFEC" w14:textId="77777777" w:rsidR="007A02C2" w:rsidRDefault="007A02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08AB0" w14:textId="77777777" w:rsidR="007A02C2" w:rsidRDefault="007A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68CC7E" w14:textId="77777777" w:rsidR="00341EF4" w:rsidRDefault="00341EF4" w:rsidP="00775BD0">
      <w:pPr>
        <w:spacing w:after="0" w:line="240" w:lineRule="auto"/>
      </w:pPr>
      <w:r>
        <w:separator/>
      </w:r>
    </w:p>
  </w:footnote>
  <w:footnote w:type="continuationSeparator" w:id="0">
    <w:p w14:paraId="4EEFE39D" w14:textId="77777777" w:rsidR="00341EF4" w:rsidRDefault="00341EF4" w:rsidP="00775B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47DDA"/>
    <w:multiLevelType w:val="multilevel"/>
    <w:tmpl w:val="AD2860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62B206A4"/>
    <w:multiLevelType w:val="hybridMultilevel"/>
    <w:tmpl w:val="0F3A81CC"/>
    <w:lvl w:ilvl="0" w:tplc="FFE6ACAC">
      <w:start w:val="1"/>
      <w:numFmt w:val="decimal"/>
      <w:pStyle w:val="Heading1"/>
      <w:lvlText w:val="%1."/>
      <w:lvlJc w:val="left"/>
      <w:pPr>
        <w:ind w:left="5038"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456534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18564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4A8"/>
    <w:rsid w:val="00084993"/>
    <w:rsid w:val="000B1330"/>
    <w:rsid w:val="000B4E7B"/>
    <w:rsid w:val="000C7DC6"/>
    <w:rsid w:val="000D5E90"/>
    <w:rsid w:val="000E459A"/>
    <w:rsid w:val="000F5E15"/>
    <w:rsid w:val="00100402"/>
    <w:rsid w:val="001015F4"/>
    <w:rsid w:val="0010570F"/>
    <w:rsid w:val="001109D1"/>
    <w:rsid w:val="00110BA4"/>
    <w:rsid w:val="00115983"/>
    <w:rsid w:val="00121D00"/>
    <w:rsid w:val="00123571"/>
    <w:rsid w:val="001314E7"/>
    <w:rsid w:val="001333C6"/>
    <w:rsid w:val="00134C98"/>
    <w:rsid w:val="00146038"/>
    <w:rsid w:val="00146DCA"/>
    <w:rsid w:val="001A29D6"/>
    <w:rsid w:val="001B69BF"/>
    <w:rsid w:val="001E08A0"/>
    <w:rsid w:val="001F2704"/>
    <w:rsid w:val="002022E3"/>
    <w:rsid w:val="002274A8"/>
    <w:rsid w:val="002305E4"/>
    <w:rsid w:val="00242232"/>
    <w:rsid w:val="00267A07"/>
    <w:rsid w:val="00273DCC"/>
    <w:rsid w:val="002759E6"/>
    <w:rsid w:val="002A0800"/>
    <w:rsid w:val="002B10EB"/>
    <w:rsid w:val="002B223E"/>
    <w:rsid w:val="002D3AB6"/>
    <w:rsid w:val="002E0EE1"/>
    <w:rsid w:val="00321E65"/>
    <w:rsid w:val="00337BD6"/>
    <w:rsid w:val="00341EF4"/>
    <w:rsid w:val="003550CF"/>
    <w:rsid w:val="00375F6A"/>
    <w:rsid w:val="00383A5F"/>
    <w:rsid w:val="00392B1A"/>
    <w:rsid w:val="00396748"/>
    <w:rsid w:val="003A7658"/>
    <w:rsid w:val="003B0C7E"/>
    <w:rsid w:val="003E5A42"/>
    <w:rsid w:val="00412CD7"/>
    <w:rsid w:val="00450EB2"/>
    <w:rsid w:val="00460079"/>
    <w:rsid w:val="00463683"/>
    <w:rsid w:val="00463CF6"/>
    <w:rsid w:val="00490D7F"/>
    <w:rsid w:val="004975E5"/>
    <w:rsid w:val="004A50AA"/>
    <w:rsid w:val="004B4C68"/>
    <w:rsid w:val="004D6A5E"/>
    <w:rsid w:val="004F0D9E"/>
    <w:rsid w:val="0052542A"/>
    <w:rsid w:val="00525A3B"/>
    <w:rsid w:val="0054092D"/>
    <w:rsid w:val="005772A8"/>
    <w:rsid w:val="00584AED"/>
    <w:rsid w:val="00593798"/>
    <w:rsid w:val="005A26C8"/>
    <w:rsid w:val="005A5F0C"/>
    <w:rsid w:val="005A5F54"/>
    <w:rsid w:val="005B252F"/>
    <w:rsid w:val="005B2D9F"/>
    <w:rsid w:val="005D7029"/>
    <w:rsid w:val="005E3F8E"/>
    <w:rsid w:val="006017BF"/>
    <w:rsid w:val="006037B6"/>
    <w:rsid w:val="00631804"/>
    <w:rsid w:val="00641232"/>
    <w:rsid w:val="00664BBA"/>
    <w:rsid w:val="00691575"/>
    <w:rsid w:val="0069201D"/>
    <w:rsid w:val="00692EB6"/>
    <w:rsid w:val="006C47D0"/>
    <w:rsid w:val="007109A7"/>
    <w:rsid w:val="00714228"/>
    <w:rsid w:val="007203F4"/>
    <w:rsid w:val="00735064"/>
    <w:rsid w:val="00737B32"/>
    <w:rsid w:val="00740640"/>
    <w:rsid w:val="00744717"/>
    <w:rsid w:val="007707E5"/>
    <w:rsid w:val="00775BD0"/>
    <w:rsid w:val="0079167B"/>
    <w:rsid w:val="007A02C2"/>
    <w:rsid w:val="007A1F69"/>
    <w:rsid w:val="007E559E"/>
    <w:rsid w:val="00810AD4"/>
    <w:rsid w:val="008167D0"/>
    <w:rsid w:val="00822ECC"/>
    <w:rsid w:val="00853CFF"/>
    <w:rsid w:val="00881B4B"/>
    <w:rsid w:val="00894FB9"/>
    <w:rsid w:val="008A0277"/>
    <w:rsid w:val="008C7996"/>
    <w:rsid w:val="008D1927"/>
    <w:rsid w:val="008E38D8"/>
    <w:rsid w:val="008E671F"/>
    <w:rsid w:val="008F6CBB"/>
    <w:rsid w:val="008F780F"/>
    <w:rsid w:val="009064CE"/>
    <w:rsid w:val="00924D84"/>
    <w:rsid w:val="009309B3"/>
    <w:rsid w:val="00943723"/>
    <w:rsid w:val="00951D89"/>
    <w:rsid w:val="00955B3F"/>
    <w:rsid w:val="00966C8C"/>
    <w:rsid w:val="00977FFB"/>
    <w:rsid w:val="009A49C4"/>
    <w:rsid w:val="009C425C"/>
    <w:rsid w:val="009D465D"/>
    <w:rsid w:val="009F7066"/>
    <w:rsid w:val="00A276B8"/>
    <w:rsid w:val="00A35F39"/>
    <w:rsid w:val="00A50719"/>
    <w:rsid w:val="00A765FA"/>
    <w:rsid w:val="00AC5506"/>
    <w:rsid w:val="00AD5AF4"/>
    <w:rsid w:val="00B35813"/>
    <w:rsid w:val="00B6724D"/>
    <w:rsid w:val="00B76649"/>
    <w:rsid w:val="00B92F4C"/>
    <w:rsid w:val="00B94A44"/>
    <w:rsid w:val="00BB016C"/>
    <w:rsid w:val="00BB0EB4"/>
    <w:rsid w:val="00BB11A5"/>
    <w:rsid w:val="00BB63BC"/>
    <w:rsid w:val="00BB769C"/>
    <w:rsid w:val="00BB7980"/>
    <w:rsid w:val="00BC4EFA"/>
    <w:rsid w:val="00BD6536"/>
    <w:rsid w:val="00BE3206"/>
    <w:rsid w:val="00C10ADD"/>
    <w:rsid w:val="00C13D94"/>
    <w:rsid w:val="00C37E4F"/>
    <w:rsid w:val="00C66AD9"/>
    <w:rsid w:val="00C774D6"/>
    <w:rsid w:val="00C774F7"/>
    <w:rsid w:val="00CC672B"/>
    <w:rsid w:val="00CD7764"/>
    <w:rsid w:val="00D15A8E"/>
    <w:rsid w:val="00D20A53"/>
    <w:rsid w:val="00D335CD"/>
    <w:rsid w:val="00D34972"/>
    <w:rsid w:val="00D57701"/>
    <w:rsid w:val="00D71268"/>
    <w:rsid w:val="00D72641"/>
    <w:rsid w:val="00D74FFC"/>
    <w:rsid w:val="00D851A2"/>
    <w:rsid w:val="00D92EE4"/>
    <w:rsid w:val="00DC03F1"/>
    <w:rsid w:val="00DF6B34"/>
    <w:rsid w:val="00E14089"/>
    <w:rsid w:val="00E268E7"/>
    <w:rsid w:val="00E40F2B"/>
    <w:rsid w:val="00E451BA"/>
    <w:rsid w:val="00E72424"/>
    <w:rsid w:val="00E74964"/>
    <w:rsid w:val="00E7606B"/>
    <w:rsid w:val="00E90724"/>
    <w:rsid w:val="00EA37CA"/>
    <w:rsid w:val="00EB6553"/>
    <w:rsid w:val="00EC07C7"/>
    <w:rsid w:val="00EC53CB"/>
    <w:rsid w:val="00EE7013"/>
    <w:rsid w:val="00F0556D"/>
    <w:rsid w:val="00F4058D"/>
    <w:rsid w:val="00F56F72"/>
    <w:rsid w:val="00F57739"/>
    <w:rsid w:val="00F80189"/>
    <w:rsid w:val="00FD5D34"/>
    <w:rsid w:val="00FE4FDD"/>
    <w:rsid w:val="00FF3A0D"/>
    <w:rsid w:val="00FF7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1E99"/>
  <w15:chartTrackingRefBased/>
  <w15:docId w15:val="{18908CF3-7742-4254-B969-FB6E8FEAA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4A8"/>
    <w:pPr>
      <w:spacing w:line="256" w:lineRule="auto"/>
    </w:pPr>
  </w:style>
  <w:style w:type="paragraph" w:styleId="Heading1">
    <w:name w:val="heading 1"/>
    <w:basedOn w:val="Normal"/>
    <w:next w:val="Normal"/>
    <w:link w:val="Heading1Char"/>
    <w:autoRedefine/>
    <w:uiPriority w:val="9"/>
    <w:qFormat/>
    <w:rsid w:val="00593798"/>
    <w:pPr>
      <w:keepNext/>
      <w:keepLines/>
      <w:numPr>
        <w:numId w:val="2"/>
      </w:numPr>
      <w:spacing w:before="120" w:after="120" w:line="360" w:lineRule="auto"/>
      <w:ind w:left="360"/>
      <w:jc w:val="center"/>
      <w:outlineLvl w:val="0"/>
    </w:pPr>
    <w:rPr>
      <w:rFonts w:ascii="Arial" w:eastAsiaTheme="majorEastAsia" w:hAnsi="Arial" w:cstheme="majorBidi"/>
      <w:b/>
      <w:bCs/>
      <w:color w:val="000000" w:themeColor="text1"/>
      <w:sz w:val="32"/>
      <w:szCs w:val="28"/>
    </w:rPr>
  </w:style>
  <w:style w:type="paragraph" w:styleId="Heading2">
    <w:name w:val="heading 2"/>
    <w:basedOn w:val="Normal"/>
    <w:link w:val="Heading2Char"/>
    <w:autoRedefine/>
    <w:uiPriority w:val="9"/>
    <w:qFormat/>
    <w:rsid w:val="003A7658"/>
    <w:pPr>
      <w:spacing w:before="100" w:beforeAutospacing="1" w:after="100" w:afterAutospacing="1" w:line="240" w:lineRule="auto"/>
      <w:outlineLvl w:val="1"/>
    </w:pPr>
    <w:rPr>
      <w:rFonts w:ascii="Arial" w:eastAsia="Times New Roman" w:hAnsi="Arial" w:cs="Times New Roman"/>
      <w:b/>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798"/>
    <w:rPr>
      <w:rFonts w:ascii="Arial" w:eastAsiaTheme="majorEastAsia" w:hAnsi="Arial" w:cstheme="majorBidi"/>
      <w:b/>
      <w:bCs/>
      <w:color w:val="000000" w:themeColor="text1"/>
      <w:sz w:val="32"/>
      <w:szCs w:val="28"/>
    </w:rPr>
  </w:style>
  <w:style w:type="paragraph" w:styleId="Header">
    <w:name w:val="header"/>
    <w:basedOn w:val="Normal"/>
    <w:link w:val="HeaderChar"/>
    <w:uiPriority w:val="99"/>
    <w:unhideWhenUsed/>
    <w:rsid w:val="00775B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5BD0"/>
  </w:style>
  <w:style w:type="paragraph" w:styleId="Footer">
    <w:name w:val="footer"/>
    <w:basedOn w:val="Normal"/>
    <w:link w:val="FooterChar"/>
    <w:uiPriority w:val="99"/>
    <w:unhideWhenUsed/>
    <w:rsid w:val="00775B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5BD0"/>
  </w:style>
  <w:style w:type="character" w:customStyle="1" w:styleId="Heading2Char">
    <w:name w:val="Heading 2 Char"/>
    <w:basedOn w:val="DefaultParagraphFont"/>
    <w:link w:val="Heading2"/>
    <w:uiPriority w:val="9"/>
    <w:rsid w:val="003A7658"/>
    <w:rPr>
      <w:rFonts w:ascii="Arial" w:eastAsia="Times New Roman" w:hAnsi="Arial" w:cs="Times New Roman"/>
      <w:b/>
      <w:bCs/>
      <w:sz w:val="28"/>
      <w:szCs w:val="36"/>
    </w:rPr>
  </w:style>
  <w:style w:type="paragraph" w:styleId="NormalWeb">
    <w:name w:val="Normal (Web)"/>
    <w:basedOn w:val="Normal"/>
    <w:uiPriority w:val="99"/>
    <w:unhideWhenUsed/>
    <w:rsid w:val="00EC53C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53CB"/>
    <w:rPr>
      <w:b/>
      <w:bCs/>
    </w:rPr>
  </w:style>
  <w:style w:type="character" w:styleId="Emphasis">
    <w:name w:val="Emphasis"/>
    <w:basedOn w:val="DefaultParagraphFont"/>
    <w:uiPriority w:val="20"/>
    <w:qFormat/>
    <w:rsid w:val="00EC53CB"/>
    <w:rPr>
      <w:i/>
      <w:iCs/>
    </w:rPr>
  </w:style>
  <w:style w:type="paragraph" w:customStyle="1" w:styleId="isselectedend">
    <w:name w:val="isselectedend"/>
    <w:basedOn w:val="Normal"/>
    <w:rsid w:val="00BB11A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5A5F0C"/>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084993"/>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084993"/>
    <w:rPr>
      <w:rFonts w:ascii="Arial" w:eastAsia="Times New Roman" w:hAnsi="Arial" w:cs="Arial"/>
      <w:vanish/>
      <w:sz w:val="16"/>
      <w:szCs w:val="16"/>
    </w:rPr>
  </w:style>
  <w:style w:type="paragraph" w:customStyle="1" w:styleId="placeholder">
    <w:name w:val="placeholder"/>
    <w:basedOn w:val="Normal"/>
    <w:rsid w:val="00084993"/>
    <w:pPr>
      <w:spacing w:before="100" w:beforeAutospacing="1" w:after="100" w:afterAutospacing="1" w:line="240" w:lineRule="auto"/>
    </w:pPr>
    <w:rPr>
      <w:rFonts w:ascii="Times New Roman" w:eastAsia="Times New Roman" w:hAnsi="Times New Roman" w:cs="Times New Roman"/>
      <w:sz w:val="24"/>
      <w:szCs w:val="24"/>
    </w:rPr>
  </w:style>
  <w:style w:type="paragraph" w:styleId="z-BottomofForm">
    <w:name w:val="HTML Bottom of Form"/>
    <w:basedOn w:val="Normal"/>
    <w:next w:val="Normal"/>
    <w:link w:val="z-BottomofFormChar"/>
    <w:hidden/>
    <w:uiPriority w:val="99"/>
    <w:semiHidden/>
    <w:unhideWhenUsed/>
    <w:rsid w:val="00084993"/>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084993"/>
    <w:rPr>
      <w:rFonts w:ascii="Arial" w:eastAsia="Times New Roman" w:hAnsi="Arial" w:cs="Arial"/>
      <w:vanish/>
      <w:sz w:val="16"/>
      <w:szCs w:val="16"/>
    </w:rPr>
  </w:style>
  <w:style w:type="character" w:customStyle="1" w:styleId="url">
    <w:name w:val="url"/>
    <w:basedOn w:val="DefaultParagraphFont"/>
    <w:rsid w:val="009309B3"/>
  </w:style>
  <w:style w:type="table" w:styleId="TableGrid">
    <w:name w:val="Table Grid"/>
    <w:basedOn w:val="TableNormal"/>
    <w:uiPriority w:val="39"/>
    <w:rsid w:val="00BB01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016C"/>
    <w:pPr>
      <w:spacing w:after="200" w:line="240" w:lineRule="auto"/>
    </w:pPr>
    <w:rPr>
      <w:i/>
      <w:iCs/>
      <w:color w:val="44546A" w:themeColor="text2"/>
      <w:sz w:val="18"/>
      <w:szCs w:val="18"/>
    </w:rPr>
  </w:style>
  <w:style w:type="character" w:styleId="Hyperlink">
    <w:name w:val="Hyperlink"/>
    <w:basedOn w:val="DefaultParagraphFont"/>
    <w:uiPriority w:val="99"/>
    <w:unhideWhenUsed/>
    <w:rsid w:val="002A0800"/>
    <w:rPr>
      <w:color w:val="0563C1" w:themeColor="hyperlink"/>
      <w:u w:val="single"/>
    </w:rPr>
  </w:style>
  <w:style w:type="character" w:styleId="UnresolvedMention">
    <w:name w:val="Unresolved Mention"/>
    <w:basedOn w:val="DefaultParagraphFont"/>
    <w:uiPriority w:val="99"/>
    <w:semiHidden/>
    <w:unhideWhenUsed/>
    <w:rsid w:val="002A0800"/>
    <w:rPr>
      <w:color w:val="605E5C"/>
      <w:shd w:val="clear" w:color="auto" w:fill="E1DFDD"/>
    </w:rPr>
  </w:style>
  <w:style w:type="paragraph" w:styleId="TOC1">
    <w:name w:val="toc 1"/>
    <w:basedOn w:val="Normal"/>
    <w:next w:val="Normal"/>
    <w:autoRedefine/>
    <w:uiPriority w:val="39"/>
    <w:unhideWhenUsed/>
    <w:rsid w:val="002B223E"/>
    <w:pPr>
      <w:spacing w:after="100"/>
    </w:pPr>
  </w:style>
  <w:style w:type="paragraph" w:styleId="TOC2">
    <w:name w:val="toc 2"/>
    <w:basedOn w:val="Normal"/>
    <w:next w:val="Normal"/>
    <w:autoRedefine/>
    <w:uiPriority w:val="39"/>
    <w:unhideWhenUsed/>
    <w:rsid w:val="002B22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76550">
      <w:bodyDiv w:val="1"/>
      <w:marLeft w:val="0"/>
      <w:marRight w:val="0"/>
      <w:marTop w:val="0"/>
      <w:marBottom w:val="0"/>
      <w:divBdr>
        <w:top w:val="none" w:sz="0" w:space="0" w:color="auto"/>
        <w:left w:val="none" w:sz="0" w:space="0" w:color="auto"/>
        <w:bottom w:val="none" w:sz="0" w:space="0" w:color="auto"/>
        <w:right w:val="none" w:sz="0" w:space="0" w:color="auto"/>
      </w:divBdr>
    </w:div>
    <w:div w:id="306592394">
      <w:bodyDiv w:val="1"/>
      <w:marLeft w:val="0"/>
      <w:marRight w:val="0"/>
      <w:marTop w:val="0"/>
      <w:marBottom w:val="0"/>
      <w:divBdr>
        <w:top w:val="none" w:sz="0" w:space="0" w:color="auto"/>
        <w:left w:val="none" w:sz="0" w:space="0" w:color="auto"/>
        <w:bottom w:val="none" w:sz="0" w:space="0" w:color="auto"/>
        <w:right w:val="none" w:sz="0" w:space="0" w:color="auto"/>
      </w:divBdr>
      <w:divsChild>
        <w:div w:id="1259219878">
          <w:marLeft w:val="0"/>
          <w:marRight w:val="0"/>
          <w:marTop w:val="0"/>
          <w:marBottom w:val="0"/>
          <w:divBdr>
            <w:top w:val="none" w:sz="0" w:space="0" w:color="auto"/>
            <w:left w:val="none" w:sz="0" w:space="0" w:color="auto"/>
            <w:bottom w:val="none" w:sz="0" w:space="0" w:color="auto"/>
            <w:right w:val="none" w:sz="0" w:space="0" w:color="auto"/>
          </w:divBdr>
          <w:divsChild>
            <w:div w:id="1274174059">
              <w:marLeft w:val="0"/>
              <w:marRight w:val="0"/>
              <w:marTop w:val="0"/>
              <w:marBottom w:val="0"/>
              <w:divBdr>
                <w:top w:val="none" w:sz="0" w:space="0" w:color="auto"/>
                <w:left w:val="none" w:sz="0" w:space="0" w:color="auto"/>
                <w:bottom w:val="none" w:sz="0" w:space="0" w:color="auto"/>
                <w:right w:val="none" w:sz="0" w:space="0" w:color="auto"/>
              </w:divBdr>
              <w:divsChild>
                <w:div w:id="191041105">
                  <w:marLeft w:val="0"/>
                  <w:marRight w:val="0"/>
                  <w:marTop w:val="0"/>
                  <w:marBottom w:val="0"/>
                  <w:divBdr>
                    <w:top w:val="none" w:sz="0" w:space="0" w:color="auto"/>
                    <w:left w:val="none" w:sz="0" w:space="0" w:color="auto"/>
                    <w:bottom w:val="none" w:sz="0" w:space="0" w:color="auto"/>
                    <w:right w:val="none" w:sz="0" w:space="0" w:color="auto"/>
                  </w:divBdr>
                  <w:divsChild>
                    <w:div w:id="303392202">
                      <w:marLeft w:val="0"/>
                      <w:marRight w:val="0"/>
                      <w:marTop w:val="0"/>
                      <w:marBottom w:val="0"/>
                      <w:divBdr>
                        <w:top w:val="none" w:sz="0" w:space="0" w:color="auto"/>
                        <w:left w:val="none" w:sz="0" w:space="0" w:color="auto"/>
                        <w:bottom w:val="none" w:sz="0" w:space="0" w:color="auto"/>
                        <w:right w:val="none" w:sz="0" w:space="0" w:color="auto"/>
                      </w:divBdr>
                      <w:divsChild>
                        <w:div w:id="13381742">
                          <w:marLeft w:val="0"/>
                          <w:marRight w:val="0"/>
                          <w:marTop w:val="0"/>
                          <w:marBottom w:val="0"/>
                          <w:divBdr>
                            <w:top w:val="none" w:sz="0" w:space="0" w:color="auto"/>
                            <w:left w:val="none" w:sz="0" w:space="0" w:color="auto"/>
                            <w:bottom w:val="none" w:sz="0" w:space="0" w:color="auto"/>
                            <w:right w:val="none" w:sz="0" w:space="0" w:color="auto"/>
                          </w:divBdr>
                          <w:divsChild>
                            <w:div w:id="101151952">
                              <w:marLeft w:val="0"/>
                              <w:marRight w:val="0"/>
                              <w:marTop w:val="0"/>
                              <w:marBottom w:val="0"/>
                              <w:divBdr>
                                <w:top w:val="none" w:sz="0" w:space="0" w:color="auto"/>
                                <w:left w:val="none" w:sz="0" w:space="0" w:color="auto"/>
                                <w:bottom w:val="none" w:sz="0" w:space="0" w:color="auto"/>
                                <w:right w:val="none" w:sz="0" w:space="0" w:color="auto"/>
                              </w:divBdr>
                              <w:divsChild>
                                <w:div w:id="2009557146">
                                  <w:marLeft w:val="0"/>
                                  <w:marRight w:val="0"/>
                                  <w:marTop w:val="0"/>
                                  <w:marBottom w:val="0"/>
                                  <w:divBdr>
                                    <w:top w:val="none" w:sz="0" w:space="0" w:color="auto"/>
                                    <w:left w:val="none" w:sz="0" w:space="0" w:color="auto"/>
                                    <w:bottom w:val="none" w:sz="0" w:space="0" w:color="auto"/>
                                    <w:right w:val="none" w:sz="0" w:space="0" w:color="auto"/>
                                  </w:divBdr>
                                  <w:divsChild>
                                    <w:div w:id="80835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1197803">
      <w:bodyDiv w:val="1"/>
      <w:marLeft w:val="0"/>
      <w:marRight w:val="0"/>
      <w:marTop w:val="0"/>
      <w:marBottom w:val="0"/>
      <w:divBdr>
        <w:top w:val="none" w:sz="0" w:space="0" w:color="auto"/>
        <w:left w:val="none" w:sz="0" w:space="0" w:color="auto"/>
        <w:bottom w:val="none" w:sz="0" w:space="0" w:color="auto"/>
        <w:right w:val="none" w:sz="0" w:space="0" w:color="auto"/>
      </w:divBdr>
    </w:div>
    <w:div w:id="488330622">
      <w:bodyDiv w:val="1"/>
      <w:marLeft w:val="0"/>
      <w:marRight w:val="0"/>
      <w:marTop w:val="0"/>
      <w:marBottom w:val="0"/>
      <w:divBdr>
        <w:top w:val="none" w:sz="0" w:space="0" w:color="auto"/>
        <w:left w:val="none" w:sz="0" w:space="0" w:color="auto"/>
        <w:bottom w:val="none" w:sz="0" w:space="0" w:color="auto"/>
        <w:right w:val="none" w:sz="0" w:space="0" w:color="auto"/>
      </w:divBdr>
    </w:div>
    <w:div w:id="552304417">
      <w:bodyDiv w:val="1"/>
      <w:marLeft w:val="0"/>
      <w:marRight w:val="0"/>
      <w:marTop w:val="0"/>
      <w:marBottom w:val="0"/>
      <w:divBdr>
        <w:top w:val="none" w:sz="0" w:space="0" w:color="auto"/>
        <w:left w:val="none" w:sz="0" w:space="0" w:color="auto"/>
        <w:bottom w:val="none" w:sz="0" w:space="0" w:color="auto"/>
        <w:right w:val="none" w:sz="0" w:space="0" w:color="auto"/>
      </w:divBdr>
    </w:div>
    <w:div w:id="566841421">
      <w:bodyDiv w:val="1"/>
      <w:marLeft w:val="0"/>
      <w:marRight w:val="0"/>
      <w:marTop w:val="0"/>
      <w:marBottom w:val="0"/>
      <w:divBdr>
        <w:top w:val="none" w:sz="0" w:space="0" w:color="auto"/>
        <w:left w:val="none" w:sz="0" w:space="0" w:color="auto"/>
        <w:bottom w:val="none" w:sz="0" w:space="0" w:color="auto"/>
        <w:right w:val="none" w:sz="0" w:space="0" w:color="auto"/>
      </w:divBdr>
    </w:div>
    <w:div w:id="661355528">
      <w:bodyDiv w:val="1"/>
      <w:marLeft w:val="0"/>
      <w:marRight w:val="0"/>
      <w:marTop w:val="0"/>
      <w:marBottom w:val="0"/>
      <w:divBdr>
        <w:top w:val="none" w:sz="0" w:space="0" w:color="auto"/>
        <w:left w:val="none" w:sz="0" w:space="0" w:color="auto"/>
        <w:bottom w:val="none" w:sz="0" w:space="0" w:color="auto"/>
        <w:right w:val="none" w:sz="0" w:space="0" w:color="auto"/>
      </w:divBdr>
    </w:div>
    <w:div w:id="833909189">
      <w:bodyDiv w:val="1"/>
      <w:marLeft w:val="0"/>
      <w:marRight w:val="0"/>
      <w:marTop w:val="0"/>
      <w:marBottom w:val="0"/>
      <w:divBdr>
        <w:top w:val="none" w:sz="0" w:space="0" w:color="auto"/>
        <w:left w:val="none" w:sz="0" w:space="0" w:color="auto"/>
        <w:bottom w:val="none" w:sz="0" w:space="0" w:color="auto"/>
        <w:right w:val="none" w:sz="0" w:space="0" w:color="auto"/>
      </w:divBdr>
    </w:div>
    <w:div w:id="917594282">
      <w:bodyDiv w:val="1"/>
      <w:marLeft w:val="0"/>
      <w:marRight w:val="0"/>
      <w:marTop w:val="0"/>
      <w:marBottom w:val="0"/>
      <w:divBdr>
        <w:top w:val="none" w:sz="0" w:space="0" w:color="auto"/>
        <w:left w:val="none" w:sz="0" w:space="0" w:color="auto"/>
        <w:bottom w:val="none" w:sz="0" w:space="0" w:color="auto"/>
        <w:right w:val="none" w:sz="0" w:space="0" w:color="auto"/>
      </w:divBdr>
      <w:divsChild>
        <w:div w:id="1987128064">
          <w:marLeft w:val="0"/>
          <w:marRight w:val="0"/>
          <w:marTop w:val="0"/>
          <w:marBottom w:val="0"/>
          <w:divBdr>
            <w:top w:val="none" w:sz="0" w:space="0" w:color="auto"/>
            <w:left w:val="none" w:sz="0" w:space="0" w:color="auto"/>
            <w:bottom w:val="none" w:sz="0" w:space="0" w:color="auto"/>
            <w:right w:val="none" w:sz="0" w:space="0" w:color="auto"/>
          </w:divBdr>
          <w:divsChild>
            <w:div w:id="1048604606">
              <w:marLeft w:val="0"/>
              <w:marRight w:val="0"/>
              <w:marTop w:val="0"/>
              <w:marBottom w:val="0"/>
              <w:divBdr>
                <w:top w:val="none" w:sz="0" w:space="0" w:color="auto"/>
                <w:left w:val="none" w:sz="0" w:space="0" w:color="auto"/>
                <w:bottom w:val="none" w:sz="0" w:space="0" w:color="auto"/>
                <w:right w:val="none" w:sz="0" w:space="0" w:color="auto"/>
              </w:divBdr>
              <w:divsChild>
                <w:div w:id="590890220">
                  <w:marLeft w:val="0"/>
                  <w:marRight w:val="0"/>
                  <w:marTop w:val="0"/>
                  <w:marBottom w:val="0"/>
                  <w:divBdr>
                    <w:top w:val="none" w:sz="0" w:space="0" w:color="auto"/>
                    <w:left w:val="none" w:sz="0" w:space="0" w:color="auto"/>
                    <w:bottom w:val="none" w:sz="0" w:space="0" w:color="auto"/>
                    <w:right w:val="none" w:sz="0" w:space="0" w:color="auto"/>
                  </w:divBdr>
                  <w:divsChild>
                    <w:div w:id="1750300414">
                      <w:marLeft w:val="0"/>
                      <w:marRight w:val="0"/>
                      <w:marTop w:val="0"/>
                      <w:marBottom w:val="0"/>
                      <w:divBdr>
                        <w:top w:val="none" w:sz="0" w:space="0" w:color="auto"/>
                        <w:left w:val="none" w:sz="0" w:space="0" w:color="auto"/>
                        <w:bottom w:val="none" w:sz="0" w:space="0" w:color="auto"/>
                        <w:right w:val="none" w:sz="0" w:space="0" w:color="auto"/>
                      </w:divBdr>
                      <w:divsChild>
                        <w:div w:id="1144280223">
                          <w:marLeft w:val="0"/>
                          <w:marRight w:val="0"/>
                          <w:marTop w:val="0"/>
                          <w:marBottom w:val="0"/>
                          <w:divBdr>
                            <w:top w:val="none" w:sz="0" w:space="0" w:color="auto"/>
                            <w:left w:val="none" w:sz="0" w:space="0" w:color="auto"/>
                            <w:bottom w:val="none" w:sz="0" w:space="0" w:color="auto"/>
                            <w:right w:val="none" w:sz="0" w:space="0" w:color="auto"/>
                          </w:divBdr>
                          <w:divsChild>
                            <w:div w:id="500898109">
                              <w:marLeft w:val="0"/>
                              <w:marRight w:val="0"/>
                              <w:marTop w:val="0"/>
                              <w:marBottom w:val="0"/>
                              <w:divBdr>
                                <w:top w:val="none" w:sz="0" w:space="0" w:color="auto"/>
                                <w:left w:val="none" w:sz="0" w:space="0" w:color="auto"/>
                                <w:bottom w:val="none" w:sz="0" w:space="0" w:color="auto"/>
                                <w:right w:val="none" w:sz="0" w:space="0" w:color="auto"/>
                              </w:divBdr>
                              <w:divsChild>
                                <w:div w:id="65109892">
                                  <w:marLeft w:val="0"/>
                                  <w:marRight w:val="0"/>
                                  <w:marTop w:val="0"/>
                                  <w:marBottom w:val="0"/>
                                  <w:divBdr>
                                    <w:top w:val="none" w:sz="0" w:space="0" w:color="auto"/>
                                    <w:left w:val="none" w:sz="0" w:space="0" w:color="auto"/>
                                    <w:bottom w:val="none" w:sz="0" w:space="0" w:color="auto"/>
                                    <w:right w:val="none" w:sz="0" w:space="0" w:color="auto"/>
                                  </w:divBdr>
                                  <w:divsChild>
                                    <w:div w:id="1239242965">
                                      <w:marLeft w:val="0"/>
                                      <w:marRight w:val="0"/>
                                      <w:marTop w:val="0"/>
                                      <w:marBottom w:val="0"/>
                                      <w:divBdr>
                                        <w:top w:val="none" w:sz="0" w:space="0" w:color="auto"/>
                                        <w:left w:val="none" w:sz="0" w:space="0" w:color="auto"/>
                                        <w:bottom w:val="none" w:sz="0" w:space="0" w:color="auto"/>
                                        <w:right w:val="none" w:sz="0" w:space="0" w:color="auto"/>
                                      </w:divBdr>
                                      <w:divsChild>
                                        <w:div w:id="2079087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3406875">
      <w:bodyDiv w:val="1"/>
      <w:marLeft w:val="0"/>
      <w:marRight w:val="0"/>
      <w:marTop w:val="0"/>
      <w:marBottom w:val="0"/>
      <w:divBdr>
        <w:top w:val="none" w:sz="0" w:space="0" w:color="auto"/>
        <w:left w:val="none" w:sz="0" w:space="0" w:color="auto"/>
        <w:bottom w:val="none" w:sz="0" w:space="0" w:color="auto"/>
        <w:right w:val="none" w:sz="0" w:space="0" w:color="auto"/>
      </w:divBdr>
    </w:div>
    <w:div w:id="1120762921">
      <w:bodyDiv w:val="1"/>
      <w:marLeft w:val="0"/>
      <w:marRight w:val="0"/>
      <w:marTop w:val="0"/>
      <w:marBottom w:val="0"/>
      <w:divBdr>
        <w:top w:val="none" w:sz="0" w:space="0" w:color="auto"/>
        <w:left w:val="none" w:sz="0" w:space="0" w:color="auto"/>
        <w:bottom w:val="none" w:sz="0" w:space="0" w:color="auto"/>
        <w:right w:val="none" w:sz="0" w:space="0" w:color="auto"/>
      </w:divBdr>
    </w:div>
    <w:div w:id="1279262784">
      <w:bodyDiv w:val="1"/>
      <w:marLeft w:val="0"/>
      <w:marRight w:val="0"/>
      <w:marTop w:val="0"/>
      <w:marBottom w:val="0"/>
      <w:divBdr>
        <w:top w:val="none" w:sz="0" w:space="0" w:color="auto"/>
        <w:left w:val="none" w:sz="0" w:space="0" w:color="auto"/>
        <w:bottom w:val="none" w:sz="0" w:space="0" w:color="auto"/>
        <w:right w:val="none" w:sz="0" w:space="0" w:color="auto"/>
      </w:divBdr>
    </w:div>
    <w:div w:id="1534415176">
      <w:bodyDiv w:val="1"/>
      <w:marLeft w:val="0"/>
      <w:marRight w:val="0"/>
      <w:marTop w:val="0"/>
      <w:marBottom w:val="0"/>
      <w:divBdr>
        <w:top w:val="none" w:sz="0" w:space="0" w:color="auto"/>
        <w:left w:val="none" w:sz="0" w:space="0" w:color="auto"/>
        <w:bottom w:val="none" w:sz="0" w:space="0" w:color="auto"/>
        <w:right w:val="none" w:sz="0" w:space="0" w:color="auto"/>
      </w:divBdr>
      <w:divsChild>
        <w:div w:id="665323383">
          <w:marLeft w:val="0"/>
          <w:marRight w:val="0"/>
          <w:marTop w:val="0"/>
          <w:marBottom w:val="0"/>
          <w:divBdr>
            <w:top w:val="none" w:sz="0" w:space="0" w:color="auto"/>
            <w:left w:val="none" w:sz="0" w:space="0" w:color="auto"/>
            <w:bottom w:val="none" w:sz="0" w:space="0" w:color="auto"/>
            <w:right w:val="none" w:sz="0" w:space="0" w:color="auto"/>
          </w:divBdr>
          <w:divsChild>
            <w:div w:id="186524605">
              <w:marLeft w:val="0"/>
              <w:marRight w:val="0"/>
              <w:marTop w:val="0"/>
              <w:marBottom w:val="0"/>
              <w:divBdr>
                <w:top w:val="none" w:sz="0" w:space="0" w:color="auto"/>
                <w:left w:val="none" w:sz="0" w:space="0" w:color="auto"/>
                <w:bottom w:val="none" w:sz="0" w:space="0" w:color="auto"/>
                <w:right w:val="none" w:sz="0" w:space="0" w:color="auto"/>
              </w:divBdr>
              <w:divsChild>
                <w:div w:id="1644851328">
                  <w:marLeft w:val="0"/>
                  <w:marRight w:val="0"/>
                  <w:marTop w:val="0"/>
                  <w:marBottom w:val="0"/>
                  <w:divBdr>
                    <w:top w:val="none" w:sz="0" w:space="0" w:color="auto"/>
                    <w:left w:val="none" w:sz="0" w:space="0" w:color="auto"/>
                    <w:bottom w:val="none" w:sz="0" w:space="0" w:color="auto"/>
                    <w:right w:val="none" w:sz="0" w:space="0" w:color="auto"/>
                  </w:divBdr>
                  <w:divsChild>
                    <w:div w:id="1833259199">
                      <w:marLeft w:val="0"/>
                      <w:marRight w:val="0"/>
                      <w:marTop w:val="0"/>
                      <w:marBottom w:val="0"/>
                      <w:divBdr>
                        <w:top w:val="none" w:sz="0" w:space="0" w:color="auto"/>
                        <w:left w:val="none" w:sz="0" w:space="0" w:color="auto"/>
                        <w:bottom w:val="none" w:sz="0" w:space="0" w:color="auto"/>
                        <w:right w:val="none" w:sz="0" w:space="0" w:color="auto"/>
                      </w:divBdr>
                      <w:divsChild>
                        <w:div w:id="78716589">
                          <w:marLeft w:val="0"/>
                          <w:marRight w:val="0"/>
                          <w:marTop w:val="0"/>
                          <w:marBottom w:val="0"/>
                          <w:divBdr>
                            <w:top w:val="none" w:sz="0" w:space="0" w:color="auto"/>
                            <w:left w:val="none" w:sz="0" w:space="0" w:color="auto"/>
                            <w:bottom w:val="none" w:sz="0" w:space="0" w:color="auto"/>
                            <w:right w:val="none" w:sz="0" w:space="0" w:color="auto"/>
                          </w:divBdr>
                          <w:divsChild>
                            <w:div w:id="1858615507">
                              <w:marLeft w:val="0"/>
                              <w:marRight w:val="0"/>
                              <w:marTop w:val="0"/>
                              <w:marBottom w:val="0"/>
                              <w:divBdr>
                                <w:top w:val="none" w:sz="0" w:space="0" w:color="auto"/>
                                <w:left w:val="none" w:sz="0" w:space="0" w:color="auto"/>
                                <w:bottom w:val="none" w:sz="0" w:space="0" w:color="auto"/>
                                <w:right w:val="none" w:sz="0" w:space="0" w:color="auto"/>
                              </w:divBdr>
                              <w:divsChild>
                                <w:div w:id="1158227059">
                                  <w:marLeft w:val="0"/>
                                  <w:marRight w:val="0"/>
                                  <w:marTop w:val="0"/>
                                  <w:marBottom w:val="0"/>
                                  <w:divBdr>
                                    <w:top w:val="none" w:sz="0" w:space="0" w:color="auto"/>
                                    <w:left w:val="none" w:sz="0" w:space="0" w:color="auto"/>
                                    <w:bottom w:val="none" w:sz="0" w:space="0" w:color="auto"/>
                                    <w:right w:val="none" w:sz="0" w:space="0" w:color="auto"/>
                                  </w:divBdr>
                                  <w:divsChild>
                                    <w:div w:id="18509079">
                                      <w:marLeft w:val="0"/>
                                      <w:marRight w:val="0"/>
                                      <w:marTop w:val="0"/>
                                      <w:marBottom w:val="0"/>
                                      <w:divBdr>
                                        <w:top w:val="none" w:sz="0" w:space="0" w:color="auto"/>
                                        <w:left w:val="none" w:sz="0" w:space="0" w:color="auto"/>
                                        <w:bottom w:val="none" w:sz="0" w:space="0" w:color="auto"/>
                                        <w:right w:val="none" w:sz="0" w:space="0" w:color="auto"/>
                                      </w:divBdr>
                                      <w:divsChild>
                                        <w:div w:id="15840724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4899602">
      <w:bodyDiv w:val="1"/>
      <w:marLeft w:val="0"/>
      <w:marRight w:val="0"/>
      <w:marTop w:val="0"/>
      <w:marBottom w:val="0"/>
      <w:divBdr>
        <w:top w:val="none" w:sz="0" w:space="0" w:color="auto"/>
        <w:left w:val="none" w:sz="0" w:space="0" w:color="auto"/>
        <w:bottom w:val="none" w:sz="0" w:space="0" w:color="auto"/>
        <w:right w:val="none" w:sz="0" w:space="0" w:color="auto"/>
      </w:divBdr>
      <w:divsChild>
        <w:div w:id="2140874797">
          <w:marLeft w:val="-720"/>
          <w:marRight w:val="0"/>
          <w:marTop w:val="0"/>
          <w:marBottom w:val="0"/>
          <w:divBdr>
            <w:top w:val="none" w:sz="0" w:space="0" w:color="auto"/>
            <w:left w:val="none" w:sz="0" w:space="0" w:color="auto"/>
            <w:bottom w:val="none" w:sz="0" w:space="0" w:color="auto"/>
            <w:right w:val="none" w:sz="0" w:space="0" w:color="auto"/>
          </w:divBdr>
        </w:div>
      </w:divsChild>
    </w:div>
    <w:div w:id="1611163173">
      <w:bodyDiv w:val="1"/>
      <w:marLeft w:val="0"/>
      <w:marRight w:val="0"/>
      <w:marTop w:val="0"/>
      <w:marBottom w:val="0"/>
      <w:divBdr>
        <w:top w:val="none" w:sz="0" w:space="0" w:color="auto"/>
        <w:left w:val="none" w:sz="0" w:space="0" w:color="auto"/>
        <w:bottom w:val="none" w:sz="0" w:space="0" w:color="auto"/>
        <w:right w:val="none" w:sz="0" w:space="0" w:color="auto"/>
      </w:divBdr>
    </w:div>
    <w:div w:id="1654328606">
      <w:bodyDiv w:val="1"/>
      <w:marLeft w:val="0"/>
      <w:marRight w:val="0"/>
      <w:marTop w:val="0"/>
      <w:marBottom w:val="0"/>
      <w:divBdr>
        <w:top w:val="none" w:sz="0" w:space="0" w:color="auto"/>
        <w:left w:val="none" w:sz="0" w:space="0" w:color="auto"/>
        <w:bottom w:val="none" w:sz="0" w:space="0" w:color="auto"/>
        <w:right w:val="none" w:sz="0" w:space="0" w:color="auto"/>
      </w:divBdr>
      <w:divsChild>
        <w:div w:id="1660384363">
          <w:marLeft w:val="0"/>
          <w:marRight w:val="0"/>
          <w:marTop w:val="0"/>
          <w:marBottom w:val="0"/>
          <w:divBdr>
            <w:top w:val="none" w:sz="0" w:space="0" w:color="auto"/>
            <w:left w:val="none" w:sz="0" w:space="0" w:color="auto"/>
            <w:bottom w:val="none" w:sz="0" w:space="0" w:color="auto"/>
            <w:right w:val="none" w:sz="0" w:space="0" w:color="auto"/>
          </w:divBdr>
          <w:divsChild>
            <w:div w:id="134184564">
              <w:marLeft w:val="0"/>
              <w:marRight w:val="0"/>
              <w:marTop w:val="0"/>
              <w:marBottom w:val="0"/>
              <w:divBdr>
                <w:top w:val="none" w:sz="0" w:space="0" w:color="auto"/>
                <w:left w:val="none" w:sz="0" w:space="0" w:color="auto"/>
                <w:bottom w:val="none" w:sz="0" w:space="0" w:color="auto"/>
                <w:right w:val="none" w:sz="0" w:space="0" w:color="auto"/>
              </w:divBdr>
              <w:divsChild>
                <w:div w:id="631522893">
                  <w:marLeft w:val="0"/>
                  <w:marRight w:val="0"/>
                  <w:marTop w:val="0"/>
                  <w:marBottom w:val="0"/>
                  <w:divBdr>
                    <w:top w:val="none" w:sz="0" w:space="0" w:color="auto"/>
                    <w:left w:val="none" w:sz="0" w:space="0" w:color="auto"/>
                    <w:bottom w:val="none" w:sz="0" w:space="0" w:color="auto"/>
                    <w:right w:val="none" w:sz="0" w:space="0" w:color="auto"/>
                  </w:divBdr>
                  <w:divsChild>
                    <w:div w:id="1809978967">
                      <w:marLeft w:val="0"/>
                      <w:marRight w:val="0"/>
                      <w:marTop w:val="0"/>
                      <w:marBottom w:val="0"/>
                      <w:divBdr>
                        <w:top w:val="none" w:sz="0" w:space="0" w:color="auto"/>
                        <w:left w:val="none" w:sz="0" w:space="0" w:color="auto"/>
                        <w:bottom w:val="none" w:sz="0" w:space="0" w:color="auto"/>
                        <w:right w:val="none" w:sz="0" w:space="0" w:color="auto"/>
                      </w:divBdr>
                      <w:divsChild>
                        <w:div w:id="1054891601">
                          <w:marLeft w:val="0"/>
                          <w:marRight w:val="0"/>
                          <w:marTop w:val="0"/>
                          <w:marBottom w:val="0"/>
                          <w:divBdr>
                            <w:top w:val="none" w:sz="0" w:space="0" w:color="auto"/>
                            <w:left w:val="none" w:sz="0" w:space="0" w:color="auto"/>
                            <w:bottom w:val="none" w:sz="0" w:space="0" w:color="auto"/>
                            <w:right w:val="none" w:sz="0" w:space="0" w:color="auto"/>
                          </w:divBdr>
                          <w:divsChild>
                            <w:div w:id="2035494009">
                              <w:marLeft w:val="0"/>
                              <w:marRight w:val="0"/>
                              <w:marTop w:val="0"/>
                              <w:marBottom w:val="0"/>
                              <w:divBdr>
                                <w:top w:val="none" w:sz="0" w:space="0" w:color="auto"/>
                                <w:left w:val="none" w:sz="0" w:space="0" w:color="auto"/>
                                <w:bottom w:val="none" w:sz="0" w:space="0" w:color="auto"/>
                                <w:right w:val="none" w:sz="0" w:space="0" w:color="auto"/>
                              </w:divBdr>
                              <w:divsChild>
                                <w:div w:id="956333231">
                                  <w:marLeft w:val="0"/>
                                  <w:marRight w:val="0"/>
                                  <w:marTop w:val="0"/>
                                  <w:marBottom w:val="0"/>
                                  <w:divBdr>
                                    <w:top w:val="none" w:sz="0" w:space="0" w:color="auto"/>
                                    <w:left w:val="none" w:sz="0" w:space="0" w:color="auto"/>
                                    <w:bottom w:val="none" w:sz="0" w:space="0" w:color="auto"/>
                                    <w:right w:val="none" w:sz="0" w:space="0" w:color="auto"/>
                                  </w:divBdr>
                                  <w:divsChild>
                                    <w:div w:id="1438329854">
                                      <w:marLeft w:val="0"/>
                                      <w:marRight w:val="0"/>
                                      <w:marTop w:val="0"/>
                                      <w:marBottom w:val="0"/>
                                      <w:divBdr>
                                        <w:top w:val="none" w:sz="0" w:space="0" w:color="auto"/>
                                        <w:left w:val="none" w:sz="0" w:space="0" w:color="auto"/>
                                        <w:bottom w:val="none" w:sz="0" w:space="0" w:color="auto"/>
                                        <w:right w:val="none" w:sz="0" w:space="0" w:color="auto"/>
                                      </w:divBdr>
                                      <w:divsChild>
                                        <w:div w:id="2071463538">
                                          <w:marLeft w:val="0"/>
                                          <w:marRight w:val="0"/>
                                          <w:marTop w:val="0"/>
                                          <w:marBottom w:val="0"/>
                                          <w:divBdr>
                                            <w:top w:val="none" w:sz="0" w:space="0" w:color="auto"/>
                                            <w:left w:val="none" w:sz="0" w:space="0" w:color="auto"/>
                                            <w:bottom w:val="none" w:sz="0" w:space="0" w:color="auto"/>
                                            <w:right w:val="none" w:sz="0" w:space="0" w:color="auto"/>
                                          </w:divBdr>
                                          <w:divsChild>
                                            <w:div w:id="204570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10551071">
          <w:marLeft w:val="0"/>
          <w:marRight w:val="0"/>
          <w:marTop w:val="0"/>
          <w:marBottom w:val="0"/>
          <w:divBdr>
            <w:top w:val="none" w:sz="0" w:space="0" w:color="auto"/>
            <w:left w:val="none" w:sz="0" w:space="0" w:color="auto"/>
            <w:bottom w:val="none" w:sz="0" w:space="0" w:color="auto"/>
            <w:right w:val="none" w:sz="0" w:space="0" w:color="auto"/>
          </w:divBdr>
          <w:divsChild>
            <w:div w:id="1482648801">
              <w:marLeft w:val="0"/>
              <w:marRight w:val="0"/>
              <w:marTop w:val="0"/>
              <w:marBottom w:val="0"/>
              <w:divBdr>
                <w:top w:val="none" w:sz="0" w:space="0" w:color="auto"/>
                <w:left w:val="none" w:sz="0" w:space="0" w:color="auto"/>
                <w:bottom w:val="none" w:sz="0" w:space="0" w:color="auto"/>
                <w:right w:val="none" w:sz="0" w:space="0" w:color="auto"/>
              </w:divBdr>
              <w:divsChild>
                <w:div w:id="194973659">
                  <w:marLeft w:val="0"/>
                  <w:marRight w:val="0"/>
                  <w:marTop w:val="0"/>
                  <w:marBottom w:val="0"/>
                  <w:divBdr>
                    <w:top w:val="none" w:sz="0" w:space="0" w:color="auto"/>
                    <w:left w:val="none" w:sz="0" w:space="0" w:color="auto"/>
                    <w:bottom w:val="none" w:sz="0" w:space="0" w:color="auto"/>
                    <w:right w:val="none" w:sz="0" w:space="0" w:color="auto"/>
                  </w:divBdr>
                  <w:divsChild>
                    <w:div w:id="308437876">
                      <w:marLeft w:val="0"/>
                      <w:marRight w:val="0"/>
                      <w:marTop w:val="0"/>
                      <w:marBottom w:val="0"/>
                      <w:divBdr>
                        <w:top w:val="none" w:sz="0" w:space="0" w:color="auto"/>
                        <w:left w:val="none" w:sz="0" w:space="0" w:color="auto"/>
                        <w:bottom w:val="none" w:sz="0" w:space="0" w:color="auto"/>
                        <w:right w:val="none" w:sz="0" w:space="0" w:color="auto"/>
                      </w:divBdr>
                      <w:divsChild>
                        <w:div w:id="1936017777">
                          <w:marLeft w:val="0"/>
                          <w:marRight w:val="0"/>
                          <w:marTop w:val="0"/>
                          <w:marBottom w:val="0"/>
                          <w:divBdr>
                            <w:top w:val="none" w:sz="0" w:space="0" w:color="auto"/>
                            <w:left w:val="none" w:sz="0" w:space="0" w:color="auto"/>
                            <w:bottom w:val="none" w:sz="0" w:space="0" w:color="auto"/>
                            <w:right w:val="none" w:sz="0" w:space="0" w:color="auto"/>
                          </w:divBdr>
                          <w:divsChild>
                            <w:div w:id="2068215796">
                              <w:marLeft w:val="0"/>
                              <w:marRight w:val="0"/>
                              <w:marTop w:val="0"/>
                              <w:marBottom w:val="0"/>
                              <w:divBdr>
                                <w:top w:val="none" w:sz="0" w:space="0" w:color="auto"/>
                                <w:left w:val="none" w:sz="0" w:space="0" w:color="auto"/>
                                <w:bottom w:val="none" w:sz="0" w:space="0" w:color="auto"/>
                                <w:right w:val="none" w:sz="0" w:space="0" w:color="auto"/>
                              </w:divBdr>
                              <w:divsChild>
                                <w:div w:id="1155338434">
                                  <w:marLeft w:val="0"/>
                                  <w:marRight w:val="0"/>
                                  <w:marTop w:val="0"/>
                                  <w:marBottom w:val="0"/>
                                  <w:divBdr>
                                    <w:top w:val="none" w:sz="0" w:space="0" w:color="auto"/>
                                    <w:left w:val="none" w:sz="0" w:space="0" w:color="auto"/>
                                    <w:bottom w:val="none" w:sz="0" w:space="0" w:color="auto"/>
                                    <w:right w:val="none" w:sz="0" w:space="0" w:color="auto"/>
                                  </w:divBdr>
                                  <w:divsChild>
                                    <w:div w:id="1185942140">
                                      <w:marLeft w:val="0"/>
                                      <w:marRight w:val="0"/>
                                      <w:marTop w:val="0"/>
                                      <w:marBottom w:val="0"/>
                                      <w:divBdr>
                                        <w:top w:val="none" w:sz="0" w:space="0" w:color="auto"/>
                                        <w:left w:val="none" w:sz="0" w:space="0" w:color="auto"/>
                                        <w:bottom w:val="none" w:sz="0" w:space="0" w:color="auto"/>
                                        <w:right w:val="none" w:sz="0" w:space="0" w:color="auto"/>
                                      </w:divBdr>
                                      <w:divsChild>
                                        <w:div w:id="1349141804">
                                          <w:marLeft w:val="0"/>
                                          <w:marRight w:val="0"/>
                                          <w:marTop w:val="0"/>
                                          <w:marBottom w:val="0"/>
                                          <w:divBdr>
                                            <w:top w:val="none" w:sz="0" w:space="0" w:color="auto"/>
                                            <w:left w:val="none" w:sz="0" w:space="0" w:color="auto"/>
                                            <w:bottom w:val="none" w:sz="0" w:space="0" w:color="auto"/>
                                            <w:right w:val="none" w:sz="0" w:space="0" w:color="auto"/>
                                          </w:divBdr>
                                          <w:divsChild>
                                            <w:div w:id="359547771">
                                              <w:marLeft w:val="0"/>
                                              <w:marRight w:val="0"/>
                                              <w:marTop w:val="0"/>
                                              <w:marBottom w:val="0"/>
                                              <w:divBdr>
                                                <w:top w:val="none" w:sz="0" w:space="0" w:color="auto"/>
                                                <w:left w:val="none" w:sz="0" w:space="0" w:color="auto"/>
                                                <w:bottom w:val="none" w:sz="0" w:space="0" w:color="auto"/>
                                                <w:right w:val="none" w:sz="0" w:space="0" w:color="auto"/>
                                              </w:divBdr>
                                              <w:divsChild>
                                                <w:div w:id="104008902">
                                                  <w:marLeft w:val="0"/>
                                                  <w:marRight w:val="0"/>
                                                  <w:marTop w:val="0"/>
                                                  <w:marBottom w:val="0"/>
                                                  <w:divBdr>
                                                    <w:top w:val="none" w:sz="0" w:space="0" w:color="auto"/>
                                                    <w:left w:val="none" w:sz="0" w:space="0" w:color="auto"/>
                                                    <w:bottom w:val="none" w:sz="0" w:space="0" w:color="auto"/>
                                                    <w:right w:val="none" w:sz="0" w:space="0" w:color="auto"/>
                                                  </w:divBdr>
                                                  <w:divsChild>
                                                    <w:div w:id="1932468436">
                                                      <w:marLeft w:val="0"/>
                                                      <w:marRight w:val="0"/>
                                                      <w:marTop w:val="0"/>
                                                      <w:marBottom w:val="0"/>
                                                      <w:divBdr>
                                                        <w:top w:val="none" w:sz="0" w:space="0" w:color="auto"/>
                                                        <w:left w:val="none" w:sz="0" w:space="0" w:color="auto"/>
                                                        <w:bottom w:val="none" w:sz="0" w:space="0" w:color="auto"/>
                                                        <w:right w:val="none" w:sz="0" w:space="0" w:color="auto"/>
                                                      </w:divBdr>
                                                      <w:divsChild>
                                                        <w:div w:id="164685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87252194">
      <w:bodyDiv w:val="1"/>
      <w:marLeft w:val="0"/>
      <w:marRight w:val="0"/>
      <w:marTop w:val="0"/>
      <w:marBottom w:val="0"/>
      <w:divBdr>
        <w:top w:val="none" w:sz="0" w:space="0" w:color="auto"/>
        <w:left w:val="none" w:sz="0" w:space="0" w:color="auto"/>
        <w:bottom w:val="none" w:sz="0" w:space="0" w:color="auto"/>
        <w:right w:val="none" w:sz="0" w:space="0" w:color="auto"/>
      </w:divBdr>
      <w:divsChild>
        <w:div w:id="312216819">
          <w:marLeft w:val="0"/>
          <w:marRight w:val="0"/>
          <w:marTop w:val="0"/>
          <w:marBottom w:val="0"/>
          <w:divBdr>
            <w:top w:val="none" w:sz="0" w:space="0" w:color="auto"/>
            <w:left w:val="none" w:sz="0" w:space="0" w:color="auto"/>
            <w:bottom w:val="none" w:sz="0" w:space="0" w:color="auto"/>
            <w:right w:val="none" w:sz="0" w:space="0" w:color="auto"/>
          </w:divBdr>
          <w:divsChild>
            <w:div w:id="422654493">
              <w:marLeft w:val="0"/>
              <w:marRight w:val="0"/>
              <w:marTop w:val="0"/>
              <w:marBottom w:val="0"/>
              <w:divBdr>
                <w:top w:val="none" w:sz="0" w:space="0" w:color="auto"/>
                <w:left w:val="none" w:sz="0" w:space="0" w:color="auto"/>
                <w:bottom w:val="none" w:sz="0" w:space="0" w:color="auto"/>
                <w:right w:val="none" w:sz="0" w:space="0" w:color="auto"/>
              </w:divBdr>
              <w:divsChild>
                <w:div w:id="1818692793">
                  <w:marLeft w:val="0"/>
                  <w:marRight w:val="0"/>
                  <w:marTop w:val="0"/>
                  <w:marBottom w:val="0"/>
                  <w:divBdr>
                    <w:top w:val="none" w:sz="0" w:space="0" w:color="auto"/>
                    <w:left w:val="none" w:sz="0" w:space="0" w:color="auto"/>
                    <w:bottom w:val="none" w:sz="0" w:space="0" w:color="auto"/>
                    <w:right w:val="none" w:sz="0" w:space="0" w:color="auto"/>
                  </w:divBdr>
                  <w:divsChild>
                    <w:div w:id="111019114">
                      <w:marLeft w:val="0"/>
                      <w:marRight w:val="0"/>
                      <w:marTop w:val="0"/>
                      <w:marBottom w:val="0"/>
                      <w:divBdr>
                        <w:top w:val="none" w:sz="0" w:space="0" w:color="auto"/>
                        <w:left w:val="none" w:sz="0" w:space="0" w:color="auto"/>
                        <w:bottom w:val="none" w:sz="0" w:space="0" w:color="auto"/>
                        <w:right w:val="none" w:sz="0" w:space="0" w:color="auto"/>
                      </w:divBdr>
                      <w:divsChild>
                        <w:div w:id="544145718">
                          <w:marLeft w:val="0"/>
                          <w:marRight w:val="0"/>
                          <w:marTop w:val="0"/>
                          <w:marBottom w:val="0"/>
                          <w:divBdr>
                            <w:top w:val="none" w:sz="0" w:space="0" w:color="auto"/>
                            <w:left w:val="none" w:sz="0" w:space="0" w:color="auto"/>
                            <w:bottom w:val="none" w:sz="0" w:space="0" w:color="auto"/>
                            <w:right w:val="none" w:sz="0" w:space="0" w:color="auto"/>
                          </w:divBdr>
                          <w:divsChild>
                            <w:div w:id="1806389131">
                              <w:marLeft w:val="0"/>
                              <w:marRight w:val="0"/>
                              <w:marTop w:val="0"/>
                              <w:marBottom w:val="0"/>
                              <w:divBdr>
                                <w:top w:val="none" w:sz="0" w:space="0" w:color="auto"/>
                                <w:left w:val="none" w:sz="0" w:space="0" w:color="auto"/>
                                <w:bottom w:val="none" w:sz="0" w:space="0" w:color="auto"/>
                                <w:right w:val="none" w:sz="0" w:space="0" w:color="auto"/>
                              </w:divBdr>
                              <w:divsChild>
                                <w:div w:id="398330970">
                                  <w:marLeft w:val="0"/>
                                  <w:marRight w:val="0"/>
                                  <w:marTop w:val="0"/>
                                  <w:marBottom w:val="0"/>
                                  <w:divBdr>
                                    <w:top w:val="none" w:sz="0" w:space="0" w:color="auto"/>
                                    <w:left w:val="none" w:sz="0" w:space="0" w:color="auto"/>
                                    <w:bottom w:val="none" w:sz="0" w:space="0" w:color="auto"/>
                                    <w:right w:val="none" w:sz="0" w:space="0" w:color="auto"/>
                                  </w:divBdr>
                                  <w:divsChild>
                                    <w:div w:id="1364668226">
                                      <w:marLeft w:val="0"/>
                                      <w:marRight w:val="0"/>
                                      <w:marTop w:val="0"/>
                                      <w:marBottom w:val="0"/>
                                      <w:divBdr>
                                        <w:top w:val="none" w:sz="0" w:space="0" w:color="auto"/>
                                        <w:left w:val="none" w:sz="0" w:space="0" w:color="auto"/>
                                        <w:bottom w:val="none" w:sz="0" w:space="0" w:color="auto"/>
                                        <w:right w:val="none" w:sz="0" w:space="0" w:color="auto"/>
                                      </w:divBdr>
                                      <w:divsChild>
                                        <w:div w:id="12287657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4181154">
      <w:bodyDiv w:val="1"/>
      <w:marLeft w:val="0"/>
      <w:marRight w:val="0"/>
      <w:marTop w:val="0"/>
      <w:marBottom w:val="0"/>
      <w:divBdr>
        <w:top w:val="none" w:sz="0" w:space="0" w:color="auto"/>
        <w:left w:val="none" w:sz="0" w:space="0" w:color="auto"/>
        <w:bottom w:val="none" w:sz="0" w:space="0" w:color="auto"/>
        <w:right w:val="none" w:sz="0" w:space="0" w:color="auto"/>
      </w:divBdr>
      <w:divsChild>
        <w:div w:id="433287732">
          <w:marLeft w:val="-720"/>
          <w:marRight w:val="0"/>
          <w:marTop w:val="0"/>
          <w:marBottom w:val="0"/>
          <w:divBdr>
            <w:top w:val="none" w:sz="0" w:space="0" w:color="auto"/>
            <w:left w:val="none" w:sz="0" w:space="0" w:color="auto"/>
            <w:bottom w:val="none" w:sz="0" w:space="0" w:color="auto"/>
            <w:right w:val="none" w:sz="0" w:space="0" w:color="auto"/>
          </w:divBdr>
        </w:div>
      </w:divsChild>
    </w:div>
    <w:div w:id="1818304013">
      <w:bodyDiv w:val="1"/>
      <w:marLeft w:val="0"/>
      <w:marRight w:val="0"/>
      <w:marTop w:val="0"/>
      <w:marBottom w:val="0"/>
      <w:divBdr>
        <w:top w:val="none" w:sz="0" w:space="0" w:color="auto"/>
        <w:left w:val="none" w:sz="0" w:space="0" w:color="auto"/>
        <w:bottom w:val="none" w:sz="0" w:space="0" w:color="auto"/>
        <w:right w:val="none" w:sz="0" w:space="0" w:color="auto"/>
      </w:divBdr>
    </w:div>
    <w:div w:id="2005011147">
      <w:bodyDiv w:val="1"/>
      <w:marLeft w:val="0"/>
      <w:marRight w:val="0"/>
      <w:marTop w:val="0"/>
      <w:marBottom w:val="0"/>
      <w:divBdr>
        <w:top w:val="none" w:sz="0" w:space="0" w:color="auto"/>
        <w:left w:val="none" w:sz="0" w:space="0" w:color="auto"/>
        <w:bottom w:val="none" w:sz="0" w:space="0" w:color="auto"/>
        <w:right w:val="none" w:sz="0" w:space="0" w:color="auto"/>
      </w:divBdr>
    </w:div>
    <w:div w:id="2006473667">
      <w:bodyDiv w:val="1"/>
      <w:marLeft w:val="0"/>
      <w:marRight w:val="0"/>
      <w:marTop w:val="0"/>
      <w:marBottom w:val="0"/>
      <w:divBdr>
        <w:top w:val="none" w:sz="0" w:space="0" w:color="auto"/>
        <w:left w:val="none" w:sz="0" w:space="0" w:color="auto"/>
        <w:bottom w:val="none" w:sz="0" w:space="0" w:color="auto"/>
        <w:right w:val="none" w:sz="0" w:space="0" w:color="auto"/>
      </w:divBdr>
    </w:div>
    <w:div w:id="2123958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20552076241233969" TargetMode="External"/><Relationship Id="rId18" Type="http://schemas.openxmlformats.org/officeDocument/2006/relationships/hyperlink" Target="https://doi.org/10.1016/j.avsg.2022.05.009" TargetMode="External"/><Relationship Id="rId26" Type="http://schemas.openxmlformats.org/officeDocument/2006/relationships/hyperlink" Target="https://doi.org/10.3310/nihropenres.13289.1" TargetMode="External"/><Relationship Id="rId39" Type="http://schemas.openxmlformats.org/officeDocument/2006/relationships/hyperlink" Target="https://doi.org/10.1136/bmjopen-2023-078944" TargetMode="External"/><Relationship Id="rId21" Type="http://schemas.openxmlformats.org/officeDocument/2006/relationships/hyperlink" Target="https://doi.org/10.1177/1078155221990101" TargetMode="External"/><Relationship Id="rId34" Type="http://schemas.openxmlformats.org/officeDocument/2006/relationships/hyperlink" Target="https://doi.org/10.3399/bjgp.2023.0092" TargetMode="External"/><Relationship Id="rId42" Type="http://schemas.openxmlformats.org/officeDocument/2006/relationships/hyperlink" Target="https://doi.org/10.1186/s12913-021-07039-2" TargetMode="External"/><Relationship Id="rId47" Type="http://schemas.openxmlformats.org/officeDocument/2006/relationships/hyperlink" Target="https://www.england.nhs.uk/about/equality/equality-hub/national-healthcare-inequalities-improvement-programme/the-digital-exclusion-risk-atlas/" TargetMode="External"/><Relationship Id="rId50" Type="http://schemas.openxmlformats.org/officeDocument/2006/relationships/hyperlink" Target="https://doi.org/10.1108/mhdt-08-2025-0054" TargetMode="External"/><Relationship Id="rId55" Type="http://schemas.openxmlformats.org/officeDocument/2006/relationships/hyperlink" Target="https://doi.org/10.3399/bjgpopen20x10102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36/bmjopen-2023-078158" TargetMode="External"/><Relationship Id="rId29" Type="http://schemas.openxmlformats.org/officeDocument/2006/relationships/hyperlink" Target="https://doi.org/10.1016/j.socscimed.2022.115368" TargetMode="External"/><Relationship Id="rId11" Type="http://schemas.openxmlformats.org/officeDocument/2006/relationships/hyperlink" Target="https://doi.org/10.3390/healthcare12191929" TargetMode="External"/><Relationship Id="rId24" Type="http://schemas.openxmlformats.org/officeDocument/2006/relationships/hyperlink" Target="https://doi.org/10.2196/51272" TargetMode="External"/><Relationship Id="rId32" Type="http://schemas.openxmlformats.org/officeDocument/2006/relationships/hyperlink" Target="https://doi.org/10.21037/mhealth-24-59" TargetMode="External"/><Relationship Id="rId37" Type="http://schemas.openxmlformats.org/officeDocument/2006/relationships/hyperlink" Target="https://doi.org/10.2196/54598" TargetMode="External"/><Relationship Id="rId40" Type="http://schemas.openxmlformats.org/officeDocument/2006/relationships/hyperlink" Target="https://doi.org/10.1186/s12911-024-02670-5" TargetMode="External"/><Relationship Id="rId45" Type="http://schemas.openxmlformats.org/officeDocument/2006/relationships/hyperlink" Target="https://www.england.nhs.uk/long-read/digital-skills-for-patients/" TargetMode="External"/><Relationship Id="rId53" Type="http://schemas.openxmlformats.org/officeDocument/2006/relationships/hyperlink" Target="https://doi.org/10.1093/rheumatology/keaf106" TargetMode="External"/><Relationship Id="rId58" Type="http://schemas.openxmlformats.org/officeDocument/2006/relationships/hyperlink" Target="https://doi.org/10.2196/42431"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www.gov.uk/government/publications/a-plan-for-digital-health-and-social-care/a-plan-for-digital-health-and-social-care" TargetMode="External"/><Relationship Id="rId14" Type="http://schemas.openxmlformats.org/officeDocument/2006/relationships/hyperlink" Target="https://doi.org/10.1136/bmjopen-2024-093795" TargetMode="External"/><Relationship Id="rId22" Type="http://schemas.openxmlformats.org/officeDocument/2006/relationships/hyperlink" Target="https://doi.org/10.1177/13591053241240383" TargetMode="External"/><Relationship Id="rId27" Type="http://schemas.openxmlformats.org/officeDocument/2006/relationships/hyperlink" Target="https://doi.org/10.2147/opth.s331622" TargetMode="External"/><Relationship Id="rId30" Type="http://schemas.openxmlformats.org/officeDocument/2006/relationships/hyperlink" Target="https://doi.org/10.3399/bjgpo.2024.0079" TargetMode="External"/><Relationship Id="rId35" Type="http://schemas.openxmlformats.org/officeDocument/2006/relationships/hyperlink" Target="https://doi.org/10.1093/ageing/afaf003" TargetMode="External"/><Relationship Id="rId43" Type="http://schemas.openxmlformats.org/officeDocument/2006/relationships/hyperlink" Target="https://www.england.nhs.uk/wp-content/uploads/2022/09/PRN00651-creating-a-highly-usable-and-accessible-gp-website-for-patients-v3.pdf" TargetMode="External"/><Relationship Id="rId48" Type="http://schemas.openxmlformats.org/officeDocument/2006/relationships/hyperlink" Target="https://www.nhs.uk/nhs-app/" TargetMode="External"/><Relationship Id="rId56" Type="http://schemas.openxmlformats.org/officeDocument/2006/relationships/hyperlink" Target="https://doi.org/10.1016/j.ijmedinf.2024.105513" TargetMode="External"/><Relationship Id="rId8" Type="http://schemas.openxmlformats.org/officeDocument/2006/relationships/image" Target="media/image1.jpeg"/><Relationship Id="rId51" Type="http://schemas.openxmlformats.org/officeDocument/2006/relationships/hyperlink" Target="https://doi.org/10.1186/s13643-021-01821-3" TargetMode="External"/><Relationship Id="rId3" Type="http://schemas.openxmlformats.org/officeDocument/2006/relationships/styles" Target="styles.xml"/><Relationship Id="rId12" Type="http://schemas.openxmlformats.org/officeDocument/2006/relationships/hyperlink" Target="https://doi.org/10.7759/cureus.17814" TargetMode="External"/><Relationship Id="rId17" Type="http://schemas.openxmlformats.org/officeDocument/2006/relationships/hyperlink" Target="https://doi.org/10.5336/mdethic.2019-66210" TargetMode="External"/><Relationship Id="rId25" Type="http://schemas.openxmlformats.org/officeDocument/2006/relationships/hyperlink" Target="https://doi.org/10.3399/bjgp.2021.0658" TargetMode="External"/><Relationship Id="rId33" Type="http://schemas.openxmlformats.org/officeDocument/2006/relationships/hyperlink" Target="https://doi.org/10.1186/s12911-024-02789-5" TargetMode="External"/><Relationship Id="rId38" Type="http://schemas.openxmlformats.org/officeDocument/2006/relationships/hyperlink" Target="https://doi.org/10.2196/56494" TargetMode="External"/><Relationship Id="rId46" Type="http://schemas.openxmlformats.org/officeDocument/2006/relationships/hyperlink" Target="https://www.england.nhs.uk/long-read/inclusive-digital-healthcare-a-framework-for-nhs-action-on-digital-inclusion/" TargetMode="External"/><Relationship Id="rId59" Type="http://schemas.openxmlformats.org/officeDocument/2006/relationships/hyperlink" Target="https://doi.org/10.2196/58888" TargetMode="External"/><Relationship Id="rId20" Type="http://schemas.openxmlformats.org/officeDocument/2006/relationships/hyperlink" Target="https://www.legislation.gov.uk/ukpga/2018/12/enacted/data.xht?view=snippet&amp;wrap=true" TargetMode="External"/><Relationship Id="rId41" Type="http://schemas.openxmlformats.org/officeDocument/2006/relationships/hyperlink" Target="https://doi.org/10.3399/bjgp.2020.0948" TargetMode="External"/><Relationship Id="rId54" Type="http://schemas.openxmlformats.org/officeDocument/2006/relationships/hyperlink" Target="https://doi.org/10.1080/17538157.2021.1879810"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yebeh.2023.109280" TargetMode="External"/><Relationship Id="rId23" Type="http://schemas.openxmlformats.org/officeDocument/2006/relationships/hyperlink" Target="https://doi.org/10.12688/f1000research.52392.2" TargetMode="External"/><Relationship Id="rId28" Type="http://schemas.openxmlformats.org/officeDocument/2006/relationships/hyperlink" Target="https://doi.org/10.1080/13548506.2022.2104883" TargetMode="External"/><Relationship Id="rId36" Type="http://schemas.openxmlformats.org/officeDocument/2006/relationships/hyperlink" Target="https://doi.org/10.2196/53834" TargetMode="External"/><Relationship Id="rId49" Type="http://schemas.openxmlformats.org/officeDocument/2006/relationships/hyperlink" Target="https://doi.org/10.1136/bmj.n71" TargetMode="External"/><Relationship Id="rId57" Type="http://schemas.openxmlformats.org/officeDocument/2006/relationships/hyperlink" Target="https://doi.org/10.1111/hex.13548" TargetMode="External"/><Relationship Id="rId10" Type="http://schemas.openxmlformats.org/officeDocument/2006/relationships/footer" Target="footer1.xml"/><Relationship Id="rId31" Type="http://schemas.openxmlformats.org/officeDocument/2006/relationships/hyperlink" Target="https://doi.org/10.1136/bmjoq-2020-001310" TargetMode="External"/><Relationship Id="rId44" Type="http://schemas.openxmlformats.org/officeDocument/2006/relationships/hyperlink" Target="https://www.england.nhs.uk/long-read/digital-accessibility/" TargetMode="External"/><Relationship Id="rId52" Type="http://schemas.openxmlformats.org/officeDocument/2006/relationships/hyperlink" Target="https://doi.org/10.1016/j.fhj.2024.100209" TargetMode="External"/><Relationship Id="rId60" Type="http://schemas.openxmlformats.org/officeDocument/2006/relationships/hyperlink" Target="https://doi.org/10.1186/s12939-025-02755-1" TargetMode="Externa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Themes Vs. No. of Articles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No. of Articles</c:v>
                </c:pt>
              </c:strCache>
            </c:strRef>
          </c:tx>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Theme 1: Main types of digital healthcare services discussed in UK research</c:v>
                </c:pt>
                <c:pt idx="1">
                  <c:v>Theme 2: Patient perceptions and experiences of digital healthcare services</c:v>
                </c:pt>
                <c:pt idx="2">
                  <c:v>Theme 3: Barriers and facilitators affecting patient acceptance and use</c:v>
                </c:pt>
              </c:strCache>
            </c:strRef>
          </c:cat>
          <c:val>
            <c:numRef>
              <c:f>Sheet1!$B$2:$B$4</c:f>
              <c:numCache>
                <c:formatCode>General</c:formatCode>
                <c:ptCount val="3"/>
                <c:pt idx="0">
                  <c:v>13</c:v>
                </c:pt>
                <c:pt idx="1">
                  <c:v>14</c:v>
                </c:pt>
                <c:pt idx="2">
                  <c:v>8</c:v>
                </c:pt>
              </c:numCache>
            </c:numRef>
          </c:val>
          <c:extLst>
            <c:ext xmlns:c16="http://schemas.microsoft.com/office/drawing/2014/chart" uri="{C3380CC4-5D6E-409C-BE32-E72D297353CC}">
              <c16:uniqueId val="{00000000-93F0-4083-8D67-5D9F7F847193}"/>
            </c:ext>
          </c:extLst>
        </c:ser>
        <c:dLbls>
          <c:dLblPos val="outEnd"/>
          <c:showLegendKey val="0"/>
          <c:showVal val="1"/>
          <c:showCatName val="0"/>
          <c:showSerName val="0"/>
          <c:showPercent val="0"/>
          <c:showBubbleSize val="0"/>
        </c:dLbls>
        <c:gapWidth val="182"/>
        <c:axId val="1518556879"/>
        <c:axId val="1573265039"/>
      </c:barChart>
      <c:catAx>
        <c:axId val="15185568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265039"/>
        <c:crosses val="autoZero"/>
        <c:auto val="1"/>
        <c:lblAlgn val="ctr"/>
        <c:lblOffset val="100"/>
        <c:noMultiLvlLbl val="0"/>
      </c:catAx>
      <c:valAx>
        <c:axId val="15732650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855687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CFF2A-6846-4A22-AB2A-9CAED3A44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31</Pages>
  <Words>7750</Words>
  <Characters>44175</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zaiba tabassum</dc:creator>
  <cp:keywords/>
  <dc:description/>
  <cp:lastModifiedBy>Zaiba Tabassum (2407213)</cp:lastModifiedBy>
  <cp:revision>12</cp:revision>
  <dcterms:created xsi:type="dcterms:W3CDTF">2026-07-13T23:39:00Z</dcterms:created>
  <dcterms:modified xsi:type="dcterms:W3CDTF">2026-07-14T00:05:00Z</dcterms:modified>
</cp:coreProperties>
</file>