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356B04" w:rsidRDefault="00356B04" w:rsidP="00356B04">
      <w:pPr>
        <w:pStyle w:val="NormalWeb"/>
        <w:spacing w:before="0" w:beforeAutospacing="0" w:after="0" w:afterAutospacing="0"/>
        <w:ind w:left="-180" w:right="-334"/>
      </w:pPr>
    </w:p>
    <w:p w:rsidR="00356B04" w:rsidRDefault="00356B04" w:rsidP="00356B04">
      <w:pPr>
        <w:pStyle w:val="NormalWeb"/>
        <w:spacing w:before="0" w:beforeAutospacing="0" w:after="0" w:afterAutospacing="0"/>
        <w:ind w:left="-180" w:right="-334"/>
      </w:pPr>
      <w:r w:rsidRPr="004401AE">
        <w:rPr>
          <w:noProof/>
          <w:lang w:eastAsia="en-GB"/>
        </w:rPr>
        <w:drawing>
          <wp:inline distT="0" distB="0" distL="0" distR="0">
            <wp:extent cx="2381250" cy="9334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381250" cy="933450"/>
                    </a:xfrm>
                    <a:prstGeom prst="rect">
                      <a:avLst/>
                    </a:prstGeom>
                    <a:noFill/>
                    <a:ln>
                      <a:noFill/>
                    </a:ln>
                  </pic:spPr>
                </pic:pic>
              </a:graphicData>
            </a:graphic>
          </wp:inline>
        </w:drawing>
      </w:r>
    </w:p>
    <w:p w:rsidR="00356B04" w:rsidRDefault="00356B04" w:rsidP="00356B04">
      <w:pPr>
        <w:pStyle w:val="NormalWeb"/>
        <w:spacing w:before="0" w:beforeAutospacing="0" w:after="0" w:afterAutospacing="0"/>
        <w:ind w:left="-180" w:right="-334"/>
      </w:pPr>
    </w:p>
    <w:p w:rsidR="00356B04" w:rsidRPr="00E95BF7" w:rsidRDefault="00356B04" w:rsidP="00356B04">
      <w:pPr>
        <w:pStyle w:val="NormalWeb"/>
        <w:spacing w:before="0" w:beforeAutospacing="0" w:after="0" w:afterAutospacing="0"/>
        <w:ind w:left="-180" w:right="-334"/>
        <w:jc w:val="center"/>
        <w:rPr>
          <w:rFonts w:ascii="Arial" w:hAnsi="Arial" w:cs="Arial"/>
          <w:b/>
          <w:sz w:val="28"/>
          <w:szCs w:val="28"/>
          <w:lang w:val="cy-GB"/>
        </w:rPr>
      </w:pPr>
      <w:r w:rsidRPr="00E95BF7">
        <w:rPr>
          <w:rFonts w:ascii="Arial" w:hAnsi="Arial" w:cs="Arial"/>
          <w:b/>
          <w:sz w:val="28"/>
          <w:szCs w:val="28"/>
          <w:lang w:val="cy-GB"/>
        </w:rPr>
        <w:t xml:space="preserve">Postgraduate/Distance Learning </w:t>
      </w:r>
    </w:p>
    <w:p w:rsidR="00356B04" w:rsidRPr="00E95BF7" w:rsidRDefault="00356B04" w:rsidP="00356B04">
      <w:pPr>
        <w:pStyle w:val="NormalWeb"/>
        <w:spacing w:before="0" w:beforeAutospacing="0" w:after="0" w:afterAutospacing="0"/>
        <w:ind w:left="-180" w:right="-334"/>
        <w:jc w:val="center"/>
        <w:rPr>
          <w:rFonts w:ascii="Arial" w:hAnsi="Arial" w:cs="Arial"/>
          <w:b/>
          <w:sz w:val="28"/>
          <w:szCs w:val="28"/>
        </w:rPr>
      </w:pPr>
      <w:r w:rsidRPr="00E95BF7">
        <w:rPr>
          <w:rFonts w:ascii="Arial" w:hAnsi="Arial" w:cs="Arial"/>
          <w:b/>
          <w:sz w:val="28"/>
          <w:szCs w:val="28"/>
          <w:lang w:val="cy-GB"/>
        </w:rPr>
        <w:t>Assignment Coversheet &amp; Feedback Form</w:t>
      </w:r>
    </w:p>
    <w:p w:rsidR="00356B04" w:rsidRPr="00E95BF7" w:rsidRDefault="00356B04" w:rsidP="00356B04">
      <w:pPr>
        <w:rPr>
          <w:rFonts w:ascii="Arial" w:hAnsi="Arial" w:cs="Arial"/>
          <w:sz w:val="28"/>
          <w:szCs w:val="28"/>
          <w:lang w:val="cy-GB"/>
        </w:rPr>
      </w:pPr>
    </w:p>
    <w:p w:rsidR="00356B04" w:rsidRPr="00E95BF7" w:rsidRDefault="00356B04" w:rsidP="00356B04">
      <w:pPr>
        <w:jc w:val="center"/>
        <w:rPr>
          <w:rFonts w:ascii="Arial" w:hAnsi="Arial" w:cs="Arial"/>
          <w:sz w:val="20"/>
          <w:szCs w:val="20"/>
          <w:lang w:val="cy-GB"/>
        </w:rPr>
      </w:pPr>
      <w:r w:rsidRPr="00E95BF7">
        <w:rPr>
          <w:rFonts w:ascii="Arial" w:hAnsi="Arial" w:cs="Arial"/>
          <w:sz w:val="20"/>
          <w:szCs w:val="20"/>
          <w:lang w:val="cy-GB"/>
        </w:rPr>
        <w:t>[Please insert this coversheet as the first page of the assignment you are submitting]</w:t>
      </w:r>
    </w:p>
    <w:p w:rsidR="00356B04" w:rsidRPr="00E95BF7" w:rsidRDefault="00356B04" w:rsidP="00356B04">
      <w:pPr>
        <w:pStyle w:val="Heading3"/>
        <w:jc w:val="center"/>
        <w:rPr>
          <w:rFonts w:ascii="Arial" w:hAnsi="Arial" w:cs="Arial"/>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788"/>
        <w:gridCol w:w="1980"/>
        <w:gridCol w:w="286"/>
        <w:gridCol w:w="1802"/>
      </w:tblGrid>
      <w:tr w:rsidR="00356B04" w:rsidRPr="00E95BF7" w:rsidTr="00C51602">
        <w:trPr>
          <w:trHeight w:val="724"/>
        </w:trPr>
        <w:tc>
          <w:tcPr>
            <w:tcW w:w="8856" w:type="dxa"/>
            <w:gridSpan w:val="4"/>
          </w:tcPr>
          <w:p w:rsidR="00356B04" w:rsidRPr="00E95BF7" w:rsidRDefault="00356B04" w:rsidP="00C51602">
            <w:pPr>
              <w:pStyle w:val="NormalWeb"/>
              <w:spacing w:before="0" w:beforeAutospacing="0" w:after="0" w:afterAutospacing="0"/>
              <w:ind w:right="34"/>
              <w:rPr>
                <w:rFonts w:ascii="Arial" w:hAnsi="Arial" w:cs="Arial"/>
                <w:sz w:val="22"/>
                <w:szCs w:val="22"/>
              </w:rPr>
            </w:pPr>
            <w:r w:rsidRPr="00E95BF7">
              <w:rPr>
                <w:rFonts w:ascii="Arial" w:hAnsi="Arial" w:cs="Arial"/>
                <w:b/>
                <w:sz w:val="22"/>
                <w:szCs w:val="22"/>
              </w:rPr>
              <w:t>For completion by the student</w:t>
            </w:r>
            <w:r w:rsidRPr="00E95BF7">
              <w:rPr>
                <w:rFonts w:ascii="Arial" w:hAnsi="Arial" w:cs="Arial"/>
                <w:sz w:val="22"/>
                <w:szCs w:val="22"/>
              </w:rPr>
              <w:t>:</w:t>
            </w:r>
          </w:p>
          <w:p w:rsidR="00356B04" w:rsidRPr="00E95BF7" w:rsidRDefault="00356B04" w:rsidP="00C51602">
            <w:pPr>
              <w:pStyle w:val="NormalWeb"/>
              <w:spacing w:before="0" w:beforeAutospacing="0" w:after="0" w:afterAutospacing="0"/>
              <w:ind w:right="34"/>
              <w:rPr>
                <w:rFonts w:ascii="Arial" w:hAnsi="Arial" w:cs="Arial"/>
                <w:sz w:val="22"/>
                <w:szCs w:val="22"/>
              </w:rPr>
            </w:pPr>
            <w:r w:rsidRPr="00E95BF7">
              <w:rPr>
                <w:rFonts w:ascii="Arial" w:hAnsi="Arial" w:cs="Arial"/>
                <w:sz w:val="22"/>
                <w:szCs w:val="22"/>
              </w:rPr>
              <w:t>Student Name:</w:t>
            </w:r>
            <w:r>
              <w:rPr>
                <w:rFonts w:ascii="Arial" w:hAnsi="Arial" w:cs="Arial"/>
                <w:sz w:val="22"/>
                <w:szCs w:val="22"/>
              </w:rPr>
              <w:t xml:space="preserve"> Jane </w:t>
            </w:r>
            <w:proofErr w:type="spellStart"/>
            <w:r>
              <w:rPr>
                <w:rFonts w:ascii="Arial" w:hAnsi="Arial" w:cs="Arial"/>
                <w:sz w:val="22"/>
                <w:szCs w:val="22"/>
              </w:rPr>
              <w:t>Atzori</w:t>
            </w:r>
            <w:proofErr w:type="spellEnd"/>
          </w:p>
        </w:tc>
      </w:tr>
      <w:tr w:rsidR="00356B04" w:rsidRPr="00E95BF7" w:rsidTr="00C51602">
        <w:trPr>
          <w:trHeight w:val="693"/>
        </w:trPr>
        <w:tc>
          <w:tcPr>
            <w:tcW w:w="4788" w:type="dxa"/>
          </w:tcPr>
          <w:p w:rsidR="00356B04" w:rsidRPr="00E95BF7" w:rsidRDefault="00356B04" w:rsidP="00C51602">
            <w:pPr>
              <w:pStyle w:val="NormalWeb"/>
              <w:spacing w:before="0" w:beforeAutospacing="0" w:after="0" w:afterAutospacing="0"/>
              <w:ind w:right="34"/>
              <w:rPr>
                <w:rFonts w:ascii="Arial" w:hAnsi="Arial" w:cs="Arial"/>
                <w:sz w:val="22"/>
                <w:szCs w:val="22"/>
              </w:rPr>
            </w:pPr>
          </w:p>
          <w:p w:rsidR="00356B04" w:rsidRPr="00E95BF7" w:rsidRDefault="00356B04" w:rsidP="00C51602">
            <w:pPr>
              <w:pStyle w:val="NormalWeb"/>
              <w:spacing w:before="0" w:beforeAutospacing="0" w:after="0" w:afterAutospacing="0"/>
              <w:ind w:right="34"/>
              <w:rPr>
                <w:rFonts w:ascii="Arial" w:hAnsi="Arial" w:cs="Arial"/>
                <w:sz w:val="22"/>
                <w:szCs w:val="22"/>
              </w:rPr>
            </w:pPr>
            <w:r w:rsidRPr="00E95BF7">
              <w:rPr>
                <w:rFonts w:ascii="Arial" w:hAnsi="Arial" w:cs="Arial"/>
                <w:sz w:val="22"/>
                <w:szCs w:val="22"/>
              </w:rPr>
              <w:t>Module code:</w:t>
            </w:r>
            <w:r>
              <w:rPr>
                <w:rFonts w:ascii="Arial" w:hAnsi="Arial" w:cs="Arial"/>
                <w:sz w:val="22"/>
                <w:szCs w:val="22"/>
              </w:rPr>
              <w:t xml:space="preserve"> CYCS70</w:t>
            </w:r>
            <w:r w:rsidR="006D283A">
              <w:rPr>
                <w:rFonts w:ascii="Arial" w:hAnsi="Arial" w:cs="Arial"/>
                <w:sz w:val="22"/>
                <w:szCs w:val="22"/>
              </w:rPr>
              <w:t>15</w:t>
            </w:r>
            <w:bookmarkStart w:id="0" w:name="_GoBack"/>
            <w:bookmarkEnd w:id="0"/>
          </w:p>
          <w:p w:rsidR="00356B04" w:rsidRPr="00E95BF7" w:rsidRDefault="00356B04" w:rsidP="00C51602">
            <w:pPr>
              <w:pStyle w:val="NormalWeb"/>
              <w:spacing w:before="0" w:beforeAutospacing="0" w:after="0" w:afterAutospacing="0"/>
              <w:ind w:right="34"/>
              <w:rPr>
                <w:rFonts w:ascii="Arial" w:hAnsi="Arial" w:cs="Arial"/>
                <w:sz w:val="22"/>
                <w:szCs w:val="22"/>
              </w:rPr>
            </w:pPr>
          </w:p>
        </w:tc>
        <w:tc>
          <w:tcPr>
            <w:tcW w:w="2266" w:type="dxa"/>
            <w:gridSpan w:val="2"/>
            <w:vMerge w:val="restart"/>
          </w:tcPr>
          <w:p w:rsidR="00356B04" w:rsidRPr="00E95BF7" w:rsidRDefault="00356B04" w:rsidP="00C51602">
            <w:pPr>
              <w:pStyle w:val="NormalWeb"/>
              <w:spacing w:before="0" w:beforeAutospacing="0" w:after="0" w:afterAutospacing="0"/>
              <w:ind w:right="34"/>
              <w:rPr>
                <w:rFonts w:ascii="Arial" w:hAnsi="Arial" w:cs="Arial"/>
                <w:sz w:val="22"/>
                <w:szCs w:val="22"/>
              </w:rPr>
            </w:pPr>
            <w:r w:rsidRPr="00E95BF7">
              <w:rPr>
                <w:rFonts w:ascii="Arial" w:hAnsi="Arial" w:cs="Arial"/>
                <w:sz w:val="22"/>
                <w:szCs w:val="22"/>
              </w:rPr>
              <w:t>Student University Number:</w:t>
            </w:r>
            <w:r>
              <w:rPr>
                <w:rFonts w:ascii="Arial" w:hAnsi="Arial" w:cs="Arial"/>
                <w:sz w:val="22"/>
                <w:szCs w:val="22"/>
              </w:rPr>
              <w:t xml:space="preserve"> 1602279</w:t>
            </w:r>
          </w:p>
        </w:tc>
        <w:tc>
          <w:tcPr>
            <w:tcW w:w="1802" w:type="dxa"/>
            <w:vMerge w:val="restart"/>
          </w:tcPr>
          <w:p w:rsidR="00356B04" w:rsidRPr="00E95BF7" w:rsidRDefault="00356B04" w:rsidP="00C51602">
            <w:pPr>
              <w:pStyle w:val="NormalWeb"/>
              <w:spacing w:before="0" w:beforeAutospacing="0" w:after="0" w:afterAutospacing="0"/>
              <w:ind w:right="34"/>
              <w:rPr>
                <w:rFonts w:ascii="Arial" w:hAnsi="Arial" w:cs="Arial"/>
                <w:sz w:val="22"/>
                <w:szCs w:val="22"/>
              </w:rPr>
            </w:pPr>
            <w:r w:rsidRPr="00E95BF7">
              <w:rPr>
                <w:rFonts w:ascii="Arial" w:hAnsi="Arial" w:cs="Arial"/>
                <w:sz w:val="22"/>
                <w:szCs w:val="22"/>
              </w:rPr>
              <w:t>Educational support needs:</w:t>
            </w:r>
          </w:p>
          <w:p w:rsidR="00356B04" w:rsidRPr="00E95BF7" w:rsidRDefault="00356B04" w:rsidP="00C51602">
            <w:pPr>
              <w:pStyle w:val="NormalWeb"/>
              <w:spacing w:before="0" w:beforeAutospacing="0" w:after="0" w:afterAutospacing="0"/>
              <w:ind w:right="34"/>
              <w:rPr>
                <w:rFonts w:ascii="Arial" w:hAnsi="Arial" w:cs="Arial"/>
                <w:sz w:val="22"/>
                <w:szCs w:val="22"/>
              </w:rPr>
            </w:pPr>
            <w:r w:rsidRPr="00E95BF7">
              <w:rPr>
                <w:rFonts w:ascii="Arial" w:hAnsi="Arial" w:cs="Arial"/>
                <w:sz w:val="22"/>
                <w:szCs w:val="22"/>
              </w:rPr>
              <w:t>No</w:t>
            </w:r>
          </w:p>
        </w:tc>
      </w:tr>
      <w:tr w:rsidR="00356B04" w:rsidRPr="00E95BF7" w:rsidTr="00C51602">
        <w:trPr>
          <w:trHeight w:val="630"/>
        </w:trPr>
        <w:tc>
          <w:tcPr>
            <w:tcW w:w="4788" w:type="dxa"/>
          </w:tcPr>
          <w:p w:rsidR="00356B04" w:rsidRPr="00E95BF7" w:rsidRDefault="00356B04" w:rsidP="00C51602">
            <w:pPr>
              <w:pStyle w:val="NormalWeb"/>
              <w:spacing w:before="0" w:beforeAutospacing="0" w:after="0" w:afterAutospacing="0"/>
              <w:ind w:right="34"/>
              <w:rPr>
                <w:rFonts w:ascii="Arial" w:hAnsi="Arial" w:cs="Arial"/>
                <w:sz w:val="22"/>
                <w:szCs w:val="22"/>
              </w:rPr>
            </w:pPr>
          </w:p>
          <w:p w:rsidR="00356B04" w:rsidRPr="00E95BF7" w:rsidRDefault="00356B04" w:rsidP="00C51602">
            <w:pPr>
              <w:pStyle w:val="NormalWeb"/>
              <w:spacing w:before="0" w:beforeAutospacing="0" w:after="0" w:afterAutospacing="0"/>
              <w:ind w:right="34"/>
              <w:rPr>
                <w:rFonts w:ascii="Arial" w:hAnsi="Arial" w:cs="Arial"/>
                <w:sz w:val="22"/>
                <w:szCs w:val="22"/>
              </w:rPr>
            </w:pPr>
            <w:r w:rsidRPr="00E95BF7">
              <w:rPr>
                <w:rFonts w:ascii="Arial" w:hAnsi="Arial" w:cs="Arial"/>
                <w:sz w:val="22"/>
                <w:szCs w:val="22"/>
              </w:rPr>
              <w:t>Module title:</w:t>
            </w:r>
            <w:r>
              <w:rPr>
                <w:rFonts w:ascii="Arial" w:hAnsi="Arial" w:cs="Arial"/>
                <w:sz w:val="22"/>
                <w:szCs w:val="22"/>
              </w:rPr>
              <w:t xml:space="preserve"> The </w:t>
            </w:r>
            <w:proofErr w:type="spellStart"/>
            <w:r>
              <w:rPr>
                <w:rFonts w:ascii="Arial" w:hAnsi="Arial" w:cs="Arial"/>
                <w:sz w:val="22"/>
                <w:szCs w:val="22"/>
              </w:rPr>
              <w:t>Mabinogi</w:t>
            </w:r>
            <w:proofErr w:type="spellEnd"/>
          </w:p>
          <w:p w:rsidR="00356B04" w:rsidRPr="00E95BF7" w:rsidRDefault="00356B04" w:rsidP="00C51602">
            <w:pPr>
              <w:pStyle w:val="NormalWeb"/>
              <w:spacing w:before="0" w:beforeAutospacing="0" w:after="0" w:afterAutospacing="0"/>
              <w:ind w:right="34"/>
              <w:rPr>
                <w:rFonts w:ascii="Arial" w:hAnsi="Arial" w:cs="Arial"/>
                <w:sz w:val="22"/>
                <w:szCs w:val="22"/>
              </w:rPr>
            </w:pPr>
          </w:p>
        </w:tc>
        <w:tc>
          <w:tcPr>
            <w:tcW w:w="2266" w:type="dxa"/>
            <w:gridSpan w:val="2"/>
            <w:vMerge/>
          </w:tcPr>
          <w:p w:rsidR="00356B04" w:rsidRPr="00E95BF7" w:rsidRDefault="00356B04" w:rsidP="00C51602">
            <w:pPr>
              <w:pStyle w:val="NormalWeb"/>
              <w:spacing w:before="0" w:beforeAutospacing="0" w:after="0" w:afterAutospacing="0"/>
              <w:ind w:right="34"/>
              <w:rPr>
                <w:rFonts w:ascii="Arial" w:hAnsi="Arial" w:cs="Arial"/>
                <w:sz w:val="22"/>
                <w:szCs w:val="22"/>
              </w:rPr>
            </w:pPr>
          </w:p>
        </w:tc>
        <w:tc>
          <w:tcPr>
            <w:tcW w:w="1802" w:type="dxa"/>
            <w:vMerge/>
          </w:tcPr>
          <w:p w:rsidR="00356B04" w:rsidRPr="00E95BF7" w:rsidRDefault="00356B04" w:rsidP="00C51602">
            <w:pPr>
              <w:pStyle w:val="NormalWeb"/>
              <w:spacing w:before="0" w:beforeAutospacing="0" w:after="0" w:afterAutospacing="0"/>
              <w:ind w:right="34"/>
              <w:rPr>
                <w:rFonts w:ascii="Arial" w:hAnsi="Arial" w:cs="Arial"/>
                <w:sz w:val="22"/>
                <w:szCs w:val="22"/>
              </w:rPr>
            </w:pPr>
          </w:p>
        </w:tc>
      </w:tr>
      <w:tr w:rsidR="00356B04" w:rsidRPr="00E95BF7" w:rsidTr="00C51602">
        <w:trPr>
          <w:trHeight w:val="630"/>
        </w:trPr>
        <w:tc>
          <w:tcPr>
            <w:tcW w:w="8856" w:type="dxa"/>
            <w:gridSpan w:val="4"/>
          </w:tcPr>
          <w:p w:rsidR="00356B04" w:rsidRPr="00E95BF7" w:rsidRDefault="00356B04" w:rsidP="00C51602">
            <w:pPr>
              <w:pStyle w:val="NormalWeb"/>
              <w:spacing w:before="0" w:beforeAutospacing="0" w:after="0" w:afterAutospacing="0"/>
              <w:ind w:right="34"/>
              <w:rPr>
                <w:rFonts w:ascii="Arial" w:hAnsi="Arial" w:cs="Arial"/>
                <w:sz w:val="22"/>
                <w:szCs w:val="22"/>
              </w:rPr>
            </w:pPr>
          </w:p>
          <w:p w:rsidR="00356B04" w:rsidRPr="00E95BF7" w:rsidRDefault="00356B04" w:rsidP="00C51602">
            <w:pPr>
              <w:pStyle w:val="NormalWeb"/>
              <w:spacing w:before="0" w:beforeAutospacing="0" w:after="0" w:afterAutospacing="0"/>
              <w:ind w:right="34"/>
              <w:rPr>
                <w:rFonts w:ascii="Arial" w:hAnsi="Arial" w:cs="Arial"/>
                <w:sz w:val="22"/>
                <w:szCs w:val="22"/>
              </w:rPr>
            </w:pPr>
            <w:r w:rsidRPr="00E95BF7">
              <w:rPr>
                <w:rFonts w:ascii="Arial" w:hAnsi="Arial" w:cs="Arial"/>
                <w:sz w:val="22"/>
                <w:szCs w:val="22"/>
              </w:rPr>
              <w:t>Module tutor:</w:t>
            </w:r>
            <w:r>
              <w:rPr>
                <w:rFonts w:ascii="Arial" w:hAnsi="Arial" w:cs="Arial"/>
                <w:sz w:val="22"/>
                <w:szCs w:val="22"/>
              </w:rPr>
              <w:t xml:space="preserve"> Prof Jane Cartwright</w:t>
            </w:r>
          </w:p>
        </w:tc>
      </w:tr>
      <w:tr w:rsidR="00356B04" w:rsidRPr="00E95BF7" w:rsidTr="00C51602">
        <w:trPr>
          <w:trHeight w:val="630"/>
        </w:trPr>
        <w:tc>
          <w:tcPr>
            <w:tcW w:w="8856" w:type="dxa"/>
            <w:gridSpan w:val="4"/>
          </w:tcPr>
          <w:p w:rsidR="00356B04" w:rsidRDefault="00356B04" w:rsidP="00C51602">
            <w:pPr>
              <w:pStyle w:val="NormalWeb"/>
              <w:spacing w:before="0" w:beforeAutospacing="0" w:after="0" w:afterAutospacing="0"/>
              <w:ind w:right="34"/>
              <w:rPr>
                <w:rFonts w:ascii="Arial" w:hAnsi="Arial" w:cs="Arial"/>
                <w:sz w:val="22"/>
                <w:szCs w:val="22"/>
              </w:rPr>
            </w:pPr>
          </w:p>
          <w:p w:rsidR="00356B04" w:rsidRPr="00E95BF7" w:rsidRDefault="00356B04" w:rsidP="00C51602">
            <w:pPr>
              <w:pStyle w:val="NormalWeb"/>
              <w:spacing w:before="0" w:beforeAutospacing="0" w:after="0" w:afterAutospacing="0"/>
              <w:ind w:right="34"/>
              <w:rPr>
                <w:rFonts w:ascii="Arial" w:hAnsi="Arial" w:cs="Arial"/>
                <w:sz w:val="22"/>
                <w:szCs w:val="22"/>
              </w:rPr>
            </w:pPr>
            <w:r>
              <w:rPr>
                <w:rFonts w:ascii="Arial" w:hAnsi="Arial" w:cs="Arial"/>
                <w:sz w:val="22"/>
                <w:szCs w:val="22"/>
              </w:rPr>
              <w:t xml:space="preserve">Assignment title: A Y </w:t>
            </w:r>
            <w:proofErr w:type="spellStart"/>
            <w:r>
              <w:rPr>
                <w:rFonts w:ascii="Arial" w:hAnsi="Arial" w:cs="Arial"/>
                <w:sz w:val="22"/>
                <w:szCs w:val="22"/>
              </w:rPr>
              <w:t>Mabinogi</w:t>
            </w:r>
            <w:proofErr w:type="spellEnd"/>
            <w:r>
              <w:rPr>
                <w:rFonts w:ascii="Arial" w:hAnsi="Arial" w:cs="Arial"/>
                <w:sz w:val="22"/>
                <w:szCs w:val="22"/>
              </w:rPr>
              <w:t xml:space="preserve"> 2017-18: Appreciation of the Passage</w:t>
            </w:r>
          </w:p>
        </w:tc>
      </w:tr>
      <w:tr w:rsidR="00356B04" w:rsidRPr="00E95BF7" w:rsidTr="00C51602">
        <w:trPr>
          <w:trHeight w:val="630"/>
        </w:trPr>
        <w:tc>
          <w:tcPr>
            <w:tcW w:w="8856" w:type="dxa"/>
            <w:gridSpan w:val="4"/>
          </w:tcPr>
          <w:p w:rsidR="00356B04" w:rsidRPr="00E95BF7" w:rsidRDefault="00356B04" w:rsidP="00C51602">
            <w:pPr>
              <w:pStyle w:val="NormalWeb"/>
              <w:spacing w:before="0" w:beforeAutospacing="0" w:after="0" w:afterAutospacing="0"/>
              <w:ind w:right="34"/>
              <w:rPr>
                <w:rFonts w:ascii="Arial" w:hAnsi="Arial" w:cs="Arial"/>
                <w:sz w:val="22"/>
                <w:szCs w:val="22"/>
              </w:rPr>
            </w:pPr>
          </w:p>
          <w:p w:rsidR="00356B04" w:rsidRPr="00E95BF7" w:rsidRDefault="00356B04" w:rsidP="00C51602">
            <w:pPr>
              <w:pStyle w:val="NormalWeb"/>
              <w:spacing w:before="0" w:beforeAutospacing="0" w:after="0" w:afterAutospacing="0"/>
              <w:ind w:right="34"/>
              <w:rPr>
                <w:rFonts w:ascii="Arial" w:hAnsi="Arial" w:cs="Arial"/>
                <w:sz w:val="22"/>
                <w:szCs w:val="22"/>
              </w:rPr>
            </w:pPr>
            <w:r w:rsidRPr="00E95BF7">
              <w:rPr>
                <w:rFonts w:ascii="Arial" w:hAnsi="Arial" w:cs="Arial"/>
                <w:sz w:val="22"/>
                <w:szCs w:val="22"/>
              </w:rPr>
              <w:t>Assignment due date:</w:t>
            </w:r>
            <w:r>
              <w:rPr>
                <w:rFonts w:ascii="Arial" w:hAnsi="Arial" w:cs="Arial"/>
                <w:sz w:val="22"/>
                <w:szCs w:val="22"/>
              </w:rPr>
              <w:t xml:space="preserve"> 08/11/2017</w:t>
            </w:r>
          </w:p>
        </w:tc>
      </w:tr>
      <w:tr w:rsidR="00356B04" w:rsidRPr="00E95BF7" w:rsidTr="00C51602">
        <w:trPr>
          <w:trHeight w:val="978"/>
        </w:trPr>
        <w:tc>
          <w:tcPr>
            <w:tcW w:w="8856" w:type="dxa"/>
            <w:gridSpan w:val="4"/>
            <w:shd w:val="clear" w:color="auto" w:fill="D9D9D9"/>
          </w:tcPr>
          <w:p w:rsidR="00356B04" w:rsidRPr="00E95BF7" w:rsidRDefault="00356B04" w:rsidP="00C51602">
            <w:pPr>
              <w:pStyle w:val="NormalWeb"/>
              <w:spacing w:before="0" w:beforeAutospacing="0" w:after="0" w:afterAutospacing="0"/>
              <w:ind w:right="34"/>
              <w:rPr>
                <w:rFonts w:ascii="Arial" w:hAnsi="Arial" w:cs="Arial"/>
                <w:sz w:val="22"/>
                <w:szCs w:val="22"/>
              </w:rPr>
            </w:pPr>
          </w:p>
          <w:p w:rsidR="00356B04" w:rsidRPr="00E95BF7" w:rsidRDefault="00356B04" w:rsidP="00C51602">
            <w:pPr>
              <w:pStyle w:val="NormalWeb"/>
              <w:spacing w:before="0" w:beforeAutospacing="0" w:after="0" w:afterAutospacing="0"/>
              <w:ind w:right="34"/>
              <w:rPr>
                <w:rFonts w:ascii="Arial" w:hAnsi="Arial" w:cs="Arial"/>
                <w:sz w:val="22"/>
                <w:szCs w:val="22"/>
              </w:rPr>
            </w:pPr>
            <w:r w:rsidRPr="00E95BF7">
              <w:rPr>
                <w:rFonts w:ascii="Arial" w:hAnsi="Arial" w:cs="Arial"/>
                <w:sz w:val="22"/>
                <w:szCs w:val="22"/>
              </w:rPr>
              <w:t>I confirm that this is my original work and that I have adhered to the University policy on plagiarism.</w:t>
            </w:r>
          </w:p>
          <w:p w:rsidR="00356B04" w:rsidRPr="00E95BF7" w:rsidRDefault="00356B04" w:rsidP="00C51602">
            <w:pPr>
              <w:pStyle w:val="NormalWeb"/>
              <w:spacing w:before="0" w:beforeAutospacing="0" w:after="0" w:afterAutospacing="0"/>
              <w:ind w:right="34"/>
              <w:rPr>
                <w:rFonts w:ascii="Arial" w:hAnsi="Arial" w:cs="Arial"/>
                <w:sz w:val="22"/>
                <w:szCs w:val="22"/>
              </w:rPr>
            </w:pPr>
          </w:p>
          <w:p w:rsidR="00356B04" w:rsidRPr="00E95BF7" w:rsidRDefault="00356B04" w:rsidP="00C51602">
            <w:pPr>
              <w:pStyle w:val="NormalWeb"/>
              <w:spacing w:before="0" w:beforeAutospacing="0" w:after="0" w:afterAutospacing="0"/>
              <w:ind w:right="34"/>
              <w:rPr>
                <w:rFonts w:ascii="Arial" w:hAnsi="Arial" w:cs="Arial"/>
                <w:sz w:val="22"/>
                <w:szCs w:val="22"/>
              </w:rPr>
            </w:pPr>
            <w:r w:rsidRPr="00E95BF7">
              <w:rPr>
                <w:rFonts w:ascii="Arial" w:hAnsi="Arial" w:cs="Arial"/>
                <w:sz w:val="22"/>
                <w:szCs w:val="22"/>
              </w:rPr>
              <w:t xml:space="preserve">Name </w:t>
            </w:r>
            <w:r>
              <w:rPr>
                <w:rFonts w:ascii="Arial" w:hAnsi="Arial" w:cs="Arial"/>
                <w:sz w:val="22"/>
                <w:szCs w:val="22"/>
              </w:rPr>
              <w:t xml:space="preserve">Jane </w:t>
            </w:r>
            <w:proofErr w:type="spellStart"/>
            <w:r>
              <w:rPr>
                <w:rFonts w:ascii="Arial" w:hAnsi="Arial" w:cs="Arial"/>
                <w:sz w:val="22"/>
                <w:szCs w:val="22"/>
              </w:rPr>
              <w:t>Atzori</w:t>
            </w:r>
            <w:proofErr w:type="spellEnd"/>
            <w:r w:rsidRPr="00E95BF7">
              <w:rPr>
                <w:rFonts w:ascii="Arial" w:hAnsi="Arial" w:cs="Arial"/>
                <w:sz w:val="22"/>
                <w:szCs w:val="22"/>
              </w:rPr>
              <w:t>……………………………………………………………</w:t>
            </w:r>
          </w:p>
          <w:p w:rsidR="00356B04" w:rsidRPr="00E95BF7" w:rsidRDefault="00356B04" w:rsidP="00C51602">
            <w:pPr>
              <w:pStyle w:val="NormalWeb"/>
              <w:spacing w:before="0" w:beforeAutospacing="0" w:after="0" w:afterAutospacing="0"/>
              <w:ind w:right="34"/>
              <w:rPr>
                <w:rFonts w:ascii="Arial" w:hAnsi="Arial" w:cs="Arial"/>
                <w:sz w:val="22"/>
                <w:szCs w:val="22"/>
              </w:rPr>
            </w:pPr>
          </w:p>
        </w:tc>
      </w:tr>
      <w:tr w:rsidR="00356B04" w:rsidRPr="00E95BF7" w:rsidTr="00C51602">
        <w:trPr>
          <w:trHeight w:val="3972"/>
        </w:trPr>
        <w:tc>
          <w:tcPr>
            <w:tcW w:w="8856" w:type="dxa"/>
            <w:gridSpan w:val="4"/>
          </w:tcPr>
          <w:p w:rsidR="00356B04" w:rsidRPr="00E95BF7" w:rsidRDefault="00356B04" w:rsidP="00C51602">
            <w:pPr>
              <w:rPr>
                <w:rFonts w:ascii="Arial" w:hAnsi="Arial" w:cs="Arial"/>
                <w:b/>
              </w:rPr>
            </w:pPr>
          </w:p>
          <w:p w:rsidR="00356B04" w:rsidRPr="00E95BF7" w:rsidRDefault="00356B04" w:rsidP="00C51602">
            <w:pPr>
              <w:rPr>
                <w:rFonts w:ascii="Arial" w:hAnsi="Arial" w:cs="Arial"/>
              </w:rPr>
            </w:pPr>
            <w:r w:rsidRPr="00E95BF7">
              <w:rPr>
                <w:rFonts w:ascii="Arial" w:hAnsi="Arial" w:cs="Arial"/>
                <w:b/>
              </w:rPr>
              <w:t>Assignment Mark</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970"/>
              <w:gridCol w:w="1660"/>
            </w:tblGrid>
            <w:tr w:rsidR="00356B04" w:rsidRPr="00E95BF7" w:rsidTr="00C51602">
              <w:tc>
                <w:tcPr>
                  <w:tcW w:w="6970" w:type="dxa"/>
                </w:tcPr>
                <w:p w:rsidR="00356B04" w:rsidRPr="00E95BF7" w:rsidRDefault="00356B04" w:rsidP="00C51602">
                  <w:pPr>
                    <w:rPr>
                      <w:rFonts w:ascii="Arial" w:hAnsi="Arial" w:cs="Arial"/>
                    </w:rPr>
                  </w:pPr>
                </w:p>
                <w:p w:rsidR="00356B04" w:rsidRPr="00E95BF7" w:rsidRDefault="00356B04" w:rsidP="00C51602">
                  <w:pPr>
                    <w:rPr>
                      <w:rFonts w:ascii="Arial" w:hAnsi="Arial" w:cs="Arial"/>
                    </w:rPr>
                  </w:pPr>
                  <w:r w:rsidRPr="00E95BF7">
                    <w:rPr>
                      <w:rFonts w:ascii="Arial" w:hAnsi="Arial" w:cs="Arial"/>
                    </w:rPr>
                    <w:t>1</w:t>
                  </w:r>
                  <w:r w:rsidRPr="00E95BF7">
                    <w:rPr>
                      <w:rFonts w:ascii="Arial" w:hAnsi="Arial" w:cs="Arial"/>
                      <w:vertAlign w:val="superscript"/>
                    </w:rPr>
                    <w:t>st</w:t>
                  </w:r>
                  <w:r w:rsidRPr="00E95BF7">
                    <w:rPr>
                      <w:rFonts w:ascii="Arial" w:hAnsi="Arial" w:cs="Arial"/>
                    </w:rPr>
                    <w:t xml:space="preserve"> Marker’s Provisional mark</w:t>
                  </w:r>
                </w:p>
              </w:tc>
              <w:tc>
                <w:tcPr>
                  <w:tcW w:w="1660" w:type="dxa"/>
                </w:tcPr>
                <w:p w:rsidR="00356B04" w:rsidRPr="00E95BF7" w:rsidRDefault="00356B04" w:rsidP="00C51602">
                  <w:pPr>
                    <w:rPr>
                      <w:rFonts w:ascii="Arial" w:hAnsi="Arial" w:cs="Arial"/>
                      <w:sz w:val="20"/>
                      <w:szCs w:val="20"/>
                    </w:rPr>
                  </w:pPr>
                </w:p>
              </w:tc>
            </w:tr>
            <w:tr w:rsidR="00356B04" w:rsidRPr="00E95BF7" w:rsidTr="00C51602">
              <w:tc>
                <w:tcPr>
                  <w:tcW w:w="6970" w:type="dxa"/>
                </w:tcPr>
                <w:p w:rsidR="00356B04" w:rsidRPr="00E95BF7" w:rsidRDefault="00356B04" w:rsidP="00C51602">
                  <w:pPr>
                    <w:rPr>
                      <w:rFonts w:ascii="Arial" w:hAnsi="Arial" w:cs="Arial"/>
                    </w:rPr>
                  </w:pPr>
                </w:p>
                <w:p w:rsidR="00356B04" w:rsidRPr="00E95BF7" w:rsidRDefault="00356B04" w:rsidP="00C51602">
                  <w:pPr>
                    <w:rPr>
                      <w:rFonts w:ascii="Arial" w:hAnsi="Arial" w:cs="Arial"/>
                    </w:rPr>
                  </w:pPr>
                  <w:r w:rsidRPr="00E95BF7">
                    <w:rPr>
                      <w:rFonts w:ascii="Arial" w:hAnsi="Arial" w:cs="Arial"/>
                    </w:rPr>
                    <w:t>2</w:t>
                  </w:r>
                  <w:r w:rsidRPr="00E95BF7">
                    <w:rPr>
                      <w:rFonts w:ascii="Arial" w:hAnsi="Arial" w:cs="Arial"/>
                      <w:vertAlign w:val="superscript"/>
                    </w:rPr>
                    <w:t>nd</w:t>
                  </w:r>
                  <w:r w:rsidRPr="00E95BF7">
                    <w:rPr>
                      <w:rFonts w:ascii="Arial" w:hAnsi="Arial" w:cs="Arial"/>
                    </w:rPr>
                    <w:t xml:space="preserve"> Marker’s/Moderator’s provisional mark</w:t>
                  </w:r>
                </w:p>
              </w:tc>
              <w:tc>
                <w:tcPr>
                  <w:tcW w:w="1660" w:type="dxa"/>
                </w:tcPr>
                <w:p w:rsidR="00356B04" w:rsidRPr="00E95BF7" w:rsidRDefault="00356B04" w:rsidP="00C51602">
                  <w:pPr>
                    <w:rPr>
                      <w:rFonts w:ascii="Arial" w:hAnsi="Arial" w:cs="Arial"/>
                      <w:sz w:val="20"/>
                      <w:szCs w:val="20"/>
                    </w:rPr>
                  </w:pPr>
                </w:p>
              </w:tc>
            </w:tr>
            <w:tr w:rsidR="00356B04" w:rsidRPr="00E95BF7" w:rsidTr="00C51602">
              <w:tc>
                <w:tcPr>
                  <w:tcW w:w="6970" w:type="dxa"/>
                </w:tcPr>
                <w:p w:rsidR="00356B04" w:rsidRDefault="00356B04" w:rsidP="00C51602">
                  <w:pPr>
                    <w:rPr>
                      <w:rFonts w:ascii="Arial" w:hAnsi="Arial" w:cs="Arial"/>
                    </w:rPr>
                  </w:pPr>
                </w:p>
                <w:p w:rsidR="00356B04" w:rsidRPr="00E95BF7" w:rsidRDefault="00356B04" w:rsidP="00C51602">
                  <w:pPr>
                    <w:rPr>
                      <w:rFonts w:ascii="Arial" w:hAnsi="Arial" w:cs="Arial"/>
                    </w:rPr>
                  </w:pPr>
                  <w:r>
                    <w:rPr>
                      <w:rFonts w:ascii="Arial" w:hAnsi="Arial" w:cs="Arial"/>
                    </w:rPr>
                    <w:t>Agreed Internal Mark</w:t>
                  </w:r>
                </w:p>
              </w:tc>
              <w:tc>
                <w:tcPr>
                  <w:tcW w:w="1660" w:type="dxa"/>
                </w:tcPr>
                <w:p w:rsidR="00356B04" w:rsidRPr="00E95BF7" w:rsidRDefault="00356B04" w:rsidP="00C51602">
                  <w:pPr>
                    <w:rPr>
                      <w:rFonts w:ascii="Arial" w:hAnsi="Arial" w:cs="Arial"/>
                      <w:sz w:val="20"/>
                      <w:szCs w:val="20"/>
                    </w:rPr>
                  </w:pPr>
                </w:p>
              </w:tc>
            </w:tr>
            <w:tr w:rsidR="00356B04" w:rsidRPr="00E95BF7" w:rsidTr="00C51602">
              <w:tc>
                <w:tcPr>
                  <w:tcW w:w="6970" w:type="dxa"/>
                </w:tcPr>
                <w:p w:rsidR="00356B04" w:rsidRPr="00E95BF7" w:rsidRDefault="00356B04" w:rsidP="00C51602">
                  <w:pPr>
                    <w:rPr>
                      <w:rFonts w:ascii="Arial" w:hAnsi="Arial" w:cs="Arial"/>
                    </w:rPr>
                  </w:pPr>
                </w:p>
                <w:p w:rsidR="00356B04" w:rsidRPr="00E95BF7" w:rsidRDefault="00356B04" w:rsidP="00C51602">
                  <w:pPr>
                    <w:rPr>
                      <w:rFonts w:ascii="Arial" w:hAnsi="Arial" w:cs="Arial"/>
                    </w:rPr>
                  </w:pPr>
                  <w:r w:rsidRPr="00E95BF7">
                    <w:rPr>
                      <w:rFonts w:ascii="Arial" w:hAnsi="Arial" w:cs="Arial"/>
                    </w:rPr>
                    <w:t>External Examiner mark (if relevant)</w:t>
                  </w:r>
                </w:p>
              </w:tc>
              <w:tc>
                <w:tcPr>
                  <w:tcW w:w="1660" w:type="dxa"/>
                </w:tcPr>
                <w:p w:rsidR="00356B04" w:rsidRPr="00E95BF7" w:rsidRDefault="00356B04" w:rsidP="00C51602">
                  <w:pPr>
                    <w:rPr>
                      <w:rFonts w:ascii="Arial" w:hAnsi="Arial" w:cs="Arial"/>
                      <w:sz w:val="20"/>
                      <w:szCs w:val="20"/>
                    </w:rPr>
                  </w:pPr>
                </w:p>
              </w:tc>
            </w:tr>
            <w:tr w:rsidR="00356B04" w:rsidRPr="00E95BF7" w:rsidTr="00C51602">
              <w:tc>
                <w:tcPr>
                  <w:tcW w:w="6970" w:type="dxa"/>
                </w:tcPr>
                <w:p w:rsidR="00356B04" w:rsidRPr="00E95BF7" w:rsidRDefault="00356B04" w:rsidP="00C51602">
                  <w:pPr>
                    <w:rPr>
                      <w:rFonts w:ascii="Arial" w:hAnsi="Arial" w:cs="Arial"/>
                    </w:rPr>
                  </w:pPr>
                </w:p>
                <w:p w:rsidR="00356B04" w:rsidRPr="00E95BF7" w:rsidRDefault="00356B04" w:rsidP="00C51602">
                  <w:pPr>
                    <w:rPr>
                      <w:rFonts w:ascii="Arial" w:hAnsi="Arial" w:cs="Arial"/>
                      <w:b/>
                    </w:rPr>
                  </w:pPr>
                  <w:r w:rsidRPr="00E95BF7">
                    <w:rPr>
                      <w:rFonts w:ascii="Arial" w:hAnsi="Arial" w:cs="Arial"/>
                      <w:b/>
                    </w:rPr>
                    <w:t>Final Mark</w:t>
                  </w:r>
                </w:p>
                <w:p w:rsidR="00356B04" w:rsidRPr="00E95BF7" w:rsidRDefault="00356B04" w:rsidP="00C51602">
                  <w:pPr>
                    <w:rPr>
                      <w:rFonts w:ascii="Arial" w:hAnsi="Arial" w:cs="Arial"/>
                    </w:rPr>
                  </w:pPr>
                </w:p>
              </w:tc>
              <w:tc>
                <w:tcPr>
                  <w:tcW w:w="1660" w:type="dxa"/>
                </w:tcPr>
                <w:p w:rsidR="00356B04" w:rsidRPr="00E95BF7" w:rsidRDefault="00356B04" w:rsidP="00C51602">
                  <w:pPr>
                    <w:rPr>
                      <w:rFonts w:ascii="Arial" w:hAnsi="Arial" w:cs="Arial"/>
                      <w:b/>
                      <w:sz w:val="20"/>
                      <w:szCs w:val="20"/>
                    </w:rPr>
                  </w:pPr>
                </w:p>
              </w:tc>
            </w:tr>
          </w:tbl>
          <w:p w:rsidR="00356B04" w:rsidRPr="00E95BF7" w:rsidRDefault="00356B04" w:rsidP="00C51602">
            <w:pPr>
              <w:pStyle w:val="NormalWeb"/>
              <w:spacing w:before="0" w:beforeAutospacing="0" w:after="0" w:afterAutospacing="0"/>
              <w:ind w:left="142" w:right="34"/>
              <w:rPr>
                <w:rFonts w:ascii="Arial" w:hAnsi="Arial" w:cs="Arial"/>
                <w:b/>
                <w:sz w:val="22"/>
                <w:szCs w:val="22"/>
              </w:rPr>
            </w:pPr>
          </w:p>
          <w:p w:rsidR="00356B04" w:rsidRPr="00E95BF7" w:rsidRDefault="00356B04" w:rsidP="00C51602">
            <w:pPr>
              <w:pStyle w:val="NormalWeb"/>
              <w:spacing w:before="0" w:beforeAutospacing="0" w:after="0" w:afterAutospacing="0"/>
              <w:ind w:left="142" w:right="34"/>
              <w:jc w:val="center"/>
              <w:rPr>
                <w:rFonts w:ascii="Arial" w:hAnsi="Arial" w:cs="Arial"/>
                <w:b/>
                <w:sz w:val="22"/>
                <w:szCs w:val="22"/>
              </w:rPr>
            </w:pPr>
            <w:r w:rsidRPr="00E95BF7">
              <w:rPr>
                <w:rFonts w:ascii="Arial" w:hAnsi="Arial" w:cs="Arial"/>
                <w:b/>
                <w:sz w:val="22"/>
                <w:szCs w:val="22"/>
              </w:rPr>
              <w:t>NB.  All marks are provisional until confirmed by the Final Examination</w:t>
            </w:r>
            <w:r>
              <w:rPr>
                <w:rFonts w:ascii="Arial" w:hAnsi="Arial" w:cs="Arial"/>
                <w:b/>
                <w:sz w:val="22"/>
                <w:szCs w:val="22"/>
              </w:rPr>
              <w:t xml:space="preserve"> Board</w:t>
            </w:r>
          </w:p>
          <w:p w:rsidR="00356B04" w:rsidRPr="00E95BF7" w:rsidRDefault="00356B04" w:rsidP="00C51602">
            <w:pPr>
              <w:pStyle w:val="NormalWeb"/>
              <w:spacing w:before="0" w:beforeAutospacing="0" w:after="0" w:afterAutospacing="0"/>
              <w:rPr>
                <w:rFonts w:ascii="Arial" w:hAnsi="Arial" w:cs="Arial"/>
                <w:b/>
                <w:sz w:val="22"/>
                <w:szCs w:val="22"/>
              </w:rPr>
            </w:pPr>
          </w:p>
          <w:p w:rsidR="00356B04" w:rsidRPr="00E95BF7" w:rsidRDefault="00356B04" w:rsidP="00C51602">
            <w:pPr>
              <w:pStyle w:val="NormalWeb"/>
              <w:spacing w:before="0" w:beforeAutospacing="0" w:after="0" w:afterAutospacing="0"/>
              <w:rPr>
                <w:rFonts w:ascii="Arial" w:hAnsi="Arial" w:cs="Arial"/>
                <w:b/>
                <w:sz w:val="22"/>
                <w:szCs w:val="22"/>
              </w:rPr>
            </w:pPr>
          </w:p>
          <w:p w:rsidR="00356B04" w:rsidRPr="00E95BF7" w:rsidRDefault="00356B04" w:rsidP="00C51602">
            <w:pPr>
              <w:pStyle w:val="NormalWeb"/>
              <w:spacing w:before="0" w:beforeAutospacing="0" w:after="0" w:afterAutospacing="0"/>
              <w:rPr>
                <w:rFonts w:ascii="Arial" w:hAnsi="Arial" w:cs="Arial"/>
                <w:b/>
                <w:sz w:val="22"/>
                <w:szCs w:val="22"/>
              </w:rPr>
            </w:pPr>
          </w:p>
          <w:p w:rsidR="00356B04" w:rsidRPr="00E95BF7" w:rsidRDefault="00356B04" w:rsidP="00C51602">
            <w:pPr>
              <w:pStyle w:val="NormalWeb"/>
              <w:spacing w:before="0" w:beforeAutospacing="0" w:after="0" w:afterAutospacing="0"/>
              <w:rPr>
                <w:rFonts w:ascii="Arial" w:hAnsi="Arial" w:cs="Arial"/>
                <w:b/>
                <w:sz w:val="22"/>
                <w:szCs w:val="22"/>
              </w:rPr>
            </w:pPr>
          </w:p>
          <w:p w:rsidR="00356B04" w:rsidRPr="00E95BF7" w:rsidRDefault="00356B04" w:rsidP="00C51602">
            <w:pPr>
              <w:pStyle w:val="NormalWeb"/>
              <w:spacing w:before="0" w:beforeAutospacing="0" w:after="0" w:afterAutospacing="0"/>
              <w:rPr>
                <w:rFonts w:ascii="Arial" w:hAnsi="Arial" w:cs="Arial"/>
                <w:b/>
                <w:sz w:val="22"/>
                <w:szCs w:val="22"/>
              </w:rPr>
            </w:pPr>
          </w:p>
          <w:p w:rsidR="00356B04" w:rsidRPr="00E95BF7" w:rsidRDefault="00356B04" w:rsidP="00C51602">
            <w:pPr>
              <w:pStyle w:val="NormalWeb"/>
              <w:spacing w:before="0" w:beforeAutospacing="0" w:after="0" w:afterAutospacing="0"/>
              <w:rPr>
                <w:rFonts w:ascii="Arial" w:hAnsi="Arial" w:cs="Arial"/>
                <w:b/>
                <w:sz w:val="22"/>
                <w:szCs w:val="22"/>
              </w:rPr>
            </w:pPr>
          </w:p>
          <w:p w:rsidR="00356B04" w:rsidRPr="00E95BF7" w:rsidRDefault="00356B04" w:rsidP="00C51602">
            <w:pPr>
              <w:pStyle w:val="NormalWeb"/>
              <w:spacing w:before="0" w:beforeAutospacing="0" w:after="0" w:afterAutospacing="0"/>
              <w:rPr>
                <w:rFonts w:ascii="Arial" w:hAnsi="Arial" w:cs="Arial"/>
                <w:b/>
                <w:sz w:val="22"/>
                <w:szCs w:val="22"/>
              </w:rPr>
            </w:pPr>
          </w:p>
          <w:p w:rsidR="00356B04" w:rsidRPr="00E95BF7" w:rsidRDefault="00356B04" w:rsidP="00C51602">
            <w:pPr>
              <w:pStyle w:val="NormalWeb"/>
              <w:spacing w:before="0" w:beforeAutospacing="0" w:after="0" w:afterAutospacing="0"/>
              <w:rPr>
                <w:rFonts w:ascii="Arial" w:hAnsi="Arial" w:cs="Arial"/>
                <w:b/>
                <w:sz w:val="22"/>
                <w:szCs w:val="22"/>
              </w:rPr>
            </w:pPr>
          </w:p>
          <w:p w:rsidR="00356B04" w:rsidRPr="00E95BF7" w:rsidRDefault="00356B04" w:rsidP="00C51602">
            <w:pPr>
              <w:pStyle w:val="NormalWeb"/>
              <w:spacing w:before="0" w:beforeAutospacing="0" w:after="0" w:afterAutospacing="0"/>
              <w:rPr>
                <w:rFonts w:ascii="Arial" w:hAnsi="Arial" w:cs="Arial"/>
                <w:b/>
                <w:sz w:val="22"/>
                <w:szCs w:val="22"/>
              </w:rPr>
            </w:pPr>
          </w:p>
          <w:p w:rsidR="00356B04" w:rsidRPr="00E95BF7" w:rsidRDefault="00356B04" w:rsidP="00C51602">
            <w:pPr>
              <w:pStyle w:val="NormalWeb"/>
              <w:spacing w:before="0" w:beforeAutospacing="0" w:after="0" w:afterAutospacing="0"/>
              <w:rPr>
                <w:rFonts w:ascii="Arial" w:hAnsi="Arial" w:cs="Arial"/>
                <w:b/>
                <w:sz w:val="22"/>
                <w:szCs w:val="22"/>
              </w:rPr>
            </w:pPr>
          </w:p>
          <w:p w:rsidR="00356B04" w:rsidRPr="00E95BF7" w:rsidRDefault="00356B04" w:rsidP="00C51602">
            <w:pPr>
              <w:pStyle w:val="NormalWeb"/>
              <w:spacing w:before="0" w:beforeAutospacing="0" w:after="0" w:afterAutospacing="0"/>
              <w:rPr>
                <w:rFonts w:ascii="Arial" w:hAnsi="Arial" w:cs="Arial"/>
                <w:b/>
                <w:sz w:val="22"/>
                <w:szCs w:val="22"/>
              </w:rPr>
            </w:pPr>
            <w:r w:rsidRPr="00E95BF7">
              <w:rPr>
                <w:rFonts w:ascii="Arial" w:hAnsi="Arial" w:cs="Arial"/>
                <w:b/>
                <w:sz w:val="22"/>
                <w:szCs w:val="22"/>
              </w:rPr>
              <w:t>For completion by Marker 1:</w:t>
            </w:r>
          </w:p>
          <w:p w:rsidR="00356B04" w:rsidRPr="00E95BF7" w:rsidRDefault="00356B04" w:rsidP="00C51602">
            <w:pPr>
              <w:pStyle w:val="NormalWeb"/>
              <w:rPr>
                <w:rFonts w:ascii="Arial" w:hAnsi="Arial" w:cs="Arial"/>
                <w:sz w:val="22"/>
                <w:szCs w:val="22"/>
              </w:rPr>
            </w:pPr>
            <w:r w:rsidRPr="00E95BF7">
              <w:rPr>
                <w:rFonts w:ascii="Arial" w:hAnsi="Arial" w:cs="Arial"/>
                <w:sz w:val="22"/>
                <w:szCs w:val="22"/>
              </w:rPr>
              <w:t>Comments:</w:t>
            </w:r>
          </w:p>
        </w:tc>
      </w:tr>
      <w:tr w:rsidR="00356B04" w:rsidRPr="00E95BF7" w:rsidTr="00C51602">
        <w:trPr>
          <w:trHeight w:val="408"/>
        </w:trPr>
        <w:tc>
          <w:tcPr>
            <w:tcW w:w="6768" w:type="dxa"/>
            <w:gridSpan w:val="2"/>
          </w:tcPr>
          <w:p w:rsidR="00356B04" w:rsidRPr="00E95BF7" w:rsidRDefault="00356B04" w:rsidP="00C51602">
            <w:pPr>
              <w:pStyle w:val="NormalWeb"/>
              <w:ind w:right="34"/>
              <w:rPr>
                <w:rFonts w:ascii="Arial" w:hAnsi="Arial" w:cs="Arial"/>
                <w:sz w:val="22"/>
                <w:szCs w:val="22"/>
              </w:rPr>
            </w:pPr>
            <w:r w:rsidRPr="00E95BF7">
              <w:rPr>
                <w:rFonts w:ascii="Arial" w:hAnsi="Arial" w:cs="Arial"/>
                <w:sz w:val="22"/>
                <w:szCs w:val="22"/>
              </w:rPr>
              <w:t>Marker 1 signature:</w:t>
            </w:r>
          </w:p>
        </w:tc>
        <w:tc>
          <w:tcPr>
            <w:tcW w:w="2088" w:type="dxa"/>
            <w:gridSpan w:val="2"/>
          </w:tcPr>
          <w:p w:rsidR="00356B04" w:rsidRPr="00E95BF7" w:rsidRDefault="00356B04" w:rsidP="00C51602">
            <w:pPr>
              <w:pStyle w:val="NormalWeb"/>
              <w:spacing w:after="0"/>
              <w:ind w:left="142" w:right="34"/>
              <w:rPr>
                <w:rFonts w:ascii="Arial" w:hAnsi="Arial" w:cs="Arial"/>
                <w:sz w:val="22"/>
                <w:szCs w:val="22"/>
              </w:rPr>
            </w:pPr>
            <w:r w:rsidRPr="00E95BF7">
              <w:rPr>
                <w:rFonts w:ascii="Arial" w:hAnsi="Arial" w:cs="Arial"/>
                <w:sz w:val="22"/>
                <w:szCs w:val="22"/>
              </w:rPr>
              <w:t>Date:</w:t>
            </w:r>
          </w:p>
        </w:tc>
      </w:tr>
      <w:tr w:rsidR="00356B04" w:rsidRPr="00E95BF7" w:rsidTr="00C51602">
        <w:tc>
          <w:tcPr>
            <w:tcW w:w="8856" w:type="dxa"/>
            <w:gridSpan w:val="4"/>
          </w:tcPr>
          <w:p w:rsidR="00356B04" w:rsidRPr="00E95BF7" w:rsidRDefault="00356B04" w:rsidP="00C51602">
            <w:pPr>
              <w:pStyle w:val="NormalWeb"/>
              <w:spacing w:before="0" w:beforeAutospacing="0" w:after="0" w:afterAutospacing="0"/>
              <w:ind w:right="-334"/>
              <w:rPr>
                <w:rFonts w:ascii="Arial" w:hAnsi="Arial" w:cs="Arial"/>
                <w:bCs/>
                <w:i/>
                <w:sz w:val="22"/>
                <w:szCs w:val="22"/>
              </w:rPr>
            </w:pPr>
          </w:p>
          <w:p w:rsidR="00356B04" w:rsidRPr="00E95BF7" w:rsidRDefault="00356B04" w:rsidP="00C51602">
            <w:pPr>
              <w:pStyle w:val="NormalWeb"/>
              <w:spacing w:before="0" w:beforeAutospacing="0" w:after="0" w:afterAutospacing="0"/>
              <w:ind w:right="-334"/>
              <w:rPr>
                <w:rFonts w:ascii="Arial" w:hAnsi="Arial" w:cs="Arial"/>
                <w:b/>
                <w:bCs/>
                <w:sz w:val="22"/>
                <w:szCs w:val="22"/>
              </w:rPr>
            </w:pPr>
            <w:r w:rsidRPr="00E95BF7">
              <w:rPr>
                <w:rFonts w:ascii="Arial" w:hAnsi="Arial" w:cs="Arial"/>
                <w:b/>
                <w:bCs/>
                <w:sz w:val="22"/>
                <w:szCs w:val="22"/>
              </w:rPr>
              <w:t>For completion by Marker 2 / Moderator:</w:t>
            </w:r>
          </w:p>
          <w:p w:rsidR="00356B04" w:rsidRPr="00E95BF7" w:rsidRDefault="00356B04" w:rsidP="00C51602">
            <w:pPr>
              <w:pStyle w:val="NormalWeb"/>
              <w:spacing w:before="0" w:beforeAutospacing="0" w:after="0" w:afterAutospacing="0"/>
              <w:ind w:right="-334"/>
              <w:rPr>
                <w:rFonts w:ascii="Arial" w:hAnsi="Arial" w:cs="Arial"/>
                <w:b/>
                <w:bCs/>
                <w:sz w:val="22"/>
                <w:szCs w:val="22"/>
              </w:rPr>
            </w:pPr>
          </w:p>
          <w:p w:rsidR="00356B04" w:rsidRPr="00E95BF7" w:rsidRDefault="00356B04" w:rsidP="00C51602">
            <w:pPr>
              <w:pStyle w:val="NormalWeb"/>
              <w:spacing w:before="0" w:beforeAutospacing="0" w:after="0" w:afterAutospacing="0"/>
              <w:ind w:right="-334"/>
              <w:rPr>
                <w:rFonts w:ascii="Arial" w:hAnsi="Arial" w:cs="Arial"/>
                <w:bCs/>
                <w:sz w:val="22"/>
                <w:szCs w:val="22"/>
              </w:rPr>
            </w:pPr>
            <w:r w:rsidRPr="00E95BF7">
              <w:rPr>
                <w:rFonts w:ascii="Arial" w:hAnsi="Arial" w:cs="Arial"/>
                <w:bCs/>
                <w:sz w:val="22"/>
                <w:szCs w:val="22"/>
              </w:rPr>
              <w:lastRenderedPageBreak/>
              <w:t>Comments:</w:t>
            </w:r>
          </w:p>
          <w:p w:rsidR="00356B04" w:rsidRPr="00E95BF7" w:rsidRDefault="00356B04" w:rsidP="00C51602">
            <w:pPr>
              <w:pStyle w:val="NormalWeb"/>
              <w:spacing w:before="0" w:beforeAutospacing="0" w:after="0" w:afterAutospacing="0"/>
              <w:ind w:right="-334"/>
              <w:rPr>
                <w:rFonts w:ascii="Arial" w:hAnsi="Arial" w:cs="Arial"/>
                <w:bCs/>
                <w:sz w:val="22"/>
                <w:szCs w:val="22"/>
              </w:rPr>
            </w:pPr>
          </w:p>
          <w:p w:rsidR="00356B04" w:rsidRPr="00E95BF7" w:rsidRDefault="00356B04" w:rsidP="00C51602">
            <w:pPr>
              <w:pStyle w:val="NormalWeb"/>
              <w:spacing w:before="0" w:beforeAutospacing="0" w:after="0" w:afterAutospacing="0"/>
              <w:ind w:right="-334"/>
              <w:rPr>
                <w:rFonts w:ascii="Arial" w:hAnsi="Arial" w:cs="Arial"/>
                <w:bCs/>
                <w:sz w:val="22"/>
                <w:szCs w:val="22"/>
              </w:rPr>
            </w:pPr>
          </w:p>
          <w:p w:rsidR="00356B04" w:rsidRPr="00E95BF7" w:rsidRDefault="00356B04" w:rsidP="00C51602">
            <w:pPr>
              <w:pStyle w:val="NormalWeb"/>
              <w:spacing w:before="0" w:beforeAutospacing="0" w:after="0" w:afterAutospacing="0"/>
              <w:ind w:right="-334"/>
              <w:rPr>
                <w:rFonts w:ascii="Arial" w:hAnsi="Arial" w:cs="Arial"/>
                <w:bCs/>
                <w:sz w:val="22"/>
                <w:szCs w:val="22"/>
              </w:rPr>
            </w:pPr>
          </w:p>
          <w:p w:rsidR="00356B04" w:rsidRPr="00E95BF7" w:rsidRDefault="00356B04" w:rsidP="00C51602">
            <w:pPr>
              <w:pStyle w:val="NormalWeb"/>
              <w:spacing w:before="0" w:beforeAutospacing="0" w:after="0" w:afterAutospacing="0"/>
              <w:ind w:right="-334"/>
              <w:rPr>
                <w:rFonts w:ascii="Arial" w:hAnsi="Arial" w:cs="Arial"/>
                <w:bCs/>
                <w:sz w:val="22"/>
                <w:szCs w:val="22"/>
              </w:rPr>
            </w:pPr>
          </w:p>
          <w:p w:rsidR="00356B04" w:rsidRPr="00E95BF7" w:rsidRDefault="00356B04" w:rsidP="00C51602">
            <w:pPr>
              <w:pStyle w:val="NormalWeb"/>
              <w:spacing w:before="0" w:beforeAutospacing="0" w:after="0" w:afterAutospacing="0"/>
              <w:ind w:right="-334"/>
              <w:rPr>
                <w:rFonts w:ascii="Arial" w:hAnsi="Arial" w:cs="Arial"/>
                <w:bCs/>
                <w:sz w:val="22"/>
                <w:szCs w:val="22"/>
              </w:rPr>
            </w:pPr>
          </w:p>
          <w:p w:rsidR="00356B04" w:rsidRPr="00E95BF7" w:rsidRDefault="00356B04" w:rsidP="00C51602">
            <w:pPr>
              <w:pStyle w:val="NormalWeb"/>
              <w:spacing w:before="0" w:beforeAutospacing="0" w:after="0" w:afterAutospacing="0"/>
              <w:ind w:right="-334"/>
              <w:rPr>
                <w:rFonts w:ascii="Arial" w:hAnsi="Arial" w:cs="Arial"/>
                <w:bCs/>
                <w:sz w:val="22"/>
                <w:szCs w:val="22"/>
              </w:rPr>
            </w:pPr>
          </w:p>
          <w:p w:rsidR="00356B04" w:rsidRPr="00E95BF7" w:rsidRDefault="00356B04" w:rsidP="00C51602">
            <w:pPr>
              <w:pStyle w:val="NormalWeb"/>
              <w:spacing w:before="0" w:beforeAutospacing="0" w:after="0" w:afterAutospacing="0"/>
              <w:ind w:right="-334"/>
              <w:rPr>
                <w:rFonts w:ascii="Arial" w:hAnsi="Arial" w:cs="Arial"/>
                <w:bCs/>
                <w:sz w:val="22"/>
                <w:szCs w:val="22"/>
              </w:rPr>
            </w:pPr>
          </w:p>
          <w:p w:rsidR="00356B04" w:rsidRPr="00E95BF7" w:rsidRDefault="00356B04" w:rsidP="00C51602">
            <w:pPr>
              <w:pStyle w:val="NormalWeb"/>
              <w:spacing w:before="0" w:beforeAutospacing="0" w:after="0" w:afterAutospacing="0"/>
              <w:ind w:right="-334"/>
              <w:rPr>
                <w:rFonts w:ascii="Arial" w:hAnsi="Arial" w:cs="Arial"/>
                <w:bCs/>
                <w:sz w:val="22"/>
                <w:szCs w:val="22"/>
              </w:rPr>
            </w:pPr>
          </w:p>
          <w:p w:rsidR="00356B04" w:rsidRPr="00E95BF7" w:rsidRDefault="00356B04" w:rsidP="00C51602">
            <w:pPr>
              <w:pStyle w:val="NormalWeb"/>
              <w:spacing w:before="0" w:beforeAutospacing="0" w:after="0" w:afterAutospacing="0"/>
              <w:ind w:right="-334"/>
              <w:rPr>
                <w:rFonts w:ascii="Arial" w:hAnsi="Arial" w:cs="Arial"/>
                <w:bCs/>
                <w:sz w:val="22"/>
                <w:szCs w:val="22"/>
              </w:rPr>
            </w:pPr>
          </w:p>
          <w:p w:rsidR="00356B04" w:rsidRPr="00E95BF7" w:rsidRDefault="00356B04" w:rsidP="00C51602">
            <w:pPr>
              <w:pStyle w:val="NormalWeb"/>
              <w:spacing w:before="0" w:beforeAutospacing="0" w:after="0" w:afterAutospacing="0"/>
              <w:ind w:right="-334"/>
              <w:rPr>
                <w:rFonts w:ascii="Arial" w:hAnsi="Arial" w:cs="Arial"/>
                <w:bCs/>
                <w:sz w:val="22"/>
                <w:szCs w:val="22"/>
              </w:rPr>
            </w:pPr>
          </w:p>
          <w:p w:rsidR="00356B04" w:rsidRPr="00E95BF7" w:rsidRDefault="00356B04" w:rsidP="00C51602">
            <w:pPr>
              <w:pStyle w:val="NormalWeb"/>
              <w:spacing w:before="0" w:beforeAutospacing="0" w:after="0" w:afterAutospacing="0"/>
              <w:ind w:right="-334"/>
              <w:rPr>
                <w:rFonts w:ascii="Arial" w:hAnsi="Arial" w:cs="Arial"/>
                <w:bCs/>
                <w:sz w:val="22"/>
                <w:szCs w:val="22"/>
              </w:rPr>
            </w:pPr>
          </w:p>
        </w:tc>
      </w:tr>
      <w:tr w:rsidR="00356B04" w:rsidRPr="00E95BF7" w:rsidTr="00C51602">
        <w:trPr>
          <w:trHeight w:val="398"/>
        </w:trPr>
        <w:tc>
          <w:tcPr>
            <w:tcW w:w="6768" w:type="dxa"/>
            <w:gridSpan w:val="2"/>
          </w:tcPr>
          <w:p w:rsidR="00356B04" w:rsidRPr="00E95BF7" w:rsidRDefault="00356B04" w:rsidP="00C51602">
            <w:pPr>
              <w:pStyle w:val="NormalWeb"/>
              <w:spacing w:before="0" w:beforeAutospacing="0" w:after="0" w:afterAutospacing="0"/>
              <w:ind w:right="-334"/>
              <w:rPr>
                <w:rFonts w:ascii="Arial" w:hAnsi="Arial" w:cs="Arial"/>
                <w:bCs/>
                <w:sz w:val="22"/>
                <w:szCs w:val="22"/>
              </w:rPr>
            </w:pPr>
            <w:r w:rsidRPr="00E95BF7">
              <w:rPr>
                <w:rFonts w:ascii="Arial" w:hAnsi="Arial" w:cs="Arial"/>
                <w:bCs/>
                <w:sz w:val="22"/>
                <w:szCs w:val="22"/>
              </w:rPr>
              <w:lastRenderedPageBreak/>
              <w:t>Marker 2 / Moderator signature:</w:t>
            </w:r>
          </w:p>
        </w:tc>
        <w:tc>
          <w:tcPr>
            <w:tcW w:w="2088" w:type="dxa"/>
            <w:gridSpan w:val="2"/>
          </w:tcPr>
          <w:p w:rsidR="00356B04" w:rsidRPr="00E95BF7" w:rsidRDefault="00356B04" w:rsidP="00C51602">
            <w:pPr>
              <w:pStyle w:val="NormalWeb"/>
              <w:spacing w:before="0" w:beforeAutospacing="0" w:after="0" w:afterAutospacing="0"/>
              <w:ind w:right="-334"/>
              <w:rPr>
                <w:rFonts w:ascii="Arial" w:hAnsi="Arial" w:cs="Arial"/>
                <w:bCs/>
                <w:sz w:val="22"/>
                <w:szCs w:val="22"/>
              </w:rPr>
            </w:pPr>
            <w:r w:rsidRPr="00E95BF7">
              <w:rPr>
                <w:rFonts w:ascii="Arial" w:hAnsi="Arial" w:cs="Arial"/>
                <w:bCs/>
                <w:sz w:val="22"/>
                <w:szCs w:val="22"/>
              </w:rPr>
              <w:t>Date:</w:t>
            </w:r>
          </w:p>
        </w:tc>
      </w:tr>
      <w:tr w:rsidR="00356B04" w:rsidRPr="00E95BF7" w:rsidTr="00C51602">
        <w:trPr>
          <w:trHeight w:val="720"/>
        </w:trPr>
        <w:tc>
          <w:tcPr>
            <w:tcW w:w="8856" w:type="dxa"/>
            <w:gridSpan w:val="4"/>
          </w:tcPr>
          <w:p w:rsidR="00356B04" w:rsidRPr="00E95BF7" w:rsidRDefault="00356B04" w:rsidP="00C51602">
            <w:pPr>
              <w:rPr>
                <w:rFonts w:ascii="Arial" w:hAnsi="Arial" w:cs="Arial"/>
                <w:b/>
              </w:rPr>
            </w:pPr>
          </w:p>
          <w:p w:rsidR="00356B04" w:rsidRPr="00E95BF7" w:rsidRDefault="00356B04" w:rsidP="00C51602">
            <w:pPr>
              <w:rPr>
                <w:rFonts w:ascii="Arial" w:hAnsi="Arial" w:cs="Arial"/>
                <w:b/>
              </w:rPr>
            </w:pPr>
            <w:r w:rsidRPr="00E95BF7">
              <w:rPr>
                <w:rFonts w:ascii="Arial" w:hAnsi="Arial" w:cs="Arial"/>
                <w:b/>
              </w:rPr>
              <w:t>External Examiner’s comments (if relevant):</w:t>
            </w:r>
          </w:p>
          <w:p w:rsidR="00356B04" w:rsidRPr="00E95BF7" w:rsidRDefault="00356B04" w:rsidP="00C51602">
            <w:pPr>
              <w:pStyle w:val="NormalWeb"/>
              <w:spacing w:before="0" w:beforeAutospacing="0" w:after="0" w:afterAutospacing="0"/>
              <w:ind w:right="-334"/>
              <w:rPr>
                <w:rFonts w:ascii="Arial" w:hAnsi="Arial" w:cs="Arial"/>
                <w:bCs/>
                <w:sz w:val="22"/>
                <w:szCs w:val="22"/>
              </w:rPr>
            </w:pPr>
          </w:p>
          <w:p w:rsidR="00356B04" w:rsidRPr="00E95BF7" w:rsidRDefault="00356B04" w:rsidP="00C51602">
            <w:pPr>
              <w:pStyle w:val="NormalWeb"/>
              <w:spacing w:before="0" w:beforeAutospacing="0" w:after="0" w:afterAutospacing="0"/>
              <w:ind w:right="-334"/>
              <w:rPr>
                <w:rFonts w:ascii="Arial" w:hAnsi="Arial" w:cs="Arial"/>
                <w:bCs/>
                <w:sz w:val="22"/>
                <w:szCs w:val="22"/>
              </w:rPr>
            </w:pPr>
          </w:p>
          <w:p w:rsidR="00356B04" w:rsidRPr="00E95BF7" w:rsidRDefault="00356B04" w:rsidP="00C51602">
            <w:pPr>
              <w:pStyle w:val="NormalWeb"/>
              <w:spacing w:before="0" w:beforeAutospacing="0" w:after="0" w:afterAutospacing="0"/>
              <w:ind w:right="-334"/>
              <w:rPr>
                <w:rFonts w:ascii="Arial" w:hAnsi="Arial" w:cs="Arial"/>
                <w:bCs/>
                <w:sz w:val="22"/>
                <w:szCs w:val="22"/>
              </w:rPr>
            </w:pPr>
          </w:p>
          <w:p w:rsidR="00356B04" w:rsidRPr="00E95BF7" w:rsidRDefault="00356B04" w:rsidP="00C51602">
            <w:pPr>
              <w:pStyle w:val="NormalWeb"/>
              <w:spacing w:before="0" w:beforeAutospacing="0" w:after="0" w:afterAutospacing="0"/>
              <w:ind w:right="-334"/>
              <w:rPr>
                <w:rFonts w:ascii="Arial" w:hAnsi="Arial" w:cs="Arial"/>
                <w:bCs/>
                <w:sz w:val="22"/>
                <w:szCs w:val="22"/>
              </w:rPr>
            </w:pPr>
          </w:p>
          <w:p w:rsidR="00356B04" w:rsidRPr="00E95BF7" w:rsidRDefault="00356B04" w:rsidP="00C51602">
            <w:pPr>
              <w:pStyle w:val="NormalWeb"/>
              <w:spacing w:before="0" w:beforeAutospacing="0" w:after="0" w:afterAutospacing="0"/>
              <w:ind w:right="-334"/>
              <w:rPr>
                <w:rFonts w:ascii="Arial" w:hAnsi="Arial" w:cs="Arial"/>
                <w:bCs/>
                <w:sz w:val="22"/>
                <w:szCs w:val="22"/>
              </w:rPr>
            </w:pPr>
          </w:p>
          <w:p w:rsidR="00356B04" w:rsidRPr="00E95BF7" w:rsidRDefault="00356B04" w:rsidP="00C51602">
            <w:pPr>
              <w:pStyle w:val="NormalWeb"/>
              <w:spacing w:before="0" w:beforeAutospacing="0" w:after="0" w:afterAutospacing="0"/>
              <w:ind w:right="-334"/>
              <w:rPr>
                <w:rFonts w:ascii="Arial" w:hAnsi="Arial" w:cs="Arial"/>
                <w:bCs/>
                <w:sz w:val="22"/>
                <w:szCs w:val="22"/>
              </w:rPr>
            </w:pPr>
          </w:p>
          <w:p w:rsidR="00356B04" w:rsidRPr="00E95BF7" w:rsidRDefault="00356B04" w:rsidP="00C51602">
            <w:pPr>
              <w:pStyle w:val="NormalWeb"/>
              <w:spacing w:before="0" w:beforeAutospacing="0" w:after="0" w:afterAutospacing="0"/>
              <w:ind w:right="-334"/>
              <w:rPr>
                <w:rFonts w:ascii="Arial" w:hAnsi="Arial" w:cs="Arial"/>
                <w:bCs/>
                <w:sz w:val="22"/>
                <w:szCs w:val="22"/>
              </w:rPr>
            </w:pPr>
          </w:p>
          <w:p w:rsidR="00356B04" w:rsidRPr="00E95BF7" w:rsidRDefault="00356B04" w:rsidP="00C51602">
            <w:pPr>
              <w:pStyle w:val="NormalWeb"/>
              <w:spacing w:before="0" w:beforeAutospacing="0" w:after="0" w:afterAutospacing="0"/>
              <w:ind w:right="-334"/>
              <w:rPr>
                <w:rFonts w:ascii="Arial" w:hAnsi="Arial" w:cs="Arial"/>
                <w:bCs/>
                <w:sz w:val="22"/>
                <w:szCs w:val="22"/>
              </w:rPr>
            </w:pPr>
          </w:p>
          <w:p w:rsidR="00356B04" w:rsidRPr="00E95BF7" w:rsidRDefault="00356B04" w:rsidP="00C51602">
            <w:pPr>
              <w:pStyle w:val="NormalWeb"/>
              <w:spacing w:before="0" w:beforeAutospacing="0" w:after="0" w:afterAutospacing="0"/>
              <w:ind w:right="-334"/>
              <w:rPr>
                <w:rFonts w:ascii="Arial" w:hAnsi="Arial" w:cs="Arial"/>
                <w:bCs/>
                <w:sz w:val="22"/>
                <w:szCs w:val="22"/>
              </w:rPr>
            </w:pPr>
          </w:p>
          <w:p w:rsidR="00356B04" w:rsidRPr="00E95BF7" w:rsidRDefault="00356B04" w:rsidP="00C51602">
            <w:pPr>
              <w:pStyle w:val="NormalWeb"/>
              <w:spacing w:before="0" w:beforeAutospacing="0" w:after="0" w:afterAutospacing="0"/>
              <w:ind w:right="-334"/>
              <w:rPr>
                <w:rFonts w:ascii="Arial" w:hAnsi="Arial" w:cs="Arial"/>
                <w:bCs/>
                <w:sz w:val="22"/>
                <w:szCs w:val="22"/>
              </w:rPr>
            </w:pPr>
          </w:p>
          <w:p w:rsidR="00356B04" w:rsidRPr="00E95BF7" w:rsidRDefault="00356B04" w:rsidP="00C51602">
            <w:pPr>
              <w:pStyle w:val="NormalWeb"/>
              <w:spacing w:before="0" w:beforeAutospacing="0" w:after="0" w:afterAutospacing="0"/>
              <w:ind w:right="-334"/>
              <w:rPr>
                <w:rFonts w:ascii="Arial" w:hAnsi="Arial" w:cs="Arial"/>
                <w:bCs/>
                <w:sz w:val="22"/>
                <w:szCs w:val="22"/>
              </w:rPr>
            </w:pPr>
          </w:p>
          <w:p w:rsidR="00356B04" w:rsidRPr="00E95BF7" w:rsidRDefault="00356B04" w:rsidP="00C51602">
            <w:pPr>
              <w:pStyle w:val="NormalWeb"/>
              <w:spacing w:before="0" w:beforeAutospacing="0" w:after="0" w:afterAutospacing="0"/>
              <w:ind w:right="-334"/>
              <w:rPr>
                <w:rFonts w:ascii="Arial" w:hAnsi="Arial" w:cs="Arial"/>
                <w:bCs/>
                <w:sz w:val="22"/>
                <w:szCs w:val="22"/>
              </w:rPr>
            </w:pPr>
          </w:p>
          <w:p w:rsidR="00356B04" w:rsidRPr="00E95BF7" w:rsidRDefault="00356B04" w:rsidP="00C51602">
            <w:pPr>
              <w:pStyle w:val="NormalWeb"/>
              <w:spacing w:before="0" w:beforeAutospacing="0" w:after="0" w:afterAutospacing="0"/>
              <w:ind w:right="-334"/>
              <w:rPr>
                <w:rFonts w:ascii="Arial" w:hAnsi="Arial" w:cs="Arial"/>
                <w:bCs/>
                <w:sz w:val="22"/>
                <w:szCs w:val="22"/>
              </w:rPr>
            </w:pPr>
          </w:p>
        </w:tc>
      </w:tr>
      <w:tr w:rsidR="00356B04" w:rsidRPr="00E95BF7" w:rsidTr="00C51602">
        <w:trPr>
          <w:trHeight w:val="479"/>
        </w:trPr>
        <w:tc>
          <w:tcPr>
            <w:tcW w:w="6768" w:type="dxa"/>
            <w:gridSpan w:val="2"/>
          </w:tcPr>
          <w:p w:rsidR="00356B04" w:rsidRPr="00E95BF7" w:rsidRDefault="00356B04" w:rsidP="00C51602">
            <w:pPr>
              <w:rPr>
                <w:rFonts w:ascii="Arial" w:hAnsi="Arial" w:cs="Arial"/>
              </w:rPr>
            </w:pPr>
            <w:r w:rsidRPr="00E95BF7">
              <w:rPr>
                <w:rFonts w:ascii="Arial" w:hAnsi="Arial" w:cs="Arial"/>
              </w:rPr>
              <w:t>External Examiner signature:</w:t>
            </w:r>
          </w:p>
        </w:tc>
        <w:tc>
          <w:tcPr>
            <w:tcW w:w="2088" w:type="dxa"/>
            <w:gridSpan w:val="2"/>
          </w:tcPr>
          <w:p w:rsidR="00356B04" w:rsidRPr="00E95BF7" w:rsidRDefault="00356B04" w:rsidP="00C51602">
            <w:pPr>
              <w:rPr>
                <w:rFonts w:ascii="Arial" w:hAnsi="Arial" w:cs="Arial"/>
              </w:rPr>
            </w:pPr>
            <w:r w:rsidRPr="00E95BF7">
              <w:rPr>
                <w:rFonts w:ascii="Arial" w:hAnsi="Arial" w:cs="Arial"/>
              </w:rPr>
              <w:t>Date:</w:t>
            </w:r>
          </w:p>
        </w:tc>
      </w:tr>
    </w:tbl>
    <w:p w:rsidR="00356B04" w:rsidRPr="00E95BF7" w:rsidRDefault="00356B04" w:rsidP="00356B04">
      <w:pPr>
        <w:pStyle w:val="NormalWeb"/>
        <w:spacing w:before="0" w:beforeAutospacing="0" w:after="0" w:afterAutospacing="0"/>
        <w:ind w:right="-334"/>
        <w:rPr>
          <w:rFonts w:ascii="Arial" w:hAnsi="Arial" w:cs="Arial"/>
          <w:bCs/>
          <w:sz w:val="24"/>
          <w:szCs w:val="24"/>
        </w:rPr>
      </w:pPr>
    </w:p>
    <w:p w:rsidR="00791EA8" w:rsidRDefault="00791EA8" w:rsidP="0031269E"/>
    <w:p w:rsidR="00356B04" w:rsidRDefault="00356B04" w:rsidP="0031269E"/>
    <w:p w:rsidR="00356B04" w:rsidRDefault="00356B04" w:rsidP="0031269E"/>
    <w:p w:rsidR="00356B04" w:rsidRDefault="00356B04" w:rsidP="0031269E"/>
    <w:p w:rsidR="00356B04" w:rsidRDefault="00356B04" w:rsidP="0031269E"/>
    <w:p w:rsidR="00356B04" w:rsidRDefault="00356B04" w:rsidP="0031269E"/>
    <w:p w:rsidR="0031269E" w:rsidRDefault="00A42A1F" w:rsidP="0031269E">
      <w:r>
        <w:lastRenderedPageBreak/>
        <w:t xml:space="preserve">The second Branch of the </w:t>
      </w:r>
      <w:proofErr w:type="spellStart"/>
      <w:r w:rsidR="00C05D04" w:rsidRPr="00C05D04">
        <w:rPr>
          <w:i/>
        </w:rPr>
        <w:t>Mabinogi</w:t>
      </w:r>
      <w:proofErr w:type="spellEnd"/>
      <w:r w:rsidR="00C05D04" w:rsidRPr="00C05D04">
        <w:rPr>
          <w:i/>
        </w:rPr>
        <w:t xml:space="preserve"> </w:t>
      </w:r>
      <w:r>
        <w:t>is set in recognisable geographical locations, Harlech in North Wales and Ireland.  The set passage comes in the middle of the second Branch and provides what may be termed the turning point of the story.</w:t>
      </w:r>
    </w:p>
    <w:p w:rsidR="00A42A1F" w:rsidRDefault="00A42A1F" w:rsidP="0031269E">
      <w:r>
        <w:t xml:space="preserve">The significance of the passage lies in previous events. </w:t>
      </w:r>
      <w:proofErr w:type="spellStart"/>
      <w:r>
        <w:t>Efnysien’s</w:t>
      </w:r>
      <w:proofErr w:type="spellEnd"/>
      <w:r>
        <w:t xml:space="preserve"> humiliation at not being consulted before </w:t>
      </w:r>
      <w:proofErr w:type="spellStart"/>
      <w:r>
        <w:t>Branwen</w:t>
      </w:r>
      <w:proofErr w:type="spellEnd"/>
      <w:r>
        <w:t xml:space="preserve"> </w:t>
      </w:r>
      <w:r w:rsidR="0061605B">
        <w:t xml:space="preserve">is given in marriage to </w:t>
      </w:r>
      <w:proofErr w:type="spellStart"/>
      <w:r w:rsidR="0061605B">
        <w:t>Matholwch</w:t>
      </w:r>
      <w:proofErr w:type="spellEnd"/>
      <w:r w:rsidR="0061605B">
        <w:t>, King of Ireland. A right acknowledged in the Welsh Laws</w:t>
      </w:r>
      <w:r w:rsidR="0061605B">
        <w:rPr>
          <w:rStyle w:val="FootnoteReference"/>
        </w:rPr>
        <w:footnoteReference w:id="1"/>
      </w:r>
      <w:r w:rsidR="0061605B">
        <w:t xml:space="preserve"> </w:t>
      </w:r>
      <w:proofErr w:type="spellStart"/>
      <w:r w:rsidR="0061605B">
        <w:t>Efnysien</w:t>
      </w:r>
      <w:proofErr w:type="spellEnd"/>
      <w:r w:rsidR="0061605B">
        <w:t xml:space="preserve"> is the product of a culture where Honour is everything and losing face drives him to an act of extreme vengeance</w:t>
      </w:r>
      <w:r w:rsidR="00C34A21">
        <w:t>, the</w:t>
      </w:r>
      <w:r w:rsidR="0061605B">
        <w:t xml:space="preserve"> mutilation of the Irish King’s horses, a cruel and barbaric act (which may have had symbolic meaning to a pre</w:t>
      </w:r>
      <w:r w:rsidR="001A78A1">
        <w:t>-</w:t>
      </w:r>
      <w:r w:rsidR="0061605B">
        <w:t xml:space="preserve"> Christian audience)</w:t>
      </w:r>
      <w:r w:rsidR="0061605B">
        <w:rPr>
          <w:rStyle w:val="FootnoteReference"/>
        </w:rPr>
        <w:footnoteReference w:id="2"/>
      </w:r>
      <w:r w:rsidR="0061605B">
        <w:t xml:space="preserve"> </w:t>
      </w:r>
    </w:p>
    <w:p w:rsidR="001A78A1" w:rsidRDefault="001A78A1" w:rsidP="0031269E">
      <w:r>
        <w:t xml:space="preserve">To appease the Irish King, </w:t>
      </w:r>
      <w:proofErr w:type="spellStart"/>
      <w:r>
        <w:t>Bendigeidfran</w:t>
      </w:r>
      <w:proofErr w:type="spellEnd"/>
      <w:r>
        <w:t xml:space="preserve"> gives him a magic cauldron which has the power to reanimate dead warriors. We learn that </w:t>
      </w:r>
      <w:proofErr w:type="spellStart"/>
      <w:r>
        <w:t>Bendigeidfran</w:t>
      </w:r>
      <w:proofErr w:type="spellEnd"/>
      <w:r>
        <w:t xml:space="preserve"> owns the cauldron because he was wise enough to give sanctuary to the giant couple, </w:t>
      </w:r>
      <w:proofErr w:type="spellStart"/>
      <w:r>
        <w:t>Llasar</w:t>
      </w:r>
      <w:proofErr w:type="spellEnd"/>
      <w:r>
        <w:t xml:space="preserve"> </w:t>
      </w:r>
      <w:proofErr w:type="spellStart"/>
      <w:r>
        <w:t>Llaes</w:t>
      </w:r>
      <w:proofErr w:type="spellEnd"/>
      <w:r>
        <w:t xml:space="preserve"> </w:t>
      </w:r>
      <w:proofErr w:type="spellStart"/>
      <w:r>
        <w:t>Gyfnewid</w:t>
      </w:r>
      <w:proofErr w:type="spellEnd"/>
      <w:r>
        <w:t xml:space="preserve"> and </w:t>
      </w:r>
      <w:proofErr w:type="spellStart"/>
      <w:r>
        <w:t>Cymidei</w:t>
      </w:r>
      <w:proofErr w:type="spellEnd"/>
      <w:r>
        <w:t xml:space="preserve"> </w:t>
      </w:r>
      <w:proofErr w:type="spellStart"/>
      <w:r>
        <w:t>Cymeinfoll</w:t>
      </w:r>
      <w:proofErr w:type="spellEnd"/>
      <w:r>
        <w:t xml:space="preserve">. They gave it to him in gratitude for being allowed to settle in Britain after they were banished by </w:t>
      </w:r>
      <w:proofErr w:type="spellStart"/>
      <w:r>
        <w:t>Matholwch</w:t>
      </w:r>
      <w:proofErr w:type="spellEnd"/>
      <w:r>
        <w:t xml:space="preserve">, thus neatly explaining how </w:t>
      </w:r>
      <w:proofErr w:type="spellStart"/>
      <w:r>
        <w:t>Bendigeidfran</w:t>
      </w:r>
      <w:proofErr w:type="spellEnd"/>
      <w:r>
        <w:t xml:space="preserve"> obtained the cauldron and showing </w:t>
      </w:r>
      <w:proofErr w:type="spellStart"/>
      <w:r>
        <w:t>Matholwch</w:t>
      </w:r>
      <w:proofErr w:type="spellEnd"/>
      <w:r>
        <w:t xml:space="preserve"> as an unwise king for expelling them and losing the cauldron.</w:t>
      </w:r>
    </w:p>
    <w:p w:rsidR="001A78A1" w:rsidRDefault="001A78A1" w:rsidP="0031269E">
      <w:r>
        <w:t xml:space="preserve">Cauldrons are very important in Celtic stories. At a basic level they would have represented something of great importance in every home, however to the Celts they also had great magical and religious significance. Magic cauldrons also feature in another </w:t>
      </w:r>
      <w:proofErr w:type="spellStart"/>
      <w:r w:rsidRPr="00C05D04">
        <w:rPr>
          <w:i/>
        </w:rPr>
        <w:t>Mabinogi</w:t>
      </w:r>
      <w:proofErr w:type="spellEnd"/>
      <w:r>
        <w:t xml:space="preserve"> tale, </w:t>
      </w:r>
      <w:r w:rsidR="00C34A21" w:rsidRPr="00C34A21">
        <w:rPr>
          <w:i/>
        </w:rPr>
        <w:t xml:space="preserve">How </w:t>
      </w:r>
      <w:proofErr w:type="spellStart"/>
      <w:r w:rsidR="00C34A21" w:rsidRPr="00C34A21">
        <w:rPr>
          <w:i/>
        </w:rPr>
        <w:t>Culhwch</w:t>
      </w:r>
      <w:proofErr w:type="spellEnd"/>
      <w:r w:rsidR="00C34A21" w:rsidRPr="00C34A21">
        <w:rPr>
          <w:i/>
        </w:rPr>
        <w:t xml:space="preserve"> Won </w:t>
      </w:r>
      <w:r w:rsidRPr="00C34A21">
        <w:rPr>
          <w:i/>
        </w:rPr>
        <w:t>Olwen</w:t>
      </w:r>
      <w:r>
        <w:t xml:space="preserve"> </w:t>
      </w:r>
      <w:proofErr w:type="gramStart"/>
      <w:r>
        <w:t xml:space="preserve">and </w:t>
      </w:r>
      <w:r w:rsidR="001A612F">
        <w:t>also</w:t>
      </w:r>
      <w:proofErr w:type="gramEnd"/>
      <w:r w:rsidR="001A612F">
        <w:t xml:space="preserve"> </w:t>
      </w:r>
      <w:r w:rsidR="001A612F" w:rsidRPr="00C34A21">
        <w:rPr>
          <w:i/>
        </w:rPr>
        <w:t xml:space="preserve">The Spoils of </w:t>
      </w:r>
      <w:proofErr w:type="spellStart"/>
      <w:r w:rsidR="001A612F" w:rsidRPr="00C34A21">
        <w:rPr>
          <w:i/>
        </w:rPr>
        <w:t>Annwfyn</w:t>
      </w:r>
      <w:proofErr w:type="spellEnd"/>
      <w:r w:rsidR="001A612F">
        <w:t xml:space="preserve">. The </w:t>
      </w:r>
      <w:proofErr w:type="spellStart"/>
      <w:r w:rsidR="001A612F">
        <w:t>Gundestrup</w:t>
      </w:r>
      <w:proofErr w:type="spellEnd"/>
      <w:r w:rsidR="001A612F">
        <w:t xml:space="preserve"> Cauldron </w:t>
      </w:r>
      <w:r w:rsidR="001A612F">
        <w:rPr>
          <w:rStyle w:val="FootnoteReference"/>
        </w:rPr>
        <w:footnoteReference w:id="3"/>
      </w:r>
      <w:r w:rsidR="001A612F">
        <w:t xml:space="preserve">seems to show the immersion of warriors into a bag or tank </w:t>
      </w:r>
      <w:proofErr w:type="gramStart"/>
      <w:r w:rsidR="001A612F">
        <w:t>similar to</w:t>
      </w:r>
      <w:proofErr w:type="gramEnd"/>
      <w:r w:rsidR="001A612F">
        <w:t xml:space="preserve"> the reanimation process claimed for </w:t>
      </w:r>
      <w:proofErr w:type="spellStart"/>
      <w:r w:rsidR="001A612F">
        <w:t>Bendigeidfran’s</w:t>
      </w:r>
      <w:proofErr w:type="spellEnd"/>
      <w:r w:rsidR="001A612F">
        <w:t xml:space="preserve"> cauldron, and </w:t>
      </w:r>
      <w:proofErr w:type="spellStart"/>
      <w:r w:rsidR="001A612F">
        <w:t>Cymidei</w:t>
      </w:r>
      <w:proofErr w:type="spellEnd"/>
      <w:r w:rsidR="001A612F">
        <w:t xml:space="preserve"> </w:t>
      </w:r>
      <w:proofErr w:type="spellStart"/>
      <w:r w:rsidR="001A612F">
        <w:t>Cymeinfoll</w:t>
      </w:r>
      <w:proofErr w:type="spellEnd"/>
      <w:r w:rsidR="001A612F">
        <w:t xml:space="preserve"> the previous owner of the cauldron bears a name which could</w:t>
      </w:r>
      <w:r w:rsidR="00C05D04">
        <w:t xml:space="preserve"> be</w:t>
      </w:r>
      <w:r w:rsidR="001A612F">
        <w:t xml:space="preserve"> </w:t>
      </w:r>
      <w:r w:rsidR="001A612F">
        <w:lastRenderedPageBreak/>
        <w:t>interpreted as “Bloated with Warriors”</w:t>
      </w:r>
      <w:r w:rsidR="001A612F">
        <w:rPr>
          <w:rStyle w:val="FootnoteReference"/>
        </w:rPr>
        <w:footnoteReference w:id="4"/>
      </w:r>
      <w:r w:rsidR="001A612F">
        <w:t xml:space="preserve"> which presents her as a female representation of the cauldron</w:t>
      </w:r>
      <w:r w:rsidR="001C1936">
        <w:t>.</w:t>
      </w:r>
    </w:p>
    <w:p w:rsidR="001C1936" w:rsidRDefault="001C1936" w:rsidP="0031269E">
      <w:r>
        <w:t xml:space="preserve">The first part of the passage begins with </w:t>
      </w:r>
      <w:proofErr w:type="spellStart"/>
      <w:r>
        <w:t>Matholwch</w:t>
      </w:r>
      <w:proofErr w:type="spellEnd"/>
      <w:r>
        <w:t xml:space="preserve"> asking his men’s advice. He appears a weak leader, over reliant on his men’s advice</w:t>
      </w:r>
      <w:r>
        <w:rPr>
          <w:rStyle w:val="FootnoteReference"/>
        </w:rPr>
        <w:footnoteReference w:id="5"/>
      </w:r>
      <w:r>
        <w:t xml:space="preserve"> We already know he is dishonourable, having accepted </w:t>
      </w:r>
      <w:proofErr w:type="spellStart"/>
      <w:r>
        <w:t>Bendigeidfran’s</w:t>
      </w:r>
      <w:proofErr w:type="spellEnd"/>
      <w:r>
        <w:t xml:space="preserve"> original peace offer he then asked for more, and later at the instigation of his men (and despite having a son by her) he banishes </w:t>
      </w:r>
      <w:proofErr w:type="spellStart"/>
      <w:r>
        <w:t>Branwen</w:t>
      </w:r>
      <w:proofErr w:type="spellEnd"/>
      <w:r>
        <w:t xml:space="preserve"> from his bed, rejecting and humiliating her. Now he plans treachery whilst offering the hand of friendship.</w:t>
      </w:r>
    </w:p>
    <w:p w:rsidR="00C727A2" w:rsidRDefault="001C1936" w:rsidP="0031269E">
      <w:r>
        <w:t xml:space="preserve">In an echo of the iron chamber built as a trap for the giants, the Irish offer to build a house large enough </w:t>
      </w:r>
      <w:r w:rsidR="00F669D8">
        <w:t xml:space="preserve">to hold </w:t>
      </w:r>
      <w:proofErr w:type="spellStart"/>
      <w:r w:rsidR="00F669D8">
        <w:t>Benigeidfran</w:t>
      </w:r>
      <w:proofErr w:type="spellEnd"/>
      <w:r w:rsidR="00F669D8">
        <w:t xml:space="preserve"> in which they will conceal warriors hidden in bags of flour who will surprise and kill the British. Howeve</w:t>
      </w:r>
      <w:r w:rsidR="00CD07FB">
        <w:t>r</w:t>
      </w:r>
      <w:r w:rsidR="00C05D04">
        <w:t>,</w:t>
      </w:r>
      <w:r w:rsidR="00F669D8">
        <w:t xml:space="preserve"> </w:t>
      </w:r>
      <w:proofErr w:type="spellStart"/>
      <w:r w:rsidR="00F669D8">
        <w:t>Efnysi</w:t>
      </w:r>
      <w:r w:rsidR="00C05D04">
        <w:t>e</w:t>
      </w:r>
      <w:r w:rsidR="00F669D8">
        <w:t>n</w:t>
      </w:r>
      <w:proofErr w:type="spellEnd"/>
      <w:r w:rsidR="00F669D8">
        <w:t xml:space="preserve"> who we already know is cruel sadistic, menacing and </w:t>
      </w:r>
      <w:proofErr w:type="spellStart"/>
      <w:proofErr w:type="gramStart"/>
      <w:r w:rsidR="00F669D8">
        <w:t>violen</w:t>
      </w:r>
      <w:r w:rsidR="00C05D04">
        <w:t>,</w:t>
      </w:r>
      <w:r w:rsidR="00F669D8">
        <w:t>t</w:t>
      </w:r>
      <w:proofErr w:type="spellEnd"/>
      <w:proofErr w:type="gramEnd"/>
      <w:r w:rsidR="00F669D8">
        <w:t xml:space="preserve"> is also clever and cunning and manages to foil the plan. The idea of concealed men waiting to spring out and overwhelm unsuspecting victims is a familiar motif in many cultures. From Craf</w:t>
      </w:r>
      <w:r w:rsidR="00CD07FB">
        <w:t>t</w:t>
      </w:r>
      <w:r w:rsidR="00F669D8">
        <w:t xml:space="preserve">y </w:t>
      </w:r>
      <w:proofErr w:type="spellStart"/>
      <w:r w:rsidR="00F669D8">
        <w:t>Odesse</w:t>
      </w:r>
      <w:r w:rsidR="00CD07FB">
        <w:t>ys</w:t>
      </w:r>
      <w:proofErr w:type="spellEnd"/>
      <w:r w:rsidR="00CD07FB">
        <w:t>’ wooden horse to Ali Baba’s forty thieves</w:t>
      </w:r>
      <w:r w:rsidR="00CD07FB">
        <w:rPr>
          <w:rStyle w:val="FootnoteReference"/>
        </w:rPr>
        <w:footnoteReference w:id="6"/>
      </w:r>
    </w:p>
    <w:p w:rsidR="001C1936" w:rsidRDefault="00E41BCA" w:rsidP="0031269E">
      <w:r>
        <w:t xml:space="preserve">Word play adds another layer to this episode. </w:t>
      </w:r>
      <w:r w:rsidR="00C727A2">
        <w:t>We know the giantess brings forth fully armed warriors from her womb</w:t>
      </w:r>
      <w:r>
        <w:t>. T</w:t>
      </w:r>
      <w:r w:rsidR="00C727A2">
        <w:t xml:space="preserve">he welsh words for womb and bag are interchangeable </w:t>
      </w:r>
      <w:r>
        <w:t xml:space="preserve">so </w:t>
      </w:r>
      <w:r w:rsidR="00C727A2">
        <w:t xml:space="preserve">the answer to </w:t>
      </w:r>
      <w:proofErr w:type="spellStart"/>
      <w:r w:rsidR="00C727A2">
        <w:t>Efnysi</w:t>
      </w:r>
      <w:r w:rsidR="00595AF0">
        <w:t>e</w:t>
      </w:r>
      <w:r w:rsidR="00C727A2">
        <w:t>n’s</w:t>
      </w:r>
      <w:proofErr w:type="spellEnd"/>
      <w:r w:rsidR="00C727A2">
        <w:t xml:space="preserve"> rhetorical question “what is in the bag” </w:t>
      </w:r>
      <w:proofErr w:type="spellStart"/>
      <w:r w:rsidR="00C727A2" w:rsidRPr="00FE06CC">
        <w:rPr>
          <w:i/>
        </w:rPr>
        <w:t>yssit</w:t>
      </w:r>
      <w:proofErr w:type="spellEnd"/>
      <w:r w:rsidR="00C727A2" w:rsidRPr="00FE06CC">
        <w:rPr>
          <w:i/>
        </w:rPr>
        <w:t xml:space="preserve"> </w:t>
      </w:r>
      <w:proofErr w:type="spellStart"/>
      <w:r w:rsidR="00C727A2" w:rsidRPr="00FE06CC">
        <w:rPr>
          <w:i/>
        </w:rPr>
        <w:t>yn</w:t>
      </w:r>
      <w:proofErr w:type="spellEnd"/>
      <w:r w:rsidR="00C727A2" w:rsidRPr="00FE06CC">
        <w:rPr>
          <w:i/>
        </w:rPr>
        <w:t xml:space="preserve"> y </w:t>
      </w:r>
      <w:proofErr w:type="spellStart"/>
      <w:r w:rsidR="00C727A2" w:rsidRPr="00FE06CC">
        <w:rPr>
          <w:i/>
        </w:rPr>
        <w:t>boly</w:t>
      </w:r>
      <w:proofErr w:type="spellEnd"/>
      <w:r w:rsidR="00C727A2" w:rsidRPr="00FE06CC">
        <w:rPr>
          <w:i/>
        </w:rPr>
        <w:t xml:space="preserve"> </w:t>
      </w:r>
      <w:proofErr w:type="spellStart"/>
      <w:r w:rsidR="00C727A2" w:rsidRPr="00FE06CC">
        <w:rPr>
          <w:i/>
        </w:rPr>
        <w:t>hwnn</w:t>
      </w:r>
      <w:proofErr w:type="spellEnd"/>
      <w:r w:rsidR="00C727A2" w:rsidRPr="00FE06CC">
        <w:rPr>
          <w:i/>
        </w:rPr>
        <w:t>?</w:t>
      </w:r>
      <w:r w:rsidR="00C727A2">
        <w:t xml:space="preserve"> Coul</w:t>
      </w:r>
      <w:r>
        <w:t>d be equally applicable to the men in the bags and the giantess’s belly.</w:t>
      </w:r>
      <w:r>
        <w:rPr>
          <w:rStyle w:val="FootnoteReference"/>
        </w:rPr>
        <w:footnoteReference w:id="7"/>
      </w:r>
    </w:p>
    <w:p w:rsidR="00E41BCA" w:rsidRDefault="00E41BCA" w:rsidP="0031269E">
      <w:r>
        <w:lastRenderedPageBreak/>
        <w:t xml:space="preserve">As </w:t>
      </w:r>
      <w:proofErr w:type="spellStart"/>
      <w:r>
        <w:t>Ef</w:t>
      </w:r>
      <w:r w:rsidR="00595AF0">
        <w:t>n</w:t>
      </w:r>
      <w:r>
        <w:t>ysi</w:t>
      </w:r>
      <w:r w:rsidR="00595AF0">
        <w:t>e</w:t>
      </w:r>
      <w:r>
        <w:t>n</w:t>
      </w:r>
      <w:proofErr w:type="spellEnd"/>
      <w:r>
        <w:t xml:space="preserve"> enters the house the story teller uses his skill to build a sense of anticipation amongst his audience. Firstly</w:t>
      </w:r>
      <w:r w:rsidR="000E2E8B">
        <w:t>,</w:t>
      </w:r>
      <w:r>
        <w:t xml:space="preserve"> by tripling </w:t>
      </w:r>
      <w:r>
        <w:rPr>
          <w:rStyle w:val="FootnoteReference"/>
        </w:rPr>
        <w:footnoteReference w:id="8"/>
      </w:r>
      <w:r w:rsidR="000E2E8B">
        <w:t>a very familiar motif in Celtic Literature</w:t>
      </w:r>
      <w:r w:rsidR="00225285">
        <w:t>,</w:t>
      </w:r>
      <w:r w:rsidR="000E2E8B">
        <w:t xml:space="preserve"> </w:t>
      </w:r>
      <w:proofErr w:type="spellStart"/>
      <w:r w:rsidR="000E2E8B">
        <w:t>Efnysi</w:t>
      </w:r>
      <w:r w:rsidR="00595AF0">
        <w:t>e</w:t>
      </w:r>
      <w:r w:rsidR="000E2E8B">
        <w:t>n</w:t>
      </w:r>
      <w:proofErr w:type="spellEnd"/>
      <w:r w:rsidR="000E2E8B">
        <w:t xml:space="preserve"> “cast fierce, ruthless. glances around the house</w:t>
      </w:r>
      <w:r w:rsidR="00E278F1">
        <w:t xml:space="preserve">”. </w:t>
      </w:r>
      <w:r w:rsidR="000E2E8B">
        <w:t xml:space="preserve">Then to heighten dramatic effect he switches from narration to Direct Speech. With slight variations </w:t>
      </w:r>
      <w:proofErr w:type="spellStart"/>
      <w:r w:rsidR="000E2E8B">
        <w:t>Efnysi</w:t>
      </w:r>
      <w:r w:rsidR="00595AF0">
        <w:t>e</w:t>
      </w:r>
      <w:r w:rsidR="000E2E8B">
        <w:t>n</w:t>
      </w:r>
      <w:proofErr w:type="spellEnd"/>
      <w:r w:rsidR="000E2E8B">
        <w:t xml:space="preserve"> asks the same question three times, “What is in th</w:t>
      </w:r>
      <w:r w:rsidR="00406D2A">
        <w:t>is</w:t>
      </w:r>
      <w:r w:rsidR="000E2E8B">
        <w:t xml:space="preserve"> bag” and gets the same reply each time. “Flour friend</w:t>
      </w:r>
      <w:r w:rsidR="00406D2A">
        <w:t>.</w:t>
      </w:r>
      <w:r w:rsidR="000E2E8B">
        <w:t>” As tension builds we can perhaps imagine something like a modern pantomime, the stock questions leading to the audience response “</w:t>
      </w:r>
      <w:r w:rsidR="000E2E8B" w:rsidRPr="00C34A21">
        <w:rPr>
          <w:i/>
        </w:rPr>
        <w:t>Behind you”!!</w:t>
      </w:r>
    </w:p>
    <w:p w:rsidR="000E2E8B" w:rsidRDefault="000E2E8B" w:rsidP="0031269E">
      <w:r>
        <w:t>The spoken word does not usually allow for great subtlety of characterisation and many of the characters in the</w:t>
      </w:r>
      <w:r w:rsidRPr="00406D2A">
        <w:rPr>
          <w:i/>
        </w:rPr>
        <w:t xml:space="preserve"> </w:t>
      </w:r>
      <w:proofErr w:type="spellStart"/>
      <w:r w:rsidRPr="00406D2A">
        <w:rPr>
          <w:i/>
        </w:rPr>
        <w:t>Mabinogi</w:t>
      </w:r>
      <w:proofErr w:type="spellEnd"/>
      <w:r>
        <w:t xml:space="preserve"> are little more than cyphers</w:t>
      </w:r>
      <w:r w:rsidR="00406D2A">
        <w:t>,</w:t>
      </w:r>
      <w:r>
        <w:t xml:space="preserve"> yet </w:t>
      </w:r>
      <w:proofErr w:type="spellStart"/>
      <w:r>
        <w:t>Efnysi</w:t>
      </w:r>
      <w:r w:rsidR="00406D2A">
        <w:t>e</w:t>
      </w:r>
      <w:r>
        <w:t>n</w:t>
      </w:r>
      <w:proofErr w:type="spellEnd"/>
      <w:r>
        <w:t xml:space="preserve"> is enigmatic. The passage where he seems to enjoy crushing skulls and feeling his fingers sinking into the brains of the Irish soldiers is very vivid</w:t>
      </w:r>
      <w:r w:rsidR="00A91F6B">
        <w:t xml:space="preserve">. He delights in inflicting pain on those who can not fight back; horses, the men in the sacks and eventually his nephew who he throws in the fire. He is certainly not </w:t>
      </w:r>
      <w:proofErr w:type="gramStart"/>
      <w:r w:rsidR="00A91F6B">
        <w:t>an</w:t>
      </w:r>
      <w:proofErr w:type="gramEnd"/>
      <w:r w:rsidR="00A91F6B">
        <w:t xml:space="preserve"> heroic figure seeming to equate more to Loki or </w:t>
      </w:r>
      <w:proofErr w:type="spellStart"/>
      <w:r w:rsidR="00A91F6B">
        <w:t>Nemthenga</w:t>
      </w:r>
      <w:proofErr w:type="spellEnd"/>
      <w:r w:rsidR="00A91F6B">
        <w:rPr>
          <w:rStyle w:val="FootnoteReference"/>
        </w:rPr>
        <w:footnoteReference w:id="9"/>
      </w:r>
      <w:r>
        <w:t xml:space="preserve"> </w:t>
      </w:r>
    </w:p>
    <w:p w:rsidR="00A91F6B" w:rsidRDefault="00A91F6B" w:rsidP="0031269E">
      <w:r>
        <w:t xml:space="preserve">At the end of his killing spree </w:t>
      </w:r>
      <w:proofErr w:type="spellStart"/>
      <w:r>
        <w:t>Efnysi</w:t>
      </w:r>
      <w:r w:rsidR="00406D2A">
        <w:t>e</w:t>
      </w:r>
      <w:r>
        <w:t>n</w:t>
      </w:r>
      <w:proofErr w:type="spellEnd"/>
      <w:r>
        <w:t xml:space="preserve"> sings his </w:t>
      </w:r>
      <w:proofErr w:type="spellStart"/>
      <w:r w:rsidRPr="00FE06CC">
        <w:rPr>
          <w:i/>
        </w:rPr>
        <w:t>englyn</w:t>
      </w:r>
      <w:proofErr w:type="spellEnd"/>
      <w:r>
        <w:rPr>
          <w:rStyle w:val="FootnoteReference"/>
        </w:rPr>
        <w:footnoteReference w:id="10"/>
      </w:r>
      <w:r w:rsidR="00E43D1D">
        <w:t xml:space="preserve">Making a pun on the word </w:t>
      </w:r>
      <w:proofErr w:type="spellStart"/>
      <w:r w:rsidR="00E43D1D" w:rsidRPr="00FE06CC">
        <w:rPr>
          <w:i/>
        </w:rPr>
        <w:t>blawd</w:t>
      </w:r>
      <w:proofErr w:type="spellEnd"/>
      <w:r w:rsidR="00E43D1D">
        <w:t xml:space="preserve"> either flour or flower. Would the audience be reminded of </w:t>
      </w:r>
      <w:proofErr w:type="spellStart"/>
      <w:r w:rsidR="00E43D1D">
        <w:t>Blodeuedd</w:t>
      </w:r>
      <w:proofErr w:type="spellEnd"/>
      <w:r w:rsidR="00E43D1D">
        <w:t xml:space="preserve"> created from flowers but deceitful by nature?</w:t>
      </w:r>
    </w:p>
    <w:p w:rsidR="00E43D1D" w:rsidRDefault="00E43D1D" w:rsidP="0031269E">
      <w:r>
        <w:t>Whilst some parts of the</w:t>
      </w:r>
      <w:r w:rsidRPr="00406D2A">
        <w:rPr>
          <w:i/>
        </w:rPr>
        <w:t xml:space="preserve"> </w:t>
      </w:r>
      <w:proofErr w:type="spellStart"/>
      <w:r w:rsidRPr="00406D2A">
        <w:rPr>
          <w:i/>
        </w:rPr>
        <w:t>Mabinogi</w:t>
      </w:r>
      <w:proofErr w:type="spellEnd"/>
      <w:r>
        <w:t xml:space="preserve"> are confusing and somewhat unsatisfactory</w:t>
      </w:r>
      <w:r>
        <w:rPr>
          <w:rStyle w:val="FootnoteReference"/>
        </w:rPr>
        <w:footnoteReference w:id="11"/>
      </w:r>
      <w:r>
        <w:t xml:space="preserve">The passage discussed works as part of a coherent linear story. The heightened tension and the brutality of </w:t>
      </w:r>
      <w:proofErr w:type="spellStart"/>
      <w:r>
        <w:t>Efnysi</w:t>
      </w:r>
      <w:r w:rsidR="00406D2A">
        <w:t>en</w:t>
      </w:r>
      <w:r>
        <w:t>’s</w:t>
      </w:r>
      <w:proofErr w:type="spellEnd"/>
      <w:r w:rsidR="00A1555C">
        <w:t xml:space="preserve"> </w:t>
      </w:r>
      <w:r>
        <w:t>actions</w:t>
      </w:r>
      <w:r w:rsidR="00E278F1">
        <w:t xml:space="preserve"> </w:t>
      </w:r>
      <w:r>
        <w:t xml:space="preserve">make his subsequent murder of his young nephew and the ensuing war a </w:t>
      </w:r>
      <w:r>
        <w:lastRenderedPageBreak/>
        <w:t xml:space="preserve">believable </w:t>
      </w:r>
      <w:r w:rsidR="00363E23">
        <w:t>inevitability. We know he is a savage ma</w:t>
      </w:r>
      <w:r w:rsidR="00E278F1">
        <w:t>n</w:t>
      </w:r>
      <w:r w:rsidR="00406D2A">
        <w:t>,</w:t>
      </w:r>
      <w:r w:rsidR="00363E23">
        <w:t xml:space="preserve"> yet he will end by sacrificing himself to destroy the cauldron.</w:t>
      </w:r>
      <w:r w:rsidR="00363E23">
        <w:rPr>
          <w:rStyle w:val="FootnoteReference"/>
        </w:rPr>
        <w:footnoteReference w:id="12"/>
      </w:r>
      <w:r>
        <w:t xml:space="preserve"> </w:t>
      </w:r>
    </w:p>
    <w:p w:rsidR="00363E23" w:rsidRDefault="00363E23" w:rsidP="0031269E">
      <w:r>
        <w:t xml:space="preserve">Just as the scribes who originally transcribed the works on to parchment gave us their version of what would have been vibrant works of performance so the modern non </w:t>
      </w:r>
      <w:r w:rsidR="00A1555C">
        <w:t>-</w:t>
      </w:r>
      <w:r>
        <w:t xml:space="preserve">welsh speaker </w:t>
      </w:r>
      <w:proofErr w:type="gramStart"/>
      <w:r>
        <w:t>has to</w:t>
      </w:r>
      <w:proofErr w:type="gramEnd"/>
      <w:r>
        <w:t xml:space="preserve"> rely not just on the skill of the translator but a large number of notes explaining archaic terms and references that original audiences would have been familiar with. </w:t>
      </w:r>
      <w:r w:rsidR="00CF4405">
        <w:t>Many verbal tricks were needed to remember and retell stories</w:t>
      </w:r>
      <w:r w:rsidR="00406D2A">
        <w:t xml:space="preserve">: </w:t>
      </w:r>
      <w:r w:rsidR="00225285">
        <w:t>alliteration,</w:t>
      </w:r>
      <w:r w:rsidR="00CF4405">
        <w:t xml:space="preserve"> set phrases, stock characters and descriptions were all tricks to aid memory. Besides entertainment the tales may have had a more profound meaning. A treasury of custom, laws and history and gene</w:t>
      </w:r>
      <w:r w:rsidR="00393209">
        <w:t>a</w:t>
      </w:r>
      <w:r w:rsidR="00CF4405">
        <w:t>logies that bound the listeners together. All interwoven with traces of Irish and international in</w:t>
      </w:r>
      <w:r w:rsidR="00A1555C">
        <w:t>fl</w:t>
      </w:r>
      <w:r w:rsidR="00CF4405">
        <w:t>uences</w:t>
      </w:r>
      <w:r w:rsidR="00CF4405">
        <w:rPr>
          <w:rStyle w:val="FootnoteReference"/>
        </w:rPr>
        <w:footnoteReference w:id="13"/>
      </w:r>
      <w:r w:rsidR="00A1555C">
        <w:t xml:space="preserve"> and arcane references which may contain glimpses of iron age and pre- Christian traditions</w:t>
      </w:r>
      <w:r w:rsidR="00A1555C">
        <w:rPr>
          <w:rStyle w:val="FootnoteReference"/>
        </w:rPr>
        <w:footnoteReference w:id="14"/>
      </w:r>
    </w:p>
    <w:p w:rsidR="00356B04" w:rsidRDefault="00CC2AE4" w:rsidP="00356B04">
      <w:r>
        <w:t>Perhaps if there is one overriding theme to be found in the second Branch</w:t>
      </w:r>
      <w:r w:rsidR="00B80CF3">
        <w:t>,</w:t>
      </w:r>
      <w:r>
        <w:t xml:space="preserve"> it may be a warning </w:t>
      </w:r>
      <w:r w:rsidR="00AC6F15">
        <w:t>n</w:t>
      </w:r>
      <w:r>
        <w:t>ot to break sacred</w:t>
      </w:r>
      <w:r w:rsidR="008536CA">
        <w:t xml:space="preserve"> tribal lore. Both kings break the laws of Hospitality, </w:t>
      </w:r>
      <w:proofErr w:type="spellStart"/>
      <w:r w:rsidR="008536CA">
        <w:t>Matholwch</w:t>
      </w:r>
      <w:proofErr w:type="spellEnd"/>
      <w:r w:rsidR="008536CA">
        <w:t xml:space="preserve"> breaks his marriage vows and </w:t>
      </w:r>
      <w:proofErr w:type="spellStart"/>
      <w:r w:rsidR="008536CA">
        <w:t>Efn</w:t>
      </w:r>
      <w:r w:rsidR="00AC6F15">
        <w:t>y</w:t>
      </w:r>
      <w:r w:rsidR="008536CA">
        <w:t>si</w:t>
      </w:r>
      <w:r w:rsidR="00AC6F15">
        <w:t>e</w:t>
      </w:r>
      <w:r w:rsidR="008536CA">
        <w:t>n</w:t>
      </w:r>
      <w:proofErr w:type="spellEnd"/>
      <w:r w:rsidR="008536CA">
        <w:t xml:space="preserve"> murders a blood </w:t>
      </w:r>
      <w:r w:rsidR="00A1555C">
        <w:t>relative</w:t>
      </w:r>
      <w:r w:rsidR="00A1555C">
        <w:rPr>
          <w:rStyle w:val="FootnoteReference"/>
        </w:rPr>
        <w:footnoteReference w:id="15"/>
      </w:r>
      <w:r w:rsidR="00A1555C">
        <w:t>.</w:t>
      </w:r>
      <w:r w:rsidR="008536CA">
        <w:t>The inevitable result of such disregard for the conventions of behaviour is anarchy</w:t>
      </w:r>
      <w:r w:rsidR="00AC6F15">
        <w:t>.</w:t>
      </w:r>
    </w:p>
    <w:p w:rsidR="00CC4AB6" w:rsidRDefault="00CC4AB6" w:rsidP="00356B04">
      <w:r>
        <w:lastRenderedPageBreak/>
        <w:t>BIBIOGRAPHY</w:t>
      </w:r>
    </w:p>
    <w:p w:rsidR="00CC4AB6" w:rsidRDefault="00CC4AB6" w:rsidP="00CC4AB6">
      <w:pPr>
        <w:pStyle w:val="FootnoteText"/>
      </w:pPr>
    </w:p>
    <w:p w:rsidR="00CC4AB6" w:rsidRDefault="00CC4AB6" w:rsidP="00CC4AB6">
      <w:pPr>
        <w:pStyle w:val="FootnoteText"/>
      </w:pPr>
      <w:r>
        <w:t>Davies, S., The</w:t>
      </w:r>
      <w:r w:rsidRPr="00F64B44">
        <w:rPr>
          <w:i/>
        </w:rPr>
        <w:t xml:space="preserve"> </w:t>
      </w:r>
      <w:proofErr w:type="spellStart"/>
      <w:r w:rsidRPr="00F64B44">
        <w:rPr>
          <w:i/>
        </w:rPr>
        <w:t>Mabinogion</w:t>
      </w:r>
      <w:proofErr w:type="spellEnd"/>
      <w:r w:rsidRPr="00F64B44">
        <w:t>, (</w:t>
      </w:r>
      <w:r>
        <w:t>O</w:t>
      </w:r>
      <w:r w:rsidRPr="00F64B44">
        <w:t>xford University Press, 2007)</w:t>
      </w:r>
    </w:p>
    <w:p w:rsidR="00CC4AB6" w:rsidRDefault="00CC4AB6" w:rsidP="00CC4AB6">
      <w:pPr>
        <w:pStyle w:val="FootnoteText"/>
      </w:pPr>
    </w:p>
    <w:p w:rsidR="00CC4AB6" w:rsidRDefault="00CC4AB6" w:rsidP="00CC4AB6">
      <w:pPr>
        <w:pStyle w:val="FootnoteText"/>
      </w:pPr>
      <w:proofErr w:type="spellStart"/>
      <w:r>
        <w:t>Cotterell</w:t>
      </w:r>
      <w:proofErr w:type="spellEnd"/>
      <w:r>
        <w:t xml:space="preserve">, A., </w:t>
      </w:r>
      <w:r w:rsidRPr="00A66957">
        <w:rPr>
          <w:i/>
        </w:rPr>
        <w:t xml:space="preserve">The </w:t>
      </w:r>
      <w:proofErr w:type="spellStart"/>
      <w:r w:rsidRPr="00A66957">
        <w:rPr>
          <w:i/>
        </w:rPr>
        <w:t>Encyc</w:t>
      </w:r>
      <w:r>
        <w:rPr>
          <w:i/>
        </w:rPr>
        <w:t>l</w:t>
      </w:r>
      <w:r w:rsidRPr="00A66957">
        <w:rPr>
          <w:i/>
        </w:rPr>
        <w:t>opedia</w:t>
      </w:r>
      <w:proofErr w:type="spellEnd"/>
      <w:r w:rsidRPr="00A66957">
        <w:rPr>
          <w:i/>
        </w:rPr>
        <w:t xml:space="preserve"> of Mythology</w:t>
      </w:r>
      <w:r>
        <w:t xml:space="preserve"> (Leicestershire: </w:t>
      </w:r>
      <w:proofErr w:type="spellStart"/>
      <w:r>
        <w:t>Anness</w:t>
      </w:r>
      <w:proofErr w:type="spellEnd"/>
      <w:r>
        <w:t xml:space="preserve"> Publishing, 2011)</w:t>
      </w:r>
    </w:p>
    <w:p w:rsidR="00CC4AB6" w:rsidRDefault="00CC4AB6" w:rsidP="00CC4AB6">
      <w:pPr>
        <w:pStyle w:val="FootnoteText"/>
      </w:pPr>
    </w:p>
    <w:p w:rsidR="00CC4AB6" w:rsidRDefault="00CC4AB6" w:rsidP="00CC4AB6">
      <w:pPr>
        <w:pStyle w:val="FootnoteText"/>
      </w:pPr>
      <w:r>
        <w:t xml:space="preserve">Davies, S., </w:t>
      </w:r>
      <w:r w:rsidRPr="00F64B44">
        <w:rPr>
          <w:i/>
        </w:rPr>
        <w:t xml:space="preserve">The Four Branches of the </w:t>
      </w:r>
      <w:proofErr w:type="spellStart"/>
      <w:r w:rsidRPr="00F64B44">
        <w:rPr>
          <w:i/>
        </w:rPr>
        <w:t>Mabinogi</w:t>
      </w:r>
      <w:proofErr w:type="spellEnd"/>
      <w:r>
        <w:t xml:space="preserve"> (Dyfed: The Gomer Press, 1993)</w:t>
      </w:r>
    </w:p>
    <w:p w:rsidR="00CC4AB6" w:rsidRDefault="00CC4AB6" w:rsidP="00CC4AB6">
      <w:pPr>
        <w:pStyle w:val="FootnoteText"/>
      </w:pPr>
    </w:p>
    <w:p w:rsidR="00CC4AB6" w:rsidRDefault="00CC4AB6" w:rsidP="00CC4AB6">
      <w:pPr>
        <w:pStyle w:val="FootnoteText"/>
      </w:pPr>
      <w:r>
        <w:t xml:space="preserve">Green, M., </w:t>
      </w:r>
      <w:r w:rsidRPr="00F64B44">
        <w:rPr>
          <w:i/>
        </w:rPr>
        <w:t>The Gods of the Celts</w:t>
      </w:r>
      <w:r>
        <w:t xml:space="preserve"> (Stroud: The History Press, 2011)</w:t>
      </w:r>
    </w:p>
    <w:p w:rsidR="00CC4AB6" w:rsidRDefault="00CC4AB6" w:rsidP="00CC4AB6">
      <w:pPr>
        <w:pStyle w:val="FootnoteText"/>
      </w:pPr>
    </w:p>
    <w:p w:rsidR="00CC4AB6" w:rsidRDefault="00CC4AB6" w:rsidP="00CC4AB6">
      <w:pPr>
        <w:pStyle w:val="FootnoteText"/>
      </w:pPr>
      <w:r>
        <w:t>Virgil</w:t>
      </w:r>
      <w:r w:rsidRPr="00AD4D63">
        <w:rPr>
          <w:i/>
        </w:rPr>
        <w:t>., The Aeneid</w:t>
      </w:r>
      <w:r>
        <w:t xml:space="preserve"> (Translated by W.F, Jackson) (London: Penguin Classics 1984)</w:t>
      </w:r>
    </w:p>
    <w:p w:rsidR="00CC4AB6" w:rsidRDefault="00CC4AB6" w:rsidP="00CC4AB6">
      <w:pPr>
        <w:pStyle w:val="FootnoteText"/>
      </w:pPr>
    </w:p>
    <w:p w:rsidR="00CC4AB6" w:rsidRDefault="00CC4AB6" w:rsidP="00CC4AB6">
      <w:pPr>
        <w:pStyle w:val="FootnoteText"/>
      </w:pPr>
      <w:r>
        <w:t>Journal Articles</w:t>
      </w:r>
    </w:p>
    <w:p w:rsidR="00CC4AB6" w:rsidRDefault="00CC4AB6" w:rsidP="00CC4AB6">
      <w:pPr>
        <w:pStyle w:val="FootnoteText"/>
      </w:pPr>
    </w:p>
    <w:p w:rsidR="00CC4AB6" w:rsidRPr="00AB2259" w:rsidRDefault="00CC4AB6" w:rsidP="00CC4AB6">
      <w:pPr>
        <w:pStyle w:val="FootnoteText"/>
        <w:rPr>
          <w:i/>
        </w:rPr>
      </w:pPr>
      <w:r>
        <w:t xml:space="preserve">Bollard, J.K.’ The Role of Myth and Tradition in the Four Branches of the </w:t>
      </w:r>
      <w:proofErr w:type="spellStart"/>
      <w:r>
        <w:t>Mabinogi</w:t>
      </w:r>
      <w:proofErr w:type="spellEnd"/>
      <w:r>
        <w:t xml:space="preserve">’ </w:t>
      </w:r>
      <w:r w:rsidRPr="00AB2259">
        <w:rPr>
          <w:i/>
        </w:rPr>
        <w:t xml:space="preserve">Cambridge Medieval Celtic </w:t>
      </w:r>
      <w:r w:rsidRPr="00AB2259">
        <w:t>Studie</w:t>
      </w:r>
      <w:r>
        <w:t xml:space="preserve">s </w:t>
      </w:r>
      <w:r w:rsidRPr="00AB2259">
        <w:t>Vol 6, 1983</w:t>
      </w:r>
      <w:r>
        <w:t>,</w:t>
      </w:r>
      <w:r w:rsidRPr="00AB2259">
        <w:t xml:space="preserve"> pp</w:t>
      </w:r>
      <w:r>
        <w:t xml:space="preserve"> </w:t>
      </w:r>
      <w:r w:rsidRPr="00AB2259">
        <w:t>67-85</w:t>
      </w:r>
    </w:p>
    <w:p w:rsidR="00CC4AB6" w:rsidRDefault="00CC4AB6" w:rsidP="00CC4AB6">
      <w:pPr>
        <w:pStyle w:val="FootnoteText"/>
      </w:pPr>
    </w:p>
    <w:p w:rsidR="00CC4AB6" w:rsidRDefault="00CC4AB6" w:rsidP="00CC4AB6">
      <w:pPr>
        <w:pStyle w:val="FootnoteText"/>
      </w:pPr>
      <w:r>
        <w:t xml:space="preserve">Ford, P.K.’ A Study of The Celtic Affinities’, </w:t>
      </w:r>
      <w:proofErr w:type="spellStart"/>
      <w:r w:rsidRPr="00AB2259">
        <w:rPr>
          <w:i/>
        </w:rPr>
        <w:t>Studia</w:t>
      </w:r>
      <w:proofErr w:type="spellEnd"/>
      <w:r w:rsidRPr="00AB2259">
        <w:rPr>
          <w:i/>
        </w:rPr>
        <w:t xml:space="preserve"> </w:t>
      </w:r>
      <w:proofErr w:type="spellStart"/>
      <w:r w:rsidRPr="00AB2259">
        <w:rPr>
          <w:i/>
        </w:rPr>
        <w:t>Celtica</w:t>
      </w:r>
      <w:proofErr w:type="spellEnd"/>
      <w:r>
        <w:t xml:space="preserve"> Vol XX11/XX111 1987/</w:t>
      </w:r>
      <w:proofErr w:type="gramStart"/>
      <w:r>
        <w:t>8  pp</w:t>
      </w:r>
      <w:proofErr w:type="gramEnd"/>
      <w:r>
        <w:t>29-41</w:t>
      </w:r>
    </w:p>
    <w:p w:rsidR="00BB0819" w:rsidRDefault="00BB0819" w:rsidP="00CC4AB6">
      <w:pPr>
        <w:pStyle w:val="FootnoteText"/>
      </w:pPr>
    </w:p>
    <w:p w:rsidR="00CC4AB6" w:rsidRDefault="00CC4AB6" w:rsidP="00CC4AB6">
      <w:pPr>
        <w:pStyle w:val="FootnoteText"/>
      </w:pPr>
      <w:r>
        <w:t>Miles, B. ‘</w:t>
      </w:r>
      <w:proofErr w:type="spellStart"/>
      <w:r>
        <w:t>Branwen</w:t>
      </w:r>
      <w:proofErr w:type="spellEnd"/>
      <w:r>
        <w:t xml:space="preserve">: A Reconsideration of the German and Norse Analogues’ </w:t>
      </w:r>
      <w:r w:rsidRPr="00AD4D63">
        <w:rPr>
          <w:i/>
        </w:rPr>
        <w:t>Cambrian Medieval Celtic Studies</w:t>
      </w:r>
      <w:r>
        <w:t xml:space="preserve"> Vol 52,2006 pp13-48</w:t>
      </w:r>
    </w:p>
    <w:p w:rsidR="00A1555C" w:rsidRDefault="00A1555C" w:rsidP="0031269E"/>
    <w:p w:rsidR="001A78A1" w:rsidRPr="0031269E" w:rsidRDefault="001A78A1" w:rsidP="0031269E"/>
    <w:sectPr w:rsidR="001A78A1" w:rsidRPr="0031269E">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475C81" w:rsidRDefault="00475C81" w:rsidP="0031269E">
      <w:pPr>
        <w:spacing w:after="0" w:line="240" w:lineRule="auto"/>
      </w:pPr>
      <w:r>
        <w:separator/>
      </w:r>
    </w:p>
  </w:endnote>
  <w:endnote w:type="continuationSeparator" w:id="0">
    <w:p w:rsidR="00475C81" w:rsidRDefault="00475C81" w:rsidP="0031269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 w:name="Segoe UI">
    <w:panose1 w:val="020B0502040204020203"/>
    <w:charset w:val="00"/>
    <w:family w:val="swiss"/>
    <w:pitch w:val="variable"/>
    <w:sig w:usb0="E4002EFF" w:usb1="C000E47F" w:usb2="00000009" w:usb3="00000000" w:csb0="000001FF" w:csb1="00000000"/>
  </w:font>
  <w:font w:name="Georgia">
    <w:panose1 w:val="02040502050405020303"/>
    <w:charset w:val="00"/>
    <w:family w:val="roman"/>
    <w:pitch w:val="variable"/>
    <w:sig w:usb0="00000287" w:usb1="000000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475C81" w:rsidRDefault="00475C81" w:rsidP="0031269E">
      <w:pPr>
        <w:spacing w:after="0" w:line="240" w:lineRule="auto"/>
      </w:pPr>
      <w:r>
        <w:separator/>
      </w:r>
    </w:p>
  </w:footnote>
  <w:footnote w:type="continuationSeparator" w:id="0">
    <w:p w:rsidR="00475C81" w:rsidRDefault="00475C81" w:rsidP="0031269E">
      <w:pPr>
        <w:spacing w:after="0" w:line="240" w:lineRule="auto"/>
      </w:pPr>
      <w:r>
        <w:continuationSeparator/>
      </w:r>
    </w:p>
  </w:footnote>
  <w:footnote w:id="1">
    <w:p w:rsidR="0061605B" w:rsidRDefault="0061605B">
      <w:pPr>
        <w:pStyle w:val="FootnoteText"/>
      </w:pPr>
      <w:r>
        <w:rPr>
          <w:rStyle w:val="FootnoteReference"/>
        </w:rPr>
        <w:footnoteRef/>
      </w:r>
      <w:r>
        <w:t xml:space="preserve"> </w:t>
      </w:r>
      <w:r w:rsidR="002F2C72">
        <w:t xml:space="preserve">M.E. </w:t>
      </w:r>
      <w:proofErr w:type="gramStart"/>
      <w:r w:rsidR="002F2C72">
        <w:t xml:space="preserve">Harris </w:t>
      </w:r>
      <w:r w:rsidR="00BC697A">
        <w:t>,</w:t>
      </w:r>
      <w:r w:rsidR="002F2C72">
        <w:t>re</w:t>
      </w:r>
      <w:proofErr w:type="gramEnd"/>
      <w:r w:rsidR="00BC697A">
        <w:t xml:space="preserve"> </w:t>
      </w:r>
      <w:r w:rsidR="002F2C72">
        <w:t>t</w:t>
      </w:r>
      <w:r>
        <w:t>he Law of</w:t>
      </w:r>
      <w:r w:rsidRPr="002F2C72">
        <w:rPr>
          <w:i/>
        </w:rPr>
        <w:t xml:space="preserve"> </w:t>
      </w:r>
      <w:proofErr w:type="spellStart"/>
      <w:r w:rsidRPr="002F2C72">
        <w:rPr>
          <w:i/>
        </w:rPr>
        <w:t>Sarhad</w:t>
      </w:r>
      <w:proofErr w:type="spellEnd"/>
      <w:r>
        <w:t>, regarding Insult and Reparation</w:t>
      </w:r>
      <w:r w:rsidR="002F2C72">
        <w:t>, in Class Notes</w:t>
      </w:r>
      <w:r>
        <w:t xml:space="preserve"> </w:t>
      </w:r>
      <w:r w:rsidR="002F2C72">
        <w:t>,</w:t>
      </w:r>
      <w:r>
        <w:t xml:space="preserve"> 5:4</w:t>
      </w:r>
      <w:r w:rsidR="002F2C72">
        <w:t>,p.34</w:t>
      </w:r>
    </w:p>
  </w:footnote>
  <w:footnote w:id="2">
    <w:p w:rsidR="0061605B" w:rsidRDefault="0061605B">
      <w:pPr>
        <w:pStyle w:val="FootnoteText"/>
      </w:pPr>
      <w:r>
        <w:rPr>
          <w:rStyle w:val="FootnoteReference"/>
        </w:rPr>
        <w:footnoteRef/>
      </w:r>
      <w:r w:rsidR="00770AB9">
        <w:t xml:space="preserve">M. Green, </w:t>
      </w:r>
      <w:r w:rsidR="00770AB9" w:rsidRPr="00A31AC6">
        <w:rPr>
          <w:i/>
        </w:rPr>
        <w:t>The Gods of the Celts</w:t>
      </w:r>
      <w:r w:rsidR="00770AB9">
        <w:t xml:space="preserve"> (</w:t>
      </w:r>
      <w:proofErr w:type="spellStart"/>
      <w:proofErr w:type="gramStart"/>
      <w:r w:rsidR="00770AB9">
        <w:t>Stroud:The</w:t>
      </w:r>
      <w:proofErr w:type="spellEnd"/>
      <w:proofErr w:type="gramEnd"/>
      <w:r w:rsidR="00770AB9">
        <w:t xml:space="preserve"> History Press,2011),p.163</w:t>
      </w:r>
      <w:r>
        <w:t xml:space="preserve"> If the tales are survi</w:t>
      </w:r>
      <w:r w:rsidR="002F2C72">
        <w:t>vo</w:t>
      </w:r>
      <w:r>
        <w:t>rs of a pre Christian age, Horses were the symbol of a warrior elite and though not worshiped by the Celts symbolised strength and vitality to them.</w:t>
      </w:r>
    </w:p>
  </w:footnote>
  <w:footnote w:id="3">
    <w:p w:rsidR="001A612F" w:rsidRDefault="001A612F">
      <w:pPr>
        <w:pStyle w:val="FootnoteText"/>
      </w:pPr>
      <w:r>
        <w:rPr>
          <w:rStyle w:val="FootnoteReference"/>
        </w:rPr>
        <w:footnoteRef/>
      </w:r>
      <w:r w:rsidR="00A648CE">
        <w:t xml:space="preserve">Ibid., p.131. </w:t>
      </w:r>
      <w:r w:rsidR="001C1936">
        <w:t>Deposited Iron Age Cauldrons have bee</w:t>
      </w:r>
      <w:r w:rsidR="00A648CE">
        <w:t>n</w:t>
      </w:r>
      <w:r w:rsidR="001C1936">
        <w:t xml:space="preserve"> found in </w:t>
      </w:r>
      <w:proofErr w:type="spellStart"/>
      <w:r w:rsidR="001C1936">
        <w:t>Llyn</w:t>
      </w:r>
      <w:proofErr w:type="spellEnd"/>
      <w:r w:rsidR="001C1936">
        <w:t xml:space="preserve"> </w:t>
      </w:r>
      <w:proofErr w:type="spellStart"/>
      <w:r w:rsidR="001C1936">
        <w:t>Fawr</w:t>
      </w:r>
      <w:proofErr w:type="spellEnd"/>
      <w:r w:rsidR="001C1936">
        <w:t xml:space="preserve">, Glam and </w:t>
      </w:r>
      <w:proofErr w:type="spellStart"/>
      <w:r w:rsidR="001C1936">
        <w:t>Llyn</w:t>
      </w:r>
      <w:proofErr w:type="spellEnd"/>
      <w:r w:rsidR="001C1936">
        <w:t xml:space="preserve"> </w:t>
      </w:r>
      <w:proofErr w:type="spellStart"/>
      <w:r w:rsidR="001C1936">
        <w:t>Cerrig</w:t>
      </w:r>
      <w:proofErr w:type="spellEnd"/>
      <w:r w:rsidR="001C1936">
        <w:t xml:space="preserve"> Bach, </w:t>
      </w:r>
      <w:proofErr w:type="spellStart"/>
      <w:r w:rsidR="001C1936">
        <w:t>Angelsey</w:t>
      </w:r>
      <w:r w:rsidR="00C05D04">
        <w:t>.The</w:t>
      </w:r>
      <w:proofErr w:type="spellEnd"/>
      <w:r w:rsidR="001C1936">
        <w:t xml:space="preserve"> </w:t>
      </w:r>
      <w:proofErr w:type="spellStart"/>
      <w:r w:rsidR="001C1936">
        <w:t>Gunderstrup</w:t>
      </w:r>
      <w:proofErr w:type="spellEnd"/>
      <w:r w:rsidR="001C1936">
        <w:t xml:space="preserve"> Cauldron</w:t>
      </w:r>
      <w:r w:rsidR="00C05D04">
        <w:t>, an</w:t>
      </w:r>
      <w:r>
        <w:t xml:space="preserve"> Iron Age cauldron found in a Danish bog</w:t>
      </w:r>
    </w:p>
  </w:footnote>
  <w:footnote w:id="4">
    <w:p w:rsidR="00622966" w:rsidRDefault="001A612F">
      <w:pPr>
        <w:pStyle w:val="FootnoteText"/>
      </w:pPr>
      <w:r>
        <w:rPr>
          <w:rStyle w:val="FootnoteReference"/>
        </w:rPr>
        <w:footnoteRef/>
      </w:r>
      <w:r>
        <w:t xml:space="preserve"> </w:t>
      </w:r>
      <w:proofErr w:type="spellStart"/>
      <w:proofErr w:type="gramStart"/>
      <w:r w:rsidR="00A648CE">
        <w:t>Ford,P</w:t>
      </w:r>
      <w:proofErr w:type="gramEnd"/>
      <w:r w:rsidR="00A648CE">
        <w:t>.K</w:t>
      </w:r>
      <w:proofErr w:type="spellEnd"/>
      <w:r w:rsidR="00994549">
        <w:t xml:space="preserve">  ‘</w:t>
      </w:r>
    </w:p>
    <w:p w:rsidR="001A612F" w:rsidRDefault="00A648CE">
      <w:pPr>
        <w:pStyle w:val="FootnoteText"/>
      </w:pPr>
      <w:r>
        <w:t>A Study of the Celtic Affinities</w:t>
      </w:r>
      <w:proofErr w:type="gramStart"/>
      <w:r w:rsidR="00994549">
        <w:t>’</w:t>
      </w:r>
      <w:r w:rsidR="00C05D04">
        <w:t xml:space="preserve"> </w:t>
      </w:r>
      <w:r w:rsidRPr="00C05D04">
        <w:rPr>
          <w:i/>
        </w:rPr>
        <w:t>,</w:t>
      </w:r>
      <w:proofErr w:type="spellStart"/>
      <w:r w:rsidRPr="00C05D04">
        <w:rPr>
          <w:i/>
        </w:rPr>
        <w:t>Studia</w:t>
      </w:r>
      <w:proofErr w:type="spellEnd"/>
      <w:proofErr w:type="gramEnd"/>
      <w:r w:rsidRPr="00C05D04">
        <w:rPr>
          <w:i/>
        </w:rPr>
        <w:t xml:space="preserve"> </w:t>
      </w:r>
      <w:proofErr w:type="spellStart"/>
      <w:r w:rsidRPr="00C05D04">
        <w:rPr>
          <w:i/>
        </w:rPr>
        <w:t>Celtica</w:t>
      </w:r>
      <w:proofErr w:type="spellEnd"/>
      <w:r w:rsidRPr="00C05D04">
        <w:rPr>
          <w:i/>
        </w:rPr>
        <w:t>,</w:t>
      </w:r>
      <w:r>
        <w:t xml:space="preserve"> VolXX11/XX111, (1987/88):p36.</w:t>
      </w:r>
    </w:p>
  </w:footnote>
  <w:footnote w:id="5">
    <w:p w:rsidR="001C1936" w:rsidRDefault="001C1936">
      <w:pPr>
        <w:pStyle w:val="FootnoteText"/>
      </w:pPr>
      <w:r>
        <w:rPr>
          <w:rStyle w:val="FootnoteReference"/>
        </w:rPr>
        <w:footnoteRef/>
      </w:r>
      <w:r>
        <w:t xml:space="preserve"> Bollard calls him </w:t>
      </w:r>
      <w:proofErr w:type="spellStart"/>
      <w:r>
        <w:t>Timerous</w:t>
      </w:r>
      <w:proofErr w:type="spellEnd"/>
      <w:r w:rsidR="00393209">
        <w:t xml:space="preserve"> The Role of </w:t>
      </w:r>
      <w:proofErr w:type="gramStart"/>
      <w:r w:rsidR="00393209">
        <w:t>Myth  in</w:t>
      </w:r>
      <w:proofErr w:type="gramEnd"/>
      <w:r w:rsidR="00393209">
        <w:t xml:space="preserve"> the Four Branches of the </w:t>
      </w:r>
      <w:proofErr w:type="spellStart"/>
      <w:r w:rsidR="00393209">
        <w:t>Mabinogi</w:t>
      </w:r>
      <w:proofErr w:type="spellEnd"/>
      <w:r>
        <w:t xml:space="preserve"> p79-80</w:t>
      </w:r>
    </w:p>
  </w:footnote>
  <w:footnote w:id="6">
    <w:p w:rsidR="00CD07FB" w:rsidRDefault="00CD07FB">
      <w:pPr>
        <w:pStyle w:val="FootnoteText"/>
      </w:pPr>
      <w:r>
        <w:rPr>
          <w:rStyle w:val="FootnoteReference"/>
        </w:rPr>
        <w:footnoteRef/>
      </w:r>
      <w:r>
        <w:t xml:space="preserve"> Ali Baba’s would</w:t>
      </w:r>
      <w:r w:rsidR="00C05D04">
        <w:t>-</w:t>
      </w:r>
      <w:r>
        <w:t xml:space="preserve"> be assassins hide in empty oil jars, he kills them by pouring boiling oil into the jars and in a very relevant passage from the</w:t>
      </w:r>
      <w:r w:rsidRPr="00A31AC6">
        <w:rPr>
          <w:i/>
        </w:rPr>
        <w:t xml:space="preserve"> Aeneid</w:t>
      </w:r>
      <w:r>
        <w:t xml:space="preserve"> we read of the giant horse, “The engine of doom pregnant with armed men</w:t>
      </w:r>
      <w:r w:rsidR="00A648CE">
        <w:t>. Vi</w:t>
      </w:r>
      <w:r w:rsidR="00595AF0">
        <w:t>r</w:t>
      </w:r>
      <w:r w:rsidR="00A648CE">
        <w:t>gil,</w:t>
      </w:r>
      <w:r w:rsidR="00595AF0">
        <w:t xml:space="preserve"> </w:t>
      </w:r>
      <w:r w:rsidR="00595AF0" w:rsidRPr="00595AF0">
        <w:rPr>
          <w:i/>
        </w:rPr>
        <w:t>The Aeneid</w:t>
      </w:r>
      <w:r w:rsidR="00595AF0">
        <w:rPr>
          <w:i/>
        </w:rPr>
        <w:t>.</w:t>
      </w:r>
      <w:r w:rsidR="00595AF0">
        <w:t xml:space="preserve"> London, Penguin, Book 11,</w:t>
      </w:r>
      <w:r>
        <w:t xml:space="preserve"> p59 </w:t>
      </w:r>
      <w:r w:rsidR="00595AF0">
        <w:t>(T</w:t>
      </w:r>
      <w:r>
        <w:t xml:space="preserve">ranslated by W. </w:t>
      </w:r>
      <w:proofErr w:type="spellStart"/>
      <w:proofErr w:type="gramStart"/>
      <w:r>
        <w:t>F</w:t>
      </w:r>
      <w:r w:rsidR="00A648CE">
        <w:t>..J</w:t>
      </w:r>
      <w:r>
        <w:t>ackson</w:t>
      </w:r>
      <w:proofErr w:type="spellEnd"/>
      <w:proofErr w:type="gramEnd"/>
      <w:r w:rsidR="00A648CE">
        <w:t>-</w:t>
      </w:r>
      <w:r>
        <w:t xml:space="preserve"> Knight</w:t>
      </w:r>
      <w:r w:rsidR="00A648CE">
        <w:t>)</w:t>
      </w:r>
      <w:r w:rsidR="00595AF0">
        <w:t xml:space="preserve"> Also similarities with the Irish Tale </w:t>
      </w:r>
      <w:proofErr w:type="spellStart"/>
      <w:r w:rsidR="00595AF0" w:rsidRPr="00595AF0">
        <w:rPr>
          <w:i/>
        </w:rPr>
        <w:t>Mesca</w:t>
      </w:r>
      <w:proofErr w:type="spellEnd"/>
      <w:r w:rsidR="00595AF0" w:rsidRPr="00595AF0">
        <w:rPr>
          <w:i/>
        </w:rPr>
        <w:t xml:space="preserve"> </w:t>
      </w:r>
      <w:proofErr w:type="spellStart"/>
      <w:r w:rsidR="00595AF0" w:rsidRPr="00595AF0">
        <w:rPr>
          <w:i/>
        </w:rPr>
        <w:t>Ulad</w:t>
      </w:r>
      <w:proofErr w:type="spellEnd"/>
    </w:p>
  </w:footnote>
  <w:footnote w:id="7">
    <w:p w:rsidR="00E41BCA" w:rsidRDefault="00E41BCA">
      <w:pPr>
        <w:pStyle w:val="FootnoteText"/>
      </w:pPr>
      <w:r>
        <w:rPr>
          <w:rStyle w:val="FootnoteReference"/>
        </w:rPr>
        <w:footnoteRef/>
      </w:r>
      <w:r>
        <w:t xml:space="preserve"> </w:t>
      </w:r>
      <w:r w:rsidR="000010CA">
        <w:t>P.K. Ford,</w:t>
      </w:r>
      <w:r w:rsidR="00406D2A">
        <w:t xml:space="preserve"> ‘</w:t>
      </w:r>
      <w:r w:rsidR="000010CA">
        <w:t>A Study of the Celtic Affinities</w:t>
      </w:r>
      <w:r w:rsidR="00406D2A">
        <w:t>’</w:t>
      </w:r>
      <w:r w:rsidR="000010CA">
        <w:t xml:space="preserve">, </w:t>
      </w:r>
      <w:proofErr w:type="spellStart"/>
      <w:r w:rsidR="000010CA" w:rsidRPr="00406D2A">
        <w:rPr>
          <w:i/>
        </w:rPr>
        <w:t>Studia</w:t>
      </w:r>
      <w:proofErr w:type="spellEnd"/>
      <w:r w:rsidR="000010CA" w:rsidRPr="00406D2A">
        <w:rPr>
          <w:i/>
        </w:rPr>
        <w:t xml:space="preserve"> </w:t>
      </w:r>
      <w:proofErr w:type="spellStart"/>
      <w:r w:rsidR="000010CA" w:rsidRPr="00406D2A">
        <w:rPr>
          <w:i/>
        </w:rPr>
        <w:t>Celtica</w:t>
      </w:r>
      <w:proofErr w:type="spellEnd"/>
      <w:r w:rsidR="000010CA">
        <w:t>,</w:t>
      </w:r>
      <w:r w:rsidR="00406D2A">
        <w:t xml:space="preserve"> </w:t>
      </w:r>
      <w:r w:rsidR="000010CA">
        <w:t>VolXX11/XX</w:t>
      </w:r>
      <w:proofErr w:type="gramStart"/>
      <w:r w:rsidR="000010CA">
        <w:t>111,(</w:t>
      </w:r>
      <w:proofErr w:type="gramEnd"/>
      <w:r w:rsidR="000010CA">
        <w:t>1987/8)P36-40</w:t>
      </w:r>
    </w:p>
    <w:p w:rsidR="0092228D" w:rsidRDefault="0092228D">
      <w:pPr>
        <w:pStyle w:val="FootnoteText"/>
      </w:pPr>
    </w:p>
  </w:footnote>
  <w:footnote w:id="8">
    <w:p w:rsidR="00E41BCA" w:rsidRDefault="00E41BCA">
      <w:pPr>
        <w:pStyle w:val="FootnoteText"/>
      </w:pPr>
      <w:r>
        <w:rPr>
          <w:rStyle w:val="FootnoteReference"/>
        </w:rPr>
        <w:footnoteRef/>
      </w:r>
      <w:r>
        <w:t xml:space="preserve">  Three being a magic number for the Celts. Of great significance in pre </w:t>
      </w:r>
      <w:r w:rsidR="000E2E8B">
        <w:t>-</w:t>
      </w:r>
      <w:r>
        <w:t>Christian Druidic lore</w:t>
      </w:r>
      <w:r w:rsidR="000E2E8B">
        <w:t>,</w:t>
      </w:r>
      <w:r>
        <w:t xml:space="preserve"> it survived into Christian era. The Three Wise Men, The Holy Trinity, and is still familiar to modern audiences through nursey rhymes </w:t>
      </w:r>
      <w:r w:rsidR="000E2E8B">
        <w:t xml:space="preserve">and fairy stories. Most obvious </w:t>
      </w:r>
      <w:r w:rsidR="00AC6F15">
        <w:t xml:space="preserve">here </w:t>
      </w:r>
      <w:r w:rsidR="000E2E8B">
        <w:t>in the Triads which are incorporated into the</w:t>
      </w:r>
      <w:r w:rsidR="000E2E8B" w:rsidRPr="00406D2A">
        <w:rPr>
          <w:i/>
        </w:rPr>
        <w:t xml:space="preserve"> </w:t>
      </w:r>
      <w:proofErr w:type="spellStart"/>
      <w:r w:rsidR="000E2E8B" w:rsidRPr="00406D2A">
        <w:rPr>
          <w:i/>
        </w:rPr>
        <w:t>Mabinogi</w:t>
      </w:r>
      <w:proofErr w:type="spellEnd"/>
      <w:r w:rsidR="000E2E8B">
        <w:t xml:space="preserve"> tales</w:t>
      </w:r>
      <w:r>
        <w:t xml:space="preserve"> </w:t>
      </w:r>
    </w:p>
  </w:footnote>
  <w:footnote w:id="9">
    <w:p w:rsidR="00A91F6B" w:rsidRDefault="00A91F6B">
      <w:pPr>
        <w:pStyle w:val="FootnoteText"/>
      </w:pPr>
      <w:r>
        <w:rPr>
          <w:rStyle w:val="FootnoteReference"/>
        </w:rPr>
        <w:footnoteRef/>
      </w:r>
      <w:r>
        <w:t xml:space="preserve"> Although </w:t>
      </w:r>
      <w:proofErr w:type="spellStart"/>
      <w:r>
        <w:t>Efnysi</w:t>
      </w:r>
      <w:r w:rsidR="00406D2A">
        <w:t>e</w:t>
      </w:r>
      <w:r>
        <w:t>n</w:t>
      </w:r>
      <w:proofErr w:type="spellEnd"/>
      <w:r>
        <w:t xml:space="preserve"> is no god he shares some of the attributes of both Loki a Norse God “Who helped to perpetuate a cycle of violence and </w:t>
      </w:r>
      <w:proofErr w:type="spellStart"/>
      <w:r>
        <w:t>Nemthenga</w:t>
      </w:r>
      <w:proofErr w:type="spellEnd"/>
      <w:r w:rsidR="00AC6F15">
        <w:t>/</w:t>
      </w:r>
      <w:proofErr w:type="spellStart"/>
      <w:r w:rsidR="00AC6F15">
        <w:t>Briciu</w:t>
      </w:r>
      <w:proofErr w:type="spellEnd"/>
      <w:r>
        <w:t xml:space="preserve"> who appears in the Ulster Cycle and who P </w:t>
      </w:r>
      <w:proofErr w:type="spellStart"/>
      <w:r>
        <w:t>Mac</w:t>
      </w:r>
      <w:r w:rsidR="008333DC">
        <w:t>Cana</w:t>
      </w:r>
      <w:proofErr w:type="spellEnd"/>
      <w:r w:rsidR="008333DC">
        <w:t xml:space="preserve"> </w:t>
      </w:r>
      <w:r>
        <w:t xml:space="preserve">describes as A force of irrational malice”. </w:t>
      </w:r>
      <w:proofErr w:type="spellStart"/>
      <w:proofErr w:type="gramStart"/>
      <w:r w:rsidR="008333DC">
        <w:t>A.Cotterell</w:t>
      </w:r>
      <w:proofErr w:type="spellEnd"/>
      <w:proofErr w:type="gramEnd"/>
      <w:r w:rsidR="008333DC">
        <w:t xml:space="preserve">, </w:t>
      </w:r>
      <w:r w:rsidR="008333DC" w:rsidRPr="00A31AC6">
        <w:rPr>
          <w:i/>
        </w:rPr>
        <w:t xml:space="preserve">The </w:t>
      </w:r>
      <w:proofErr w:type="spellStart"/>
      <w:r w:rsidR="008333DC" w:rsidRPr="00A31AC6">
        <w:rPr>
          <w:i/>
        </w:rPr>
        <w:t>Encyclopedia</w:t>
      </w:r>
      <w:proofErr w:type="spellEnd"/>
      <w:r w:rsidR="008333DC" w:rsidRPr="00A31AC6">
        <w:rPr>
          <w:i/>
        </w:rPr>
        <w:t xml:space="preserve"> o</w:t>
      </w:r>
      <w:r w:rsidR="00406D2A">
        <w:rPr>
          <w:i/>
        </w:rPr>
        <w:t xml:space="preserve">f </w:t>
      </w:r>
      <w:r w:rsidR="008333DC" w:rsidRPr="00A31AC6">
        <w:rPr>
          <w:i/>
        </w:rPr>
        <w:t>Mythology</w:t>
      </w:r>
      <w:r w:rsidR="008333DC">
        <w:t>*(</w:t>
      </w:r>
      <w:proofErr w:type="spellStart"/>
      <w:r w:rsidR="008333DC">
        <w:t>Leicestershire:AnnessPublishing</w:t>
      </w:r>
      <w:proofErr w:type="spellEnd"/>
      <w:r w:rsidR="008333DC">
        <w:t>, 2011)p.206&amp;</w:t>
      </w:r>
      <w:r w:rsidR="00AC6F15">
        <w:t>110</w:t>
      </w:r>
      <w:r w:rsidR="008333DC">
        <w:t>,</w:t>
      </w:r>
    </w:p>
  </w:footnote>
  <w:footnote w:id="10">
    <w:p w:rsidR="00A91F6B" w:rsidRDefault="00A91F6B">
      <w:pPr>
        <w:pStyle w:val="FootnoteText"/>
      </w:pPr>
      <w:r>
        <w:rPr>
          <w:rStyle w:val="FootnoteReference"/>
        </w:rPr>
        <w:footnoteRef/>
      </w:r>
      <w:r>
        <w:t xml:space="preserve"> An archaic </w:t>
      </w:r>
      <w:r w:rsidR="00E43D1D">
        <w:t>Welsh three lined strict-meter form of poem/song</w:t>
      </w:r>
      <w:r w:rsidR="00406D2A">
        <w:t xml:space="preserve">. </w:t>
      </w:r>
      <w:proofErr w:type="gramStart"/>
      <w:r w:rsidR="00E43D1D">
        <w:t>.</w:t>
      </w:r>
      <w:r w:rsidR="00AC6F15">
        <w:t>S.</w:t>
      </w:r>
      <w:proofErr w:type="gramEnd"/>
      <w:r w:rsidR="00E43D1D">
        <w:t xml:space="preserve"> Davies</w:t>
      </w:r>
      <w:r w:rsidR="00AC6F15">
        <w:t xml:space="preserve">, </w:t>
      </w:r>
      <w:r w:rsidR="00AC6F15" w:rsidRPr="00A31AC6">
        <w:rPr>
          <w:i/>
        </w:rPr>
        <w:t xml:space="preserve">The </w:t>
      </w:r>
      <w:proofErr w:type="spellStart"/>
      <w:r w:rsidR="00AC6F15" w:rsidRPr="00A31AC6">
        <w:rPr>
          <w:i/>
        </w:rPr>
        <w:t>Mabinogon</w:t>
      </w:r>
      <w:proofErr w:type="spellEnd"/>
      <w:r w:rsidR="00AC6F15">
        <w:t>*(Oxford University Press,2007),</w:t>
      </w:r>
      <w:r w:rsidR="00E43D1D">
        <w:t xml:space="preserve"> p</w:t>
      </w:r>
      <w:r w:rsidR="00AC6F15">
        <w:t>.</w:t>
      </w:r>
      <w:r w:rsidR="00E43D1D">
        <w:t>235</w:t>
      </w:r>
      <w:r w:rsidR="00AC6F15">
        <w:t>.</w:t>
      </w:r>
    </w:p>
  </w:footnote>
  <w:footnote w:id="11">
    <w:p w:rsidR="00E43D1D" w:rsidRDefault="00E43D1D">
      <w:pPr>
        <w:pStyle w:val="FootnoteText"/>
      </w:pPr>
      <w:r>
        <w:rPr>
          <w:rStyle w:val="FootnoteReference"/>
        </w:rPr>
        <w:footnoteRef/>
      </w:r>
      <w:r>
        <w:t xml:space="preserve"> The disa</w:t>
      </w:r>
      <w:r w:rsidR="00AC6F15">
        <w:t>p</w:t>
      </w:r>
      <w:r>
        <w:t>pe</w:t>
      </w:r>
      <w:r w:rsidR="00AC6F15">
        <w:t>a</w:t>
      </w:r>
      <w:r>
        <w:t xml:space="preserve">rance of </w:t>
      </w:r>
      <w:proofErr w:type="spellStart"/>
      <w:r>
        <w:t>Nysi</w:t>
      </w:r>
      <w:r w:rsidR="00AC6F15">
        <w:t>e</w:t>
      </w:r>
      <w:r>
        <w:t>n</w:t>
      </w:r>
      <w:proofErr w:type="spellEnd"/>
      <w:r w:rsidR="00AC6F15">
        <w:t>. Ibid., p287.</w:t>
      </w:r>
    </w:p>
  </w:footnote>
  <w:footnote w:id="12">
    <w:p w:rsidR="00363E23" w:rsidRDefault="00363E23">
      <w:pPr>
        <w:pStyle w:val="FootnoteText"/>
      </w:pPr>
      <w:r>
        <w:rPr>
          <w:rStyle w:val="FootnoteReference"/>
        </w:rPr>
        <w:footnoteRef/>
      </w:r>
      <w:r>
        <w:t xml:space="preserve"> This would be heroic if it were not for the fact that the Irish would not have possessed it if had not been for his original transgression</w:t>
      </w:r>
    </w:p>
  </w:footnote>
  <w:footnote w:id="13">
    <w:p w:rsidR="00CF4405" w:rsidRDefault="00CF4405">
      <w:pPr>
        <w:pStyle w:val="FootnoteText"/>
      </w:pPr>
      <w:r>
        <w:rPr>
          <w:rStyle w:val="FootnoteReference"/>
        </w:rPr>
        <w:footnoteRef/>
      </w:r>
      <w:r>
        <w:t xml:space="preserve"> </w:t>
      </w:r>
      <w:r w:rsidR="006B1D6F">
        <w:t>There are striking similarities in the second branch with some Norse and Germanic tales. B. Miles, A Recons</w:t>
      </w:r>
      <w:r w:rsidR="00033B21">
        <w:t>ider</w:t>
      </w:r>
      <w:r w:rsidR="00393209">
        <w:t>a</w:t>
      </w:r>
      <w:r w:rsidR="00033B21">
        <w:t>tion</w:t>
      </w:r>
      <w:r w:rsidR="006B1D6F">
        <w:t xml:space="preserve"> of the German and Norse Analogues</w:t>
      </w:r>
      <w:r w:rsidR="00033B21">
        <w:t>, Ca</w:t>
      </w:r>
      <w:r w:rsidR="00393209">
        <w:t>mbrian Medieval Celtic Studies</w:t>
      </w:r>
      <w:r w:rsidR="006B1D6F">
        <w:t>, Vol XX11/XX111; (1987/</w:t>
      </w:r>
      <w:proofErr w:type="gramStart"/>
      <w:r w:rsidR="006B1D6F">
        <w:t>8)PP</w:t>
      </w:r>
      <w:proofErr w:type="gramEnd"/>
      <w:r w:rsidR="006B1D6F">
        <w:t>29-41</w:t>
      </w:r>
    </w:p>
  </w:footnote>
  <w:footnote w:id="14">
    <w:p w:rsidR="00A1555C" w:rsidRDefault="00A1555C">
      <w:pPr>
        <w:pStyle w:val="FootnoteText"/>
      </w:pPr>
      <w:r>
        <w:rPr>
          <w:rStyle w:val="FootnoteReference"/>
        </w:rPr>
        <w:footnoteRef/>
      </w:r>
      <w:r>
        <w:t xml:space="preserve"> </w:t>
      </w:r>
      <w:r w:rsidR="00572118">
        <w:t xml:space="preserve">K. Jackson, </w:t>
      </w:r>
      <w:r w:rsidR="00D503AE">
        <w:t>The International Popular Tale and Early Welsh Tradition* (Cardiff:1961)</w:t>
      </w:r>
    </w:p>
  </w:footnote>
  <w:footnote w:id="15">
    <w:p w:rsidR="00A1555C" w:rsidRDefault="00A1555C">
      <w:pPr>
        <w:pStyle w:val="FootnoteText"/>
      </w:pPr>
      <w:r>
        <w:rPr>
          <w:rStyle w:val="FootnoteReference"/>
        </w:rPr>
        <w:footnoteRef/>
      </w:r>
      <w:r>
        <w:t xml:space="preserve"> Could Incest be another broken taboo? </w:t>
      </w:r>
      <w:proofErr w:type="spellStart"/>
      <w:r>
        <w:t>Efnyision’s</w:t>
      </w:r>
      <w:proofErr w:type="spellEnd"/>
      <w:r>
        <w:t xml:space="preserve"> actions seem </w:t>
      </w:r>
      <w:r w:rsidR="00BC697A">
        <w:t>motiveless</w:t>
      </w:r>
      <w:r>
        <w:t xml:space="preserve"> and unfathomable but </w:t>
      </w:r>
      <w:r w:rsidR="00572118">
        <w:t>was</w:t>
      </w:r>
      <w:r>
        <w:t xml:space="preserve"> he in love with </w:t>
      </w:r>
      <w:proofErr w:type="spellStart"/>
      <w:r>
        <w:t>Branwen</w:t>
      </w:r>
      <w:proofErr w:type="spellEnd"/>
      <w:r>
        <w:t>? He is rage at her marriage, his attempt to foil it by insulting the Ir</w:t>
      </w:r>
      <w:r w:rsidR="00BC697A">
        <w:t>ish</w:t>
      </w:r>
      <w:r>
        <w:t xml:space="preserve"> </w:t>
      </w:r>
      <w:r w:rsidR="00BC697A">
        <w:t>K</w:t>
      </w:r>
      <w:r>
        <w:t xml:space="preserve">ing, even his </w:t>
      </w:r>
      <w:r w:rsidR="00E31AD6">
        <w:t>murder of her child</w:t>
      </w:r>
      <w:r w:rsidR="00D503AE">
        <w:t xml:space="preserve"> (</w:t>
      </w:r>
      <w:r w:rsidR="00E31AD6">
        <w:t>proof that she had lain with another man</w:t>
      </w:r>
      <w:r w:rsidR="00572118">
        <w:t>)</w:t>
      </w:r>
      <w:r w:rsidR="00E31AD6">
        <w:t xml:space="preserve"> could all point to overwhelming jealousy</w:t>
      </w:r>
    </w:p>
    <w:p w:rsidR="00EA344B" w:rsidRDefault="00EA344B">
      <w:pPr>
        <w:pStyle w:val="FootnoteText"/>
      </w:pPr>
    </w:p>
    <w:p w:rsidR="00EA344B" w:rsidRDefault="00EA344B">
      <w:pPr>
        <w:pStyle w:val="FootnoteText"/>
      </w:pPr>
    </w:p>
    <w:p w:rsidR="00EA344B" w:rsidRDefault="00EA344B">
      <w:pPr>
        <w:pStyle w:val="FootnoteText"/>
      </w:pPr>
    </w:p>
    <w:p w:rsidR="00EA344B" w:rsidRDefault="00EA344B">
      <w:pPr>
        <w:pStyle w:val="FootnoteText"/>
      </w:pPr>
    </w:p>
    <w:p w:rsidR="00EA344B" w:rsidRDefault="00EA344B">
      <w:pPr>
        <w:pStyle w:val="FootnoteText"/>
      </w:pPr>
    </w:p>
    <w:p w:rsidR="00CC4AB6" w:rsidRDefault="00CC4AB6">
      <w:pPr>
        <w:pStyle w:val="FootnoteText"/>
      </w:pPr>
    </w:p>
    <w:p w:rsidR="00CC4AB6" w:rsidRDefault="00CC4AB6">
      <w:pPr>
        <w:pStyle w:val="FootnoteText"/>
      </w:pPr>
    </w:p>
    <w:p w:rsidR="00CC4AB6" w:rsidRDefault="00CC4AB6">
      <w:pPr>
        <w:pStyle w:val="FootnoteText"/>
      </w:pPr>
    </w:p>
    <w:p w:rsidR="00AD4D63" w:rsidRDefault="00AD4D63">
      <w:pPr>
        <w:pStyle w:val="FootnoteText"/>
      </w:pPr>
    </w:p>
    <w:p w:rsidR="00CC4AB6" w:rsidRDefault="00CC4AB6">
      <w:pPr>
        <w:pStyle w:val="FootnoteText"/>
      </w:pPr>
    </w:p>
    <w:p w:rsidR="00CC4AB6" w:rsidRDefault="00CC4AB6">
      <w:pPr>
        <w:pStyle w:val="FootnoteText"/>
      </w:pPr>
    </w:p>
    <w:p w:rsidR="00CC4AB6" w:rsidRDefault="00CC4AB6">
      <w:pPr>
        <w:pStyle w:val="FootnoteText"/>
      </w:pPr>
    </w:p>
    <w:p w:rsidR="00CC4AB6" w:rsidRDefault="00CC4AB6">
      <w:pPr>
        <w:pStyle w:val="FootnoteText"/>
      </w:pPr>
    </w:p>
    <w:p w:rsidR="00CC4AB6" w:rsidRDefault="00CC4AB6">
      <w:pPr>
        <w:pStyle w:val="FootnoteText"/>
      </w:pPr>
    </w:p>
    <w:p w:rsidR="00CC4AB6" w:rsidRDefault="00CC4AB6">
      <w:pPr>
        <w:pStyle w:val="FootnoteText"/>
      </w:pPr>
    </w:p>
    <w:p w:rsidR="00CC4AB6" w:rsidRDefault="00CC4AB6">
      <w:pPr>
        <w:pStyle w:val="FootnoteText"/>
      </w:pPr>
    </w:p>
    <w:p w:rsidR="00CC4AB6" w:rsidRDefault="00CC4AB6">
      <w:pPr>
        <w:pStyle w:val="FootnoteText"/>
      </w:pPr>
    </w:p>
    <w:p w:rsidR="00CC4AB6" w:rsidRDefault="00CC4AB6">
      <w:pPr>
        <w:pStyle w:val="FootnoteText"/>
      </w:pPr>
    </w:p>
    <w:p w:rsidR="00CC4AB6" w:rsidRDefault="00CC4AB6">
      <w:pPr>
        <w:pStyle w:val="FootnoteText"/>
      </w:pP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1269E"/>
    <w:rsid w:val="000010CA"/>
    <w:rsid w:val="00033B21"/>
    <w:rsid w:val="000C2B58"/>
    <w:rsid w:val="000E2E8B"/>
    <w:rsid w:val="001A612F"/>
    <w:rsid w:val="001A78A1"/>
    <w:rsid w:val="001C1936"/>
    <w:rsid w:val="002054E5"/>
    <w:rsid w:val="00225285"/>
    <w:rsid w:val="00273C9C"/>
    <w:rsid w:val="002F2C72"/>
    <w:rsid w:val="0031269E"/>
    <w:rsid w:val="00356B04"/>
    <w:rsid w:val="00363E23"/>
    <w:rsid w:val="00393209"/>
    <w:rsid w:val="00406D2A"/>
    <w:rsid w:val="00475C81"/>
    <w:rsid w:val="00572118"/>
    <w:rsid w:val="00595AF0"/>
    <w:rsid w:val="0061605B"/>
    <w:rsid w:val="00622966"/>
    <w:rsid w:val="00656732"/>
    <w:rsid w:val="006B1D6F"/>
    <w:rsid w:val="006D283A"/>
    <w:rsid w:val="00740F1B"/>
    <w:rsid w:val="00770AB9"/>
    <w:rsid w:val="00784FFF"/>
    <w:rsid w:val="00791EA8"/>
    <w:rsid w:val="008333DC"/>
    <w:rsid w:val="008536CA"/>
    <w:rsid w:val="0092228D"/>
    <w:rsid w:val="00994549"/>
    <w:rsid w:val="00A1555C"/>
    <w:rsid w:val="00A31AC6"/>
    <w:rsid w:val="00A42A1F"/>
    <w:rsid w:val="00A648CE"/>
    <w:rsid w:val="00A66957"/>
    <w:rsid w:val="00A91F6B"/>
    <w:rsid w:val="00AB2259"/>
    <w:rsid w:val="00AC6F15"/>
    <w:rsid w:val="00AD4D63"/>
    <w:rsid w:val="00B80CF3"/>
    <w:rsid w:val="00BB0819"/>
    <w:rsid w:val="00BC697A"/>
    <w:rsid w:val="00C05D04"/>
    <w:rsid w:val="00C34A21"/>
    <w:rsid w:val="00C3682A"/>
    <w:rsid w:val="00C522CC"/>
    <w:rsid w:val="00C727A2"/>
    <w:rsid w:val="00CC2AE4"/>
    <w:rsid w:val="00CC4AB6"/>
    <w:rsid w:val="00CD07FB"/>
    <w:rsid w:val="00CF4405"/>
    <w:rsid w:val="00D37C12"/>
    <w:rsid w:val="00D503AE"/>
    <w:rsid w:val="00E2683E"/>
    <w:rsid w:val="00E278F1"/>
    <w:rsid w:val="00E31AD6"/>
    <w:rsid w:val="00E41BCA"/>
    <w:rsid w:val="00E43D1D"/>
    <w:rsid w:val="00EA344B"/>
    <w:rsid w:val="00F64B44"/>
    <w:rsid w:val="00F669D8"/>
    <w:rsid w:val="00FE06C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A13952"/>
  <w15:chartTrackingRefBased/>
  <w15:docId w15:val="{2E203A58-8E07-4339-B32F-E87DE8AAB9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480"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1269E"/>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356B04"/>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1269E"/>
    <w:rPr>
      <w:rFonts w:asciiTheme="majorHAnsi" w:eastAsiaTheme="majorEastAsia" w:hAnsiTheme="majorHAnsi" w:cstheme="majorBidi"/>
      <w:color w:val="2F5496" w:themeColor="accent1" w:themeShade="BF"/>
      <w:sz w:val="32"/>
      <w:szCs w:val="32"/>
    </w:rPr>
  </w:style>
  <w:style w:type="paragraph" w:styleId="FootnoteText">
    <w:name w:val="footnote text"/>
    <w:basedOn w:val="Normal"/>
    <w:link w:val="FootnoteTextChar"/>
    <w:uiPriority w:val="99"/>
    <w:semiHidden/>
    <w:unhideWhenUsed/>
    <w:rsid w:val="0031269E"/>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31269E"/>
    <w:rPr>
      <w:sz w:val="20"/>
      <w:szCs w:val="20"/>
    </w:rPr>
  </w:style>
  <w:style w:type="character" w:styleId="FootnoteReference">
    <w:name w:val="footnote reference"/>
    <w:basedOn w:val="DefaultParagraphFont"/>
    <w:uiPriority w:val="99"/>
    <w:semiHidden/>
    <w:unhideWhenUsed/>
    <w:rsid w:val="0031269E"/>
    <w:rPr>
      <w:vertAlign w:val="superscript"/>
    </w:rPr>
  </w:style>
  <w:style w:type="paragraph" w:styleId="BalloonText">
    <w:name w:val="Balloon Text"/>
    <w:basedOn w:val="Normal"/>
    <w:link w:val="BalloonTextChar"/>
    <w:uiPriority w:val="99"/>
    <w:semiHidden/>
    <w:unhideWhenUsed/>
    <w:rsid w:val="00FE06CC"/>
    <w:pPr>
      <w:spacing w:after="0" w:line="240" w:lineRule="auto"/>
    </w:pPr>
    <w:rPr>
      <w:rFonts w:ascii="Segoe UI" w:hAnsi="Segoe UI"/>
      <w:sz w:val="18"/>
      <w:szCs w:val="18"/>
    </w:rPr>
  </w:style>
  <w:style w:type="character" w:customStyle="1" w:styleId="BalloonTextChar">
    <w:name w:val="Balloon Text Char"/>
    <w:basedOn w:val="DefaultParagraphFont"/>
    <w:link w:val="BalloonText"/>
    <w:uiPriority w:val="99"/>
    <w:semiHidden/>
    <w:rsid w:val="00FE06CC"/>
    <w:rPr>
      <w:rFonts w:ascii="Segoe UI" w:hAnsi="Segoe UI"/>
      <w:sz w:val="18"/>
      <w:szCs w:val="18"/>
    </w:rPr>
  </w:style>
  <w:style w:type="character" w:customStyle="1" w:styleId="Heading3Char">
    <w:name w:val="Heading 3 Char"/>
    <w:basedOn w:val="DefaultParagraphFont"/>
    <w:link w:val="Heading3"/>
    <w:uiPriority w:val="9"/>
    <w:semiHidden/>
    <w:rsid w:val="00356B04"/>
    <w:rPr>
      <w:rFonts w:asciiTheme="majorHAnsi" w:eastAsiaTheme="majorEastAsia" w:hAnsiTheme="majorHAnsi" w:cstheme="majorBidi"/>
      <w:color w:val="1F3763" w:themeColor="accent1" w:themeShade="7F"/>
      <w:sz w:val="24"/>
      <w:szCs w:val="24"/>
    </w:rPr>
  </w:style>
  <w:style w:type="paragraph" w:styleId="NormalWeb">
    <w:name w:val="Normal (Web)"/>
    <w:basedOn w:val="Normal"/>
    <w:rsid w:val="00356B04"/>
    <w:pPr>
      <w:spacing w:before="100" w:beforeAutospacing="1" w:after="100" w:afterAutospacing="1" w:line="240" w:lineRule="auto"/>
    </w:pPr>
    <w:rPr>
      <w:rFonts w:ascii="Georgia" w:eastAsia="SimSun" w:hAnsi="Georgia" w:cs="Times New Roman"/>
      <w:color w:val="000000"/>
      <w:sz w:val="21"/>
      <w:szCs w:val="21"/>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496C82E-6BF2-4B6A-9A73-CE2776D7B77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461</TotalTime>
  <Pages>8</Pages>
  <Words>1207</Words>
  <Characters>6885</Characters>
  <Application>Microsoft Office Word</Application>
  <DocSecurity>0</DocSecurity>
  <Lines>57</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8076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PC</dc:creator>
  <cp:keywords/>
  <dc:description/>
  <cp:lastModifiedBy>PC</cp:lastModifiedBy>
  <cp:revision>19</cp:revision>
  <cp:lastPrinted>2017-11-04T16:39:00Z</cp:lastPrinted>
  <dcterms:created xsi:type="dcterms:W3CDTF">2017-11-04T13:53:00Z</dcterms:created>
  <dcterms:modified xsi:type="dcterms:W3CDTF">2017-11-06T11:39:00Z</dcterms:modified>
</cp:coreProperties>
</file>