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704EF" w14:textId="4DD73D45" w:rsidR="0039122E" w:rsidRPr="00736D70" w:rsidRDefault="549FA2D9" w:rsidP="00736D70">
      <w:pPr>
        <w:spacing w:before="240" w:after="240" w:line="360" w:lineRule="auto"/>
        <w:jc w:val="both"/>
        <w:rPr>
          <w:rFonts w:ascii="Arial" w:eastAsia="Arial" w:hAnsi="Arial" w:cs="Arial"/>
        </w:rPr>
      </w:pPr>
      <w:r w:rsidRPr="00736D70">
        <w:rPr>
          <w:rFonts w:ascii="Arial" w:eastAsia="Arial" w:hAnsi="Arial" w:cs="Arial"/>
        </w:rPr>
        <w:t>Student: Melis Shaban</w:t>
      </w:r>
    </w:p>
    <w:p w14:paraId="37E1A204" w14:textId="4CE9B210" w:rsidR="0039122E" w:rsidRPr="00736D70" w:rsidRDefault="549FA2D9" w:rsidP="00736D70">
      <w:pPr>
        <w:spacing w:before="240" w:after="240" w:line="360" w:lineRule="auto"/>
        <w:jc w:val="both"/>
        <w:rPr>
          <w:rFonts w:ascii="Arial" w:eastAsia="Arial" w:hAnsi="Arial" w:cs="Arial"/>
        </w:rPr>
      </w:pPr>
      <w:r w:rsidRPr="00736D70">
        <w:rPr>
          <w:rFonts w:ascii="Arial" w:eastAsia="Arial" w:hAnsi="Arial" w:cs="Arial"/>
        </w:rPr>
        <w:t>Student ID:2212035</w:t>
      </w:r>
    </w:p>
    <w:p w14:paraId="659FB651" w14:textId="69E10634" w:rsidR="0039122E" w:rsidRPr="00736D70" w:rsidRDefault="549FA2D9" w:rsidP="00736D70">
      <w:pPr>
        <w:spacing w:before="240" w:after="240" w:line="360" w:lineRule="auto"/>
        <w:jc w:val="both"/>
        <w:rPr>
          <w:rFonts w:ascii="Arial" w:eastAsia="Arial" w:hAnsi="Arial" w:cs="Arial"/>
        </w:rPr>
      </w:pPr>
      <w:r w:rsidRPr="00736D70">
        <w:rPr>
          <w:rFonts w:ascii="Arial" w:eastAsia="Arial" w:hAnsi="Arial" w:cs="Arial"/>
        </w:rPr>
        <w:t>Lecturer: Jessica Clapham</w:t>
      </w:r>
    </w:p>
    <w:p w14:paraId="42D66F73" w14:textId="29176A37" w:rsidR="0039122E" w:rsidRPr="00736D70" w:rsidRDefault="549FA2D9" w:rsidP="00736D70">
      <w:pPr>
        <w:spacing w:before="240" w:after="240" w:line="360" w:lineRule="auto"/>
        <w:jc w:val="both"/>
        <w:rPr>
          <w:rFonts w:ascii="Arial" w:eastAsia="Arial" w:hAnsi="Arial" w:cs="Arial"/>
        </w:rPr>
      </w:pPr>
      <w:r w:rsidRPr="00736D70">
        <w:rPr>
          <w:rFonts w:ascii="Arial" w:eastAsia="Arial" w:hAnsi="Arial" w:cs="Arial"/>
        </w:rPr>
        <w:t>Module: HPEN7006</w:t>
      </w:r>
      <w:r w:rsidRPr="00736D70">
        <w:rPr>
          <w:rFonts w:ascii="Arial" w:eastAsia="Arial" w:hAnsi="Arial" w:cs="Arial"/>
          <w:b/>
          <w:bCs/>
        </w:rPr>
        <w:t xml:space="preserve"> </w:t>
      </w:r>
    </w:p>
    <w:p w14:paraId="6C6E474E" w14:textId="7BA53189" w:rsidR="0039122E" w:rsidRDefault="0039122E" w:rsidP="00736D70">
      <w:pPr>
        <w:spacing w:before="240" w:after="240" w:line="360" w:lineRule="auto"/>
        <w:jc w:val="both"/>
        <w:rPr>
          <w:rFonts w:ascii="Arial" w:eastAsia="Arial" w:hAnsi="Arial" w:cs="Arial"/>
          <w:b/>
          <w:bCs/>
        </w:rPr>
      </w:pPr>
    </w:p>
    <w:p w14:paraId="49B10923" w14:textId="77777777" w:rsidR="00736D70" w:rsidRDefault="00736D70" w:rsidP="00736D70">
      <w:pPr>
        <w:spacing w:before="240" w:after="240" w:line="360" w:lineRule="auto"/>
        <w:jc w:val="both"/>
        <w:rPr>
          <w:rFonts w:ascii="Arial" w:eastAsia="Arial" w:hAnsi="Arial" w:cs="Arial"/>
          <w:b/>
          <w:bCs/>
        </w:rPr>
      </w:pPr>
    </w:p>
    <w:p w14:paraId="65D30ECD" w14:textId="77777777" w:rsidR="00736D70" w:rsidRDefault="00736D70" w:rsidP="00736D70">
      <w:pPr>
        <w:spacing w:before="240" w:after="240" w:line="360" w:lineRule="auto"/>
        <w:jc w:val="both"/>
        <w:rPr>
          <w:rFonts w:ascii="Arial" w:eastAsia="Arial" w:hAnsi="Arial" w:cs="Arial"/>
          <w:b/>
          <w:bCs/>
        </w:rPr>
      </w:pPr>
    </w:p>
    <w:p w14:paraId="29FD9BB5" w14:textId="77777777" w:rsidR="00736D70" w:rsidRDefault="00736D70" w:rsidP="00736D70">
      <w:pPr>
        <w:spacing w:before="240" w:after="240" w:line="360" w:lineRule="auto"/>
        <w:jc w:val="both"/>
        <w:rPr>
          <w:rFonts w:ascii="Arial" w:eastAsia="Arial" w:hAnsi="Arial" w:cs="Arial"/>
          <w:b/>
          <w:bCs/>
        </w:rPr>
      </w:pPr>
    </w:p>
    <w:p w14:paraId="727D6512" w14:textId="77777777" w:rsidR="00736D70" w:rsidRDefault="00736D70" w:rsidP="00736D70">
      <w:pPr>
        <w:spacing w:before="240" w:after="240" w:line="360" w:lineRule="auto"/>
        <w:jc w:val="both"/>
        <w:rPr>
          <w:rFonts w:ascii="Arial" w:eastAsia="Arial" w:hAnsi="Arial" w:cs="Arial"/>
          <w:b/>
          <w:bCs/>
        </w:rPr>
      </w:pPr>
    </w:p>
    <w:p w14:paraId="1834376D" w14:textId="77777777" w:rsidR="00736D70" w:rsidRDefault="00736D70" w:rsidP="00736D70">
      <w:pPr>
        <w:spacing w:before="240" w:after="240" w:line="360" w:lineRule="auto"/>
        <w:jc w:val="both"/>
        <w:rPr>
          <w:rFonts w:ascii="Arial" w:eastAsia="Arial" w:hAnsi="Arial" w:cs="Arial"/>
          <w:b/>
          <w:bCs/>
        </w:rPr>
      </w:pPr>
    </w:p>
    <w:p w14:paraId="5DDC186C" w14:textId="77777777" w:rsidR="00736D70" w:rsidRDefault="00736D70" w:rsidP="00736D70">
      <w:pPr>
        <w:spacing w:before="240" w:after="240" w:line="360" w:lineRule="auto"/>
        <w:jc w:val="both"/>
        <w:rPr>
          <w:rFonts w:ascii="Arial" w:eastAsia="Arial" w:hAnsi="Arial" w:cs="Arial"/>
          <w:b/>
          <w:bCs/>
        </w:rPr>
      </w:pPr>
    </w:p>
    <w:p w14:paraId="5D3093C9" w14:textId="77777777" w:rsidR="00736D70" w:rsidRDefault="00736D70" w:rsidP="00736D70">
      <w:pPr>
        <w:spacing w:before="240" w:after="240" w:line="360" w:lineRule="auto"/>
        <w:jc w:val="both"/>
        <w:rPr>
          <w:rFonts w:ascii="Arial" w:eastAsia="Arial" w:hAnsi="Arial" w:cs="Arial"/>
          <w:b/>
          <w:bCs/>
        </w:rPr>
      </w:pPr>
    </w:p>
    <w:p w14:paraId="1271C7FF" w14:textId="77777777" w:rsidR="00736D70" w:rsidRDefault="00736D70" w:rsidP="00736D70">
      <w:pPr>
        <w:spacing w:before="240" w:after="240" w:line="360" w:lineRule="auto"/>
        <w:jc w:val="both"/>
        <w:rPr>
          <w:rFonts w:ascii="Arial" w:eastAsia="Arial" w:hAnsi="Arial" w:cs="Arial"/>
          <w:b/>
          <w:bCs/>
        </w:rPr>
      </w:pPr>
    </w:p>
    <w:p w14:paraId="02EDA449" w14:textId="77777777" w:rsidR="00736D70" w:rsidRDefault="00736D70" w:rsidP="00736D70">
      <w:pPr>
        <w:spacing w:before="240" w:after="240" w:line="360" w:lineRule="auto"/>
        <w:jc w:val="both"/>
        <w:rPr>
          <w:rFonts w:ascii="Arial" w:eastAsia="Arial" w:hAnsi="Arial" w:cs="Arial"/>
          <w:b/>
          <w:bCs/>
        </w:rPr>
      </w:pPr>
    </w:p>
    <w:p w14:paraId="0DA83A34" w14:textId="77777777" w:rsidR="00736D70" w:rsidRDefault="00736D70" w:rsidP="00736D70">
      <w:pPr>
        <w:spacing w:before="240" w:after="240" w:line="360" w:lineRule="auto"/>
        <w:jc w:val="both"/>
        <w:rPr>
          <w:rFonts w:ascii="Arial" w:eastAsia="Arial" w:hAnsi="Arial" w:cs="Arial"/>
          <w:b/>
          <w:bCs/>
        </w:rPr>
      </w:pPr>
    </w:p>
    <w:p w14:paraId="319D8FFD" w14:textId="77777777" w:rsidR="00736D70" w:rsidRDefault="00736D70" w:rsidP="00736D70">
      <w:pPr>
        <w:spacing w:before="240" w:after="240" w:line="360" w:lineRule="auto"/>
        <w:jc w:val="both"/>
        <w:rPr>
          <w:rFonts w:ascii="Arial" w:eastAsia="Arial" w:hAnsi="Arial" w:cs="Arial"/>
          <w:b/>
          <w:bCs/>
        </w:rPr>
      </w:pPr>
    </w:p>
    <w:p w14:paraId="7D44FBE2" w14:textId="77777777" w:rsidR="00736D70" w:rsidRDefault="00736D70" w:rsidP="00736D70">
      <w:pPr>
        <w:spacing w:before="240" w:after="240" w:line="360" w:lineRule="auto"/>
        <w:jc w:val="both"/>
        <w:rPr>
          <w:rFonts w:ascii="Arial" w:eastAsia="Arial" w:hAnsi="Arial" w:cs="Arial"/>
          <w:b/>
          <w:bCs/>
        </w:rPr>
      </w:pPr>
    </w:p>
    <w:p w14:paraId="7F9C2348" w14:textId="77777777" w:rsidR="00736D70" w:rsidRDefault="00736D70" w:rsidP="00736D70">
      <w:pPr>
        <w:spacing w:before="240" w:after="240" w:line="360" w:lineRule="auto"/>
        <w:jc w:val="both"/>
        <w:rPr>
          <w:rFonts w:ascii="Arial" w:eastAsia="Arial" w:hAnsi="Arial" w:cs="Arial"/>
          <w:b/>
          <w:bCs/>
        </w:rPr>
      </w:pPr>
    </w:p>
    <w:p w14:paraId="117C7D7A" w14:textId="77777777" w:rsidR="00736D70" w:rsidRDefault="00736D70" w:rsidP="00736D70">
      <w:pPr>
        <w:spacing w:before="240" w:after="240" w:line="360" w:lineRule="auto"/>
        <w:jc w:val="both"/>
        <w:rPr>
          <w:rFonts w:ascii="Arial" w:eastAsia="Arial" w:hAnsi="Arial" w:cs="Arial"/>
          <w:b/>
          <w:bCs/>
        </w:rPr>
      </w:pPr>
    </w:p>
    <w:p w14:paraId="755F5026" w14:textId="77777777" w:rsidR="00736D70" w:rsidRPr="00736D70" w:rsidRDefault="00736D70" w:rsidP="00736D70">
      <w:pPr>
        <w:spacing w:before="240" w:after="240" w:line="360" w:lineRule="auto"/>
        <w:jc w:val="both"/>
        <w:rPr>
          <w:rFonts w:ascii="Arial" w:eastAsia="Arial" w:hAnsi="Arial" w:cs="Arial"/>
          <w:b/>
          <w:bCs/>
        </w:rPr>
      </w:pPr>
    </w:p>
    <w:p w14:paraId="375B437F" w14:textId="6492B4AB" w:rsidR="0039122E" w:rsidRPr="00736D70" w:rsidRDefault="1A44BA2C" w:rsidP="00736D70">
      <w:pPr>
        <w:spacing w:before="240" w:after="240" w:line="360" w:lineRule="auto"/>
        <w:jc w:val="both"/>
        <w:rPr>
          <w:rFonts w:ascii="Arial" w:eastAsia="Arial" w:hAnsi="Arial" w:cs="Arial"/>
        </w:rPr>
      </w:pPr>
      <w:r w:rsidRPr="00736D70">
        <w:rPr>
          <w:rFonts w:ascii="Arial" w:eastAsia="Arial" w:hAnsi="Arial" w:cs="Arial"/>
          <w:b/>
          <w:bCs/>
        </w:rPr>
        <w:lastRenderedPageBreak/>
        <w:t>Title:</w:t>
      </w:r>
      <w:r w:rsidRPr="00736D70">
        <w:rPr>
          <w:rFonts w:ascii="Arial" w:eastAsia="Arial" w:hAnsi="Arial" w:cs="Arial"/>
        </w:rPr>
        <w:t xml:space="preserve"> The benefits of codeswitching and teachers’ perceptions of codeswitching in the bilingual classroom</w:t>
      </w:r>
    </w:p>
    <w:p w14:paraId="7255D134" w14:textId="57D1F3CD" w:rsidR="0039122E" w:rsidRPr="00736D70" w:rsidRDefault="1A44BA2C" w:rsidP="00736D70">
      <w:pPr>
        <w:spacing w:line="360" w:lineRule="auto"/>
        <w:jc w:val="both"/>
        <w:rPr>
          <w:rFonts w:ascii="Arial" w:hAnsi="Arial" w:cs="Arial"/>
          <w:b/>
          <w:bCs/>
        </w:rPr>
      </w:pPr>
      <w:r w:rsidRPr="00736D70">
        <w:rPr>
          <w:rFonts w:ascii="Arial" w:hAnsi="Arial" w:cs="Arial"/>
          <w:b/>
          <w:bCs/>
        </w:rPr>
        <w:t>Introduction</w:t>
      </w:r>
    </w:p>
    <w:p w14:paraId="61318061" w14:textId="31DC0938"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Codeswitching is one of the most common but also one of the most debated practices in bilingual education. In many classrooms, teachers and learners move between languages when explaining ideas, giving instructions, checking understanding, managing behaviour, or building rapport. Even so, this has often been treated as a problem rather than a resource. For many years, target-language-only teaching was presented as the ideal, based on the assumption that more exposure to the target language would always produce better learning. From that perspective, use of the first language seemed like a sign of weakness or a failure to create a properly immersive environment. However, research over the last three decades has shown that the issue is far more complex than that.</w:t>
      </w:r>
    </w:p>
    <w:p w14:paraId="2A963252" w14:textId="5325FFF2"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 xml:space="preserve">In classroom research, codeswitching usually refers to the movement between two languages or varieties within the same interaction. In practice, this may involve a teacher switching briefly into the </w:t>
      </w:r>
      <w:r w:rsidR="11596813" w:rsidRPr="00736D70">
        <w:rPr>
          <w:rFonts w:ascii="Arial" w:eastAsia="Arial" w:hAnsi="Arial" w:cs="Arial"/>
        </w:rPr>
        <w:t>learners</w:t>
      </w:r>
      <w:r w:rsidRPr="00736D70">
        <w:rPr>
          <w:rFonts w:ascii="Arial" w:eastAsia="Arial" w:hAnsi="Arial" w:cs="Arial"/>
        </w:rPr>
        <w:t xml:space="preserve"> shared first language to explain a difficult grammar point, calm the class, or make sure a task is understood. It may also involve students shifting between languages during pair work or whole-class discussion. Some researchers now prefer the broader concept of translanguaging because it better reflects how bilingual speakers draw on their full linguistic repertoires rather than moving between two </w:t>
      </w:r>
      <w:r w:rsidR="2C98784A" w:rsidRPr="00736D70">
        <w:rPr>
          <w:rFonts w:ascii="Arial" w:eastAsia="Arial" w:hAnsi="Arial" w:cs="Arial"/>
        </w:rPr>
        <w:t>separate</w:t>
      </w:r>
      <w:r w:rsidRPr="00736D70">
        <w:rPr>
          <w:rFonts w:ascii="Arial" w:eastAsia="Arial" w:hAnsi="Arial" w:cs="Arial"/>
        </w:rPr>
        <w:t xml:space="preserve"> systems (García and Wei, 2014). Even so, the term codeswitching remains useful for this assignment because it is the term used in the brief and because much of the classroom literature still employs it.</w:t>
      </w:r>
    </w:p>
    <w:p w14:paraId="16C1A706" w14:textId="7C64E314"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 xml:space="preserve">This essay argues that codeswitching can bring clear benefits to the bilingual classroom when it is used strategically rather than excessively. Three benefits are especially important. First, it can support comprehension and cognitive scaffolding by helping learners connect new material to what they already know. Second, it can improve classroom management and pedagogical efficiency by making instructions, procedures and transitions clearer. Third, it can support participation, reduce anxiety and validate bilingual identities, which are all important in classrooms where language learning is also a social and emotional process. At the same time, teachers’ </w:t>
      </w:r>
      <w:r w:rsidRPr="00736D70">
        <w:rPr>
          <w:rFonts w:ascii="Arial" w:eastAsia="Arial" w:hAnsi="Arial" w:cs="Arial"/>
        </w:rPr>
        <w:lastRenderedPageBreak/>
        <w:t>perceptions of codeswitching are often mixed. Many teachers see it as useful and even necessary, but they may still feel pressure from monolingual teaching ideologies or worry that overuse will reduce target-language exposure. The most convincing position, therefore, is not that codeswitching should always be encouraged, nor that it should always be avoided. Rather, it should be understood as a pedagogical resource whose value depends on how, when and why it is used.</w:t>
      </w:r>
    </w:p>
    <w:p w14:paraId="575F70F6" w14:textId="57C9A54A" w:rsidR="0039122E" w:rsidRPr="00736D70" w:rsidRDefault="1A44BA2C" w:rsidP="00736D70">
      <w:pPr>
        <w:spacing w:line="360" w:lineRule="auto"/>
        <w:jc w:val="both"/>
        <w:rPr>
          <w:rFonts w:ascii="Arial" w:hAnsi="Arial" w:cs="Arial"/>
          <w:b/>
          <w:bCs/>
        </w:rPr>
      </w:pPr>
      <w:r w:rsidRPr="00736D70">
        <w:rPr>
          <w:rFonts w:ascii="Arial" w:hAnsi="Arial" w:cs="Arial"/>
          <w:b/>
          <w:bCs/>
        </w:rPr>
        <w:t>Codeswitching and the shift away from monolingual classroom thinking</w:t>
      </w:r>
    </w:p>
    <w:p w14:paraId="191E906B" w14:textId="2E23D858"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The debate around codeswitching cannot be understood without considering the wider ideology of language teaching. A long-standing assumption in language education has been that the best classroom is the one in which the target language is used almost all the time. This view has often been linked to communicative teaching, immersion principles, and the idea that maximum exposure leads to maximum acquisition. Yet scholars have increasingly challenged the idea that exclusive target-language use is always the best option. Cook (2001) argues that the rejection of the first language rests on weak assumptions, including a doubtful analogy with first language acquisition and an unrealistic separation of languages in the mind of the bilingual learner. In other words, learners do not enter the classroom as blank slates. They already possess linguistic knowledge, and that knowledge can support further learning.</w:t>
      </w:r>
    </w:p>
    <w:p w14:paraId="5F5F1031" w14:textId="1940B50D"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 xml:space="preserve">Littlewood and Yu (2011) similarly argue that the relationship between the first language and the target language is more dynamic than simple prohibition allows. They show that learners’ first language can play a useful part in the classroom if teachers use it with a clear purpose. Hall and Cook’s (2012) state-of-the-art review reaches a similar conclusion. They demonstrate that own-language use remains widespread across classrooms internationally and that many arguments against it are based more on ideology than on strong classroom evidence. Lin (2013) also shows that research on classroom codeswitching has moved from seeing it as interference to treating it as a situated interactional practice. This matters because it changes the question. Instead of asking whether codeswitching is right or </w:t>
      </w:r>
      <w:r w:rsidR="005AB80D" w:rsidRPr="00736D70">
        <w:rPr>
          <w:rFonts w:ascii="Arial" w:eastAsia="Arial" w:hAnsi="Arial" w:cs="Arial"/>
        </w:rPr>
        <w:t>wrong, researchers</w:t>
      </w:r>
      <w:r w:rsidRPr="00736D70">
        <w:rPr>
          <w:rFonts w:ascii="Arial" w:eastAsia="Arial" w:hAnsi="Arial" w:cs="Arial"/>
        </w:rPr>
        <w:t xml:space="preserve"> increasingly ask what it does, whose needs it serves, and under what conditions it supports learning.</w:t>
      </w:r>
    </w:p>
    <w:p w14:paraId="3764152A" w14:textId="0C934CE0"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lastRenderedPageBreak/>
        <w:t xml:space="preserve">This shift is important for bilingual </w:t>
      </w:r>
      <w:r w:rsidR="160C1966" w:rsidRPr="00736D70">
        <w:rPr>
          <w:rFonts w:ascii="Arial" w:eastAsia="Arial" w:hAnsi="Arial" w:cs="Arial"/>
        </w:rPr>
        <w:t>classrooms</w:t>
      </w:r>
      <w:r w:rsidRPr="00736D70">
        <w:rPr>
          <w:rFonts w:ascii="Arial" w:eastAsia="Arial" w:hAnsi="Arial" w:cs="Arial"/>
        </w:rPr>
        <w:t>. A bilingual classroom is not simply a classroom with more than one language present. It is a space where languages are connected to power, identity, social relations and access to knowledge. Lewis, Jones and Baker (2012) show that the idea of translanguaging emerged partly from recognising that bilingual learners do not necessarily keep languages separate in the ways schools often expect. García and Wei (2014) go further by arguing that bilingual meaning-making is dynamic and cannot always be captured by rigid monolingual categories. Although not all researchers use the same terminology, the wider point is clear: classroom language use needs to be understood in relation to real bilingual practices rather than idealised monolingual norms.</w:t>
      </w:r>
    </w:p>
    <w:p w14:paraId="52214858" w14:textId="3C472ACD"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This does not mean that concerns about target-language exposure are unimportant. Teachers still need to create opportunities for learners to hear, use and develop the target language. However, a strict English-only or target-language-only position can ignore the realities of teaching and learning, especially in bilingual classrooms where students may need support to access content or participate fully. The classroom literature therefore points towards a more balanced and more realistic view. Codeswitching is not automatically beneficial, but neither is it automatically harmful. Its value lies in its function.</w:t>
      </w:r>
    </w:p>
    <w:p w14:paraId="46DF4354" w14:textId="64247146" w:rsidR="0039122E" w:rsidRPr="00736D70" w:rsidRDefault="1A44BA2C" w:rsidP="00736D70">
      <w:pPr>
        <w:spacing w:line="360" w:lineRule="auto"/>
        <w:jc w:val="both"/>
        <w:rPr>
          <w:rFonts w:ascii="Arial" w:eastAsia="Arial" w:hAnsi="Arial" w:cs="Arial"/>
          <w:b/>
          <w:bCs/>
        </w:rPr>
      </w:pPr>
      <w:r w:rsidRPr="00736D70">
        <w:rPr>
          <w:rFonts w:ascii="Arial" w:hAnsi="Arial" w:cs="Arial"/>
          <w:b/>
          <w:bCs/>
        </w:rPr>
        <w:t>Benefit</w:t>
      </w:r>
      <w:r w:rsidRPr="00736D70">
        <w:rPr>
          <w:rFonts w:ascii="Arial" w:eastAsia="Arial" w:hAnsi="Arial" w:cs="Arial"/>
          <w:b/>
          <w:bCs/>
        </w:rPr>
        <w:t xml:space="preserve"> 1: comprehension and cognitive scaffolding</w:t>
      </w:r>
    </w:p>
    <w:p w14:paraId="68203CB5" w14:textId="0C15E927"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The first major benefit of codeswitching is that it can support comprehension. In bilingual classrooms, learners often meet unfamiliar vocabulary, abstract ideas and complex explanations. If everything is kept only in the target language, some students may follow the general lesson but miss the key concept, while others may become lost altogether. Strategic use of the first language can provide a bridge between existing knowledge and new information.</w:t>
      </w:r>
    </w:p>
    <w:p w14:paraId="6817C2DB" w14:textId="206168A5"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 xml:space="preserve">Cook (2001) makes this point clearly when he argues that the first language can be a cognitive tool rather than an obstacle. Instead of treating it as interference, he suggests that teachers can use it to convey meaning quickly, make comparisons between languages and help learners notice differences and similarities. This is particularly useful when a concept is difficult or when misunderstanding would prevent further learning. De la Campa and Nassaji (2009), in their study of university L2 </w:t>
      </w:r>
      <w:r w:rsidRPr="00736D70">
        <w:rPr>
          <w:rFonts w:ascii="Arial" w:eastAsia="Arial" w:hAnsi="Arial" w:cs="Arial"/>
        </w:rPr>
        <w:lastRenderedPageBreak/>
        <w:t>classrooms, found that teachers used the first language for several comprehension-related purposes, including explaining grammar, clarifying vocabulary and checking understanding. Their findings suggest that codeswitching is often deliberate and linked to moments when comprehension is at risk.</w:t>
      </w:r>
    </w:p>
    <w:p w14:paraId="504E4F76" w14:textId="0F6B641D"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Interactional studies show the same pattern. Üstünel and Seedhouse (2005) show that codeswitching is closely connected to pedagogical focus and often occurs where clarification is needed or misunderstanding has to be repaired. This makes codeswitching a form of scaffolding. It allows learners to stay engaged with the lesson instead of becoming stuck on one part of it.</w:t>
      </w:r>
    </w:p>
    <w:p w14:paraId="41BCBD47" w14:textId="40747F87" w:rsidR="0039122E" w:rsidRPr="00736D70" w:rsidRDefault="14F14B6B" w:rsidP="00736D70">
      <w:pPr>
        <w:spacing w:before="240" w:after="240" w:line="360" w:lineRule="auto"/>
        <w:jc w:val="both"/>
        <w:rPr>
          <w:rFonts w:ascii="Arial" w:hAnsi="Arial" w:cs="Arial"/>
        </w:rPr>
      </w:pPr>
      <w:r w:rsidRPr="00736D70">
        <w:rPr>
          <w:rFonts w:ascii="Arial" w:eastAsia="Arial" w:hAnsi="Arial" w:cs="Arial"/>
        </w:rPr>
        <w:t xml:space="preserve">More recent research supports this view. Ataş and Sağın-Şimşek (2021) found that both teachers and students used codeswitching for educational and discourse-related functions in Turkish EFL classrooms. One of the clearest benefits was support for meaning-making. Hazaymeh (2022) similarly reports that teachers perceived codeswitching as helpful for making instruction clearer and more accessible. </w:t>
      </w:r>
      <w:r w:rsidRPr="00736D70">
        <w:rPr>
          <w:rFonts w:ascii="Arial" w:eastAsia="Arial" w:hAnsi="Arial" w:cs="Arial"/>
          <w:b/>
          <w:bCs/>
        </w:rPr>
        <w:t>Littlewood and Wang (2022)</w:t>
      </w:r>
      <w:r w:rsidRPr="00736D70">
        <w:rPr>
          <w:rFonts w:ascii="Arial" w:eastAsia="Arial" w:hAnsi="Arial" w:cs="Arial"/>
        </w:rPr>
        <w:t xml:space="preserve"> also argue that the learners’ first language can play a constructive role in foreign language classrooms, especially when the goal is not to replace the target language but to support learning more effectively. </w:t>
      </w:r>
    </w:p>
    <w:p w14:paraId="2B67BB48" w14:textId="42C9E068"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From a critical perspective, though, the comprehension argument needs balance. If every difficult idea is immediately translated, learners may become too dependent on translation and may have fewer chances to develop inferencing strategies in the target language. Macaro (2001) is helpful here because he does not present the issue in absolute terms. Instead, he focuses on teacher decision-making. What matters is whether the switch is justified by the learning goal. In that sense, codeswitching is most useful when it is selective. Used well, it can make input more meaningful and reduce confusion. Used too often, it can reduce the pressure learners need to process the target language more deeply.</w:t>
      </w:r>
    </w:p>
    <w:p w14:paraId="0EADDB78" w14:textId="6D03AD6E"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Overall, the evidence suggests that comprehension is one of the strongest pedagogical reasons for codeswitching. In bilingual classrooms, understanding is not a minor issue; it is the condition that allows learning to continue. When teachers switch language purposefully to support difficult content, they are not lowering standards. They are often making the lesson teachable.</w:t>
      </w:r>
    </w:p>
    <w:p w14:paraId="11B89CE0" w14:textId="19637E8E" w:rsidR="0039122E" w:rsidRPr="00736D70" w:rsidRDefault="1A44BA2C" w:rsidP="00736D70">
      <w:pPr>
        <w:spacing w:line="360" w:lineRule="auto"/>
        <w:jc w:val="both"/>
        <w:rPr>
          <w:rFonts w:ascii="Arial" w:hAnsi="Arial" w:cs="Arial"/>
          <w:b/>
          <w:bCs/>
        </w:rPr>
      </w:pPr>
      <w:r w:rsidRPr="00736D70">
        <w:rPr>
          <w:rFonts w:ascii="Arial" w:hAnsi="Arial" w:cs="Arial"/>
          <w:b/>
          <w:bCs/>
        </w:rPr>
        <w:lastRenderedPageBreak/>
        <w:t>Benefit 2: classroom management and pedagogical efficiency</w:t>
      </w:r>
    </w:p>
    <w:p w14:paraId="35D9203B" w14:textId="2B40A95B"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A second major benefit of codeswitching is that it can support classroom management and make teaching more efficient. Classrooms are not only places where content is taught. They are also spaces that need to be organised. Teachers must give instructions, manage transitions, maintain attention, respond to disruption, and keep lessons moving. In many bilingual classrooms, using the shared first language briefly can make these processes quicker and clearer.</w:t>
      </w:r>
    </w:p>
    <w:p w14:paraId="49CB2EC5" w14:textId="2DB41E66"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Early research already showed that codeswitching served organisational purposes. Canagarajah (1995) found that it was used not only for academic explanation but also for managing the social and practical demands of the classroom. Eldridge (1996) likewise showed that learner language switching in a Turkish secondary school was often purposeful rather than careless, while Ferguson (2003) argued that classroom codeswitching had important procedural and managerial functions. Together, these studies show that bilingual classroom communication is about much more than vocabulary teaching.</w:t>
      </w:r>
    </w:p>
    <w:p w14:paraId="4A812F53" w14:textId="11140E9D"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This is also where pedagogical efficiency becomes relevant. In theory, a teacher might insist on giving every instruction in the target language to maximise exposure. In practice, if students do not understand the instruction, the result may be wasted time, confusion and reduced participation. A short switch to the first language can therefore save time and protect the main learning activity. Copland and Neokleous (2011) describe this tension well. Their study highlights the complexities and contradictions teachers face when deciding whether to use the first language. Teachers may value the principle of target-language use, yet still find that some first-language use is the most practical option.</w:t>
      </w:r>
    </w:p>
    <w:p w14:paraId="5B369A26" w14:textId="1F122AFA"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Adriosh and Razi (2019) support this point in their study of Libyan undergraduate EFL classrooms. They found that teachers used codeswitching for a range of functions and that both teachers and students often saw it as helpful rather than damaging. Horasan (2014) also found that teachers and students recognised useful discourse functions in classroom codeswitching. These findings matter because they show that many teachers do not see codeswitching as a failure of teaching. They see it as part of getting the class to work.</w:t>
      </w:r>
    </w:p>
    <w:p w14:paraId="0728A36A" w14:textId="0ADCE71C"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lastRenderedPageBreak/>
        <w:t>There is, however, an important limitation. Convenience alone is not a sufficient reason to codeswitch constantly. If teachers switch too quickly whenever a task becomes demanding, students may not learn to cope with classroom discourse in the target language. Inbar-Lourie (2010), writing about teachers of young EFL learners, shows that linguistic choices are shaped by beliefs, context and pedagogy. This means that classroom management decisions are never neutral. A teacher may feel that switching language is efficient, but that choice still has consequences for target-language practice.</w:t>
      </w:r>
    </w:p>
    <w:p w14:paraId="021DD065" w14:textId="4B7AB7E1"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For that reason, the strongest argument is not that classroom management justifies any amount of codeswitching. Rather, codeswitching is most valuable when it removes a practical obstacle and then allows the lesson to continue with better focus. In that role, it can make the classroom more manageable without replacing the wider need for target-language use.</w:t>
      </w:r>
    </w:p>
    <w:p w14:paraId="047DB00F" w14:textId="3BB499DA" w:rsidR="0039122E" w:rsidRPr="00736D70" w:rsidRDefault="1A44BA2C" w:rsidP="00736D70">
      <w:pPr>
        <w:spacing w:line="360" w:lineRule="auto"/>
        <w:jc w:val="both"/>
        <w:rPr>
          <w:rFonts w:ascii="Arial" w:hAnsi="Arial" w:cs="Arial"/>
          <w:b/>
          <w:bCs/>
        </w:rPr>
      </w:pPr>
      <w:r w:rsidRPr="00736D70">
        <w:rPr>
          <w:rFonts w:ascii="Arial" w:hAnsi="Arial" w:cs="Arial"/>
          <w:b/>
          <w:bCs/>
        </w:rPr>
        <w:t>Benefit 3: affective support, participation and bilingual identity</w:t>
      </w:r>
    </w:p>
    <w:p w14:paraId="5B9C7A39" w14:textId="128EC5B0"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A third important benefit of codeswitching is its affective and interpersonal value. Language learning is not only about processing input and producing output. It is also shaped by confidence, anxiety, belonging and willingness to participate. In bilingual classrooms, strict target-language-only rules can make some learners feel exposed, especially if they fear making mistakes or if they feel that their home language has no place in school. In such cases, codeswitching can help create a more secure and inclusive learning environment.</w:t>
      </w:r>
    </w:p>
    <w:p w14:paraId="272A8512" w14:textId="76988B7B"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Levine (2003) is especially useful here because he connects beliefs about classroom language use with learner anxiety. His findings suggest that first-language use can make some learners feel more comfortable and more able to participate. This does not mean students want the target language removed from the classroom. Rather, it suggests that occasional first-language support can reduce unnecessary stress. Zainil and Arsyad (2021) also found that teachers saw codeswitching as serving not only pedagogical functions but also relational ones. Teachers used it to connect with learners, to encourage them and to manage classroom interaction more sensitively.</w:t>
      </w:r>
    </w:p>
    <w:p w14:paraId="1A5100C2" w14:textId="45DC3964"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 xml:space="preserve">The issue of identity is just as important. Lewis, Jones and Baker (2012) argue that translanguaging developed partly from educational contexts in which bilingual </w:t>
      </w:r>
      <w:r w:rsidRPr="00736D70">
        <w:rPr>
          <w:rFonts w:ascii="Arial" w:eastAsia="Arial" w:hAnsi="Arial" w:cs="Arial"/>
        </w:rPr>
        <w:lastRenderedPageBreak/>
        <w:t xml:space="preserve">speakers were already moving naturally between languages. García and Wei (2014) build on this by presenting bilingual speakers’ repertoires as integrated resources for meaning-making. In educational terms, </w:t>
      </w:r>
      <w:proofErr w:type="gramStart"/>
      <w:r w:rsidRPr="00736D70">
        <w:rPr>
          <w:rFonts w:ascii="Arial" w:eastAsia="Arial" w:hAnsi="Arial" w:cs="Arial"/>
        </w:rPr>
        <w:t>this matters</w:t>
      </w:r>
      <w:proofErr w:type="gramEnd"/>
      <w:r w:rsidRPr="00736D70">
        <w:rPr>
          <w:rFonts w:ascii="Arial" w:eastAsia="Arial" w:hAnsi="Arial" w:cs="Arial"/>
        </w:rPr>
        <w:t xml:space="preserve"> because it challenges the idea that the home language is merely a temporary support. In a genuinely bilingual classroom, languages are part of who learners are. When teachers allow strategic movement between them, they may also be validating learners’ linguistic identities.</w:t>
      </w:r>
    </w:p>
    <w:p w14:paraId="39558172" w14:textId="79DAA835"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Probyn (2009) provides a particularly strong example in her study of South African classrooms. She shows that classroom language practices are shaped by unequal access, social realities and tensions between policy and practice. Her work makes clear that codeswitching is sometimes a way of making learning available to students who would otherwise be excluded from the academic content. Similarly, Coyle et al. (2023), in their study of diverse bilingual classrooms in England, show that teachers need to design learning in ways that take multilingual realities seriously. This is not simply about kindness or cultural inclusion. It is about participation, access and educational fairness.</w:t>
      </w:r>
    </w:p>
    <w:p w14:paraId="367AC76B" w14:textId="3EA9BE8D"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Teacher perceptions also reflect this affective dimension. Ibrahim, Shah and Armia (2013) found that teachers’ attitudes towards codeswitching were often more positive than official monolingual positions might suggest, and Hazaymeh (2022) similarly found that teachers saw it as useful for both teaching content and creating a more sociable classroom atmosphere. In that sense, codeswitching can support the emotional conditions that make learning possible.</w:t>
      </w:r>
    </w:p>
    <w:p w14:paraId="432B1DB4" w14:textId="78053D09"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Still, this benefit also needs careful handling. A classroom that becomes too dependent on the first language may reduce opportunities for learners to stretch themselves in the target language. The goal is not to remove challenge completely. The goal is to prevent challenge from becoming exclusion. Used strategically, codeswitching can lower the emotional barrier to participation while still keeping the target language central to the lesson.</w:t>
      </w:r>
    </w:p>
    <w:p w14:paraId="437C26EA" w14:textId="32AA7AF7" w:rsidR="0039122E" w:rsidRPr="00736D70" w:rsidRDefault="1A44BA2C" w:rsidP="00736D70">
      <w:pPr>
        <w:spacing w:line="360" w:lineRule="auto"/>
        <w:jc w:val="both"/>
        <w:rPr>
          <w:rFonts w:ascii="Arial" w:hAnsi="Arial" w:cs="Arial"/>
          <w:b/>
          <w:bCs/>
        </w:rPr>
      </w:pPr>
      <w:r w:rsidRPr="00736D70">
        <w:rPr>
          <w:rFonts w:ascii="Arial" w:hAnsi="Arial" w:cs="Arial"/>
          <w:b/>
          <w:bCs/>
        </w:rPr>
        <w:t>Teachers’ perceptions of codeswitching</w:t>
      </w:r>
    </w:p>
    <w:p w14:paraId="789B5D01" w14:textId="67FA6D94"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 xml:space="preserve">Teachers’ perceptions matter because they shape actual classroom practice. Even when codeswitching is useful, teachers may hesitate to use it if they believe it is professionally risky or theoretically wrong. The literature shows that many teachers </w:t>
      </w:r>
      <w:r w:rsidRPr="00736D70">
        <w:rPr>
          <w:rFonts w:ascii="Arial" w:eastAsia="Arial" w:hAnsi="Arial" w:cs="Arial"/>
        </w:rPr>
        <w:lastRenderedPageBreak/>
        <w:t>have positive but cautious attitudes. They often accept codeswitching as a practical tool, but they remain aware of the need to protect target-language exposure.</w:t>
      </w:r>
    </w:p>
    <w:p w14:paraId="3AFCA3E7" w14:textId="62FDA667"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Ibrahim, Shah and Armia (2013) found that teachers in Malaysian EFL classrooms generally recognised the usefulness of codeswitching, even though they did not always openly claim to use it. Horasan (2014) also found that both teachers and students identified a range of classroom functions for codeswitching. Adriosh and Razi (2019) report similar findings in Libya, where teachers and students often viewed teacher codeswitching as facilitative. Hazaymeh (2022) likewise found that many teachers believed codeswitching helped classroom interaction and learning. Together, these studies suggest that supportive teacher attitudes are common, especially where teachers work closely with learners who share a first language.</w:t>
      </w:r>
    </w:p>
    <w:p w14:paraId="361DD02B" w14:textId="30FEE61F"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However, these positive views are rarely unlimited. Zainil and Arsyad (2021) show that teachers may not always be fully aware of how much they switch languages until they reflect on their practice more closely. This is important because it suggests that perceptions are not always simple or fully conscious. A teacher may support codeswitching in principle but still worry about overuse. Littlewood and Yu (2011) capture this tension well by arguing for a balanced approach rather than a strict ban or unrestricted use. Hall and Cook (2012) also point out that the research does not support total exclusion of the first language, but neither does it suggest that target-language exposure is unimportant.</w:t>
      </w:r>
    </w:p>
    <w:p w14:paraId="6201FACC" w14:textId="036AD2E0"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Teachers’ perceptions are also shaped by context. In classrooms with beginners, younger learners, or difficult subject content, teachers may be more willing to codeswitch because the immediate benefit is clear. In settings where schools strongly promote English-only policies, teachers may feel they have to justify their choices more carefully. Inbar-Lourie (2010) demonstrates that teachers’ linguistic choices are influenced by professional beliefs, institutional expectations and learner age. This means teacher perception is never only a personal preference. It is shaped by policy, training and context.</w:t>
      </w:r>
    </w:p>
    <w:p w14:paraId="2FD59ABF" w14:textId="7BC36FA0"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 xml:space="preserve">Overall, the evidence suggests that many teachers now see codeswitching as a legitimate pedagogical resource, but they want it to be controlled and purposeful. That is probably the most realistic position. In bilingual classrooms, teachers need enough </w:t>
      </w:r>
      <w:r w:rsidRPr="00736D70">
        <w:rPr>
          <w:rFonts w:ascii="Arial" w:eastAsia="Arial" w:hAnsi="Arial" w:cs="Arial"/>
        </w:rPr>
        <w:lastRenderedPageBreak/>
        <w:t>flexibility to respond to learners’ needs, but they also need enough awareness to avoid turning the first language into an automatic default.</w:t>
      </w:r>
    </w:p>
    <w:p w14:paraId="585A1180" w14:textId="041AFEC8" w:rsidR="0039122E" w:rsidRPr="00736D70" w:rsidRDefault="1A44BA2C" w:rsidP="00736D70">
      <w:pPr>
        <w:spacing w:line="360" w:lineRule="auto"/>
        <w:jc w:val="both"/>
        <w:rPr>
          <w:rFonts w:ascii="Arial" w:hAnsi="Arial" w:cs="Arial"/>
          <w:b/>
          <w:bCs/>
        </w:rPr>
      </w:pPr>
      <w:r w:rsidRPr="00736D70">
        <w:rPr>
          <w:rFonts w:ascii="Arial" w:hAnsi="Arial" w:cs="Arial"/>
          <w:b/>
          <w:bCs/>
        </w:rPr>
        <w:t>Conclusion</w:t>
      </w:r>
    </w:p>
    <w:p w14:paraId="27954A94" w14:textId="7D728446"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Codeswitching in the bilingual classroom is best understood as a pedagogical resource rather than a sign of poor teaching. The literature shows that it can support learning in several important ways. First, it can improve comprehension and provide cognitive scaffolding, especially when learners are dealing with difficult concepts, new vocabulary or complex instructions. Second, it can support classroom management and pedagogical efficiency by making procedures clearer and helping lessons run more smoothly. Third, it can reduce anxiety, encourage participation and acknowledge the bilingual identities that learners bring with them into the classroom.</w:t>
      </w:r>
    </w:p>
    <w:p w14:paraId="47DE90DC" w14:textId="50C273C2"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At the same time, the research also shows why teachers’ perceptions remain mixed. Teachers often see the value of codeswitching, but they are also aware that excessive use may reduce valuable target-language exposure. This tension is understandable, which is why the strongest position is a balanced one. Codeswitching is most effective when it is used deliberately for a clear purpose and in a way that supports rather than replaces engagement with the target language.</w:t>
      </w:r>
    </w:p>
    <w:p w14:paraId="3A64C223" w14:textId="6DC1777F" w:rsidR="0039122E" w:rsidRPr="00736D70" w:rsidRDefault="1A44BA2C" w:rsidP="00736D70">
      <w:pPr>
        <w:spacing w:before="240" w:after="240" w:line="360" w:lineRule="auto"/>
        <w:jc w:val="both"/>
        <w:rPr>
          <w:rFonts w:ascii="Arial" w:hAnsi="Arial" w:cs="Arial"/>
        </w:rPr>
      </w:pPr>
      <w:r w:rsidRPr="00736D70">
        <w:rPr>
          <w:rFonts w:ascii="Arial" w:eastAsia="Arial" w:hAnsi="Arial" w:cs="Arial"/>
        </w:rPr>
        <w:t>In the end, the debate should move beyond the simple question of whether codeswitching is good or bad. In real bilingual classrooms, the more useful question is whether it helps learners understand, participate and progress. When it does, codeswitching should not be seen as a problem. It should be seen as part of responsive and informed teaching.</w:t>
      </w:r>
    </w:p>
    <w:p w14:paraId="42D599C7" w14:textId="77777777" w:rsidR="00736D70" w:rsidRDefault="00736D70" w:rsidP="00736D70">
      <w:pPr>
        <w:spacing w:line="360" w:lineRule="auto"/>
        <w:jc w:val="both"/>
        <w:rPr>
          <w:rFonts w:ascii="Arial" w:hAnsi="Arial" w:cs="Arial"/>
          <w:b/>
          <w:bCs/>
        </w:rPr>
      </w:pPr>
    </w:p>
    <w:p w14:paraId="20EA10DB" w14:textId="77777777" w:rsidR="00736D70" w:rsidRDefault="00736D70" w:rsidP="00736D70">
      <w:pPr>
        <w:spacing w:line="360" w:lineRule="auto"/>
        <w:jc w:val="both"/>
        <w:rPr>
          <w:rFonts w:ascii="Arial" w:hAnsi="Arial" w:cs="Arial"/>
          <w:b/>
          <w:bCs/>
        </w:rPr>
      </w:pPr>
    </w:p>
    <w:p w14:paraId="52CC41DA" w14:textId="77777777" w:rsidR="00736D70" w:rsidRDefault="00736D70" w:rsidP="00736D70">
      <w:pPr>
        <w:spacing w:line="360" w:lineRule="auto"/>
        <w:jc w:val="both"/>
        <w:rPr>
          <w:rFonts w:ascii="Arial" w:hAnsi="Arial" w:cs="Arial"/>
          <w:b/>
          <w:bCs/>
        </w:rPr>
      </w:pPr>
    </w:p>
    <w:p w14:paraId="0D325C98" w14:textId="77777777" w:rsidR="00736D70" w:rsidRDefault="00736D70" w:rsidP="00736D70">
      <w:pPr>
        <w:spacing w:line="360" w:lineRule="auto"/>
        <w:jc w:val="both"/>
        <w:rPr>
          <w:rFonts w:ascii="Arial" w:hAnsi="Arial" w:cs="Arial"/>
          <w:b/>
          <w:bCs/>
        </w:rPr>
      </w:pPr>
    </w:p>
    <w:p w14:paraId="6C54B88A" w14:textId="77777777" w:rsidR="00736D70" w:rsidRDefault="00736D70" w:rsidP="00736D70">
      <w:pPr>
        <w:spacing w:line="360" w:lineRule="auto"/>
        <w:jc w:val="both"/>
        <w:rPr>
          <w:rFonts w:ascii="Arial" w:hAnsi="Arial" w:cs="Arial"/>
          <w:b/>
          <w:bCs/>
        </w:rPr>
      </w:pPr>
    </w:p>
    <w:p w14:paraId="54EBAC94" w14:textId="77777777" w:rsidR="00736D70" w:rsidRDefault="00736D70" w:rsidP="00736D70">
      <w:pPr>
        <w:spacing w:line="360" w:lineRule="auto"/>
        <w:jc w:val="both"/>
        <w:rPr>
          <w:rFonts w:ascii="Arial" w:hAnsi="Arial" w:cs="Arial"/>
          <w:b/>
          <w:bCs/>
        </w:rPr>
      </w:pPr>
    </w:p>
    <w:p w14:paraId="4E1D183C" w14:textId="09386E49" w:rsidR="0039122E" w:rsidRPr="00736D70" w:rsidRDefault="1A44BA2C" w:rsidP="00736D70">
      <w:pPr>
        <w:spacing w:line="360" w:lineRule="auto"/>
        <w:jc w:val="both"/>
        <w:rPr>
          <w:rFonts w:ascii="Arial" w:hAnsi="Arial" w:cs="Arial"/>
          <w:b/>
          <w:bCs/>
        </w:rPr>
      </w:pPr>
      <w:r w:rsidRPr="00736D70">
        <w:rPr>
          <w:rFonts w:ascii="Arial" w:hAnsi="Arial" w:cs="Arial"/>
          <w:b/>
          <w:bCs/>
        </w:rPr>
        <w:lastRenderedPageBreak/>
        <w:t>References</w:t>
      </w:r>
    </w:p>
    <w:p w14:paraId="4EA3CAA9" w14:textId="64E9A619"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Adriosh, M. and Razi, Ö. (2019) ‘Teacher’s code-switching in EFL undergraduate classrooms in Libya: Functions and perceptions’, </w:t>
      </w:r>
      <w:r w:rsidRPr="00736D70">
        <w:rPr>
          <w:rFonts w:ascii="Arial" w:eastAsia="Arial" w:hAnsi="Arial" w:cs="Arial"/>
          <w:i/>
          <w:iCs/>
        </w:rPr>
        <w:t>SAGE Open</w:t>
      </w:r>
      <w:r w:rsidRPr="00736D70">
        <w:rPr>
          <w:rFonts w:ascii="Arial" w:eastAsia="Arial" w:hAnsi="Arial" w:cs="Arial"/>
        </w:rPr>
        <w:t>, 9(2), pp. 1–11.</w:t>
      </w:r>
    </w:p>
    <w:p w14:paraId="29A6871E" w14:textId="0B634C76"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Ataş, U. and Sağın-Şimşek, Ç. (2021) ‘Discourse and educational functions of students’ and teachers’ code-switching in EFL classrooms in Turkey’, </w:t>
      </w:r>
      <w:r w:rsidRPr="00736D70">
        <w:rPr>
          <w:rFonts w:ascii="Arial" w:eastAsia="Arial" w:hAnsi="Arial" w:cs="Arial"/>
          <w:i/>
          <w:iCs/>
        </w:rPr>
        <w:t>Linguistics and Education</w:t>
      </w:r>
      <w:r w:rsidRPr="00736D70">
        <w:rPr>
          <w:rFonts w:ascii="Arial" w:eastAsia="Arial" w:hAnsi="Arial" w:cs="Arial"/>
        </w:rPr>
        <w:t>, 65, 100981.</w:t>
      </w:r>
    </w:p>
    <w:p w14:paraId="5D4CAE07" w14:textId="395C9887"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Canagarajah, A.S. (1995) ‘Functions of codeswitching in ESL classrooms: Socialising bilingualism in Jaffna’, </w:t>
      </w:r>
      <w:r w:rsidRPr="00736D70">
        <w:rPr>
          <w:rFonts w:ascii="Arial" w:eastAsia="Arial" w:hAnsi="Arial" w:cs="Arial"/>
          <w:i/>
          <w:iCs/>
        </w:rPr>
        <w:t>Journal of Multilingual and Multicultural Development</w:t>
      </w:r>
      <w:r w:rsidRPr="00736D70">
        <w:rPr>
          <w:rFonts w:ascii="Arial" w:eastAsia="Arial" w:hAnsi="Arial" w:cs="Arial"/>
        </w:rPr>
        <w:t>, 16(3), pp. 173–195.</w:t>
      </w:r>
    </w:p>
    <w:p w14:paraId="58DA9593" w14:textId="392AC2CE"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Cook, V. (2001) ‘Using the first language in the classroom’, </w:t>
      </w:r>
      <w:r w:rsidRPr="00736D70">
        <w:rPr>
          <w:rFonts w:ascii="Arial" w:eastAsia="Arial" w:hAnsi="Arial" w:cs="Arial"/>
          <w:i/>
          <w:iCs/>
        </w:rPr>
        <w:t>Canadian Modern Language Review</w:t>
      </w:r>
      <w:r w:rsidRPr="00736D70">
        <w:rPr>
          <w:rFonts w:ascii="Arial" w:eastAsia="Arial" w:hAnsi="Arial" w:cs="Arial"/>
        </w:rPr>
        <w:t>, 57(3), pp. 402–423.</w:t>
      </w:r>
    </w:p>
    <w:p w14:paraId="5C0137E2" w14:textId="7B9965DE"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Copland, F. and Neokleous, G. (2011) ‘L1 to teach L2: Complexities and contradictions’, </w:t>
      </w:r>
      <w:r w:rsidRPr="00736D70">
        <w:rPr>
          <w:rFonts w:ascii="Arial" w:eastAsia="Arial" w:hAnsi="Arial" w:cs="Arial"/>
          <w:i/>
          <w:iCs/>
        </w:rPr>
        <w:t>ELT Journal</w:t>
      </w:r>
      <w:r w:rsidRPr="00736D70">
        <w:rPr>
          <w:rFonts w:ascii="Arial" w:eastAsia="Arial" w:hAnsi="Arial" w:cs="Arial"/>
        </w:rPr>
        <w:t>, 65(3), pp. 270–280.</w:t>
      </w:r>
    </w:p>
    <w:p w14:paraId="63342029" w14:textId="15E93BD3"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Coyle, D., Bower, K., Foley, Y. and Hancock, J. (2023) ‘Teachers as designers of learning in diverse, bilingual classrooms in England: An ADiBE case study’, </w:t>
      </w:r>
      <w:r w:rsidRPr="00736D70">
        <w:rPr>
          <w:rFonts w:ascii="Arial" w:eastAsia="Arial" w:hAnsi="Arial" w:cs="Arial"/>
          <w:i/>
          <w:iCs/>
        </w:rPr>
        <w:t>International Journal of Bilingual Education and Bilingualism</w:t>
      </w:r>
      <w:r w:rsidRPr="00736D70">
        <w:rPr>
          <w:rFonts w:ascii="Arial" w:eastAsia="Arial" w:hAnsi="Arial" w:cs="Arial"/>
        </w:rPr>
        <w:t>, 26(9), pp. 1031–1049.</w:t>
      </w:r>
    </w:p>
    <w:p w14:paraId="6E0D2614" w14:textId="75AF513F"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De la Campa, J.C. and Nassaji, H. (2009) ‘The amount, purpose, and reasons for using L1 in L2 classrooms’, </w:t>
      </w:r>
      <w:r w:rsidRPr="00736D70">
        <w:rPr>
          <w:rFonts w:ascii="Arial" w:eastAsia="Arial" w:hAnsi="Arial" w:cs="Arial"/>
          <w:i/>
          <w:iCs/>
        </w:rPr>
        <w:t>Foreign Language Annals</w:t>
      </w:r>
      <w:r w:rsidRPr="00736D70">
        <w:rPr>
          <w:rFonts w:ascii="Arial" w:eastAsia="Arial" w:hAnsi="Arial" w:cs="Arial"/>
        </w:rPr>
        <w:t>, 42(4), pp. 742–759.</w:t>
      </w:r>
    </w:p>
    <w:p w14:paraId="5092D2B2" w14:textId="67D2DA0B"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Eldridge, J. (1996) ‘Code-switching in a Turkish secondary school’, </w:t>
      </w:r>
      <w:r w:rsidRPr="00736D70">
        <w:rPr>
          <w:rFonts w:ascii="Arial" w:eastAsia="Arial" w:hAnsi="Arial" w:cs="Arial"/>
          <w:i/>
          <w:iCs/>
        </w:rPr>
        <w:t>ELT Journal</w:t>
      </w:r>
      <w:r w:rsidRPr="00736D70">
        <w:rPr>
          <w:rFonts w:ascii="Arial" w:eastAsia="Arial" w:hAnsi="Arial" w:cs="Arial"/>
        </w:rPr>
        <w:t>, 50(4), pp. 303–311.</w:t>
      </w:r>
    </w:p>
    <w:p w14:paraId="7EA458FC" w14:textId="5FA3D13C"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Ferguson, G. (2003) ‘Classroom code-switching in post-colonial contexts: Functions, attitudes and policies’, </w:t>
      </w:r>
      <w:r w:rsidRPr="00736D70">
        <w:rPr>
          <w:rFonts w:ascii="Arial" w:eastAsia="Arial" w:hAnsi="Arial" w:cs="Arial"/>
          <w:i/>
          <w:iCs/>
        </w:rPr>
        <w:t>AILA Review</w:t>
      </w:r>
      <w:r w:rsidRPr="00736D70">
        <w:rPr>
          <w:rFonts w:ascii="Arial" w:eastAsia="Arial" w:hAnsi="Arial" w:cs="Arial"/>
        </w:rPr>
        <w:t>, 16, pp. 38–51.</w:t>
      </w:r>
    </w:p>
    <w:p w14:paraId="217EA67C" w14:textId="521E1F83"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García, O. and Wei, L. (2014) </w:t>
      </w:r>
      <w:r w:rsidRPr="00736D70">
        <w:rPr>
          <w:rFonts w:ascii="Arial" w:eastAsia="Arial" w:hAnsi="Arial" w:cs="Arial"/>
          <w:i/>
          <w:iCs/>
        </w:rPr>
        <w:t>Translanguaging: Language, Bilingualism and Education</w:t>
      </w:r>
      <w:r w:rsidRPr="00736D70">
        <w:rPr>
          <w:rFonts w:ascii="Arial" w:eastAsia="Arial" w:hAnsi="Arial" w:cs="Arial"/>
        </w:rPr>
        <w:t>. Basingstoke: Palgrave Macmillan.</w:t>
      </w:r>
    </w:p>
    <w:p w14:paraId="763F56B9" w14:textId="446375C2"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Hall, G. and Cook, G. (2012) ‘Own-language use in language teaching and learning: State of the art’, </w:t>
      </w:r>
      <w:r w:rsidRPr="00736D70">
        <w:rPr>
          <w:rFonts w:ascii="Arial" w:eastAsia="Arial" w:hAnsi="Arial" w:cs="Arial"/>
          <w:i/>
          <w:iCs/>
        </w:rPr>
        <w:t>Language Teaching</w:t>
      </w:r>
      <w:r w:rsidRPr="00736D70">
        <w:rPr>
          <w:rFonts w:ascii="Arial" w:eastAsia="Arial" w:hAnsi="Arial" w:cs="Arial"/>
        </w:rPr>
        <w:t>, 45(3), pp. 271–308.</w:t>
      </w:r>
    </w:p>
    <w:p w14:paraId="3C317D7C" w14:textId="3065BB57"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lastRenderedPageBreak/>
        <w:t xml:space="preserve">Hazaymeh, W.A. (2022) ‘Teachers’ perceptions of code-switching functions and effects in English as a foreign language classroom’, </w:t>
      </w:r>
      <w:r w:rsidRPr="00736D70">
        <w:rPr>
          <w:rFonts w:ascii="Arial" w:eastAsia="Arial" w:hAnsi="Arial" w:cs="Arial"/>
          <w:i/>
          <w:iCs/>
        </w:rPr>
        <w:t>European Journal of Educational Research</w:t>
      </w:r>
      <w:r w:rsidRPr="00736D70">
        <w:rPr>
          <w:rFonts w:ascii="Arial" w:eastAsia="Arial" w:hAnsi="Arial" w:cs="Arial"/>
        </w:rPr>
        <w:t>, 11(3), pp. 1839–1849.</w:t>
      </w:r>
    </w:p>
    <w:p w14:paraId="07B7A59D" w14:textId="1571850D"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Horasan, S. (2014) ‘Code-switching in EFL classrooms and the perceptions of the students and teachers’, </w:t>
      </w:r>
      <w:r w:rsidRPr="00736D70">
        <w:rPr>
          <w:rFonts w:ascii="Arial" w:eastAsia="Arial" w:hAnsi="Arial" w:cs="Arial"/>
          <w:i/>
          <w:iCs/>
        </w:rPr>
        <w:t>Journal of Language and Linguistic Studies</w:t>
      </w:r>
      <w:r w:rsidRPr="00736D70">
        <w:rPr>
          <w:rFonts w:ascii="Arial" w:eastAsia="Arial" w:hAnsi="Arial" w:cs="Arial"/>
        </w:rPr>
        <w:t>, 10(1), pp. 31–45.</w:t>
      </w:r>
    </w:p>
    <w:p w14:paraId="4E2C9F5B" w14:textId="312F790A"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Ibrahim, E.H.E., Shah, M.I.A. and Armia, N.T. (2013) ‘Code-switching in English as a foreign language classroom: Teachers’ attitudes’, </w:t>
      </w:r>
      <w:r w:rsidRPr="00736D70">
        <w:rPr>
          <w:rFonts w:ascii="Arial" w:eastAsia="Arial" w:hAnsi="Arial" w:cs="Arial"/>
          <w:i/>
          <w:iCs/>
        </w:rPr>
        <w:t>English Language Teaching</w:t>
      </w:r>
      <w:r w:rsidRPr="00736D70">
        <w:rPr>
          <w:rFonts w:ascii="Arial" w:eastAsia="Arial" w:hAnsi="Arial" w:cs="Arial"/>
        </w:rPr>
        <w:t>, 6(7), pp. 139–150.</w:t>
      </w:r>
    </w:p>
    <w:p w14:paraId="40727573" w14:textId="184D6A4C"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Inbar-Lourie, O. (2010) ‘English only? The linguistic choices of teachers of young EFL learners’, </w:t>
      </w:r>
      <w:r w:rsidRPr="00736D70">
        <w:rPr>
          <w:rFonts w:ascii="Arial" w:eastAsia="Arial" w:hAnsi="Arial" w:cs="Arial"/>
          <w:i/>
          <w:iCs/>
        </w:rPr>
        <w:t>International Journal of Bilingualism</w:t>
      </w:r>
      <w:r w:rsidRPr="00736D70">
        <w:rPr>
          <w:rFonts w:ascii="Arial" w:eastAsia="Arial" w:hAnsi="Arial" w:cs="Arial"/>
        </w:rPr>
        <w:t>, 14(3), pp. 351–367.</w:t>
      </w:r>
    </w:p>
    <w:p w14:paraId="20B68E01" w14:textId="360046FB"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Levine, G.S. (2003) ‘Student and instructor beliefs and attitudes about target language use, first language use, and anxiety: Report of a questionnaire study’, </w:t>
      </w:r>
      <w:r w:rsidRPr="00736D70">
        <w:rPr>
          <w:rFonts w:ascii="Arial" w:eastAsia="Arial" w:hAnsi="Arial" w:cs="Arial"/>
          <w:i/>
          <w:iCs/>
        </w:rPr>
        <w:t>The Modern Language Journal</w:t>
      </w:r>
      <w:r w:rsidRPr="00736D70">
        <w:rPr>
          <w:rFonts w:ascii="Arial" w:eastAsia="Arial" w:hAnsi="Arial" w:cs="Arial"/>
        </w:rPr>
        <w:t>, 87(3), pp. 343–364.</w:t>
      </w:r>
    </w:p>
    <w:p w14:paraId="730E2E5F" w14:textId="7F4F77CE"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Lewis, G., Jones, B. and Baker, C. (2012) ‘Translanguaging: Origins and development from school to street and beyond’, </w:t>
      </w:r>
      <w:r w:rsidRPr="00736D70">
        <w:rPr>
          <w:rFonts w:ascii="Arial" w:eastAsia="Arial" w:hAnsi="Arial" w:cs="Arial"/>
          <w:i/>
          <w:iCs/>
        </w:rPr>
        <w:t>Educational Research and Evaluation</w:t>
      </w:r>
      <w:r w:rsidRPr="00736D70">
        <w:rPr>
          <w:rFonts w:ascii="Arial" w:eastAsia="Arial" w:hAnsi="Arial" w:cs="Arial"/>
        </w:rPr>
        <w:t>, 18(7), pp. 641–654.</w:t>
      </w:r>
    </w:p>
    <w:p w14:paraId="48A42A11" w14:textId="015C1284"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Lin, A.M.Y. (2013) ‘Classroom code-switching: Three decades of research’, </w:t>
      </w:r>
      <w:r w:rsidRPr="00736D70">
        <w:rPr>
          <w:rFonts w:ascii="Arial" w:eastAsia="Arial" w:hAnsi="Arial" w:cs="Arial"/>
          <w:i/>
          <w:iCs/>
        </w:rPr>
        <w:t>Applied Linguistics Review</w:t>
      </w:r>
      <w:r w:rsidRPr="00736D70">
        <w:rPr>
          <w:rFonts w:ascii="Arial" w:eastAsia="Arial" w:hAnsi="Arial" w:cs="Arial"/>
        </w:rPr>
        <w:t>, 4(1), pp. 195–218.</w:t>
      </w:r>
    </w:p>
    <w:p w14:paraId="21745A89" w14:textId="3AB47FD9"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Littlewood, W. and Wang, S. (2022) ‘The role of learners’ first language in the foreign language classroom’, </w:t>
      </w:r>
      <w:r w:rsidRPr="00736D70">
        <w:rPr>
          <w:rFonts w:ascii="Arial" w:eastAsia="Arial" w:hAnsi="Arial" w:cs="Arial"/>
          <w:i/>
          <w:iCs/>
        </w:rPr>
        <w:t>Language Teaching Research Quarterly</w:t>
      </w:r>
      <w:r w:rsidRPr="00736D70">
        <w:rPr>
          <w:rFonts w:ascii="Arial" w:eastAsia="Arial" w:hAnsi="Arial" w:cs="Arial"/>
        </w:rPr>
        <w:t>, 31, pp. 174–182.</w:t>
      </w:r>
    </w:p>
    <w:p w14:paraId="6F1D9550" w14:textId="648DAFC8"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Littlewood, W. and Yu, B. (2011) ‘First language and target language in the foreign language classroom’, </w:t>
      </w:r>
      <w:r w:rsidRPr="00736D70">
        <w:rPr>
          <w:rFonts w:ascii="Arial" w:eastAsia="Arial" w:hAnsi="Arial" w:cs="Arial"/>
          <w:i/>
          <w:iCs/>
        </w:rPr>
        <w:t>Language Teaching</w:t>
      </w:r>
      <w:r w:rsidRPr="00736D70">
        <w:rPr>
          <w:rFonts w:ascii="Arial" w:eastAsia="Arial" w:hAnsi="Arial" w:cs="Arial"/>
        </w:rPr>
        <w:t>, 44(1), pp. 64–77.</w:t>
      </w:r>
    </w:p>
    <w:p w14:paraId="73760BC3" w14:textId="35727073"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Macaro, E. (2001) ‘Analysing student teachers’ codeswitching in foreign language classrooms: Theories and decision making’, </w:t>
      </w:r>
      <w:r w:rsidRPr="00736D70">
        <w:rPr>
          <w:rFonts w:ascii="Arial" w:eastAsia="Arial" w:hAnsi="Arial" w:cs="Arial"/>
          <w:i/>
          <w:iCs/>
        </w:rPr>
        <w:t>The Modern Language Journal</w:t>
      </w:r>
      <w:r w:rsidRPr="00736D70">
        <w:rPr>
          <w:rFonts w:ascii="Arial" w:eastAsia="Arial" w:hAnsi="Arial" w:cs="Arial"/>
        </w:rPr>
        <w:t>, 85(4), pp. 531–548.</w:t>
      </w:r>
    </w:p>
    <w:p w14:paraId="0AC121B8" w14:textId="7D32368E"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Probyn, M. (2009) ‘“Smuggling the vernacular into the classroom”: Conflicts and tensions in classroom code-switching in township/rural schools in South Africa’, </w:t>
      </w:r>
      <w:r w:rsidRPr="00736D70">
        <w:rPr>
          <w:rFonts w:ascii="Arial" w:eastAsia="Arial" w:hAnsi="Arial" w:cs="Arial"/>
          <w:i/>
          <w:iCs/>
        </w:rPr>
        <w:t>International Journal of Bilingual Education and Bilingualism</w:t>
      </w:r>
      <w:r w:rsidRPr="00736D70">
        <w:rPr>
          <w:rFonts w:ascii="Arial" w:eastAsia="Arial" w:hAnsi="Arial" w:cs="Arial"/>
        </w:rPr>
        <w:t>, 12(2), pp. 123–136.</w:t>
      </w:r>
    </w:p>
    <w:p w14:paraId="49FCAE8F" w14:textId="30668C8A"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lastRenderedPageBreak/>
        <w:t xml:space="preserve">Üstünel, E. and Seedhouse, P. (2005) ‘Why that, in that language, right now? Code-switching and pedagogical focus’, </w:t>
      </w:r>
      <w:r w:rsidRPr="00736D70">
        <w:rPr>
          <w:rFonts w:ascii="Arial" w:eastAsia="Arial" w:hAnsi="Arial" w:cs="Arial"/>
          <w:i/>
          <w:iCs/>
        </w:rPr>
        <w:t>International Journal of Applied Linguistics</w:t>
      </w:r>
      <w:r w:rsidRPr="00736D70">
        <w:rPr>
          <w:rFonts w:ascii="Arial" w:eastAsia="Arial" w:hAnsi="Arial" w:cs="Arial"/>
        </w:rPr>
        <w:t>, 15(3), pp. 302–325.</w:t>
      </w:r>
    </w:p>
    <w:p w14:paraId="7369E204" w14:textId="3FB74AA5"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Wei, L. (2011) ‘Moment analysis and translanguaging space: Discursive construction of identities by multilingual Chinese youth in Britain’, </w:t>
      </w:r>
      <w:r w:rsidRPr="00736D70">
        <w:rPr>
          <w:rFonts w:ascii="Arial" w:eastAsia="Arial" w:hAnsi="Arial" w:cs="Arial"/>
          <w:i/>
          <w:iCs/>
        </w:rPr>
        <w:t>Journal of Pragmatics</w:t>
      </w:r>
      <w:r w:rsidRPr="00736D70">
        <w:rPr>
          <w:rFonts w:ascii="Arial" w:eastAsia="Arial" w:hAnsi="Arial" w:cs="Arial"/>
        </w:rPr>
        <w:t>, 43(5), pp. 1222–1235.</w:t>
      </w:r>
    </w:p>
    <w:p w14:paraId="2998AFC6" w14:textId="2CCF98AD" w:rsidR="0039122E" w:rsidRPr="00736D70" w:rsidRDefault="2B759A03" w:rsidP="00736D70">
      <w:pPr>
        <w:spacing w:before="240" w:after="240" w:line="360" w:lineRule="auto"/>
        <w:jc w:val="both"/>
        <w:rPr>
          <w:rFonts w:ascii="Arial" w:hAnsi="Arial" w:cs="Arial"/>
        </w:rPr>
      </w:pPr>
      <w:r w:rsidRPr="00736D70">
        <w:rPr>
          <w:rFonts w:ascii="Arial" w:eastAsia="Arial" w:hAnsi="Arial" w:cs="Arial"/>
        </w:rPr>
        <w:t xml:space="preserve">Zainil, Y. and Arsyad, S. (2021) ‘Teachers’ perception of their code-switching practices in English as a </w:t>
      </w:r>
      <w:proofErr w:type="gramStart"/>
      <w:r w:rsidRPr="00736D70">
        <w:rPr>
          <w:rFonts w:ascii="Arial" w:eastAsia="Arial" w:hAnsi="Arial" w:cs="Arial"/>
        </w:rPr>
        <w:t>foreign language classes</w:t>
      </w:r>
      <w:proofErr w:type="gramEnd"/>
      <w:r w:rsidRPr="00736D70">
        <w:rPr>
          <w:rFonts w:ascii="Arial" w:eastAsia="Arial" w:hAnsi="Arial" w:cs="Arial"/>
        </w:rPr>
        <w:t xml:space="preserve">: The results of stimulated recall interview and conversation analysis’, </w:t>
      </w:r>
      <w:r w:rsidRPr="00736D70">
        <w:rPr>
          <w:rFonts w:ascii="Arial" w:eastAsia="Arial" w:hAnsi="Arial" w:cs="Arial"/>
          <w:i/>
          <w:iCs/>
        </w:rPr>
        <w:t>SAGE Open</w:t>
      </w:r>
      <w:r w:rsidRPr="00736D70">
        <w:rPr>
          <w:rFonts w:ascii="Arial" w:eastAsia="Arial" w:hAnsi="Arial" w:cs="Arial"/>
        </w:rPr>
        <w:t>, 11(2), pp. 1–10.</w:t>
      </w:r>
    </w:p>
    <w:p w14:paraId="5E5787A5" w14:textId="3C3C2C4E" w:rsidR="0039122E" w:rsidRPr="00736D70" w:rsidRDefault="0039122E" w:rsidP="00736D70">
      <w:pPr>
        <w:spacing w:line="360" w:lineRule="auto"/>
        <w:jc w:val="both"/>
        <w:rPr>
          <w:rFonts w:ascii="Arial" w:hAnsi="Arial" w:cs="Arial"/>
        </w:rPr>
      </w:pPr>
    </w:p>
    <w:sectPr w:rsidR="0039122E" w:rsidRPr="00736D7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F5DA8A"/>
    <w:rsid w:val="0039122E"/>
    <w:rsid w:val="005AB80D"/>
    <w:rsid w:val="00736D70"/>
    <w:rsid w:val="02BE729F"/>
    <w:rsid w:val="0BD62BBF"/>
    <w:rsid w:val="11596813"/>
    <w:rsid w:val="14F14B6B"/>
    <w:rsid w:val="160C1966"/>
    <w:rsid w:val="1A44BA2C"/>
    <w:rsid w:val="1A7DB3A8"/>
    <w:rsid w:val="20E60E17"/>
    <w:rsid w:val="2962117A"/>
    <w:rsid w:val="2B759A03"/>
    <w:rsid w:val="2C98784A"/>
    <w:rsid w:val="3AEA63B2"/>
    <w:rsid w:val="3EEB6B6D"/>
    <w:rsid w:val="405AF695"/>
    <w:rsid w:val="49FD2A14"/>
    <w:rsid w:val="4EF5DA8A"/>
    <w:rsid w:val="510A4F0F"/>
    <w:rsid w:val="51627CE8"/>
    <w:rsid w:val="549FA2D9"/>
    <w:rsid w:val="62CD8A9E"/>
    <w:rsid w:val="6A4D4DDE"/>
    <w:rsid w:val="6B736E8E"/>
    <w:rsid w:val="6C3D368A"/>
    <w:rsid w:val="7135A053"/>
    <w:rsid w:val="73641E78"/>
    <w:rsid w:val="7ED19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7326C"/>
  <w15:chartTrackingRefBased/>
  <w15:docId w15:val="{F61DBF51-06FA-4C2E-95F6-452D163C7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0E60E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0E60E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3735</Words>
  <Characters>21296</Characters>
  <Application>Microsoft Office Word</Application>
  <DocSecurity>0</DocSecurity>
  <Lines>177</Lines>
  <Paragraphs>49</Paragraphs>
  <ScaleCrop>false</ScaleCrop>
  <Company/>
  <LinksUpToDate>false</LinksUpToDate>
  <CharactersWithSpaces>24982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 Shaban (2212035)</dc:creator>
  <cp:keywords/>
  <dc:description/>
  <cp:lastModifiedBy>Microsoft Office User</cp:lastModifiedBy>
  <cp:revision>3</cp:revision>
  <dcterms:created xsi:type="dcterms:W3CDTF">2026-04-14T21:59:00Z</dcterms:created>
  <dcterms:modified xsi:type="dcterms:W3CDTF">2026-04-15T22:28:00Z</dcterms:modified>
</cp:coreProperties>
</file>