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39931409"/>
        <w:docPartObj>
          <w:docPartGallery w:val="Cover Pages"/>
          <w:docPartUnique/>
        </w:docPartObj>
      </w:sdtPr>
      <w:sdtEndPr>
        <w:rPr>
          <w:rFonts w:ascii="Times New Roman" w:hAnsi="Times New Roman" w:cs="Times New Roman"/>
          <w:b/>
          <w:bCs/>
          <w:color w:val="4C94D8" w:themeColor="text2" w:themeTint="80"/>
        </w:rPr>
      </w:sdtEndPr>
      <w:sdtContent>
        <w:p w14:paraId="610686E8" w14:textId="5D10186C" w:rsidR="008A3041" w:rsidRPr="008A3041" w:rsidRDefault="008A3041" w:rsidP="008A3041">
          <w:pPr>
            <w:rPr>
              <w:rFonts w:ascii="Times New Roman" w:hAnsi="Times New Roman" w:cs="Times New Roman"/>
              <w:b/>
              <w:bCs/>
              <w:color w:val="4C94D8" w:themeColor="text2" w:themeTint="80"/>
            </w:rPr>
          </w:pPr>
          <w:r w:rsidRPr="008A3041">
            <w:rPr>
              <w:rFonts w:ascii="Times New Roman" w:hAnsi="Times New Roman" w:cs="Times New Roman"/>
              <w:b/>
              <w:bCs/>
              <w:color w:val="4C94D8" w:themeColor="text2" w:themeTint="80"/>
            </w:rPr>
            <w:t>Student name:</w:t>
          </w:r>
          <w:r w:rsidRPr="008A3041">
            <w:rPr>
              <w:rFonts w:ascii="Times New Roman" w:hAnsi="Times New Roman" w:cs="Times New Roman"/>
              <w:b/>
              <w:bCs/>
              <w:color w:val="4C94D8" w:themeColor="text2" w:themeTint="80"/>
            </w:rPr>
            <w:t xml:space="preserve"> Emil Daniel Malutan</w:t>
          </w:r>
        </w:p>
        <w:p w14:paraId="0ACD78BC" w14:textId="4B7BE27B" w:rsidR="008A3041" w:rsidRPr="008A3041" w:rsidRDefault="008A3041" w:rsidP="008A3041">
          <w:pPr>
            <w:rPr>
              <w:rFonts w:ascii="Times New Roman" w:hAnsi="Times New Roman" w:cs="Times New Roman"/>
              <w:b/>
              <w:bCs/>
              <w:color w:val="4C94D8" w:themeColor="text2" w:themeTint="80"/>
            </w:rPr>
          </w:pPr>
          <w:r w:rsidRPr="008A3041">
            <w:rPr>
              <w:rFonts w:ascii="Times New Roman" w:hAnsi="Times New Roman" w:cs="Times New Roman"/>
              <w:b/>
              <w:bCs/>
              <w:color w:val="4C94D8" w:themeColor="text2" w:themeTint="80"/>
            </w:rPr>
            <w:t xml:space="preserve">Student number: </w:t>
          </w:r>
          <w:r>
            <w:rPr>
              <w:rFonts w:ascii="Times New Roman" w:hAnsi="Times New Roman" w:cs="Times New Roman"/>
              <w:b/>
              <w:bCs/>
              <w:color w:val="4C94D8" w:themeColor="text2" w:themeTint="80"/>
            </w:rPr>
            <w:t>2325920</w:t>
          </w:r>
          <w:r w:rsidRPr="008A3041">
            <w:rPr>
              <w:rFonts w:ascii="Times New Roman" w:hAnsi="Times New Roman" w:cs="Times New Roman"/>
              <w:b/>
              <w:bCs/>
              <w:color w:val="4C94D8" w:themeColor="text2" w:themeTint="80"/>
            </w:rPr>
            <w:tab/>
          </w:r>
        </w:p>
        <w:p w14:paraId="079D821E" w14:textId="5D66FDED" w:rsidR="008A3041" w:rsidRPr="008A3041" w:rsidRDefault="008A3041" w:rsidP="008A3041">
          <w:pPr>
            <w:rPr>
              <w:rFonts w:ascii="Times New Roman" w:hAnsi="Times New Roman" w:cs="Times New Roman"/>
              <w:b/>
              <w:bCs/>
              <w:color w:val="4C94D8" w:themeColor="text2" w:themeTint="80"/>
            </w:rPr>
          </w:pPr>
          <w:r w:rsidRPr="008A3041">
            <w:rPr>
              <w:rFonts w:ascii="Times New Roman" w:hAnsi="Times New Roman" w:cs="Times New Roman"/>
              <w:b/>
              <w:bCs/>
              <w:color w:val="4C94D8" w:themeColor="text2" w:themeTint="80"/>
            </w:rPr>
            <w:t>Programme:</w:t>
          </w:r>
          <w:r w:rsidRPr="008A3041">
            <w:rPr>
              <w:rFonts w:ascii="Times New Roman" w:hAnsi="Times New Roman" w:cs="Times New Roman"/>
              <w:b/>
              <w:bCs/>
              <w:color w:val="4C94D8" w:themeColor="text2" w:themeTint="80"/>
            </w:rPr>
            <w:t xml:space="preserve"> </w:t>
          </w:r>
          <w:r w:rsidRPr="008A3041">
            <w:rPr>
              <w:rFonts w:ascii="Times New Roman" w:hAnsi="Times New Roman" w:cs="Times New Roman"/>
              <w:b/>
              <w:bCs/>
              <w:color w:val="4C94D8" w:themeColor="text2" w:themeTint="80"/>
            </w:rPr>
            <w:t>Sustainability Enterprise</w:t>
          </w:r>
        </w:p>
        <w:p w14:paraId="409566C1" w14:textId="22D63ED7" w:rsidR="008A3041" w:rsidRPr="008A3041" w:rsidRDefault="008A3041" w:rsidP="008A3041">
          <w:pPr>
            <w:rPr>
              <w:rFonts w:ascii="Times New Roman" w:hAnsi="Times New Roman" w:cs="Times New Roman"/>
              <w:b/>
              <w:bCs/>
              <w:color w:val="4C94D8" w:themeColor="text2" w:themeTint="80"/>
            </w:rPr>
          </w:pPr>
          <w:r w:rsidRPr="008A3041">
            <w:rPr>
              <w:rFonts w:ascii="Times New Roman" w:hAnsi="Times New Roman" w:cs="Times New Roman"/>
              <w:b/>
              <w:bCs/>
              <w:color w:val="4C94D8" w:themeColor="text2" w:themeTint="80"/>
            </w:rPr>
            <w:t>Module:</w:t>
          </w:r>
          <w:r w:rsidRPr="008A3041">
            <w:rPr>
              <w:rFonts w:ascii="Times New Roman" w:hAnsi="Times New Roman" w:cs="Times New Roman"/>
              <w:b/>
              <w:bCs/>
              <w:color w:val="4C94D8" w:themeColor="text2" w:themeTint="80"/>
            </w:rPr>
            <w:t xml:space="preserve"> </w:t>
          </w:r>
          <w:r w:rsidRPr="008A3041">
            <w:rPr>
              <w:rFonts w:ascii="Times New Roman" w:hAnsi="Times New Roman" w:cs="Times New Roman"/>
              <w:b/>
              <w:bCs/>
              <w:color w:val="4C94D8" w:themeColor="text2" w:themeTint="80"/>
            </w:rPr>
            <w:t>Community Development</w:t>
          </w:r>
        </w:p>
        <w:p w14:paraId="3E93DA3F" w14:textId="3D9777B2" w:rsidR="008A3041" w:rsidRPr="008A3041" w:rsidRDefault="008A3041" w:rsidP="008A3041">
          <w:pPr>
            <w:rPr>
              <w:rFonts w:ascii="Times New Roman" w:hAnsi="Times New Roman" w:cs="Times New Roman"/>
              <w:b/>
              <w:bCs/>
              <w:color w:val="4C94D8" w:themeColor="text2" w:themeTint="80"/>
            </w:rPr>
          </w:pPr>
          <w:r w:rsidRPr="008A3041">
            <w:rPr>
              <w:rFonts w:ascii="Times New Roman" w:hAnsi="Times New Roman" w:cs="Times New Roman"/>
              <w:b/>
              <w:bCs/>
              <w:color w:val="4C94D8" w:themeColor="text2" w:themeTint="80"/>
            </w:rPr>
            <w:t>Module code</w:t>
          </w:r>
          <w:r w:rsidRPr="008A3041">
            <w:rPr>
              <w:rFonts w:ascii="Times New Roman" w:hAnsi="Times New Roman" w:cs="Times New Roman"/>
              <w:b/>
              <w:bCs/>
              <w:color w:val="4C94D8" w:themeColor="text2" w:themeTint="80"/>
            </w:rPr>
            <w:t xml:space="preserve">: </w:t>
          </w:r>
          <w:r w:rsidRPr="008A3041">
            <w:rPr>
              <w:rFonts w:ascii="Times New Roman" w:hAnsi="Times New Roman" w:cs="Times New Roman"/>
              <w:b/>
              <w:bCs/>
              <w:color w:val="4C94D8" w:themeColor="text2" w:themeTint="80"/>
            </w:rPr>
            <w:t>BMSE4004D</w:t>
          </w:r>
        </w:p>
        <w:p w14:paraId="4211B630" w14:textId="502F837F" w:rsidR="008A3041" w:rsidRPr="008A3041" w:rsidRDefault="008A3041" w:rsidP="008A3041">
          <w:pPr>
            <w:rPr>
              <w:rFonts w:ascii="Arial Black" w:hAnsi="Arial Black"/>
              <w:color w:val="4C94D8" w:themeColor="text2" w:themeTint="80"/>
            </w:rPr>
          </w:pPr>
          <w:r w:rsidRPr="008A3041">
            <w:rPr>
              <w:rFonts w:ascii="Times New Roman" w:hAnsi="Times New Roman" w:cs="Times New Roman"/>
              <w:b/>
              <w:bCs/>
              <w:color w:val="4C94D8" w:themeColor="text2" w:themeTint="80"/>
            </w:rPr>
            <w:t>Lecturer:</w:t>
          </w:r>
          <w:r w:rsidRPr="008A3041">
            <w:rPr>
              <w:rFonts w:ascii="Times New Roman" w:hAnsi="Times New Roman" w:cs="Times New Roman"/>
              <w:b/>
              <w:bCs/>
              <w:color w:val="4C94D8" w:themeColor="text2" w:themeTint="80"/>
            </w:rPr>
            <w:t xml:space="preserve"> </w:t>
          </w:r>
          <w:r w:rsidRPr="008A3041">
            <w:rPr>
              <w:rFonts w:ascii="Times New Roman" w:hAnsi="Times New Roman" w:cs="Times New Roman"/>
              <w:b/>
              <w:bCs/>
              <w:color w:val="4C94D8" w:themeColor="text2" w:themeTint="80"/>
            </w:rPr>
            <w:t>Navdeep Randhawa</w:t>
          </w:r>
          <w:r w:rsidRPr="008A3041">
            <w:rPr>
              <w:rFonts w:ascii="Times New Roman" w:hAnsi="Times New Roman" w:cs="Times New Roman"/>
              <w:b/>
              <w:bCs/>
              <w:noProof/>
              <w:color w:val="4C94D8" w:themeColor="text2" w:themeTint="80"/>
            </w:rPr>
            <w:t xml:space="preserve"> </w:t>
          </w:r>
          <w:r w:rsidRPr="008A3041">
            <w:rPr>
              <w:rFonts w:ascii="Arial Black" w:hAnsi="Arial Black"/>
              <w:noProof/>
              <w:color w:val="4C94D8" w:themeColor="text2" w:themeTint="80"/>
            </w:rPr>
            <mc:AlternateContent>
              <mc:Choice Requires="wps">
                <w:drawing>
                  <wp:anchor distT="0" distB="0" distL="114300" distR="114300" simplePos="0" relativeHeight="251659264" behindDoc="1" locked="0" layoutInCell="1" allowOverlap="0" wp14:anchorId="3C8733D8" wp14:editId="29DCA83B">
                    <wp:simplePos x="0" y="0"/>
                    <wp:positionH relativeFrom="page">
                      <wp:align>center</wp:align>
                    </wp:positionH>
                    <wp:positionV relativeFrom="page">
                      <wp:align>center</wp:align>
                    </wp:positionV>
                    <wp:extent cx="6858000" cy="9144000"/>
                    <wp:effectExtent l="0" t="0" r="0" b="0"/>
                    <wp:wrapNone/>
                    <wp:docPr id="1" name="Text Box 2"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8A3041" w14:paraId="31614775" w14:textId="77777777">
                                  <w:trPr>
                                    <w:trHeight w:hRule="exact" w:val="9360"/>
                                  </w:trPr>
                                  <w:tc>
                                    <w:tcPr>
                                      <w:tcW w:w="9350" w:type="dxa"/>
                                    </w:tcPr>
                                    <w:p w14:paraId="73A8E4DF" w14:textId="08B197D4" w:rsidR="008A3041" w:rsidRDefault="008A3041"/>
                                  </w:tc>
                                </w:tr>
                                <w:tr w:rsidR="008A3041" w14:paraId="4DDC4FDE" w14:textId="77777777">
                                  <w:trPr>
                                    <w:trHeight w:hRule="exact" w:val="4320"/>
                                  </w:trPr>
                                  <w:tc>
                                    <w:tcPr>
                                      <w:tcW w:w="9350" w:type="dxa"/>
                                      <w:shd w:val="clear" w:color="auto" w:fill="0E2841" w:themeFill="text2"/>
                                      <w:vAlign w:val="center"/>
                                    </w:tcPr>
                                    <w:p w14:paraId="7BFF2480" w14:textId="15594EFC" w:rsidR="008A3041" w:rsidRDefault="008A3041" w:rsidP="008A3041">
                                      <w:pPr>
                                        <w:pStyle w:val="NoSpacing"/>
                                        <w:spacing w:before="200" w:line="216" w:lineRule="auto"/>
                                        <w:ind w:left="720" w:right="720"/>
                                        <w:jc w:val="center"/>
                                        <w:rPr>
                                          <w:rFonts w:asciiTheme="majorHAnsi" w:hAnsiTheme="majorHAnsi"/>
                                          <w:color w:val="FFFFFF" w:themeColor="background1"/>
                                          <w:sz w:val="96"/>
                                          <w:szCs w:val="96"/>
                                        </w:rPr>
                                      </w:pPr>
                                      <w:sdt>
                                        <w:sdtPr>
                                          <w:rPr>
                                            <w:rFonts w:ascii="Times New Roman" w:hAnsi="Times New Roman" w:cs="Times New Roman"/>
                                            <w:b/>
                                            <w:bCs/>
                                            <w:color w:val="FFFFFF" w:themeColor="background1"/>
                                            <w:sz w:val="52"/>
                                            <w:szCs w:val="52"/>
                                          </w:rPr>
                                          <w:alias w:val="Title"/>
                                          <w:tag w:val=""/>
                                          <w:id w:val="739824258"/>
                                          <w:placeholder>
                                            <w:docPart w:val="04F7E40270314C3A9EBBCC7A32FD6449"/>
                                          </w:placeholder>
                                          <w:dataBinding w:prefixMappings="xmlns:ns0='http://purl.org/dc/elements/1.1/' xmlns:ns1='http://schemas.openxmlformats.org/package/2006/metadata/core-properties' " w:xpath="/ns1:coreProperties[1]/ns0:title[1]" w:storeItemID="{6C3C8BC8-F283-45AE-878A-BAB7291924A1}"/>
                                          <w:text/>
                                        </w:sdtPr>
                                        <w:sdtContent>
                                          <w:r w:rsidRPr="008A3041">
                                            <w:rPr>
                                              <w:rFonts w:ascii="Times New Roman" w:hAnsi="Times New Roman" w:cs="Times New Roman"/>
                                              <w:b/>
                                              <w:bCs/>
                                              <w:color w:val="FFFFFF" w:themeColor="background1"/>
                                              <w:sz w:val="52"/>
                                              <w:szCs w:val="52"/>
                                            </w:rPr>
                                            <w:t>Port Talbot Steelworkers Community</w:t>
                                          </w:r>
                                        </w:sdtContent>
                                      </w:sdt>
                                    </w:p>
                                    <w:p w14:paraId="062829E8" w14:textId="1856D790" w:rsidR="008A3041" w:rsidRPr="008A3041" w:rsidRDefault="008A3041" w:rsidP="008A3041">
                                      <w:pPr>
                                        <w:pStyle w:val="NoSpacing"/>
                                        <w:spacing w:before="240"/>
                                        <w:ind w:left="720" w:right="720"/>
                                        <w:jc w:val="center"/>
                                        <w:rPr>
                                          <w:rFonts w:ascii="Times New Roman" w:hAnsi="Times New Roman" w:cs="Times New Roman"/>
                                          <w:b/>
                                          <w:bCs/>
                                          <w:color w:val="FFFFFF" w:themeColor="background1"/>
                                          <w:sz w:val="32"/>
                                          <w:szCs w:val="32"/>
                                        </w:rPr>
                                      </w:pPr>
                                      <w:sdt>
                                        <w:sdtPr>
                                          <w:rPr>
                                            <w:rFonts w:ascii="Times New Roman" w:hAnsi="Times New Roman" w:cs="Times New Roman"/>
                                            <w:b/>
                                            <w:bCs/>
                                            <w:color w:val="FFFFFF" w:themeColor="background1"/>
                                            <w:sz w:val="32"/>
                                            <w:szCs w:val="32"/>
                                          </w:rPr>
                                          <w:alias w:val="Subtitle"/>
                                          <w:tag w:val=""/>
                                          <w:id w:val="1143089448"/>
                                          <w:placeholder>
                                            <w:docPart w:val="CA7934CA9486425DAF91C0B4BB28311B"/>
                                          </w:placeholder>
                                          <w:dataBinding w:prefixMappings="xmlns:ns0='http://purl.org/dc/elements/1.1/' xmlns:ns1='http://schemas.openxmlformats.org/package/2006/metadata/core-properties' " w:xpath="/ns1:coreProperties[1]/ns0:subject[1]" w:storeItemID="{6C3C8BC8-F283-45AE-878A-BAB7291924A1}"/>
                                          <w:text/>
                                        </w:sdtPr>
                                        <w:sdtContent>
                                          <w:r w:rsidRPr="008A3041">
                                            <w:rPr>
                                              <w:rFonts w:ascii="Times New Roman" w:hAnsi="Times New Roman" w:cs="Times New Roman"/>
                                              <w:b/>
                                              <w:bCs/>
                                              <w:color w:val="FFFFFF" w:themeColor="background1"/>
                                              <w:sz w:val="32"/>
                                              <w:szCs w:val="32"/>
                                            </w:rPr>
                                            <w:t>Assignment 2</w:t>
                                          </w:r>
                                        </w:sdtContent>
                                      </w:sdt>
                                    </w:p>
                                  </w:tc>
                                </w:tr>
                                <w:tr w:rsidR="008A3041" w14:paraId="688E9C9F" w14:textId="77777777">
                                  <w:trPr>
                                    <w:trHeight w:hRule="exact" w:val="720"/>
                                  </w:trPr>
                                  <w:tc>
                                    <w:tcPr>
                                      <w:tcW w:w="9350" w:type="dxa"/>
                                      <w:shd w:val="clear" w:color="auto" w:fill="4EA72E" w:themeFill="accent6"/>
                                    </w:tcPr>
                                    <w:tbl>
                                      <w:tblPr>
                                        <w:tblW w:w="1667" w:type="pct"/>
                                        <w:tblCellMar>
                                          <w:left w:w="0" w:type="dxa"/>
                                          <w:right w:w="0" w:type="dxa"/>
                                        </w:tblCellMar>
                                        <w:tblLook w:val="04A0" w:firstRow="1" w:lastRow="0" w:firstColumn="1" w:lastColumn="0" w:noHBand="0" w:noVBand="1"/>
                                        <w:tblDescription w:val="Cover page info"/>
                                      </w:tblPr>
                                      <w:tblGrid>
                                        <w:gridCol w:w="3602"/>
                                      </w:tblGrid>
                                      <w:tr w:rsidR="008A3041" w14:paraId="0FBD639E" w14:textId="77777777" w:rsidTr="008A3041">
                                        <w:trPr>
                                          <w:trHeight w:hRule="exact" w:val="720"/>
                                        </w:trPr>
                                        <w:tc>
                                          <w:tcPr>
                                            <w:tcW w:w="3597" w:type="dxa"/>
                                            <w:vAlign w:val="center"/>
                                          </w:tcPr>
                                          <w:p w14:paraId="5892B883" w14:textId="77FF3D3A" w:rsidR="008A3041" w:rsidRDefault="008A3041" w:rsidP="008A3041">
                                            <w:pPr>
                                              <w:pStyle w:val="NoSpacing"/>
                                              <w:ind w:right="720"/>
                                              <w:rPr>
                                                <w:color w:val="FFFFFF" w:themeColor="background1"/>
                                              </w:rPr>
                                            </w:pPr>
                                          </w:p>
                                        </w:tc>
                                      </w:tr>
                                    </w:tbl>
                                    <w:p w14:paraId="6FA358B2" w14:textId="77777777" w:rsidR="008A3041" w:rsidRDefault="008A3041"/>
                                  </w:tc>
                                </w:tr>
                              </w:tbl>
                              <w:p w14:paraId="421B789F" w14:textId="77777777" w:rsidR="008A3041" w:rsidRDefault="008A304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C8733D8" id="_x0000_t202" coordsize="21600,21600" o:spt="202" path="m,l,21600r21600,l21600,xe">
                    <v:stroke joinstyle="miter"/>
                    <v:path gradientshapeok="t" o:connecttype="rect"/>
                  </v:shapetype>
                  <v:shape id="Text Box 2"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8A3041" w14:paraId="31614775" w14:textId="77777777">
                            <w:trPr>
                              <w:trHeight w:hRule="exact" w:val="9360"/>
                            </w:trPr>
                            <w:tc>
                              <w:tcPr>
                                <w:tcW w:w="9350" w:type="dxa"/>
                              </w:tcPr>
                              <w:p w14:paraId="73A8E4DF" w14:textId="08B197D4" w:rsidR="008A3041" w:rsidRDefault="008A3041"/>
                            </w:tc>
                          </w:tr>
                          <w:tr w:rsidR="008A3041" w14:paraId="4DDC4FDE" w14:textId="77777777">
                            <w:trPr>
                              <w:trHeight w:hRule="exact" w:val="4320"/>
                            </w:trPr>
                            <w:tc>
                              <w:tcPr>
                                <w:tcW w:w="9350" w:type="dxa"/>
                                <w:shd w:val="clear" w:color="auto" w:fill="0E2841" w:themeFill="text2"/>
                                <w:vAlign w:val="center"/>
                              </w:tcPr>
                              <w:p w14:paraId="7BFF2480" w14:textId="15594EFC" w:rsidR="008A3041" w:rsidRDefault="008A3041" w:rsidP="008A3041">
                                <w:pPr>
                                  <w:pStyle w:val="NoSpacing"/>
                                  <w:spacing w:before="200" w:line="216" w:lineRule="auto"/>
                                  <w:ind w:left="720" w:right="720"/>
                                  <w:jc w:val="center"/>
                                  <w:rPr>
                                    <w:rFonts w:asciiTheme="majorHAnsi" w:hAnsiTheme="majorHAnsi"/>
                                    <w:color w:val="FFFFFF" w:themeColor="background1"/>
                                    <w:sz w:val="96"/>
                                    <w:szCs w:val="96"/>
                                  </w:rPr>
                                </w:pPr>
                                <w:sdt>
                                  <w:sdtPr>
                                    <w:rPr>
                                      <w:rFonts w:ascii="Times New Roman" w:hAnsi="Times New Roman" w:cs="Times New Roman"/>
                                      <w:b/>
                                      <w:bCs/>
                                      <w:color w:val="FFFFFF" w:themeColor="background1"/>
                                      <w:sz w:val="52"/>
                                      <w:szCs w:val="52"/>
                                    </w:rPr>
                                    <w:alias w:val="Title"/>
                                    <w:tag w:val=""/>
                                    <w:id w:val="739824258"/>
                                    <w:placeholder>
                                      <w:docPart w:val="04F7E40270314C3A9EBBCC7A32FD6449"/>
                                    </w:placeholder>
                                    <w:dataBinding w:prefixMappings="xmlns:ns0='http://purl.org/dc/elements/1.1/' xmlns:ns1='http://schemas.openxmlformats.org/package/2006/metadata/core-properties' " w:xpath="/ns1:coreProperties[1]/ns0:title[1]" w:storeItemID="{6C3C8BC8-F283-45AE-878A-BAB7291924A1}"/>
                                    <w:text/>
                                  </w:sdtPr>
                                  <w:sdtContent>
                                    <w:r w:rsidRPr="008A3041">
                                      <w:rPr>
                                        <w:rFonts w:ascii="Times New Roman" w:hAnsi="Times New Roman" w:cs="Times New Roman"/>
                                        <w:b/>
                                        <w:bCs/>
                                        <w:color w:val="FFFFFF" w:themeColor="background1"/>
                                        <w:sz w:val="52"/>
                                        <w:szCs w:val="52"/>
                                      </w:rPr>
                                      <w:t>Port Talbot Steelworkers Community</w:t>
                                    </w:r>
                                  </w:sdtContent>
                                </w:sdt>
                              </w:p>
                              <w:p w14:paraId="062829E8" w14:textId="1856D790" w:rsidR="008A3041" w:rsidRPr="008A3041" w:rsidRDefault="008A3041" w:rsidP="008A3041">
                                <w:pPr>
                                  <w:pStyle w:val="NoSpacing"/>
                                  <w:spacing w:before="240"/>
                                  <w:ind w:left="720" w:right="720"/>
                                  <w:jc w:val="center"/>
                                  <w:rPr>
                                    <w:rFonts w:ascii="Times New Roman" w:hAnsi="Times New Roman" w:cs="Times New Roman"/>
                                    <w:b/>
                                    <w:bCs/>
                                    <w:color w:val="FFFFFF" w:themeColor="background1"/>
                                    <w:sz w:val="32"/>
                                    <w:szCs w:val="32"/>
                                  </w:rPr>
                                </w:pPr>
                                <w:sdt>
                                  <w:sdtPr>
                                    <w:rPr>
                                      <w:rFonts w:ascii="Times New Roman" w:hAnsi="Times New Roman" w:cs="Times New Roman"/>
                                      <w:b/>
                                      <w:bCs/>
                                      <w:color w:val="FFFFFF" w:themeColor="background1"/>
                                      <w:sz w:val="32"/>
                                      <w:szCs w:val="32"/>
                                    </w:rPr>
                                    <w:alias w:val="Subtitle"/>
                                    <w:tag w:val=""/>
                                    <w:id w:val="1143089448"/>
                                    <w:placeholder>
                                      <w:docPart w:val="CA7934CA9486425DAF91C0B4BB28311B"/>
                                    </w:placeholder>
                                    <w:dataBinding w:prefixMappings="xmlns:ns0='http://purl.org/dc/elements/1.1/' xmlns:ns1='http://schemas.openxmlformats.org/package/2006/metadata/core-properties' " w:xpath="/ns1:coreProperties[1]/ns0:subject[1]" w:storeItemID="{6C3C8BC8-F283-45AE-878A-BAB7291924A1}"/>
                                    <w:text/>
                                  </w:sdtPr>
                                  <w:sdtContent>
                                    <w:r w:rsidRPr="008A3041">
                                      <w:rPr>
                                        <w:rFonts w:ascii="Times New Roman" w:hAnsi="Times New Roman" w:cs="Times New Roman"/>
                                        <w:b/>
                                        <w:bCs/>
                                        <w:color w:val="FFFFFF" w:themeColor="background1"/>
                                        <w:sz w:val="32"/>
                                        <w:szCs w:val="32"/>
                                      </w:rPr>
                                      <w:t>Assignment 2</w:t>
                                    </w:r>
                                  </w:sdtContent>
                                </w:sdt>
                              </w:p>
                            </w:tc>
                          </w:tr>
                          <w:tr w:rsidR="008A3041" w14:paraId="688E9C9F" w14:textId="77777777">
                            <w:trPr>
                              <w:trHeight w:hRule="exact" w:val="720"/>
                            </w:trPr>
                            <w:tc>
                              <w:tcPr>
                                <w:tcW w:w="9350" w:type="dxa"/>
                                <w:shd w:val="clear" w:color="auto" w:fill="4EA72E" w:themeFill="accent6"/>
                              </w:tcPr>
                              <w:tbl>
                                <w:tblPr>
                                  <w:tblW w:w="1667" w:type="pct"/>
                                  <w:tblCellMar>
                                    <w:left w:w="0" w:type="dxa"/>
                                    <w:right w:w="0" w:type="dxa"/>
                                  </w:tblCellMar>
                                  <w:tblLook w:val="04A0" w:firstRow="1" w:lastRow="0" w:firstColumn="1" w:lastColumn="0" w:noHBand="0" w:noVBand="1"/>
                                  <w:tblDescription w:val="Cover page info"/>
                                </w:tblPr>
                                <w:tblGrid>
                                  <w:gridCol w:w="3602"/>
                                </w:tblGrid>
                                <w:tr w:rsidR="008A3041" w14:paraId="0FBD639E" w14:textId="77777777" w:rsidTr="008A3041">
                                  <w:trPr>
                                    <w:trHeight w:hRule="exact" w:val="720"/>
                                  </w:trPr>
                                  <w:tc>
                                    <w:tcPr>
                                      <w:tcW w:w="3597" w:type="dxa"/>
                                      <w:vAlign w:val="center"/>
                                    </w:tcPr>
                                    <w:p w14:paraId="5892B883" w14:textId="77FF3D3A" w:rsidR="008A3041" w:rsidRDefault="008A3041" w:rsidP="008A3041">
                                      <w:pPr>
                                        <w:pStyle w:val="NoSpacing"/>
                                        <w:ind w:right="720"/>
                                        <w:rPr>
                                          <w:color w:val="FFFFFF" w:themeColor="background1"/>
                                        </w:rPr>
                                      </w:pPr>
                                    </w:p>
                                  </w:tc>
                                </w:tr>
                              </w:tbl>
                              <w:p w14:paraId="6FA358B2" w14:textId="77777777" w:rsidR="008A3041" w:rsidRDefault="008A3041"/>
                            </w:tc>
                          </w:tr>
                        </w:tbl>
                        <w:p w14:paraId="421B789F" w14:textId="77777777" w:rsidR="008A3041" w:rsidRDefault="008A3041"/>
                      </w:txbxContent>
                    </v:textbox>
                    <w10:wrap anchorx="page" anchory="page"/>
                  </v:shape>
                </w:pict>
              </mc:Fallback>
            </mc:AlternateContent>
          </w:r>
        </w:p>
        <w:p w14:paraId="098B0765" w14:textId="1373B0F5" w:rsidR="008A3041" w:rsidRDefault="008A3041">
          <w:pPr>
            <w:rPr>
              <w:rFonts w:ascii="Times New Roman" w:hAnsi="Times New Roman" w:cs="Times New Roman"/>
              <w:b/>
              <w:bCs/>
              <w:color w:val="4C94D8" w:themeColor="text2" w:themeTint="80"/>
            </w:rPr>
          </w:pPr>
          <w:r>
            <w:rPr>
              <w:rFonts w:ascii="Times New Roman" w:hAnsi="Times New Roman" w:cs="Times New Roman"/>
              <w:b/>
              <w:bCs/>
              <w:color w:val="4C94D8" w:themeColor="text2" w:themeTint="80"/>
            </w:rPr>
            <w:br w:type="page"/>
          </w:r>
        </w:p>
      </w:sdtContent>
    </w:sdt>
    <w:p w14:paraId="163BCABB" w14:textId="03986C9A" w:rsidR="004E5BF8" w:rsidRPr="008A3041" w:rsidRDefault="004E5BF8" w:rsidP="008A3041">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lastRenderedPageBreak/>
        <w:t>Introduction</w:t>
      </w:r>
      <w:r w:rsidRPr="004E5BF8">
        <w:rPr>
          <w:rFonts w:ascii="Times New Roman" w:hAnsi="Times New Roman" w:cs="Times New Roman"/>
          <w:b/>
          <w:bCs/>
          <w:color w:val="4C94D8" w:themeColor="text2" w:themeTint="80"/>
        </w:rPr>
        <w:br/>
      </w:r>
      <w:r w:rsidRPr="004E5BF8">
        <w:rPr>
          <w:rFonts w:ascii="Times New Roman" w:hAnsi="Times New Roman" w:cs="Times New Roman"/>
        </w:rPr>
        <w:t xml:space="preserve">Communities are dynamic entities defined by a variety of links such as ethnicity, occupation, culture, and shared experiences (Anderson, 2006). An individual can be a member of numerous communities at the same time, each with its own influence on their identity and behaviour. In Port Talbot, a coastal town in South Wales, the </w:t>
      </w:r>
      <w:r w:rsidRPr="004E5BF8">
        <w:rPr>
          <w:rFonts w:ascii="Times New Roman" w:hAnsi="Times New Roman" w:cs="Times New Roman"/>
        </w:rPr>
        <w:t>steelworker’s</w:t>
      </w:r>
      <w:r w:rsidRPr="004E5BF8">
        <w:rPr>
          <w:rFonts w:ascii="Times New Roman" w:hAnsi="Times New Roman" w:cs="Times New Roman"/>
        </w:rPr>
        <w:t xml:space="preserve"> community stands out as a unique group united by occupational identity and socioeconomic status.</w:t>
      </w:r>
    </w:p>
    <w:p w14:paraId="66A0C493"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Port Talbot's economy has traditionally revolved around the steel sector, with the Port Talbot Steelworks being one of Europe's largest (Parry et al., 2018). The steelworks have been the town's economic backbone since the early twentieth century, influencing its cultural and social landscape. However, globalisation, technical improvements, and economic changes have presented substantial difficulties to the sector and, by implication, the community that relies on it. These difficulties demand effective community development efforts that promote growth, resilience, and sustainable development.</w:t>
      </w:r>
    </w:p>
    <w:p w14:paraId="168E21B8" w14:textId="7C533125"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This re</w:t>
      </w:r>
      <w:r>
        <w:rPr>
          <w:rFonts w:ascii="Times New Roman" w:hAnsi="Times New Roman" w:cs="Times New Roman"/>
        </w:rPr>
        <w:t>port</w:t>
      </w:r>
      <w:r w:rsidRPr="004E5BF8">
        <w:rPr>
          <w:rFonts w:ascii="Times New Roman" w:hAnsi="Times New Roman" w:cs="Times New Roman"/>
        </w:rPr>
        <w:t xml:space="preserve"> examines the Port Talbot </w:t>
      </w:r>
      <w:r w:rsidRPr="004E5BF8">
        <w:rPr>
          <w:rFonts w:ascii="Times New Roman" w:hAnsi="Times New Roman" w:cs="Times New Roman"/>
        </w:rPr>
        <w:t>steelworker’s</w:t>
      </w:r>
      <w:r w:rsidRPr="004E5BF8">
        <w:rPr>
          <w:rFonts w:ascii="Times New Roman" w:hAnsi="Times New Roman" w:cs="Times New Roman"/>
        </w:rPr>
        <w:t xml:space="preserve"> </w:t>
      </w:r>
      <w:r w:rsidRPr="004E5BF8">
        <w:rPr>
          <w:rFonts w:ascii="Times New Roman" w:hAnsi="Times New Roman" w:cs="Times New Roman"/>
        </w:rPr>
        <w:t>community,</w:t>
      </w:r>
      <w:r w:rsidRPr="004E5BF8">
        <w:rPr>
          <w:rFonts w:ascii="Times New Roman" w:hAnsi="Times New Roman" w:cs="Times New Roman"/>
        </w:rPr>
        <w:t xml:space="preserve"> and the techniques employed to promote growth and development. It investigates the use of imagery, the cultural, sociological, economic, political, and environmental implications, and how messages are adjusted to the community's setting. It also addresses key concepts used in behavioural change approaches within this community and assesses the hurdles encountered as well as the success of community development processes in generating long-term gains.</w:t>
      </w:r>
    </w:p>
    <w:p w14:paraId="03E926A3" w14:textId="77777777" w:rsidR="004E5BF8" w:rsidRPr="008F426F"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Binding Characteristics of the Steelworkers Community</w:t>
      </w:r>
    </w:p>
    <w:p w14:paraId="778E1D37" w14:textId="02655136" w:rsidR="004E5BF8" w:rsidRPr="008F426F"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Occupational Identity</w:t>
      </w:r>
    </w:p>
    <w:p w14:paraId="1979166E" w14:textId="17F2AFD1"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 xml:space="preserve">The key defining feature of the Port Talbot </w:t>
      </w:r>
      <w:r w:rsidRPr="004E5BF8">
        <w:rPr>
          <w:rFonts w:ascii="Times New Roman" w:hAnsi="Times New Roman" w:cs="Times New Roman"/>
        </w:rPr>
        <w:t>steelworker’s</w:t>
      </w:r>
      <w:r w:rsidRPr="004E5BF8">
        <w:rPr>
          <w:rFonts w:ascii="Times New Roman" w:hAnsi="Times New Roman" w:cs="Times New Roman"/>
        </w:rPr>
        <w:t xml:space="preserve"> community is their common occupation in the steel industry. Employees at the steelworks have developed a strong feeling of identity, pride, and togetherness (Waddington et al., 2019). This vocational identity is more </w:t>
      </w:r>
      <w:r w:rsidRPr="004E5BF8">
        <w:rPr>
          <w:rFonts w:ascii="Times New Roman" w:hAnsi="Times New Roman" w:cs="Times New Roman"/>
        </w:rPr>
        <w:lastRenderedPageBreak/>
        <w:t>than just a work; it's a way of life that shapes social relationships, family traditions, and community conventions. The intergenerational aspect of employment, in which numerous family members from different generations work at the company, reinforces these relationships and preserves shared beliefs and experiences</w:t>
      </w:r>
      <w:r>
        <w:rPr>
          <w:rFonts w:ascii="Times New Roman" w:hAnsi="Times New Roman" w:cs="Times New Roman"/>
        </w:rPr>
        <w:t>.</w:t>
      </w:r>
    </w:p>
    <w:p w14:paraId="7425C9FE" w14:textId="77777777" w:rsidR="004E5BF8" w:rsidRPr="008F426F"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Cultural Heritage</w:t>
      </w:r>
    </w:p>
    <w:p w14:paraId="433DDBEF"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Steel industry-related cultural activities and traditions help to strengthen the community. Local activities, festivals, and narratives frequently revolve around the steelworks and its history, strengthening community ties (Day, 2019). The steelworks are a symbol of the town's history, and the community is proud of its contribution to the nation's industrial supremacy. Cultural representations like as paintings, songs, and books honour the steelworkers' past and build a sense of community.</w:t>
      </w:r>
    </w:p>
    <w:p w14:paraId="198C4F8E" w14:textId="537EDF6B" w:rsidR="004E5BF8" w:rsidRPr="008F426F"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Socioeconomic Factors</w:t>
      </w:r>
    </w:p>
    <w:p w14:paraId="19B19421"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Common socioeconomic factors, such as job security concerns, economic swings, and collective bargaining experiences, have energised the community. The steel industry's cyclical nature has resulted in periods of success and adversity, fostering collective resilience and mutual support networks among community members (</w:t>
      </w:r>
      <w:proofErr w:type="spellStart"/>
      <w:r w:rsidRPr="004E5BF8">
        <w:rPr>
          <w:rFonts w:ascii="Times New Roman" w:hAnsi="Times New Roman" w:cs="Times New Roman"/>
        </w:rPr>
        <w:t>MacKenzie</w:t>
      </w:r>
      <w:proofErr w:type="spellEnd"/>
      <w:r w:rsidRPr="004E5BF8">
        <w:rPr>
          <w:rFonts w:ascii="Times New Roman" w:hAnsi="Times New Roman" w:cs="Times New Roman"/>
        </w:rPr>
        <w:t xml:space="preserve"> et al. 2017). Social organisations such as unions, local clubs, and support groups play an important role in delivering help and maintaining social cohesion in difficult times.</w:t>
      </w:r>
    </w:p>
    <w:p w14:paraId="49CDF3F4" w14:textId="77777777" w:rsidR="004E5BF8" w:rsidRPr="004E5BF8"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Shared Experiences and Challenges</w:t>
      </w:r>
    </w:p>
    <w:p w14:paraId="2E35D652"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Collective experiences, such as dealing with industrial conflicts, layoffs, and the health concerns involved with steel production, strengthen the community. These common struggles have instilled a sense of togetherness and mutual aid. To protect their interests, communities frequently respond to hardship by collective action, advocacy, and participation in political processes (Lloyd &amp; Payne, 2019).</w:t>
      </w:r>
    </w:p>
    <w:p w14:paraId="7E2A60A8" w14:textId="77777777" w:rsidR="004E5BF8" w:rsidRPr="004E5BF8"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lastRenderedPageBreak/>
        <w:t>Approaches to Promoting Growth and Development</w:t>
      </w:r>
    </w:p>
    <w:p w14:paraId="07A8CB58" w14:textId="608F8D3E"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Various initiatives have been attempted to promote growth and development in response to the steelworkers' economic and social concerns. These techniques seek to diversify the economy, improve skills, empower the community, and promote overall well-being.</w:t>
      </w:r>
    </w:p>
    <w:p w14:paraId="46BC3F14" w14:textId="77777777" w:rsidR="004E5BF8" w:rsidRPr="004E5BF8"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Economic Diversification Initiatives</w:t>
      </w:r>
    </w:p>
    <w:p w14:paraId="5137C777"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One of the key strategies has been to diversify the local economy, reducing dependency on the steel industry. The Welsh Government, in partnership with local governments, has launched initiatives to attract new businesses such as renewable energy, technology, and tourism (Welsh Government, 2020). Initiatives such as the Swansea Bay City Deal seek to invest in digital infrastructure and innovation, hence creating job possibilities in new areas.</w:t>
      </w:r>
    </w:p>
    <w:p w14:paraId="7128FBC6"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Grants, tax breaks, and business development services have all been used to help small and medium-sized businesses (SMEs). By encouraging entrepreneurship, the community hopes to drive economic growth and build a more robust economic basis (Parry et al. 2018).</w:t>
      </w:r>
    </w:p>
    <w:p w14:paraId="2A6D960C" w14:textId="77777777" w:rsidR="004E5BF8" w:rsidRPr="004E5BF8"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Education and Re-training Programs</w:t>
      </w:r>
    </w:p>
    <w:p w14:paraId="434ADA67"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Recognising the importance of workforce adaptability, education and retraining initiatives have proven crucial. Collaborations between Tata Steel, local institutions, and the Welsh government have enabled workers to learn new skills applicable to other industries (Lloyd &amp; Payne, 2019). Programs emphasise both technical abilities, such as engineering and information technology, and soft skills, such as communication and project management.</w:t>
      </w:r>
    </w:p>
    <w:p w14:paraId="211F99F9"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Adult education centres provide courses for upskilling and reskilling, supporting career transfers. Apprenticeship programs for young community members give paths into a variety of occupations, thereby reducing youth unemployment and preventing talent outflow.</w:t>
      </w:r>
    </w:p>
    <w:p w14:paraId="5475E704" w14:textId="77777777" w:rsidR="004E5BF8" w:rsidRDefault="004E5BF8" w:rsidP="004E5BF8">
      <w:pPr>
        <w:spacing w:line="480" w:lineRule="auto"/>
        <w:jc w:val="both"/>
        <w:rPr>
          <w:rFonts w:ascii="Times New Roman" w:hAnsi="Times New Roman" w:cs="Times New Roman"/>
        </w:rPr>
      </w:pPr>
    </w:p>
    <w:p w14:paraId="7F3E3652" w14:textId="10B6EB84" w:rsidR="004E5BF8" w:rsidRPr="004E5BF8"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lastRenderedPageBreak/>
        <w:t>Community Engagement and Empowerment.</w:t>
      </w:r>
    </w:p>
    <w:p w14:paraId="3D4C8583"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Grassroots organisations have formed to empower and involve residents in decision-making processes. The Port Talbot Community Action (PTCA) group, for example, participates in local administration, campaigns for community concerns, and supports community-led projects (Evans &amp; Thomas, 2021). These organisations hope to improve accountability and guarantee that development efforts meet the needs of the community by encouraging participatory democracy.</w:t>
      </w:r>
    </w:p>
    <w:p w14:paraId="307A3ACD"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Community centres serve as gathering places for social events, educational programs, and support services. They encourage social inclusion, particularly among vulnerable populations, and cultural activities that create communal identity.</w:t>
      </w:r>
    </w:p>
    <w:p w14:paraId="00F6B82B" w14:textId="77777777" w:rsidR="004E5BF8" w:rsidRPr="004E5BF8"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Mental Health and Wellbeing Support</w:t>
      </w:r>
    </w:p>
    <w:p w14:paraId="27B1E9DD" w14:textId="23759DE9"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 xml:space="preserve">The psychological effects of industrial decline and economic uncertainty have been severe. Depression, anxiety, and stress-related disorders are common (Jones et al., 2018). Counselling, therapy sessions, and peer support groups have all been developed </w:t>
      </w:r>
      <w:r w:rsidRPr="004E5BF8">
        <w:rPr>
          <w:rFonts w:ascii="Times New Roman" w:hAnsi="Times New Roman" w:cs="Times New Roman"/>
        </w:rPr>
        <w:t>because of</w:t>
      </w:r>
      <w:r w:rsidRPr="004E5BF8">
        <w:rPr>
          <w:rFonts w:ascii="Times New Roman" w:hAnsi="Times New Roman" w:cs="Times New Roman"/>
        </w:rPr>
        <w:t xml:space="preserve"> this.</w:t>
      </w:r>
    </w:p>
    <w:p w14:paraId="6DD34999"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MIND Cymru and local health boards provide mental health resources adapted to the community's needs. Workplace initiatives aim to promote well-being, provide stress management training, and establish a friendly work environment.</w:t>
      </w:r>
    </w:p>
    <w:p w14:paraId="5AE02717" w14:textId="77777777" w:rsidR="004E5BF8" w:rsidRPr="004E5BF8"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Environmental sustainability initiatives</w:t>
      </w:r>
    </w:p>
    <w:p w14:paraId="7C154E9D"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Environmental considerations are becoming increasingly significant. There are programs in place to reduce the environmental impact of steelworks, such as the implementation of cleaner technology and waste reduction methods (Parry et al., 2018). Community-led environmental programs, such as tree planting and neighbourhood clean-ups, raise ecological awareness and help to improve local environmental quality.</w:t>
      </w:r>
    </w:p>
    <w:p w14:paraId="278A4FD6" w14:textId="77777777" w:rsidR="004E5BF8" w:rsidRPr="004E5BF8"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lastRenderedPageBreak/>
        <w:t>Using imagery and tailoring messages</w:t>
      </w:r>
    </w:p>
    <w:p w14:paraId="1A1F9F11"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Effective communication is vital for increasing community engagement and encouraging behavioural change. The use of imagery, cultural resonance, and targeted messaging increases the success of development projects.</w:t>
      </w:r>
    </w:p>
    <w:p w14:paraId="08AD01F7" w14:textId="77777777" w:rsidR="004E5BF8" w:rsidRPr="004E5BF8"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Imagery for Community Initiatives</w:t>
      </w:r>
    </w:p>
    <w:p w14:paraId="53D14DC2"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The recognisable shape of the steelworks, as well as pictures of molten steel, are widely used in advertising materials and campaigns (Day, 2019). These images elicit pride, nostalgia, and a sense of belonging, cementing the community's ties to its industrial past.</w:t>
      </w:r>
    </w:p>
    <w:p w14:paraId="08DAA6D0"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Murals and public art works representing steelworkers and industrial settings are both aesthetically pleasing and symbolic of communal resilience. They honour the community's past while fostering hope for the future.</w:t>
      </w:r>
    </w:p>
    <w:p w14:paraId="5772AC40" w14:textId="77777777" w:rsidR="004E5BF8" w:rsidRPr="004E5BF8"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Cultural Resonance</w:t>
      </w:r>
    </w:p>
    <w:p w14:paraId="0992724A"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Messages are designed to resonate culturally with the community. Using local dialects, colloquialisms, and references to common experiences improves relatability and engagement (Anderson 2006). Cultural events integrate traditional music, dance, and storytelling to preserve cultural practices and foster intergenerational connections.</w:t>
      </w:r>
    </w:p>
    <w:p w14:paraId="32311BBD"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Initiatives that match development messages with cultural values are more likely to receive community support. For example, emphasising the value of hard labour, solidarity, and perseverance is consistent with the community's culture.</w:t>
      </w:r>
    </w:p>
    <w:p w14:paraId="04F69700" w14:textId="77777777" w:rsidR="004E5BF8" w:rsidRPr="004E5BF8"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Social and Economic Messaging</w:t>
      </w:r>
    </w:p>
    <w:p w14:paraId="20EAAB1E"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 xml:space="preserve">Communications highlight the societal benefits of development activities, such as job creation, improved infrastructure, and higher quality of life. Economic messages emphasise long-term </w:t>
      </w:r>
      <w:r w:rsidRPr="004E5BF8">
        <w:rPr>
          <w:rFonts w:ascii="Times New Roman" w:hAnsi="Times New Roman" w:cs="Times New Roman"/>
        </w:rPr>
        <w:lastRenderedPageBreak/>
        <w:t>sustainability and how diversification and innovation can safeguard the community's future (Welsh Government, 2020).</w:t>
      </w:r>
    </w:p>
    <w:p w14:paraId="68E0B7D6"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Success stories and testimonials from community members who have benefited from programs are shared to motivate others and show actual results. Messaging frequently addresses immediate concerns while contextualising them within a larger goal for the community's prosperity.</w:t>
      </w:r>
    </w:p>
    <w:p w14:paraId="7FE673F1" w14:textId="77777777" w:rsidR="004E5BF8" w:rsidRPr="004E5BF8"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Political and Environmental Context</w:t>
      </w:r>
    </w:p>
    <w:p w14:paraId="7614212A"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Given the community's history of political activism, messages are sensitive to the political climate. Campaigns address concerns about job security, workers' rights, and the effects of government policy. To sustain trust, policymakers' engagement and lobbying initiatives are communicated clearly (Evans &amp; Thomas, 2021).</w:t>
      </w:r>
    </w:p>
    <w:p w14:paraId="54DAC0EB"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 xml:space="preserve">Environmental messaging </w:t>
      </w:r>
      <w:r w:rsidRPr="004E5BF8">
        <w:rPr>
          <w:rFonts w:ascii="Times New Roman" w:hAnsi="Times New Roman" w:cs="Times New Roman"/>
        </w:rPr>
        <w:t>is</w:t>
      </w:r>
      <w:r w:rsidRPr="004E5BF8">
        <w:rPr>
          <w:rFonts w:ascii="Times New Roman" w:hAnsi="Times New Roman" w:cs="Times New Roman"/>
        </w:rPr>
        <w:t xml:space="preserve"> crafted to reflect the community's industrial history while encouraging sustainable habits. Initiatives are framed as chances to lead in green technologies, with both economic and environmental benefits (Parry et al., 2018).</w:t>
      </w:r>
    </w:p>
    <w:p w14:paraId="75E79940" w14:textId="77777777" w:rsidR="004E5BF8" w:rsidRPr="004E5BF8"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Key Ideas in Behavioural Change Approaches</w:t>
      </w:r>
    </w:p>
    <w:p w14:paraId="5A96B854" w14:textId="3C0B2043"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 xml:space="preserve">Understanding behavioural change is critical for carrying out effective community development programs. Several essential themes guide the techniques employed by the </w:t>
      </w:r>
      <w:r w:rsidRPr="004E5BF8">
        <w:rPr>
          <w:rFonts w:ascii="Times New Roman" w:hAnsi="Times New Roman" w:cs="Times New Roman"/>
        </w:rPr>
        <w:t>steelworker’s</w:t>
      </w:r>
      <w:r w:rsidRPr="004E5BF8">
        <w:rPr>
          <w:rFonts w:ascii="Times New Roman" w:hAnsi="Times New Roman" w:cs="Times New Roman"/>
        </w:rPr>
        <w:t xml:space="preserve"> community.</w:t>
      </w:r>
    </w:p>
    <w:p w14:paraId="2312E9C3" w14:textId="77777777" w:rsidR="004E5BF8" w:rsidRPr="004E5BF8"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Community Based Social Marketing (CBSM)</w:t>
      </w:r>
    </w:p>
    <w:p w14:paraId="7BC678F6"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CBSM focusses on identifying barriers and rewards to behaviour change, as well as implementing community-level initiatives to encourage sustainable behaviours (McKenzie-Mohr, 2011). In Port Talbot, CBSM concepts are used to encourage involvement in retraining programs, environmental efforts, and health-promoting behaviours.</w:t>
      </w:r>
    </w:p>
    <w:p w14:paraId="5CCB14CE"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lastRenderedPageBreak/>
        <w:t>Techniques used include commitment (securing public promises), prompts (reminders to engage in desired behaviours), and social norms (highlighting broad adoption of behaviours). For example, public recognition of persons who finish retraining programs can encourage others to participate.</w:t>
      </w:r>
    </w:p>
    <w:p w14:paraId="23107551" w14:textId="77777777" w:rsidR="004E5BF8" w:rsidRPr="004E5BF8"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Empowerment Theory</w:t>
      </w:r>
    </w:p>
    <w:p w14:paraId="4AEE1E27"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Empowerment philosophy emphasises giving people more control over their lives and encouraging participation in communal decision-making (Zimmerman, 2000). Empowerment techniques foster ownership and commitment by incorporating community people in project conception and implementation.</w:t>
      </w:r>
    </w:p>
    <w:p w14:paraId="32C7CE34"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In practice, this entails establishing channels for community feedback, such as town hall meetings, surveys, and participatory budgeting. Individuals who feel empowered are more likely to take collective action and support community-benefiting activities.</w:t>
      </w:r>
    </w:p>
    <w:p w14:paraId="30BAD4AD" w14:textId="77777777" w:rsidR="004E5BF8" w:rsidRPr="004E5BF8"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Social Identity Theory</w:t>
      </w:r>
    </w:p>
    <w:p w14:paraId="1134BE94"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 xml:space="preserve">According to social identity theory, group participation provides individuals with a feeling of identity and self-esteem (Tajfel and Turner, 1986). Using the strong social identity associated with the </w:t>
      </w:r>
      <w:r w:rsidRPr="004E5BF8">
        <w:rPr>
          <w:rFonts w:ascii="Times New Roman" w:hAnsi="Times New Roman" w:cs="Times New Roman"/>
        </w:rPr>
        <w:t>steelworker’s</w:t>
      </w:r>
      <w:r w:rsidRPr="004E5BF8">
        <w:rPr>
          <w:rFonts w:ascii="Times New Roman" w:hAnsi="Times New Roman" w:cs="Times New Roman"/>
        </w:rPr>
        <w:t xml:space="preserve"> community can inspire collective action and support for development efforts.</w:t>
      </w:r>
    </w:p>
    <w:p w14:paraId="77673320"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Members are more inclined to join when efforts are presented as benefits to the community and reinforce group cohesiveness. Messaging that appeals to common identity and goals can boost cohesion and cooperation.</w:t>
      </w:r>
    </w:p>
    <w:p w14:paraId="65551073" w14:textId="77777777" w:rsidR="004E5BF8" w:rsidRPr="004E5BF8"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Diffusion of Innovation Theory</w:t>
      </w:r>
    </w:p>
    <w:p w14:paraId="7E66AE35"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 xml:space="preserve">This theory describes how new ideas and practices propagate throughout a community (Rogers, 2003). Change agents and opinion leaders play critical roles in encouraging adoption. In Port </w:t>
      </w:r>
      <w:r w:rsidRPr="004E5BF8">
        <w:rPr>
          <w:rFonts w:ascii="Times New Roman" w:hAnsi="Times New Roman" w:cs="Times New Roman"/>
        </w:rPr>
        <w:lastRenderedPageBreak/>
        <w:t>Talbot, significant community members, such as respected steelworkers or union officials, support initiatives to increase acceptance.</w:t>
      </w:r>
    </w:p>
    <w:p w14:paraId="2CFB86A6" w14:textId="77777777"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Understanding the stages of adoption (awareness, interest, evaluation, trial, and adoption) enables tailored tactics for promoting new behaviours. Providing accurate information, resolving concerns, and demonstrating benefits are all necessary tasks.</w:t>
      </w:r>
    </w:p>
    <w:p w14:paraId="774CC4B6" w14:textId="77777777" w:rsidR="004E5BF8" w:rsidRPr="004E5BF8"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Evaluation of Community Development Processes</w:t>
      </w:r>
    </w:p>
    <w:p w14:paraId="7D113E31" w14:textId="77777777" w:rsidR="008F426F" w:rsidRDefault="004E5BF8" w:rsidP="004E5BF8">
      <w:pPr>
        <w:spacing w:line="480" w:lineRule="auto"/>
        <w:jc w:val="both"/>
        <w:rPr>
          <w:rFonts w:ascii="Times New Roman" w:hAnsi="Times New Roman" w:cs="Times New Roman"/>
        </w:rPr>
      </w:pPr>
      <w:r w:rsidRPr="004E5BF8">
        <w:rPr>
          <w:rFonts w:ascii="Times New Roman" w:hAnsi="Times New Roman" w:cs="Times New Roman"/>
        </w:rPr>
        <w:t>To evaluate the success of community development procedures, consider their impact on economic, social, and environmental results.</w:t>
      </w:r>
    </w:p>
    <w:p w14:paraId="531C40A8" w14:textId="77777777" w:rsidR="008F426F" w:rsidRPr="008F426F"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Economic outcomes</w:t>
      </w:r>
    </w:p>
    <w:p w14:paraId="579DD472" w14:textId="77777777" w:rsidR="008F426F" w:rsidRDefault="004E5BF8" w:rsidP="004E5BF8">
      <w:pPr>
        <w:spacing w:line="480" w:lineRule="auto"/>
        <w:jc w:val="both"/>
        <w:rPr>
          <w:rFonts w:ascii="Times New Roman" w:hAnsi="Times New Roman" w:cs="Times New Roman"/>
        </w:rPr>
      </w:pPr>
      <w:r w:rsidRPr="004E5BF8">
        <w:rPr>
          <w:rFonts w:ascii="Times New Roman" w:hAnsi="Times New Roman" w:cs="Times New Roman"/>
        </w:rPr>
        <w:t>Economic diversification measures have demonstrated potential for producing new job possibilities and attracting investment. Initiatives such as the Swansea Bay City Deal have accelerated growth in the technology and innovation sectors (Welsh Government, 2020).</w:t>
      </w:r>
    </w:p>
    <w:p w14:paraId="02CDE708" w14:textId="77777777" w:rsidR="008F426F" w:rsidRDefault="004E5BF8" w:rsidP="004E5BF8">
      <w:pPr>
        <w:spacing w:line="480" w:lineRule="auto"/>
        <w:jc w:val="both"/>
        <w:rPr>
          <w:rFonts w:ascii="Times New Roman" w:hAnsi="Times New Roman" w:cs="Times New Roman"/>
        </w:rPr>
      </w:pPr>
      <w:r w:rsidRPr="004E5BF8">
        <w:rPr>
          <w:rFonts w:ascii="Times New Roman" w:hAnsi="Times New Roman" w:cs="Times New Roman"/>
        </w:rPr>
        <w:t xml:space="preserve">However, improvement is slow, and the steel sector remains the primary employer. Ensuring that new employment </w:t>
      </w:r>
      <w:r w:rsidR="008F426F" w:rsidRPr="004E5BF8">
        <w:rPr>
          <w:rFonts w:ascii="Times New Roman" w:hAnsi="Times New Roman" w:cs="Times New Roman"/>
        </w:rPr>
        <w:t>is</w:t>
      </w:r>
      <w:r w:rsidRPr="004E5BF8">
        <w:rPr>
          <w:rFonts w:ascii="Times New Roman" w:hAnsi="Times New Roman" w:cs="Times New Roman"/>
        </w:rPr>
        <w:t xml:space="preserve"> available to the existing workforce necessitates continuing support and skill development alignment with market requirements.</w:t>
      </w:r>
    </w:p>
    <w:p w14:paraId="149F54A9" w14:textId="77777777" w:rsidR="008F426F" w:rsidRPr="008F426F"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Social Cohesion and Empowerment</w:t>
      </w:r>
    </w:p>
    <w:p w14:paraId="1811395A" w14:textId="77777777" w:rsidR="008F426F" w:rsidRDefault="004E5BF8" w:rsidP="004E5BF8">
      <w:pPr>
        <w:spacing w:line="480" w:lineRule="auto"/>
        <w:jc w:val="both"/>
        <w:rPr>
          <w:rFonts w:ascii="Times New Roman" w:hAnsi="Times New Roman" w:cs="Times New Roman"/>
        </w:rPr>
      </w:pPr>
      <w:r w:rsidRPr="004E5BF8">
        <w:rPr>
          <w:rFonts w:ascii="Times New Roman" w:hAnsi="Times New Roman" w:cs="Times New Roman"/>
        </w:rPr>
        <w:t>Community participation projects have built social networks and increased resilience. Increased participation in local governance fosters democratic engagement and responsiveness to community demands (Zimmerman 2000).</w:t>
      </w:r>
    </w:p>
    <w:p w14:paraId="30925C15" w14:textId="77777777" w:rsidR="008F426F" w:rsidRDefault="004E5BF8" w:rsidP="004E5BF8">
      <w:pPr>
        <w:spacing w:line="480" w:lineRule="auto"/>
        <w:jc w:val="both"/>
        <w:rPr>
          <w:rFonts w:ascii="Times New Roman" w:hAnsi="Times New Roman" w:cs="Times New Roman"/>
        </w:rPr>
      </w:pPr>
      <w:r w:rsidRPr="004E5BF8">
        <w:rPr>
          <w:rFonts w:ascii="Times New Roman" w:hAnsi="Times New Roman" w:cs="Times New Roman"/>
        </w:rPr>
        <w:t>Empowerment techniques have given residents a sense of agency, leading to increased involvement and community-led projects. Collaboration and mutual assistance help to build social capital.</w:t>
      </w:r>
    </w:p>
    <w:p w14:paraId="672B82C3" w14:textId="77777777" w:rsidR="008F426F" w:rsidRPr="008F426F"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lastRenderedPageBreak/>
        <w:t>Health and wellbeing</w:t>
      </w:r>
    </w:p>
    <w:p w14:paraId="1EB5E7D0" w14:textId="77777777" w:rsidR="008F426F" w:rsidRDefault="004E5BF8" w:rsidP="004E5BF8">
      <w:pPr>
        <w:spacing w:line="480" w:lineRule="auto"/>
        <w:jc w:val="both"/>
        <w:rPr>
          <w:rFonts w:ascii="Times New Roman" w:hAnsi="Times New Roman" w:cs="Times New Roman"/>
        </w:rPr>
      </w:pPr>
      <w:r w:rsidRPr="004E5BF8">
        <w:rPr>
          <w:rFonts w:ascii="Times New Roman" w:hAnsi="Times New Roman" w:cs="Times New Roman"/>
        </w:rPr>
        <w:t>Mental health support programs have had a favourable impact on individual well-being. Individuals are more likely to seek treatment when resources are readily available and stigma is reduced (Jones et al., 2018).</w:t>
      </w:r>
    </w:p>
    <w:p w14:paraId="5BBC71AF" w14:textId="77777777" w:rsidR="008F426F" w:rsidRDefault="004E5BF8" w:rsidP="004E5BF8">
      <w:pPr>
        <w:spacing w:line="480" w:lineRule="auto"/>
        <w:jc w:val="both"/>
        <w:rPr>
          <w:rFonts w:ascii="Times New Roman" w:hAnsi="Times New Roman" w:cs="Times New Roman"/>
        </w:rPr>
      </w:pPr>
      <w:r w:rsidRPr="004E5BF8">
        <w:rPr>
          <w:rFonts w:ascii="Times New Roman" w:hAnsi="Times New Roman" w:cs="Times New Roman"/>
        </w:rPr>
        <w:t>Workplace programs that encourage work-life balance, stress management, and supportive workplaces improve overall health. However, continued economic stresses continue to pose threats to mental health, demanding regular monitoring.</w:t>
      </w:r>
    </w:p>
    <w:p w14:paraId="148636DC" w14:textId="77777777" w:rsidR="008F426F" w:rsidRPr="008F426F"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Environmental Sustainability</w:t>
      </w:r>
    </w:p>
    <w:p w14:paraId="576D4D2C" w14:textId="77777777" w:rsidR="008F426F" w:rsidRDefault="004E5BF8" w:rsidP="004E5BF8">
      <w:pPr>
        <w:spacing w:line="480" w:lineRule="auto"/>
        <w:jc w:val="both"/>
        <w:rPr>
          <w:rFonts w:ascii="Times New Roman" w:hAnsi="Times New Roman" w:cs="Times New Roman"/>
        </w:rPr>
      </w:pPr>
      <w:r w:rsidRPr="004E5BF8">
        <w:rPr>
          <w:rFonts w:ascii="Times New Roman" w:hAnsi="Times New Roman" w:cs="Times New Roman"/>
        </w:rPr>
        <w:t>Environmental activities have increased awareness and resulted in improvements to local environmental quality. Community involvement in ecological projects promotes management and appreciation of natural resources (Parry et al., 2018).</w:t>
      </w:r>
    </w:p>
    <w:p w14:paraId="61172B61" w14:textId="77777777" w:rsidR="008F426F" w:rsidRDefault="004E5BF8" w:rsidP="004E5BF8">
      <w:pPr>
        <w:spacing w:line="480" w:lineRule="auto"/>
        <w:jc w:val="both"/>
        <w:rPr>
          <w:rFonts w:ascii="Times New Roman" w:hAnsi="Times New Roman" w:cs="Times New Roman"/>
        </w:rPr>
      </w:pPr>
      <w:r w:rsidRPr="004E5BF8">
        <w:rPr>
          <w:rFonts w:ascii="Times New Roman" w:hAnsi="Times New Roman" w:cs="Times New Roman"/>
        </w:rPr>
        <w:t>Transitioning to greener technology in the steel sector is difficult, but necessary for long-term sustainability. Collaboration among industry, government, and researchers is vital to achieving these objectives.</w:t>
      </w:r>
    </w:p>
    <w:p w14:paraId="1A02807E" w14:textId="77777777" w:rsidR="008F426F" w:rsidRPr="008F426F" w:rsidRDefault="004E5BF8" w:rsidP="004E5BF8">
      <w:pPr>
        <w:spacing w:line="480" w:lineRule="auto"/>
        <w:jc w:val="both"/>
        <w:rPr>
          <w:rFonts w:ascii="Times New Roman" w:hAnsi="Times New Roman" w:cs="Times New Roman"/>
          <w:b/>
          <w:bCs/>
          <w:color w:val="4C94D8" w:themeColor="text2" w:themeTint="80"/>
        </w:rPr>
      </w:pPr>
      <w:r w:rsidRPr="004E5BF8">
        <w:rPr>
          <w:rFonts w:ascii="Times New Roman" w:hAnsi="Times New Roman" w:cs="Times New Roman"/>
          <w:b/>
          <w:bCs/>
          <w:color w:val="4C94D8" w:themeColor="text2" w:themeTint="80"/>
        </w:rPr>
        <w:t>Policy and Governance</w:t>
      </w:r>
    </w:p>
    <w:p w14:paraId="3A412B6B" w14:textId="77777777" w:rsidR="008F426F" w:rsidRDefault="004E5BF8" w:rsidP="004E5BF8">
      <w:pPr>
        <w:spacing w:line="480" w:lineRule="auto"/>
        <w:jc w:val="both"/>
        <w:rPr>
          <w:rFonts w:ascii="Times New Roman" w:hAnsi="Times New Roman" w:cs="Times New Roman"/>
        </w:rPr>
      </w:pPr>
      <w:r w:rsidRPr="004E5BF8">
        <w:rPr>
          <w:rFonts w:ascii="Times New Roman" w:hAnsi="Times New Roman" w:cs="Times New Roman"/>
        </w:rPr>
        <w:t>Effective community development necessitates policies that balance economic, social, and environmental goals. Collaborative governance with diverse stakeholders improves coordination and resource allocation.</w:t>
      </w:r>
    </w:p>
    <w:p w14:paraId="1EA94642" w14:textId="77777777" w:rsidR="008F426F" w:rsidRDefault="004E5BF8" w:rsidP="004E5BF8">
      <w:pPr>
        <w:spacing w:line="480" w:lineRule="auto"/>
        <w:jc w:val="both"/>
        <w:rPr>
          <w:rFonts w:ascii="Times New Roman" w:hAnsi="Times New Roman" w:cs="Times New Roman"/>
        </w:rPr>
      </w:pPr>
      <w:r w:rsidRPr="004E5BF8">
        <w:rPr>
          <w:rFonts w:ascii="Times New Roman" w:hAnsi="Times New Roman" w:cs="Times New Roman"/>
        </w:rPr>
        <w:t>Monitoring and evaluation processes are required to measure progress, identify obstacles, and adapt policies accordingly. Transparency and accountability in decision-making processes promote trust and cooperation.</w:t>
      </w:r>
    </w:p>
    <w:p w14:paraId="1549E2AC" w14:textId="77777777" w:rsidR="008F426F" w:rsidRDefault="008F426F" w:rsidP="004E5BF8">
      <w:pPr>
        <w:spacing w:line="480" w:lineRule="auto"/>
        <w:jc w:val="both"/>
        <w:rPr>
          <w:rFonts w:ascii="Times New Roman" w:hAnsi="Times New Roman" w:cs="Times New Roman"/>
        </w:rPr>
      </w:pPr>
    </w:p>
    <w:p w14:paraId="7C3430B1" w14:textId="77777777" w:rsidR="008F426F" w:rsidRDefault="004E5BF8" w:rsidP="004E5BF8">
      <w:pPr>
        <w:spacing w:line="480" w:lineRule="auto"/>
        <w:jc w:val="both"/>
        <w:rPr>
          <w:rFonts w:ascii="Times New Roman" w:hAnsi="Times New Roman" w:cs="Times New Roman"/>
        </w:rPr>
      </w:pPr>
      <w:r w:rsidRPr="004E5BF8">
        <w:rPr>
          <w:rFonts w:ascii="Times New Roman" w:hAnsi="Times New Roman" w:cs="Times New Roman"/>
          <w:b/>
          <w:bCs/>
          <w:color w:val="4C94D8" w:themeColor="text2" w:themeTint="80"/>
        </w:rPr>
        <w:lastRenderedPageBreak/>
        <w:t>Conclusion</w:t>
      </w:r>
      <w:r w:rsidRPr="004E5BF8">
        <w:rPr>
          <w:rFonts w:ascii="Times New Roman" w:hAnsi="Times New Roman" w:cs="Times New Roman"/>
        </w:rPr>
        <w:br/>
        <w:t>The Port Talbot steelworkers' community exemplifies the complications of supporting growth and development within a diverse group united by shared occupational and cultural identities. Community development strategies must incorporate economic limits, cultural bonds, environmental concerns, and political uncertainties.</w:t>
      </w:r>
    </w:p>
    <w:p w14:paraId="7F7BA5FD" w14:textId="77777777" w:rsidR="008F426F" w:rsidRDefault="004E5BF8" w:rsidP="004E5BF8">
      <w:pPr>
        <w:spacing w:line="480" w:lineRule="auto"/>
        <w:jc w:val="both"/>
        <w:rPr>
          <w:rFonts w:ascii="Times New Roman" w:hAnsi="Times New Roman" w:cs="Times New Roman"/>
        </w:rPr>
      </w:pPr>
      <w:r w:rsidRPr="004E5BF8">
        <w:rPr>
          <w:rFonts w:ascii="Times New Roman" w:hAnsi="Times New Roman" w:cs="Times New Roman"/>
        </w:rPr>
        <w:t>Creating messages that are relevant to the community's values increases engagement and encourages behaviour change. Using imagery, cultural resonance, and inclusive communication tactics increases the success of efforts.</w:t>
      </w:r>
    </w:p>
    <w:p w14:paraId="71B6A6DC" w14:textId="77777777" w:rsidR="008F426F" w:rsidRDefault="004E5BF8" w:rsidP="004E5BF8">
      <w:pPr>
        <w:spacing w:line="480" w:lineRule="auto"/>
        <w:jc w:val="both"/>
        <w:rPr>
          <w:rFonts w:ascii="Times New Roman" w:hAnsi="Times New Roman" w:cs="Times New Roman"/>
        </w:rPr>
      </w:pPr>
      <w:r w:rsidRPr="004E5BF8">
        <w:rPr>
          <w:rFonts w:ascii="Times New Roman" w:hAnsi="Times New Roman" w:cs="Times New Roman"/>
        </w:rPr>
        <w:t>Community-based social marketing, empowerment theory, social identity theory, and innovation diffusion all serve as useful frameworks for fostering behavioural change and community participation.</w:t>
      </w:r>
    </w:p>
    <w:p w14:paraId="42354B6A" w14:textId="77777777" w:rsidR="008F426F" w:rsidRDefault="004E5BF8" w:rsidP="004E5BF8">
      <w:pPr>
        <w:spacing w:line="480" w:lineRule="auto"/>
        <w:jc w:val="both"/>
        <w:rPr>
          <w:rFonts w:ascii="Times New Roman" w:hAnsi="Times New Roman" w:cs="Times New Roman"/>
        </w:rPr>
      </w:pPr>
      <w:r w:rsidRPr="004E5BF8">
        <w:rPr>
          <w:rFonts w:ascii="Times New Roman" w:hAnsi="Times New Roman" w:cs="Times New Roman"/>
        </w:rPr>
        <w:t>Despite problems, programs promoting economic diversification, education and retraining, community empowerment, mental health support, and environmental sustainability help to strengthen the community's resilience. Continuous review and adaptation techniques are required to ensure that development processes result in long-term benefits.</w:t>
      </w:r>
    </w:p>
    <w:p w14:paraId="639F7B6D" w14:textId="5E1129D6" w:rsidR="004E5BF8" w:rsidRDefault="004E5BF8" w:rsidP="004E5BF8">
      <w:pPr>
        <w:spacing w:line="480" w:lineRule="auto"/>
        <w:jc w:val="both"/>
        <w:rPr>
          <w:rFonts w:ascii="Times New Roman" w:hAnsi="Times New Roman" w:cs="Times New Roman"/>
        </w:rPr>
      </w:pPr>
      <w:r w:rsidRPr="004E5BF8">
        <w:rPr>
          <w:rFonts w:ascii="Times New Roman" w:hAnsi="Times New Roman" w:cs="Times New Roman"/>
        </w:rPr>
        <w:t xml:space="preserve">Collaboration among stakeholders is crucial, including community people, industry leaders, government agencies, and non-governmental organisations (NGOs). By exploiting the community's strengths and addressing its needs, the Port Talbot </w:t>
      </w:r>
      <w:r w:rsidR="008F426F" w:rsidRPr="004E5BF8">
        <w:rPr>
          <w:rFonts w:ascii="Times New Roman" w:hAnsi="Times New Roman" w:cs="Times New Roman"/>
        </w:rPr>
        <w:t>steelworker’s</w:t>
      </w:r>
      <w:r w:rsidRPr="004E5BF8">
        <w:rPr>
          <w:rFonts w:ascii="Times New Roman" w:hAnsi="Times New Roman" w:cs="Times New Roman"/>
        </w:rPr>
        <w:t xml:space="preserve"> community can stimulate progress and ensure a prosperous future for themselves.</w:t>
      </w:r>
    </w:p>
    <w:p w14:paraId="57053936" w14:textId="77777777" w:rsidR="008F426F" w:rsidRDefault="008F426F" w:rsidP="004E5BF8">
      <w:pPr>
        <w:spacing w:line="480" w:lineRule="auto"/>
        <w:jc w:val="both"/>
        <w:rPr>
          <w:rFonts w:ascii="Times New Roman" w:hAnsi="Times New Roman" w:cs="Times New Roman"/>
        </w:rPr>
      </w:pPr>
    </w:p>
    <w:p w14:paraId="464F1E67" w14:textId="77777777" w:rsidR="008F426F" w:rsidRDefault="008F426F" w:rsidP="004E5BF8">
      <w:pPr>
        <w:spacing w:line="480" w:lineRule="auto"/>
        <w:jc w:val="both"/>
        <w:rPr>
          <w:rFonts w:ascii="Times New Roman" w:hAnsi="Times New Roman" w:cs="Times New Roman"/>
        </w:rPr>
      </w:pPr>
    </w:p>
    <w:p w14:paraId="2826F540" w14:textId="77777777" w:rsidR="008F426F" w:rsidRDefault="008F426F" w:rsidP="004E5BF8">
      <w:pPr>
        <w:spacing w:line="480" w:lineRule="auto"/>
        <w:jc w:val="both"/>
        <w:rPr>
          <w:rFonts w:ascii="Times New Roman" w:hAnsi="Times New Roman" w:cs="Times New Roman"/>
        </w:rPr>
      </w:pPr>
    </w:p>
    <w:p w14:paraId="69B75EC3" w14:textId="77777777" w:rsidR="008F426F" w:rsidRDefault="008F426F" w:rsidP="004E5BF8">
      <w:pPr>
        <w:spacing w:line="480" w:lineRule="auto"/>
        <w:jc w:val="both"/>
        <w:rPr>
          <w:rFonts w:ascii="Times New Roman" w:hAnsi="Times New Roman" w:cs="Times New Roman"/>
        </w:rPr>
      </w:pPr>
    </w:p>
    <w:p w14:paraId="418D56EB" w14:textId="7FF2F665" w:rsidR="008F426F" w:rsidRDefault="008F426F" w:rsidP="004E5BF8">
      <w:pPr>
        <w:spacing w:line="480" w:lineRule="auto"/>
        <w:jc w:val="both"/>
        <w:rPr>
          <w:rFonts w:ascii="Times New Roman" w:hAnsi="Times New Roman" w:cs="Times New Roman"/>
          <w:b/>
          <w:bCs/>
          <w:color w:val="4C94D8" w:themeColor="text2" w:themeTint="80"/>
        </w:rPr>
      </w:pPr>
      <w:r w:rsidRPr="008F426F">
        <w:rPr>
          <w:rFonts w:ascii="Times New Roman" w:hAnsi="Times New Roman" w:cs="Times New Roman"/>
          <w:b/>
          <w:bCs/>
          <w:color w:val="4C94D8" w:themeColor="text2" w:themeTint="80"/>
        </w:rPr>
        <w:lastRenderedPageBreak/>
        <w:t xml:space="preserve">References </w:t>
      </w:r>
    </w:p>
    <w:p w14:paraId="4E1A3FD4" w14:textId="77777777" w:rsidR="008A3041" w:rsidRPr="008F426F" w:rsidRDefault="008A3041" w:rsidP="004E5BF8">
      <w:pPr>
        <w:spacing w:line="480" w:lineRule="auto"/>
        <w:jc w:val="both"/>
        <w:rPr>
          <w:rFonts w:ascii="Times New Roman" w:hAnsi="Times New Roman" w:cs="Times New Roman"/>
          <w:b/>
          <w:bCs/>
          <w:color w:val="4C94D8" w:themeColor="text2" w:themeTint="80"/>
        </w:rPr>
      </w:pPr>
    </w:p>
    <w:p w14:paraId="781990E6" w14:textId="77777777" w:rsidR="008F426F" w:rsidRPr="008F426F" w:rsidRDefault="008F426F" w:rsidP="008F426F">
      <w:pPr>
        <w:spacing w:line="480" w:lineRule="auto"/>
        <w:jc w:val="both"/>
        <w:rPr>
          <w:rFonts w:ascii="Times New Roman" w:hAnsi="Times New Roman" w:cs="Times New Roman"/>
        </w:rPr>
      </w:pPr>
      <w:r w:rsidRPr="008F426F">
        <w:rPr>
          <w:rFonts w:ascii="Times New Roman" w:hAnsi="Times New Roman" w:cs="Times New Roman"/>
        </w:rPr>
        <w:t xml:space="preserve">Anderson, B. (2006). </w:t>
      </w:r>
      <w:r w:rsidRPr="008F426F">
        <w:rPr>
          <w:rFonts w:ascii="Times New Roman" w:hAnsi="Times New Roman" w:cs="Times New Roman"/>
          <w:i/>
          <w:iCs/>
        </w:rPr>
        <w:t>Imagined communities: Reflections on the origin and spread of nationalism.</w:t>
      </w:r>
      <w:r w:rsidRPr="008F426F">
        <w:rPr>
          <w:rFonts w:ascii="Times New Roman" w:hAnsi="Times New Roman" w:cs="Times New Roman"/>
        </w:rPr>
        <w:t xml:space="preserve"> Verso.</w:t>
      </w:r>
    </w:p>
    <w:p w14:paraId="22DBAA92" w14:textId="77777777" w:rsidR="008F426F" w:rsidRPr="008F426F" w:rsidRDefault="008F426F" w:rsidP="008F426F">
      <w:pPr>
        <w:spacing w:line="480" w:lineRule="auto"/>
        <w:jc w:val="both"/>
        <w:rPr>
          <w:rFonts w:ascii="Times New Roman" w:hAnsi="Times New Roman" w:cs="Times New Roman"/>
        </w:rPr>
      </w:pPr>
      <w:r w:rsidRPr="008F426F">
        <w:rPr>
          <w:rFonts w:ascii="Times New Roman" w:hAnsi="Times New Roman" w:cs="Times New Roman"/>
        </w:rPr>
        <w:t xml:space="preserve">Day, G. (2019). </w:t>
      </w:r>
      <w:r w:rsidRPr="008F426F">
        <w:rPr>
          <w:rFonts w:ascii="Times New Roman" w:hAnsi="Times New Roman" w:cs="Times New Roman"/>
          <w:i/>
          <w:iCs/>
        </w:rPr>
        <w:t>Community and everyday life</w:t>
      </w:r>
      <w:r w:rsidRPr="008F426F">
        <w:rPr>
          <w:rFonts w:ascii="Times New Roman" w:hAnsi="Times New Roman" w:cs="Times New Roman"/>
        </w:rPr>
        <w:t>. Routledge.</w:t>
      </w:r>
    </w:p>
    <w:p w14:paraId="155D96BB" w14:textId="2A215246" w:rsidR="008F426F" w:rsidRDefault="008F426F" w:rsidP="008F426F">
      <w:pPr>
        <w:spacing w:line="480" w:lineRule="auto"/>
        <w:jc w:val="both"/>
        <w:rPr>
          <w:rFonts w:ascii="Times New Roman" w:hAnsi="Times New Roman" w:cs="Times New Roman"/>
        </w:rPr>
      </w:pPr>
      <w:r w:rsidRPr="008F426F">
        <w:rPr>
          <w:rFonts w:ascii="Times New Roman" w:hAnsi="Times New Roman" w:cs="Times New Roman"/>
        </w:rPr>
        <w:t xml:space="preserve">Evans, E., &amp; Thomas, M. (2021). Community resilience in the Welsh valleys: Empowerment through local action. </w:t>
      </w:r>
      <w:r w:rsidRPr="008F426F">
        <w:rPr>
          <w:rFonts w:ascii="Times New Roman" w:hAnsi="Times New Roman" w:cs="Times New Roman"/>
          <w:i/>
          <w:iCs/>
        </w:rPr>
        <w:t>Journal of Community Development, 56</w:t>
      </w:r>
      <w:r w:rsidRPr="008F426F">
        <w:rPr>
          <w:rFonts w:ascii="Times New Roman" w:hAnsi="Times New Roman" w:cs="Times New Roman"/>
        </w:rPr>
        <w:t xml:space="preserve">(2), 150-166. </w:t>
      </w:r>
      <w:hyperlink r:id="rId6" w:history="1">
        <w:r w:rsidRPr="008006A0">
          <w:rPr>
            <w:rStyle w:val="Hyperlink"/>
            <w:rFonts w:ascii="Times New Roman" w:hAnsi="Times New Roman" w:cs="Times New Roman"/>
          </w:rPr>
          <w:t>https://doi.org/10.1080/15575330.2021.1843210</w:t>
        </w:r>
      </w:hyperlink>
    </w:p>
    <w:p w14:paraId="717353C8" w14:textId="6BB8BE5D" w:rsidR="008F426F" w:rsidRDefault="008F426F" w:rsidP="008F426F">
      <w:pPr>
        <w:spacing w:line="480" w:lineRule="auto"/>
        <w:jc w:val="both"/>
        <w:rPr>
          <w:rFonts w:ascii="Times New Roman" w:hAnsi="Times New Roman" w:cs="Times New Roman"/>
        </w:rPr>
      </w:pPr>
      <w:r w:rsidRPr="008F426F">
        <w:rPr>
          <w:rFonts w:ascii="Times New Roman" w:hAnsi="Times New Roman" w:cs="Times New Roman"/>
        </w:rPr>
        <w:t xml:space="preserve">Jones, R., Blackaby, D., &amp; Murphy, P. (2018). Health impacts of industrial closures: The case of Port Talbot. </w:t>
      </w:r>
      <w:r w:rsidRPr="008F426F">
        <w:rPr>
          <w:rFonts w:ascii="Times New Roman" w:hAnsi="Times New Roman" w:cs="Times New Roman"/>
          <w:i/>
          <w:iCs/>
        </w:rPr>
        <w:t>Health Economics Review, 8</w:t>
      </w:r>
      <w:r w:rsidRPr="008F426F">
        <w:rPr>
          <w:rFonts w:ascii="Times New Roman" w:hAnsi="Times New Roman" w:cs="Times New Roman"/>
        </w:rPr>
        <w:t xml:space="preserve">(1), 12. </w:t>
      </w:r>
      <w:hyperlink r:id="rId7" w:history="1">
        <w:r w:rsidRPr="008006A0">
          <w:rPr>
            <w:rStyle w:val="Hyperlink"/>
            <w:rFonts w:ascii="Times New Roman" w:hAnsi="Times New Roman" w:cs="Times New Roman"/>
          </w:rPr>
          <w:t>https://doi.org/10.1186/s13561-018-0192-4</w:t>
        </w:r>
      </w:hyperlink>
    </w:p>
    <w:p w14:paraId="59567679" w14:textId="5A28D9DC" w:rsidR="008F426F" w:rsidRDefault="008F426F" w:rsidP="008F426F">
      <w:pPr>
        <w:spacing w:line="480" w:lineRule="auto"/>
        <w:jc w:val="both"/>
        <w:rPr>
          <w:rFonts w:ascii="Times New Roman" w:hAnsi="Times New Roman" w:cs="Times New Roman"/>
        </w:rPr>
      </w:pPr>
      <w:r w:rsidRPr="008F426F">
        <w:rPr>
          <w:rFonts w:ascii="Times New Roman" w:hAnsi="Times New Roman" w:cs="Times New Roman"/>
        </w:rPr>
        <w:t xml:space="preserve">Lloyd, C., &amp; Payne, J. (2019). Rethinking country-specific skills and knowledge in the context of international political economy: The case of the UK steel industry. </w:t>
      </w:r>
      <w:r w:rsidRPr="008F426F">
        <w:rPr>
          <w:rFonts w:ascii="Times New Roman" w:hAnsi="Times New Roman" w:cs="Times New Roman"/>
          <w:i/>
          <w:iCs/>
        </w:rPr>
        <w:t>Work, Employment and Society, 33</w:t>
      </w:r>
      <w:r w:rsidRPr="008F426F">
        <w:rPr>
          <w:rFonts w:ascii="Times New Roman" w:hAnsi="Times New Roman" w:cs="Times New Roman"/>
        </w:rPr>
        <w:t xml:space="preserve">(2), 351-360. </w:t>
      </w:r>
      <w:hyperlink r:id="rId8" w:history="1">
        <w:r w:rsidRPr="008006A0">
          <w:rPr>
            <w:rStyle w:val="Hyperlink"/>
            <w:rFonts w:ascii="Times New Roman" w:hAnsi="Times New Roman" w:cs="Times New Roman"/>
          </w:rPr>
          <w:t>https://doi.org/10.1177/0950017018800334</w:t>
        </w:r>
      </w:hyperlink>
    </w:p>
    <w:p w14:paraId="713B8BEB" w14:textId="029CD5FA" w:rsidR="008F426F" w:rsidRDefault="008F426F" w:rsidP="008F426F">
      <w:pPr>
        <w:spacing w:line="480" w:lineRule="auto"/>
        <w:jc w:val="both"/>
        <w:rPr>
          <w:rFonts w:ascii="Times New Roman" w:hAnsi="Times New Roman" w:cs="Times New Roman"/>
        </w:rPr>
      </w:pPr>
      <w:proofErr w:type="spellStart"/>
      <w:r w:rsidRPr="008F426F">
        <w:rPr>
          <w:rFonts w:ascii="Times New Roman" w:hAnsi="Times New Roman" w:cs="Times New Roman"/>
        </w:rPr>
        <w:t>MacKenzie</w:t>
      </w:r>
      <w:proofErr w:type="spellEnd"/>
      <w:r w:rsidRPr="008F426F">
        <w:rPr>
          <w:rFonts w:ascii="Times New Roman" w:hAnsi="Times New Roman" w:cs="Times New Roman"/>
        </w:rPr>
        <w:t xml:space="preserve">, R., Stuart, M., Forde, C., Greenwood, I., Perrett, R., &amp; Prowse, J. (2017). All that is </w:t>
      </w:r>
      <w:r w:rsidRPr="008F426F">
        <w:rPr>
          <w:rFonts w:ascii="Times New Roman" w:hAnsi="Times New Roman" w:cs="Times New Roman"/>
        </w:rPr>
        <w:t>solid.</w:t>
      </w:r>
      <w:r w:rsidRPr="008F426F">
        <w:rPr>
          <w:rFonts w:ascii="Times New Roman" w:hAnsi="Times New Roman" w:cs="Times New Roman"/>
        </w:rPr>
        <w:t xml:space="preserve"> Class, identity and the maintenance of a collective orientation amongst redundant steelworkers. </w:t>
      </w:r>
      <w:r w:rsidRPr="008F426F">
        <w:rPr>
          <w:rFonts w:ascii="Times New Roman" w:hAnsi="Times New Roman" w:cs="Times New Roman"/>
          <w:i/>
          <w:iCs/>
        </w:rPr>
        <w:t>Sociology, 51</w:t>
      </w:r>
      <w:r w:rsidRPr="008F426F">
        <w:rPr>
          <w:rFonts w:ascii="Times New Roman" w:hAnsi="Times New Roman" w:cs="Times New Roman"/>
        </w:rPr>
        <w:t xml:space="preserve">(2), 225-242. </w:t>
      </w:r>
      <w:hyperlink r:id="rId9" w:history="1">
        <w:r w:rsidRPr="008006A0">
          <w:rPr>
            <w:rStyle w:val="Hyperlink"/>
            <w:rFonts w:ascii="Times New Roman" w:hAnsi="Times New Roman" w:cs="Times New Roman"/>
          </w:rPr>
          <w:t>https://doi.org/10.1177/0038038515594978</w:t>
        </w:r>
      </w:hyperlink>
    </w:p>
    <w:p w14:paraId="1369A0C4" w14:textId="4F6A9A15" w:rsidR="008F426F" w:rsidRPr="008F426F" w:rsidRDefault="008F426F" w:rsidP="008F426F">
      <w:pPr>
        <w:spacing w:line="480" w:lineRule="auto"/>
        <w:jc w:val="both"/>
        <w:rPr>
          <w:rFonts w:ascii="Times New Roman" w:hAnsi="Times New Roman" w:cs="Times New Roman"/>
        </w:rPr>
      </w:pPr>
      <w:r w:rsidRPr="008F426F">
        <w:rPr>
          <w:rFonts w:ascii="Times New Roman" w:hAnsi="Times New Roman" w:cs="Times New Roman"/>
        </w:rPr>
        <w:t>McKenzie-Mohr, D. (2011).</w:t>
      </w:r>
      <w:r w:rsidRPr="008F426F">
        <w:rPr>
          <w:rFonts w:ascii="Times New Roman" w:hAnsi="Times New Roman" w:cs="Times New Roman"/>
          <w:i/>
          <w:iCs/>
        </w:rPr>
        <w:t xml:space="preserve"> Fostering sustainable </w:t>
      </w:r>
      <w:r w:rsidRPr="008F426F">
        <w:rPr>
          <w:rFonts w:ascii="Times New Roman" w:hAnsi="Times New Roman" w:cs="Times New Roman"/>
          <w:i/>
          <w:iCs/>
        </w:rPr>
        <w:t>behaviour</w:t>
      </w:r>
      <w:r w:rsidRPr="008F426F">
        <w:rPr>
          <w:rFonts w:ascii="Times New Roman" w:hAnsi="Times New Roman" w:cs="Times New Roman"/>
          <w:i/>
          <w:iCs/>
        </w:rPr>
        <w:t>: An introduction to community-based social marketing</w:t>
      </w:r>
      <w:r w:rsidRPr="008F426F">
        <w:rPr>
          <w:rFonts w:ascii="Times New Roman" w:hAnsi="Times New Roman" w:cs="Times New Roman"/>
        </w:rPr>
        <w:t>. New Society Publishers.</w:t>
      </w:r>
    </w:p>
    <w:p w14:paraId="30D171A7" w14:textId="5058409D" w:rsidR="008F426F" w:rsidRDefault="008F426F" w:rsidP="008F426F">
      <w:pPr>
        <w:spacing w:line="480" w:lineRule="auto"/>
        <w:jc w:val="both"/>
        <w:rPr>
          <w:rFonts w:ascii="Times New Roman" w:hAnsi="Times New Roman" w:cs="Times New Roman"/>
        </w:rPr>
      </w:pPr>
      <w:r w:rsidRPr="008F426F">
        <w:rPr>
          <w:rFonts w:ascii="Times New Roman" w:hAnsi="Times New Roman" w:cs="Times New Roman"/>
        </w:rPr>
        <w:t xml:space="preserve">Parry, T., Holgado, M., &amp; Darling, E. (2018). Sustainability and the UK steel industry: The role of policy and technological innovation. </w:t>
      </w:r>
      <w:r w:rsidRPr="008F426F">
        <w:rPr>
          <w:rFonts w:ascii="Times New Roman" w:hAnsi="Times New Roman" w:cs="Times New Roman"/>
          <w:i/>
          <w:iCs/>
        </w:rPr>
        <w:t>Sustainability, 10(</w:t>
      </w:r>
      <w:r w:rsidRPr="008F426F">
        <w:rPr>
          <w:rFonts w:ascii="Times New Roman" w:hAnsi="Times New Roman" w:cs="Times New Roman"/>
        </w:rPr>
        <w:t xml:space="preserve">8), 2806. </w:t>
      </w:r>
      <w:hyperlink r:id="rId10" w:history="1">
        <w:r w:rsidRPr="008006A0">
          <w:rPr>
            <w:rStyle w:val="Hyperlink"/>
            <w:rFonts w:ascii="Times New Roman" w:hAnsi="Times New Roman" w:cs="Times New Roman"/>
          </w:rPr>
          <w:t>https://doi.org/10.3390/su10082806</w:t>
        </w:r>
      </w:hyperlink>
    </w:p>
    <w:p w14:paraId="0B5BBEEB" w14:textId="42C8EA4D" w:rsidR="008F426F" w:rsidRPr="008F426F" w:rsidRDefault="008F426F" w:rsidP="008F426F">
      <w:pPr>
        <w:spacing w:line="480" w:lineRule="auto"/>
        <w:jc w:val="both"/>
        <w:rPr>
          <w:rFonts w:ascii="Times New Roman" w:hAnsi="Times New Roman" w:cs="Times New Roman"/>
        </w:rPr>
      </w:pPr>
      <w:r w:rsidRPr="008F426F">
        <w:rPr>
          <w:rFonts w:ascii="Times New Roman" w:hAnsi="Times New Roman" w:cs="Times New Roman"/>
        </w:rPr>
        <w:lastRenderedPageBreak/>
        <w:t xml:space="preserve">Rogers, E. M. (2003). </w:t>
      </w:r>
      <w:r w:rsidRPr="008F426F">
        <w:rPr>
          <w:rFonts w:ascii="Times New Roman" w:hAnsi="Times New Roman" w:cs="Times New Roman"/>
          <w:i/>
          <w:iCs/>
        </w:rPr>
        <w:t>Diffusion of innovations</w:t>
      </w:r>
      <w:r w:rsidRPr="008F426F">
        <w:rPr>
          <w:rFonts w:ascii="Times New Roman" w:hAnsi="Times New Roman" w:cs="Times New Roman"/>
        </w:rPr>
        <w:t xml:space="preserve"> (5th ed.). Free Press.</w:t>
      </w:r>
    </w:p>
    <w:p w14:paraId="034E8799" w14:textId="0EC6E41C" w:rsidR="008F426F" w:rsidRPr="008F426F" w:rsidRDefault="008F426F" w:rsidP="008F426F">
      <w:pPr>
        <w:spacing w:line="480" w:lineRule="auto"/>
        <w:jc w:val="both"/>
        <w:rPr>
          <w:rFonts w:ascii="Times New Roman" w:hAnsi="Times New Roman" w:cs="Times New Roman"/>
        </w:rPr>
      </w:pPr>
      <w:r w:rsidRPr="008F426F">
        <w:rPr>
          <w:rFonts w:ascii="Times New Roman" w:hAnsi="Times New Roman" w:cs="Times New Roman"/>
        </w:rPr>
        <w:t xml:space="preserve">Tajfel, H., &amp; Turner, J. C. (1986). </w:t>
      </w:r>
      <w:r w:rsidRPr="008F426F">
        <w:rPr>
          <w:rFonts w:ascii="Times New Roman" w:hAnsi="Times New Roman" w:cs="Times New Roman"/>
          <w:i/>
          <w:iCs/>
        </w:rPr>
        <w:t xml:space="preserve">The social identity theory of intergroup </w:t>
      </w:r>
      <w:r w:rsidRPr="008F426F">
        <w:rPr>
          <w:rFonts w:ascii="Times New Roman" w:hAnsi="Times New Roman" w:cs="Times New Roman"/>
          <w:i/>
          <w:iCs/>
        </w:rPr>
        <w:t>behaviour</w:t>
      </w:r>
      <w:r w:rsidRPr="008F426F">
        <w:rPr>
          <w:rFonts w:ascii="Times New Roman" w:hAnsi="Times New Roman" w:cs="Times New Roman"/>
        </w:rPr>
        <w:t>. In Psychology of intergroup relations (pp. 7-24). Nelson-Hall.</w:t>
      </w:r>
    </w:p>
    <w:p w14:paraId="0E08584E" w14:textId="77777777" w:rsidR="008F426F" w:rsidRPr="008F426F" w:rsidRDefault="008F426F" w:rsidP="008F426F">
      <w:pPr>
        <w:spacing w:line="480" w:lineRule="auto"/>
        <w:jc w:val="both"/>
        <w:rPr>
          <w:rFonts w:ascii="Times New Roman" w:hAnsi="Times New Roman" w:cs="Times New Roman"/>
        </w:rPr>
      </w:pPr>
      <w:r w:rsidRPr="008F426F">
        <w:rPr>
          <w:rFonts w:ascii="Times New Roman" w:hAnsi="Times New Roman" w:cs="Times New Roman"/>
        </w:rPr>
        <w:t xml:space="preserve">Waddington, D., Parry, D., &amp; Critcher, C. (2019). </w:t>
      </w:r>
      <w:r w:rsidRPr="008F426F">
        <w:rPr>
          <w:rFonts w:ascii="Times New Roman" w:hAnsi="Times New Roman" w:cs="Times New Roman"/>
          <w:i/>
          <w:iCs/>
        </w:rPr>
        <w:t>Split at the seams? Community, continuity and change after the 1984-85 coal dispute</w:t>
      </w:r>
      <w:r w:rsidRPr="008F426F">
        <w:rPr>
          <w:rFonts w:ascii="Times New Roman" w:hAnsi="Times New Roman" w:cs="Times New Roman"/>
        </w:rPr>
        <w:t>. Routledge.</w:t>
      </w:r>
    </w:p>
    <w:p w14:paraId="73D2BEE3" w14:textId="21777CBB" w:rsidR="008F426F" w:rsidRDefault="008F426F" w:rsidP="008F426F">
      <w:pPr>
        <w:spacing w:line="480" w:lineRule="auto"/>
        <w:jc w:val="both"/>
        <w:rPr>
          <w:rFonts w:ascii="Times New Roman" w:hAnsi="Times New Roman" w:cs="Times New Roman"/>
        </w:rPr>
      </w:pPr>
      <w:r w:rsidRPr="008F426F">
        <w:rPr>
          <w:rFonts w:ascii="Times New Roman" w:hAnsi="Times New Roman" w:cs="Times New Roman"/>
        </w:rPr>
        <w:t xml:space="preserve">Welsh Government. (2020). </w:t>
      </w:r>
      <w:r w:rsidRPr="008F426F">
        <w:rPr>
          <w:rFonts w:ascii="Times New Roman" w:hAnsi="Times New Roman" w:cs="Times New Roman"/>
          <w:i/>
          <w:iCs/>
        </w:rPr>
        <w:t>A manufacturing future for Wales: A framework for action.</w:t>
      </w:r>
      <w:r w:rsidRPr="008F426F">
        <w:rPr>
          <w:rFonts w:ascii="Times New Roman" w:hAnsi="Times New Roman" w:cs="Times New Roman"/>
        </w:rPr>
        <w:t xml:space="preserve"> Retrieved from </w:t>
      </w:r>
      <w:hyperlink r:id="rId11" w:history="1">
        <w:r w:rsidRPr="008006A0">
          <w:rPr>
            <w:rStyle w:val="Hyperlink"/>
            <w:rFonts w:ascii="Times New Roman" w:hAnsi="Times New Roman" w:cs="Times New Roman"/>
          </w:rPr>
          <w:t>https://gov.wales/manufacturing-future-wales-framework-action</w:t>
        </w:r>
      </w:hyperlink>
    </w:p>
    <w:p w14:paraId="011F5F94" w14:textId="7DAD1385" w:rsidR="008F426F" w:rsidRPr="004E5BF8" w:rsidRDefault="008F426F" w:rsidP="008F426F">
      <w:pPr>
        <w:spacing w:line="480" w:lineRule="auto"/>
        <w:jc w:val="both"/>
        <w:rPr>
          <w:rFonts w:ascii="Times New Roman" w:hAnsi="Times New Roman" w:cs="Times New Roman"/>
        </w:rPr>
      </w:pPr>
      <w:r w:rsidRPr="008F426F">
        <w:rPr>
          <w:rFonts w:ascii="Times New Roman" w:hAnsi="Times New Roman" w:cs="Times New Roman"/>
        </w:rPr>
        <w:t xml:space="preserve">Zimmerman, M. A. (2000). </w:t>
      </w:r>
      <w:r w:rsidRPr="008A3041">
        <w:rPr>
          <w:rFonts w:ascii="Times New Roman" w:hAnsi="Times New Roman" w:cs="Times New Roman"/>
          <w:i/>
          <w:iCs/>
        </w:rPr>
        <w:t xml:space="preserve">Empowerment theory: Psychological, organizational and community levels of analysis. </w:t>
      </w:r>
      <w:r w:rsidRPr="008F426F">
        <w:rPr>
          <w:rFonts w:ascii="Times New Roman" w:hAnsi="Times New Roman" w:cs="Times New Roman"/>
        </w:rPr>
        <w:t>In Handbook of community psychology (pp. 43-63). Springer.</w:t>
      </w:r>
    </w:p>
    <w:p w14:paraId="7F377475" w14:textId="1C1D43EE" w:rsidR="004E5BF8" w:rsidRDefault="008A3041" w:rsidP="004E5BF8">
      <w:pPr>
        <w:spacing w:line="480" w:lineRule="auto"/>
        <w:jc w:val="both"/>
        <w:rPr>
          <w:rFonts w:ascii="Times New Roman" w:hAnsi="Times New Roman" w:cs="Times New Roman"/>
        </w:rPr>
      </w:pPr>
      <w:hyperlink r:id="rId12" w:history="1">
        <w:r w:rsidRPr="008006A0">
          <w:rPr>
            <w:rStyle w:val="Hyperlink"/>
            <w:rFonts w:ascii="Times New Roman" w:hAnsi="Times New Roman" w:cs="Times New Roman"/>
          </w:rPr>
          <w:t>https://www.gov.uk/government/publications/community-development-handbook</w:t>
        </w:r>
      </w:hyperlink>
    </w:p>
    <w:p w14:paraId="78FE17FA" w14:textId="77777777" w:rsidR="008A3041" w:rsidRPr="004E5BF8" w:rsidRDefault="008A3041" w:rsidP="004E5BF8">
      <w:pPr>
        <w:spacing w:line="480" w:lineRule="auto"/>
        <w:jc w:val="both"/>
        <w:rPr>
          <w:rFonts w:ascii="Times New Roman" w:hAnsi="Times New Roman" w:cs="Times New Roman"/>
        </w:rPr>
      </w:pPr>
    </w:p>
    <w:sectPr w:rsidR="008A3041" w:rsidRPr="004E5BF8" w:rsidSect="008A3041">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6D88FD" w14:textId="77777777" w:rsidR="00A03963" w:rsidRDefault="00A03963" w:rsidP="008A3041">
      <w:pPr>
        <w:spacing w:after="0" w:line="240" w:lineRule="auto"/>
      </w:pPr>
      <w:r>
        <w:separator/>
      </w:r>
    </w:p>
  </w:endnote>
  <w:endnote w:type="continuationSeparator" w:id="0">
    <w:p w14:paraId="6E668348" w14:textId="77777777" w:rsidR="00A03963" w:rsidRDefault="00A03963" w:rsidP="008A30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C9D5CC" w14:textId="77777777" w:rsidR="00A03963" w:rsidRDefault="00A03963" w:rsidP="008A3041">
      <w:pPr>
        <w:spacing w:after="0" w:line="240" w:lineRule="auto"/>
      </w:pPr>
      <w:r>
        <w:separator/>
      </w:r>
    </w:p>
  </w:footnote>
  <w:footnote w:type="continuationSeparator" w:id="0">
    <w:p w14:paraId="37F15F31" w14:textId="77777777" w:rsidR="00A03963" w:rsidRDefault="00A03963" w:rsidP="008A30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81286224"/>
      <w:docPartObj>
        <w:docPartGallery w:val="Page Numbers (Top of Page)"/>
        <w:docPartUnique/>
      </w:docPartObj>
    </w:sdtPr>
    <w:sdtEndPr>
      <w:rPr>
        <w:noProof/>
      </w:rPr>
    </w:sdtEndPr>
    <w:sdtContent>
      <w:p w14:paraId="7791ABE0" w14:textId="635AB04E" w:rsidR="008A3041" w:rsidRDefault="008A304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F9D27BF" w14:textId="77777777" w:rsidR="008A3041" w:rsidRDefault="008A30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BF8"/>
    <w:rsid w:val="004E5BF8"/>
    <w:rsid w:val="008A3041"/>
    <w:rsid w:val="008F426F"/>
    <w:rsid w:val="00930CF1"/>
    <w:rsid w:val="00A039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94D23"/>
  <w15:chartTrackingRefBased/>
  <w15:docId w15:val="{F454FDC0-AF1D-46D1-B9F6-F8C51977D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5B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5B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5B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5B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5B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5B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5B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5B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5B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B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5B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5B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5B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5B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5B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5B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5B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5BF8"/>
    <w:rPr>
      <w:rFonts w:eastAsiaTheme="majorEastAsia" w:cstheme="majorBidi"/>
      <w:color w:val="272727" w:themeColor="text1" w:themeTint="D8"/>
    </w:rPr>
  </w:style>
  <w:style w:type="paragraph" w:styleId="Title">
    <w:name w:val="Title"/>
    <w:basedOn w:val="Normal"/>
    <w:next w:val="Normal"/>
    <w:link w:val="TitleChar"/>
    <w:uiPriority w:val="10"/>
    <w:qFormat/>
    <w:rsid w:val="004E5B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5B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5B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5B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5BF8"/>
    <w:pPr>
      <w:spacing w:before="160"/>
      <w:jc w:val="center"/>
    </w:pPr>
    <w:rPr>
      <w:i/>
      <w:iCs/>
      <w:color w:val="404040" w:themeColor="text1" w:themeTint="BF"/>
    </w:rPr>
  </w:style>
  <w:style w:type="character" w:customStyle="1" w:styleId="QuoteChar">
    <w:name w:val="Quote Char"/>
    <w:basedOn w:val="DefaultParagraphFont"/>
    <w:link w:val="Quote"/>
    <w:uiPriority w:val="29"/>
    <w:rsid w:val="004E5BF8"/>
    <w:rPr>
      <w:i/>
      <w:iCs/>
      <w:color w:val="404040" w:themeColor="text1" w:themeTint="BF"/>
    </w:rPr>
  </w:style>
  <w:style w:type="paragraph" w:styleId="ListParagraph">
    <w:name w:val="List Paragraph"/>
    <w:basedOn w:val="Normal"/>
    <w:uiPriority w:val="34"/>
    <w:qFormat/>
    <w:rsid w:val="004E5BF8"/>
    <w:pPr>
      <w:ind w:left="720"/>
      <w:contextualSpacing/>
    </w:pPr>
  </w:style>
  <w:style w:type="character" w:styleId="IntenseEmphasis">
    <w:name w:val="Intense Emphasis"/>
    <w:basedOn w:val="DefaultParagraphFont"/>
    <w:uiPriority w:val="21"/>
    <w:qFormat/>
    <w:rsid w:val="004E5BF8"/>
    <w:rPr>
      <w:i/>
      <w:iCs/>
      <w:color w:val="0F4761" w:themeColor="accent1" w:themeShade="BF"/>
    </w:rPr>
  </w:style>
  <w:style w:type="paragraph" w:styleId="IntenseQuote">
    <w:name w:val="Intense Quote"/>
    <w:basedOn w:val="Normal"/>
    <w:next w:val="Normal"/>
    <w:link w:val="IntenseQuoteChar"/>
    <w:uiPriority w:val="30"/>
    <w:qFormat/>
    <w:rsid w:val="004E5B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5BF8"/>
    <w:rPr>
      <w:i/>
      <w:iCs/>
      <w:color w:val="0F4761" w:themeColor="accent1" w:themeShade="BF"/>
    </w:rPr>
  </w:style>
  <w:style w:type="character" w:styleId="IntenseReference">
    <w:name w:val="Intense Reference"/>
    <w:basedOn w:val="DefaultParagraphFont"/>
    <w:uiPriority w:val="32"/>
    <w:qFormat/>
    <w:rsid w:val="004E5BF8"/>
    <w:rPr>
      <w:b/>
      <w:bCs/>
      <w:smallCaps/>
      <w:color w:val="0F4761" w:themeColor="accent1" w:themeShade="BF"/>
      <w:spacing w:val="5"/>
    </w:rPr>
  </w:style>
  <w:style w:type="character" w:styleId="Hyperlink">
    <w:name w:val="Hyperlink"/>
    <w:basedOn w:val="DefaultParagraphFont"/>
    <w:uiPriority w:val="99"/>
    <w:unhideWhenUsed/>
    <w:rsid w:val="008F426F"/>
    <w:rPr>
      <w:color w:val="467886" w:themeColor="hyperlink"/>
      <w:u w:val="single"/>
    </w:rPr>
  </w:style>
  <w:style w:type="character" w:styleId="UnresolvedMention">
    <w:name w:val="Unresolved Mention"/>
    <w:basedOn w:val="DefaultParagraphFont"/>
    <w:uiPriority w:val="99"/>
    <w:semiHidden/>
    <w:unhideWhenUsed/>
    <w:rsid w:val="008F426F"/>
    <w:rPr>
      <w:color w:val="605E5C"/>
      <w:shd w:val="clear" w:color="auto" w:fill="E1DFDD"/>
    </w:rPr>
  </w:style>
  <w:style w:type="paragraph" w:styleId="NoSpacing">
    <w:name w:val="No Spacing"/>
    <w:uiPriority w:val="1"/>
    <w:qFormat/>
    <w:rsid w:val="008A3041"/>
    <w:pPr>
      <w:spacing w:after="0" w:line="240" w:lineRule="auto"/>
    </w:pPr>
    <w:rPr>
      <w:color w:val="0E2841" w:themeColor="text2"/>
      <w:kern w:val="0"/>
      <w:sz w:val="20"/>
      <w:szCs w:val="20"/>
      <w:lang w:val="en-US"/>
      <w14:ligatures w14:val="none"/>
    </w:rPr>
  </w:style>
  <w:style w:type="paragraph" w:styleId="Header">
    <w:name w:val="header"/>
    <w:basedOn w:val="Normal"/>
    <w:link w:val="HeaderChar"/>
    <w:uiPriority w:val="99"/>
    <w:unhideWhenUsed/>
    <w:rsid w:val="008A30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3041"/>
  </w:style>
  <w:style w:type="paragraph" w:styleId="Footer">
    <w:name w:val="footer"/>
    <w:basedOn w:val="Normal"/>
    <w:link w:val="FooterChar"/>
    <w:uiPriority w:val="99"/>
    <w:unhideWhenUsed/>
    <w:rsid w:val="008A30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30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7355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950017018800334"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1186/s13561-018-0192-4" TargetMode="External"/><Relationship Id="rId12" Type="http://schemas.openxmlformats.org/officeDocument/2006/relationships/hyperlink" Target="https://www.gov.uk/government/publications/community-development-handbook"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080/15575330.2021.1843210" TargetMode="External"/><Relationship Id="rId11" Type="http://schemas.openxmlformats.org/officeDocument/2006/relationships/hyperlink" Target="https://gov.wales/manufacturing-future-wales-framework-action" TargetMode="External"/><Relationship Id="rId5" Type="http://schemas.openxmlformats.org/officeDocument/2006/relationships/endnotes" Target="endnotes.xml"/><Relationship Id="rId15" Type="http://schemas.openxmlformats.org/officeDocument/2006/relationships/glossaryDocument" Target="glossary/document.xml"/><Relationship Id="rId10" Type="http://schemas.openxmlformats.org/officeDocument/2006/relationships/hyperlink" Target="https://doi.org/10.3390/su10082806" TargetMode="External"/><Relationship Id="rId4" Type="http://schemas.openxmlformats.org/officeDocument/2006/relationships/footnotes" Target="footnotes.xml"/><Relationship Id="rId9" Type="http://schemas.openxmlformats.org/officeDocument/2006/relationships/hyperlink" Target="https://doi.org/10.1177/0038038515594978"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4F7E40270314C3A9EBBCC7A32FD6449"/>
        <w:category>
          <w:name w:val="General"/>
          <w:gallery w:val="placeholder"/>
        </w:category>
        <w:types>
          <w:type w:val="bbPlcHdr"/>
        </w:types>
        <w:behaviors>
          <w:behavior w:val="content"/>
        </w:behaviors>
        <w:guid w:val="{580DA0B7-1B41-4DC7-A515-74675B175CA6}"/>
      </w:docPartPr>
      <w:docPartBody>
        <w:p w:rsidR="00000000" w:rsidRDefault="00B846FB" w:rsidP="00B846FB">
          <w:pPr>
            <w:pStyle w:val="04F7E40270314C3A9EBBCC7A32FD6449"/>
          </w:pPr>
          <w:r>
            <w:rPr>
              <w:rFonts w:asciiTheme="majorHAnsi" w:hAnsiTheme="majorHAnsi"/>
              <w:color w:val="FFFFFF" w:themeColor="background1"/>
              <w:sz w:val="96"/>
              <w:szCs w:val="96"/>
            </w:rPr>
            <w:t>[Document title]</w:t>
          </w:r>
        </w:p>
      </w:docPartBody>
    </w:docPart>
    <w:docPart>
      <w:docPartPr>
        <w:name w:val="CA7934CA9486425DAF91C0B4BB28311B"/>
        <w:category>
          <w:name w:val="General"/>
          <w:gallery w:val="placeholder"/>
        </w:category>
        <w:types>
          <w:type w:val="bbPlcHdr"/>
        </w:types>
        <w:behaviors>
          <w:behavior w:val="content"/>
        </w:behaviors>
        <w:guid w:val="{FC2B8404-4812-4352-A2D2-3468931E99D8}"/>
      </w:docPartPr>
      <w:docPartBody>
        <w:p w:rsidR="00000000" w:rsidRDefault="00B846FB" w:rsidP="00B846FB">
          <w:pPr>
            <w:pStyle w:val="CA7934CA9486425DAF91C0B4BB28311B"/>
          </w:pPr>
          <w:r>
            <w:rPr>
              <w:color w:val="FFFFFF" w:themeColor="background1"/>
              <w:sz w:val="32"/>
              <w:szCs w:val="32"/>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6FB"/>
    <w:rsid w:val="00930CF1"/>
    <w:rsid w:val="00B846FB"/>
    <w:rsid w:val="00ED3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F7E40270314C3A9EBBCC7A32FD6449">
    <w:name w:val="04F7E40270314C3A9EBBCC7A32FD6449"/>
    <w:rsid w:val="00B846FB"/>
  </w:style>
  <w:style w:type="paragraph" w:customStyle="1" w:styleId="CA7934CA9486425DAF91C0B4BB28311B">
    <w:name w:val="CA7934CA9486425DAF91C0B4BB28311B"/>
    <w:rsid w:val="00B846FB"/>
  </w:style>
  <w:style w:type="paragraph" w:customStyle="1" w:styleId="4E2F966EBFF74F06BE57B75DDEDE6ADE">
    <w:name w:val="4E2F966EBFF74F06BE57B75DDEDE6ADE"/>
    <w:rsid w:val="00B846FB"/>
  </w:style>
  <w:style w:type="paragraph" w:customStyle="1" w:styleId="A7A5CAE262A14A278CF8132C58BEB126">
    <w:name w:val="A7A5CAE262A14A278CF8132C58BEB126"/>
    <w:rsid w:val="00B846FB"/>
  </w:style>
  <w:style w:type="paragraph" w:customStyle="1" w:styleId="ABF8E4FF2A0740E196C766BF4F7130D7">
    <w:name w:val="ABF8E4FF2A0740E196C766BF4F7130D7"/>
    <w:rsid w:val="00B846FB"/>
  </w:style>
  <w:style w:type="paragraph" w:customStyle="1" w:styleId="42B6934A8FD345F781E476C3E45F2C21">
    <w:name w:val="42B6934A8FD345F781E476C3E45F2C21"/>
    <w:rsid w:val="00B846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13</Pages>
  <Words>2856</Words>
  <Characters>16283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 Talbot Steelworkers Community</dc:title>
  <dc:subject>Assignment 2</dc:subject>
  <dc:creator>Mirabela Voican (1907947)</dc:creator>
  <cp:keywords/>
  <dc:description/>
  <cp:lastModifiedBy>Mirabela Voican (1907947)</cp:lastModifiedBy>
  <cp:revision>1</cp:revision>
  <dcterms:created xsi:type="dcterms:W3CDTF">2024-11-09T21:13:00Z</dcterms:created>
  <dcterms:modified xsi:type="dcterms:W3CDTF">2024-11-09T21:41:00Z</dcterms:modified>
</cp:coreProperties>
</file>