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Analyse and evaluate to the extent to which the criminal law is prepared to accept that a victim may consent to harm.</w:t>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Consent within criminal law is a tricky subject to tackle. Situations in which a person's consent may be taken but the harm that is done to the person may overrule the person's consent. Serious levels of harm or how the general public would think of the act could affect how the situation is handled. Lack of consent is required for some charges to be placed against a suspect. But cases where consent is present is where the context of the situation and how the public would perceive the case comes to attention. There have been many examples over the years of how crimes with consent have been handled that vary in resolutions.</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Consent from the victim to the defendant's behaviour can exempt the defendant from liability. Taylor (2018) states that historically, consent was seen differently depending on the context of the situation. Following the Sexual Offences Act 2003 consent has a statutory definition, but in other cases, consent may develop differently depending on the context. According to the Crown Prosecution Service (2021) Consent should be carefully considered in what offence to charge or if it is in the public's interest to prosecute. In sexual assault cases, absence of consent is required to prosecute the offence. There are also cases where they must differentiate consent with submitting. If a person is groomed into ‘consenting’ to the act, then that is not true consent. Section 74 of the Sexual Offences Act 2003 defines consent as if a person has capacity, freedom to consent and they agree then consent is given. If the person understands what they are consenting to and if they are in a position to make that choice freely.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sz w:val="24"/>
          <w:szCs w:val="24"/>
          <w:rtl w:val="0"/>
        </w:rPr>
        <w:t xml:space="preserve">There are some cases where consent to the harm has dismissed the charges . In the case of R v Wilson (1996) the charges were quashed because of the consent. Alan Wilson had used a hot knife to brand his initials into his wife’s buttoks. He was charged under section 47 of the offences against the persons act 1861. The court looked into how the act being done in their own home in private would affect if Mr Wilson would be charged with the offence of actual bodily harm. Mr Wilson’s wife had given consent for her husband to brand her with the hot knife. Due to the amount of harm done to his wife and the fact that she consented to the act, the charges were dropped against him. On the other hand, in the case of R v Brown (1994) a group of homosexual men had gathered to perform sadomasochistic acts on each other. Even though all of them had given consent, they were charged under the Offences Against the Persons Act. grievous bodily harm (GBH)  was done to them due to these acts and was the reason as to why they were all charged with the crime. Comparing these two instances shows how consent can be used as a defence but can also be ignored in cases depending on the amount of harm that comes to a person. With the Wilson case, even though harm had been done to the wife the charges were dropped, but with the Brown case they were charged with GBH. This shows the prejudice that was shown against homosexuals during those years. This prejudice could also be a factor as to why the charges were not dropped.</w:t>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sz w:val="24"/>
          <w:szCs w:val="24"/>
          <w:rtl w:val="0"/>
        </w:rPr>
        <w:t xml:space="preserve">According to the Law Commission (1995) there are some scenarios that consent can be used as a defence. In the case of burglary the defendant could argue that because they had been given permission to walk into the premises by the owner means that the defendant did not commit trespass which is necessary for the offence of burglary. Criminal damage would be another offence that consent from the victim could be taken into consideration. If the victim gave permission for their personal property to be destroyed. An example of this would be if the defendant honestly believed the owner had given consent or if the owner would have consented to the damage if they knew the circumstances according to Seatons Solicitors (no date). An example of if the owner would give consent to someone breaking their personal property would be that if a child was locked in a car accidentally, the owner of the car would consent to the destruction of the window to save the child. These examples show that the consent of the harm or damage that is done to them or their personal possessions can be taken into consideration when damage or harm has been done. Recognised exceptions are the everyday instances where consent to harm is given and expected in the situations that the consent is given for. The Law commission (1995) states that activities that will cause harm such as tattooing, piercing, surgery and religious flagellation. These instances are guaranteed to cause harm to a person that is irreversible. The case of R v McCarthy (2019) shows how the consent of the people being harmed can be ignored when the amount of harm done to them is substantial. McCarthy was a tattooist and body modifier that had done modifications on customers that had given their consent on the modifications being done to them. With the amount of harm that came to these people through the modifications, the consent of the customers was ignored in the case. The court discussed how extreme body modification fell under the same category as plastic surgery, but because of the context and the place where the modifications took place they deemed the situation unsafe for the modifications to be performed.This is according to The Court of Appeal (2021). This case would fall under Section 18 of the Offences Against the Persons Act 1861, unlawful and maliciously wounding or causing grievous bodily harm with intent to cause grievous bodily harm. In cases where consent was given but a serious amount of harm was done to the person, the results of charges being placed upon the defendant could be less serious than if consent was not given. </w:t>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sz w:val="24"/>
          <w:szCs w:val="24"/>
          <w:rtl w:val="0"/>
        </w:rPr>
        <w:t xml:space="preserve">The Home Office (2020) states that no person can consent to harm that results in actual bodily harm or more serious injury for sexual gratification. The defendant cannot rely on the ‘rough sex gone wrong’ defence, any sexual relation that involves a risk of harm to a partner to the result of actual or grievous bodily harm would not be dismissed in court because of the partners consent. The only exception that works as a defence would be the transmission of sexually transmitted infections (STI’s). In certain circumstances a person can consent to the risk that they may receive a STI. The UK Government created the rule that consent could not be used as a defence for sexual crimes because a group called ‘We can’t consent to this’ stated that 60 UK women had been killed by men who had used the ‘rough sex gone wrong’ defence. They worked with the Government to make it so that people couldn’t use the ‘rough sex gone wrong’ defence to excuse themselves for their actions. It was added to the Domestic Abuse Bill 2020 and eventually passed into legislation. </w:t>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sz w:val="24"/>
          <w:szCs w:val="24"/>
          <w:rtl w:val="0"/>
        </w:rPr>
        <w:t xml:space="preserve">Consent within the criminal law is a hard subject. It can be used as a defence but sometimes it won’t be taken into consideration. There are only a few exceptions to the consent defences where consent is used to exempt the defendant of the crime. There have also been cases where both cases had consent present but not always taken into consideration. This could be because of social normalities and if the public learned about the crime then the police would be criticised for how they handled the situation due to the social normalities of the time. And we can see that with how much time has passed the consent defence has changed. In the past consent would have been harder to protect people who had been harmed from these situations due to the consent, but since the law changed the hope was that less people should be willing to put themselves in those situations to cause serious harm to themselves. </w:t>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u w:val="single"/>
        </w:rPr>
      </w:pPr>
      <w:r w:rsidDel="00000000" w:rsidR="00000000" w:rsidRPr="00000000">
        <w:rPr>
          <w:sz w:val="24"/>
          <w:szCs w:val="24"/>
          <w:u w:val="single"/>
          <w:rtl w:val="0"/>
        </w:rPr>
        <w:t xml:space="preserve">Reference list</w:t>
      </w:r>
    </w:p>
    <w:p w:rsidR="00000000" w:rsidDel="00000000" w:rsidP="00000000" w:rsidRDefault="00000000" w:rsidRPr="00000000" w14:paraId="00000010">
      <w:pPr>
        <w:spacing w:line="480" w:lineRule="auto"/>
        <w:rPr/>
      </w:pPr>
      <w:r w:rsidDel="00000000" w:rsidR="00000000" w:rsidRPr="00000000">
        <w:rPr>
          <w:sz w:val="24"/>
          <w:szCs w:val="24"/>
          <w:rtl w:val="0"/>
        </w:rPr>
        <w:t xml:space="preserve">Crown Prosecution Service, 2021,</w:t>
      </w:r>
      <w:r w:rsidDel="00000000" w:rsidR="00000000" w:rsidRPr="00000000">
        <w:rPr>
          <w:i w:val="1"/>
          <w:sz w:val="24"/>
          <w:szCs w:val="24"/>
          <w:rtl w:val="0"/>
        </w:rPr>
        <w:t xml:space="preserve"> </w:t>
      </w:r>
      <w:r w:rsidDel="00000000" w:rsidR="00000000" w:rsidRPr="00000000">
        <w:rPr>
          <w:i w:val="1"/>
          <w:rtl w:val="0"/>
        </w:rPr>
        <w:t xml:space="preserve">Rape and Sexual Offences - Chapter 6 Consent, </w:t>
      </w:r>
      <w:r w:rsidDel="00000000" w:rsidR="00000000" w:rsidRPr="00000000">
        <w:rPr>
          <w:rtl w:val="0"/>
        </w:rPr>
        <w:t xml:space="preserve">Available at: </w:t>
      </w:r>
      <w:hyperlink r:id="rId6">
        <w:r w:rsidDel="00000000" w:rsidR="00000000" w:rsidRPr="00000000">
          <w:rPr>
            <w:color w:val="1155cc"/>
            <w:u w:val="single"/>
            <w:rtl w:val="0"/>
          </w:rPr>
          <w:t xml:space="preserve">https://www.cps.gov.uk/legal-guidance/rape-and-sexual-offences-chapter-6-consent</w:t>
        </w:r>
      </w:hyperlink>
      <w:r w:rsidDel="00000000" w:rsidR="00000000" w:rsidRPr="00000000">
        <w:rPr>
          <w:rtl w:val="0"/>
        </w:rPr>
        <w:t xml:space="preserve"> Accessed on: 10th April 2024. </w:t>
      </w:r>
    </w:p>
    <w:p w:rsidR="00000000" w:rsidDel="00000000" w:rsidP="00000000" w:rsidRDefault="00000000" w:rsidRPr="00000000" w14:paraId="00000011">
      <w:pPr>
        <w:spacing w:line="480" w:lineRule="auto"/>
        <w:rPr/>
      </w:pPr>
      <w:r w:rsidDel="00000000" w:rsidR="00000000" w:rsidRPr="00000000">
        <w:rPr>
          <w:rtl w:val="0"/>
        </w:rPr>
        <w:t xml:space="preserve">Home Office, 2020, </w:t>
      </w:r>
      <w:r w:rsidDel="00000000" w:rsidR="00000000" w:rsidRPr="00000000">
        <w:rPr>
          <w:i w:val="1"/>
          <w:rtl w:val="0"/>
        </w:rPr>
        <w:t xml:space="preserve">Consent to serious harm for sexual gratification is not a defence, </w:t>
      </w:r>
      <w:r w:rsidDel="00000000" w:rsidR="00000000" w:rsidRPr="00000000">
        <w:rPr>
          <w:rtl w:val="0"/>
        </w:rPr>
        <w:t xml:space="preserve">Available at: </w:t>
      </w:r>
      <w:hyperlink r:id="rId7">
        <w:r w:rsidDel="00000000" w:rsidR="00000000" w:rsidRPr="00000000">
          <w:rPr>
            <w:color w:val="1155cc"/>
            <w:u w:val="single"/>
            <w:rtl w:val="0"/>
          </w:rPr>
          <w:t xml:space="preserve">https://www.gov.uk/government/publications/domestic-abuse-bill-2020-factsheets/consent-to-serious-harm-for-sexual-gratification-not-a-defence#:~:text=a%20person%20is%20unable%20to,purposes%20of%20obtaining%20sexual%20gratification</w:t>
        </w:r>
      </w:hyperlink>
      <w:r w:rsidDel="00000000" w:rsidR="00000000" w:rsidRPr="00000000">
        <w:rPr>
          <w:rtl w:val="0"/>
        </w:rPr>
        <w:t xml:space="preserve">. Accessed on: 11th April 2024.</w:t>
      </w:r>
    </w:p>
    <w:p w:rsidR="00000000" w:rsidDel="00000000" w:rsidP="00000000" w:rsidRDefault="00000000" w:rsidRPr="00000000" w14:paraId="00000012">
      <w:pPr>
        <w:widowControl w:val="0"/>
        <w:spacing w:line="240" w:lineRule="auto"/>
        <w:rPr/>
      </w:pPr>
      <w:r w:rsidDel="00000000" w:rsidR="00000000" w:rsidRPr="00000000">
        <w:rPr>
          <w:rtl w:val="0"/>
        </w:rPr>
        <w:t xml:space="preserve">Seatons Solicitors, No date, </w:t>
      </w:r>
      <w:r w:rsidDel="00000000" w:rsidR="00000000" w:rsidRPr="00000000">
        <w:rPr>
          <w:i w:val="1"/>
          <w:rtl w:val="0"/>
        </w:rPr>
        <w:t xml:space="preserve">Criminal Damage, </w:t>
      </w:r>
      <w:r w:rsidDel="00000000" w:rsidR="00000000" w:rsidRPr="00000000">
        <w:rPr>
          <w:rtl w:val="0"/>
        </w:rPr>
        <w:t xml:space="preserve">Available at: </w:t>
      </w:r>
      <w:hyperlink r:id="rId8">
        <w:r w:rsidDel="00000000" w:rsidR="00000000" w:rsidRPr="00000000">
          <w:rPr>
            <w:color w:val="1155cc"/>
            <w:u w:val="single"/>
            <w:rtl w:val="0"/>
          </w:rPr>
          <w:t xml:space="preserve">https://seatons.co.uk/legal-services/criminal-law/criminal-damage-offences/#:~:text=There%20are%20 potentially%20three%20 defences,had%20they%20known%20the%20circumstances</w:t>
        </w:r>
      </w:hyperlink>
      <w:r w:rsidDel="00000000" w:rsidR="00000000" w:rsidRPr="00000000">
        <w:rPr>
          <w:rtl w:val="0"/>
        </w:rPr>
        <w:t xml:space="preserve">. Accessed on: 11th April 2024.</w:t>
      </w:r>
    </w:p>
    <w:p w:rsidR="00000000" w:rsidDel="00000000" w:rsidP="00000000" w:rsidRDefault="00000000" w:rsidRPr="00000000" w14:paraId="00000013">
      <w:pPr>
        <w:widowControl w:val="0"/>
        <w:spacing w:line="240" w:lineRule="auto"/>
        <w:rPr/>
      </w:pPr>
      <w:r w:rsidDel="00000000" w:rsidR="00000000" w:rsidRPr="00000000">
        <w:rPr>
          <w:rtl w:val="0"/>
        </w:rPr>
      </w:r>
    </w:p>
    <w:p w:rsidR="00000000" w:rsidDel="00000000" w:rsidP="00000000" w:rsidRDefault="00000000" w:rsidRPr="00000000" w14:paraId="00000014">
      <w:pPr>
        <w:widowControl w:val="0"/>
        <w:spacing w:line="240" w:lineRule="auto"/>
        <w:rPr/>
      </w:pPr>
      <w:r w:rsidDel="00000000" w:rsidR="00000000" w:rsidRPr="00000000">
        <w:rPr>
          <w:rtl w:val="0"/>
        </w:rPr>
        <w:t xml:space="preserve">Taylor L, 2018, </w:t>
      </w:r>
      <w:r w:rsidDel="00000000" w:rsidR="00000000" w:rsidRPr="00000000">
        <w:rPr>
          <w:i w:val="1"/>
          <w:rtl w:val="0"/>
        </w:rPr>
        <w:t xml:space="preserve">Criminal Law, </w:t>
      </w:r>
      <w:r w:rsidDel="00000000" w:rsidR="00000000" w:rsidRPr="00000000">
        <w:rPr>
          <w:rtl w:val="0"/>
        </w:rPr>
        <w:t xml:space="preserve">page 408, Pearson Education Limited. </w:t>
      </w:r>
    </w:p>
    <w:p w:rsidR="00000000" w:rsidDel="00000000" w:rsidP="00000000" w:rsidRDefault="00000000" w:rsidRPr="00000000" w14:paraId="00000015">
      <w:pPr>
        <w:widowControl w:val="0"/>
        <w:spacing w:line="240" w:lineRule="auto"/>
        <w:rPr/>
      </w:pPr>
      <w:r w:rsidDel="00000000" w:rsidR="00000000" w:rsidRPr="00000000">
        <w:rPr>
          <w:rtl w:val="0"/>
        </w:rPr>
      </w:r>
    </w:p>
    <w:p w:rsidR="00000000" w:rsidDel="00000000" w:rsidP="00000000" w:rsidRDefault="00000000" w:rsidRPr="00000000" w14:paraId="00000016">
      <w:pPr>
        <w:widowControl w:val="0"/>
        <w:spacing w:line="240" w:lineRule="auto"/>
        <w:rPr/>
      </w:pPr>
      <w:r w:rsidDel="00000000" w:rsidR="00000000" w:rsidRPr="00000000">
        <w:rPr>
          <w:rtl w:val="0"/>
        </w:rPr>
        <w:t xml:space="preserve">The Law Commission, 1995, </w:t>
      </w:r>
      <w:r w:rsidDel="00000000" w:rsidR="00000000" w:rsidRPr="00000000">
        <w:rPr>
          <w:i w:val="1"/>
          <w:rtl w:val="0"/>
        </w:rPr>
        <w:t xml:space="preserve">Consent in the Criminal Law, </w:t>
      </w:r>
      <w:r w:rsidDel="00000000" w:rsidR="00000000" w:rsidRPr="00000000">
        <w:rPr>
          <w:rtl w:val="0"/>
        </w:rPr>
        <w:t xml:space="preserve">Available at: </w:t>
      </w:r>
      <w:hyperlink r:id="rId9">
        <w:r w:rsidDel="00000000" w:rsidR="00000000" w:rsidRPr="00000000">
          <w:rPr>
            <w:color w:val="1155cc"/>
            <w:u w:val="single"/>
            <w:rtl w:val="0"/>
          </w:rPr>
          <w:t xml:space="preserve">https://www.judiciary.uk/wp-content/uploads/2021/05/6.7429_JO_Court_of_Appeal_Criminal_Division_2019_20_WEB3.pdf</w:t>
        </w:r>
      </w:hyperlink>
      <w:r w:rsidDel="00000000" w:rsidR="00000000" w:rsidRPr="00000000">
        <w:rPr>
          <w:rtl w:val="0"/>
        </w:rPr>
        <w:t xml:space="preserve"> Accessed on: 11th April 2024.</w:t>
      </w:r>
    </w:p>
    <w:p w:rsidR="00000000" w:rsidDel="00000000" w:rsidP="00000000" w:rsidRDefault="00000000" w:rsidRPr="00000000" w14:paraId="00000017">
      <w:pPr>
        <w:widowControl w:val="0"/>
        <w:spacing w:line="240" w:lineRule="auto"/>
        <w:rPr/>
      </w:pPr>
      <w:r w:rsidDel="00000000" w:rsidR="00000000" w:rsidRPr="00000000">
        <w:rPr>
          <w:rtl w:val="0"/>
        </w:rPr>
      </w:r>
    </w:p>
    <w:p w:rsidR="00000000" w:rsidDel="00000000" w:rsidP="00000000" w:rsidRDefault="00000000" w:rsidRPr="00000000" w14:paraId="00000018">
      <w:pPr>
        <w:widowControl w:val="0"/>
        <w:spacing w:line="24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judiciary.uk/wp-content/uploads/2021/05/6.7429_JO_Court_of_Appeal_Criminal_Division_2019_20_WEB3.pdf" TargetMode="External"/><Relationship Id="rId5" Type="http://schemas.openxmlformats.org/officeDocument/2006/relationships/styles" Target="styles.xml"/><Relationship Id="rId6" Type="http://schemas.openxmlformats.org/officeDocument/2006/relationships/hyperlink" Target="https://www.cps.gov.uk/legal-guidance/rape-and-sexual-offences-chapter-6-consent" TargetMode="External"/><Relationship Id="rId7" Type="http://schemas.openxmlformats.org/officeDocument/2006/relationships/hyperlink" Target="https://www.gov.uk/government/publications/domestic-abuse-bill-2020-factsheets/consent-to-serious-harm-for-sexual-gratification-not-a-defence#:~:text=a%20person%20is%20unable%20to,purposes%20of%20obtaining%20sexual%20gratification" TargetMode="External"/><Relationship Id="rId8" Type="http://schemas.openxmlformats.org/officeDocument/2006/relationships/hyperlink" Target="https://seatons.co.uk/legal-services/criminal-law/criminal-damage-offences/#:~:text=There%20are%20potentially%20three%20defences,had%20they%20known%20the%20circumsta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