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972AC" w14:textId="77777777" w:rsidR="009B49A0" w:rsidRPr="00E7301D" w:rsidRDefault="009B49A0" w:rsidP="009B49A0">
      <w:pPr>
        <w:spacing w:before="120" w:after="120" w:line="240" w:lineRule="auto"/>
        <w:jc w:val="center"/>
        <w:rPr>
          <w:rFonts w:eastAsia="Aptos" w:cs="Arial"/>
          <w:color w:val="000000"/>
        </w:rPr>
      </w:pPr>
      <w:r w:rsidRPr="00E7301D">
        <w:rPr>
          <w:rFonts w:eastAsia="Aptos" w:cs="Arial"/>
          <w:noProof/>
          <w:color w:val="000000"/>
        </w:rPr>
        <w:drawing>
          <wp:inline distT="0" distB="0" distL="0" distR="0" wp14:anchorId="222DE935" wp14:editId="56585E42">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BA0F903" w14:textId="77777777" w:rsidR="009B49A0" w:rsidRPr="00E7301D" w:rsidRDefault="009B49A0" w:rsidP="009B49A0">
      <w:pPr>
        <w:spacing w:before="120" w:after="120" w:line="240" w:lineRule="auto"/>
        <w:rPr>
          <w:rFonts w:eastAsia="Aptos" w:cs="Arial"/>
          <w:color w:val="000000"/>
        </w:rPr>
      </w:pPr>
    </w:p>
    <w:p w14:paraId="497DE1B3" w14:textId="77777777" w:rsidR="009B49A0" w:rsidRPr="00E7301D" w:rsidRDefault="009B49A0" w:rsidP="009B49A0">
      <w:pPr>
        <w:spacing w:before="120" w:after="120" w:line="240" w:lineRule="auto"/>
        <w:rPr>
          <w:rFonts w:eastAsia="Aptos" w:cs="Arial"/>
          <w:color w:val="000000"/>
        </w:rPr>
      </w:pPr>
    </w:p>
    <w:p w14:paraId="7D48624C" w14:textId="20887A3B" w:rsidR="009B49A0" w:rsidRPr="00E7301D" w:rsidRDefault="009B49A0" w:rsidP="009B49A0">
      <w:pPr>
        <w:spacing w:before="120" w:after="120" w:line="240" w:lineRule="auto"/>
        <w:jc w:val="center"/>
        <w:rPr>
          <w:rFonts w:eastAsia="Aptos" w:cs="Arial"/>
          <w:b/>
          <w:bCs/>
          <w:color w:val="000000"/>
        </w:rPr>
      </w:pPr>
      <w:r w:rsidRPr="00E7301D">
        <w:rPr>
          <w:rFonts w:eastAsia="Aptos" w:cs="Arial"/>
          <w:b/>
          <w:bCs/>
          <w:color w:val="000000"/>
        </w:rPr>
        <w:t>Student Name:</w:t>
      </w:r>
      <w:r w:rsidR="00E420F5">
        <w:rPr>
          <w:rFonts w:eastAsia="Aptos" w:cs="Arial"/>
          <w:b/>
          <w:bCs/>
          <w:color w:val="000000"/>
        </w:rPr>
        <w:t xml:space="preserve"> </w:t>
      </w:r>
      <w:r w:rsidR="00CD6BEA">
        <w:rPr>
          <w:rFonts w:eastAsia="Aptos" w:cs="Arial"/>
          <w:b/>
          <w:bCs/>
          <w:color w:val="000000"/>
        </w:rPr>
        <w:t>Fenil</w:t>
      </w:r>
      <w:r w:rsidR="003D1DA9">
        <w:rPr>
          <w:rFonts w:eastAsia="Aptos" w:cs="Arial"/>
          <w:b/>
          <w:bCs/>
          <w:color w:val="000000"/>
        </w:rPr>
        <w:t xml:space="preserve"> Bharatbahi sutariya </w:t>
      </w:r>
    </w:p>
    <w:p w14:paraId="5CEFE861" w14:textId="77777777" w:rsidR="009B49A0" w:rsidRPr="00E7301D" w:rsidRDefault="009B49A0" w:rsidP="009B49A0">
      <w:pPr>
        <w:spacing w:before="120" w:after="120" w:line="240" w:lineRule="auto"/>
        <w:jc w:val="center"/>
        <w:rPr>
          <w:rFonts w:eastAsia="Aptos" w:cs="Arial"/>
          <w:b/>
          <w:bCs/>
          <w:color w:val="000000"/>
        </w:rPr>
      </w:pPr>
    </w:p>
    <w:p w14:paraId="7AB2CB4B" w14:textId="0D16C8A4" w:rsidR="009B49A0" w:rsidRPr="00E7301D" w:rsidRDefault="009B49A0" w:rsidP="009B49A0">
      <w:pPr>
        <w:spacing w:before="120" w:after="120" w:line="240" w:lineRule="auto"/>
        <w:jc w:val="center"/>
        <w:rPr>
          <w:rFonts w:eastAsia="Aptos" w:cs="Arial"/>
          <w:b/>
          <w:bCs/>
          <w:color w:val="000000"/>
        </w:rPr>
      </w:pPr>
      <w:r w:rsidRPr="00E7301D">
        <w:rPr>
          <w:rFonts w:eastAsia="Aptos" w:cs="Arial"/>
          <w:b/>
          <w:bCs/>
          <w:color w:val="000000"/>
        </w:rPr>
        <w:t>Student ID:</w:t>
      </w:r>
      <w:r w:rsidR="003D1DA9">
        <w:rPr>
          <w:rFonts w:eastAsia="Aptos" w:cs="Arial"/>
          <w:b/>
          <w:bCs/>
          <w:color w:val="000000"/>
        </w:rPr>
        <w:t xml:space="preserve"> 2433115</w:t>
      </w:r>
    </w:p>
    <w:p w14:paraId="382DF854" w14:textId="77777777" w:rsidR="009B49A0" w:rsidRPr="00E7301D" w:rsidRDefault="009B49A0" w:rsidP="009B49A0">
      <w:pPr>
        <w:spacing w:before="120" w:after="120" w:line="240" w:lineRule="auto"/>
        <w:jc w:val="center"/>
        <w:rPr>
          <w:rFonts w:eastAsia="Aptos" w:cs="Arial"/>
          <w:color w:val="000000"/>
        </w:rPr>
      </w:pPr>
    </w:p>
    <w:p w14:paraId="569C8090" w14:textId="77777777" w:rsidR="009B49A0" w:rsidRPr="00E7301D" w:rsidRDefault="009B49A0" w:rsidP="009B49A0">
      <w:pPr>
        <w:spacing w:before="120" w:after="120" w:line="240" w:lineRule="auto"/>
        <w:jc w:val="center"/>
        <w:rPr>
          <w:rFonts w:eastAsia="Aptos" w:cs="Arial"/>
          <w:color w:val="000000"/>
        </w:rPr>
      </w:pPr>
    </w:p>
    <w:p w14:paraId="57257DE9" w14:textId="77777777" w:rsidR="00E463A5" w:rsidRPr="00E463A5" w:rsidRDefault="009B49A0" w:rsidP="00E463A5">
      <w:pPr>
        <w:spacing w:before="120" w:after="120" w:line="240" w:lineRule="auto"/>
        <w:jc w:val="center"/>
        <w:rPr>
          <w:rFonts w:eastAsia="Aptos" w:cs="Arial"/>
          <w:b/>
          <w:bCs/>
          <w:color w:val="000000"/>
          <w:lang w:val="en-US"/>
        </w:rPr>
      </w:pPr>
      <w:r w:rsidRPr="00E7301D">
        <w:rPr>
          <w:rFonts w:eastAsia="Aptos" w:cs="Arial"/>
          <w:b/>
          <w:bCs/>
          <w:color w:val="000000"/>
        </w:rPr>
        <w:t>Module Name</w:t>
      </w:r>
      <w:r w:rsidR="00B57550">
        <w:rPr>
          <w:rFonts w:eastAsia="Aptos" w:cs="Arial"/>
          <w:b/>
          <w:bCs/>
          <w:color w:val="000000"/>
        </w:rPr>
        <w:t>:</w:t>
      </w:r>
      <w:r w:rsidR="00E463A5">
        <w:rPr>
          <w:rFonts w:eastAsia="Aptos" w:cs="Arial"/>
          <w:b/>
          <w:bCs/>
          <w:color w:val="000000"/>
        </w:rPr>
        <w:t xml:space="preserve"> </w:t>
      </w:r>
      <w:r w:rsidR="00E463A5" w:rsidRPr="00E463A5">
        <w:rPr>
          <w:rFonts w:eastAsia="Aptos" w:cs="Arial"/>
          <w:b/>
          <w:bCs/>
          <w:color w:val="000000"/>
          <w:lang w:val="en-US"/>
        </w:rPr>
        <w:t>Strategic Management</w:t>
      </w:r>
    </w:p>
    <w:p w14:paraId="4CFCEA2E" w14:textId="545C2BFC" w:rsidR="009B49A0" w:rsidRPr="00E7301D" w:rsidRDefault="009B49A0" w:rsidP="009B49A0">
      <w:pPr>
        <w:spacing w:before="120" w:after="120" w:line="240" w:lineRule="auto"/>
        <w:jc w:val="center"/>
        <w:rPr>
          <w:rFonts w:eastAsia="Aptos" w:cs="Arial"/>
          <w:b/>
          <w:bCs/>
          <w:color w:val="000000"/>
        </w:rPr>
      </w:pPr>
    </w:p>
    <w:p w14:paraId="1DB0C6B2" w14:textId="77777777" w:rsidR="009B49A0" w:rsidRPr="00E7301D" w:rsidRDefault="009B49A0" w:rsidP="009B49A0">
      <w:pPr>
        <w:spacing w:before="120" w:after="120" w:line="240" w:lineRule="auto"/>
        <w:jc w:val="center"/>
        <w:rPr>
          <w:rFonts w:eastAsia="Aptos" w:cs="Arial"/>
          <w:b/>
          <w:bCs/>
          <w:color w:val="000000"/>
        </w:rPr>
      </w:pPr>
    </w:p>
    <w:p w14:paraId="6CF9C13C" w14:textId="77777777" w:rsidR="00E463A5" w:rsidRPr="00E463A5" w:rsidRDefault="009B49A0" w:rsidP="00E463A5">
      <w:pPr>
        <w:spacing w:before="120" w:after="120" w:line="240" w:lineRule="auto"/>
        <w:jc w:val="center"/>
        <w:rPr>
          <w:rFonts w:eastAsia="Aptos" w:cs="Arial"/>
          <w:b/>
          <w:bCs/>
          <w:color w:val="000000"/>
          <w:lang w:val="en-US"/>
        </w:rPr>
      </w:pPr>
      <w:r w:rsidRPr="00E7301D">
        <w:rPr>
          <w:rFonts w:eastAsia="Aptos" w:cs="Arial"/>
          <w:b/>
          <w:bCs/>
          <w:color w:val="000000"/>
        </w:rPr>
        <w:t xml:space="preserve">Module Code: </w:t>
      </w:r>
      <w:r w:rsidR="00E463A5" w:rsidRPr="00E463A5">
        <w:rPr>
          <w:rFonts w:eastAsia="Aptos" w:cs="Arial"/>
          <w:b/>
          <w:bCs/>
          <w:color w:val="000000"/>
          <w:lang w:val="en-US"/>
        </w:rPr>
        <w:t>LCMB7003</w:t>
      </w:r>
    </w:p>
    <w:p w14:paraId="21C3684B" w14:textId="4477160E" w:rsidR="009B49A0" w:rsidRPr="00E7301D" w:rsidRDefault="009B49A0" w:rsidP="009B49A0">
      <w:pPr>
        <w:spacing w:before="120" w:after="120" w:line="240" w:lineRule="auto"/>
        <w:jc w:val="center"/>
        <w:rPr>
          <w:rFonts w:eastAsia="Aptos" w:cs="Arial"/>
          <w:b/>
          <w:bCs/>
          <w:color w:val="000000"/>
        </w:rPr>
      </w:pPr>
    </w:p>
    <w:p w14:paraId="6084BF9D" w14:textId="77777777" w:rsidR="009B49A0" w:rsidRPr="00E7301D" w:rsidRDefault="009B49A0" w:rsidP="009B49A0">
      <w:pPr>
        <w:spacing w:before="120" w:after="120" w:line="240" w:lineRule="auto"/>
        <w:jc w:val="center"/>
        <w:rPr>
          <w:rFonts w:eastAsia="Aptos" w:cs="Arial"/>
          <w:b/>
          <w:bCs/>
          <w:color w:val="000000"/>
        </w:rPr>
      </w:pPr>
    </w:p>
    <w:p w14:paraId="5FB7D6FB" w14:textId="77777777" w:rsidR="009B49A0" w:rsidRPr="00E7301D" w:rsidRDefault="009B49A0" w:rsidP="009B49A0">
      <w:pPr>
        <w:spacing w:before="120" w:after="120" w:line="240" w:lineRule="auto"/>
        <w:rPr>
          <w:rFonts w:eastAsia="Aptos" w:cs="Arial"/>
          <w:b/>
          <w:bCs/>
          <w:color w:val="000000"/>
        </w:rPr>
      </w:pPr>
    </w:p>
    <w:p w14:paraId="2ABF3912" w14:textId="77777777" w:rsidR="009B49A0" w:rsidRPr="00E7301D" w:rsidRDefault="009B49A0" w:rsidP="009B49A0">
      <w:pPr>
        <w:spacing w:before="120" w:after="120" w:line="240" w:lineRule="auto"/>
        <w:jc w:val="center"/>
        <w:rPr>
          <w:rFonts w:eastAsia="Aptos" w:cs="Arial"/>
          <w:b/>
          <w:bCs/>
          <w:color w:val="000000"/>
        </w:rPr>
      </w:pPr>
    </w:p>
    <w:p w14:paraId="04FD31DF" w14:textId="7BF64BD9" w:rsidR="009B49A0" w:rsidRPr="00914098" w:rsidRDefault="009B49A0" w:rsidP="009B49A0">
      <w:pPr>
        <w:spacing w:before="120" w:after="120" w:line="240" w:lineRule="auto"/>
        <w:jc w:val="center"/>
        <w:rPr>
          <w:rFonts w:eastAsia="Aptos" w:cs="Arial"/>
          <w:b/>
          <w:bCs/>
          <w:color w:val="000000"/>
        </w:rPr>
      </w:pPr>
      <w:r w:rsidRPr="00914098">
        <w:rPr>
          <w:rFonts w:eastAsia="Aptos" w:cs="Arial"/>
          <w:b/>
          <w:bCs/>
          <w:color w:val="000000"/>
        </w:rPr>
        <w:t>Lecturer’s Name:</w:t>
      </w:r>
      <w:r w:rsidRPr="00914098">
        <w:rPr>
          <w:b/>
          <w:bCs/>
        </w:rPr>
        <w:t xml:space="preserve"> </w:t>
      </w:r>
      <w:r w:rsidR="00E463A5" w:rsidRPr="00E463A5">
        <w:rPr>
          <w:b/>
          <w:bCs/>
        </w:rPr>
        <w:t>Jaya Gopalkrishnan</w:t>
      </w:r>
    </w:p>
    <w:p w14:paraId="006EF2AF" w14:textId="77777777" w:rsidR="009B49A0" w:rsidRPr="00E7301D" w:rsidRDefault="009B49A0" w:rsidP="009B49A0">
      <w:pPr>
        <w:spacing w:before="120" w:after="120" w:line="240" w:lineRule="auto"/>
        <w:jc w:val="center"/>
        <w:rPr>
          <w:rFonts w:eastAsia="Aptos" w:cs="Arial"/>
          <w:b/>
          <w:bCs/>
          <w:color w:val="000000"/>
        </w:rPr>
      </w:pPr>
      <w:r w:rsidRPr="00E7301D">
        <w:rPr>
          <w:rFonts w:eastAsia="Aptos" w:cs="Arial"/>
          <w:b/>
          <w:bCs/>
          <w:color w:val="000000"/>
        </w:rPr>
        <w:t xml:space="preserve"> </w:t>
      </w:r>
    </w:p>
    <w:p w14:paraId="3B60DFAB" w14:textId="77777777" w:rsidR="009B49A0" w:rsidRPr="00E7301D" w:rsidRDefault="009B49A0" w:rsidP="009B49A0">
      <w:pPr>
        <w:spacing w:before="120" w:after="120" w:line="240" w:lineRule="auto"/>
        <w:jc w:val="center"/>
        <w:rPr>
          <w:rFonts w:eastAsia="Aptos" w:cs="Arial"/>
          <w:b/>
          <w:bCs/>
          <w:color w:val="000000"/>
        </w:rPr>
      </w:pPr>
    </w:p>
    <w:p w14:paraId="0E717087" w14:textId="77777777" w:rsidR="009B49A0" w:rsidRPr="00E7301D" w:rsidRDefault="009B49A0" w:rsidP="009B49A0">
      <w:pPr>
        <w:spacing w:before="120" w:after="120" w:line="240" w:lineRule="auto"/>
        <w:rPr>
          <w:rFonts w:eastAsia="Aptos" w:cs="Arial"/>
          <w:b/>
          <w:bCs/>
          <w:color w:val="000000"/>
        </w:rPr>
      </w:pPr>
    </w:p>
    <w:p w14:paraId="30F69BF9" w14:textId="5666AEE4" w:rsidR="009B49A0" w:rsidRPr="00E7301D" w:rsidRDefault="009B49A0" w:rsidP="009B49A0">
      <w:pPr>
        <w:spacing w:before="120" w:after="120" w:line="240" w:lineRule="auto"/>
        <w:jc w:val="center"/>
        <w:rPr>
          <w:rFonts w:eastAsia="Aptos" w:cs="Arial"/>
          <w:b/>
          <w:bCs/>
          <w:color w:val="000000"/>
        </w:rPr>
      </w:pPr>
      <w:r w:rsidRPr="00E7301D">
        <w:rPr>
          <w:rFonts w:eastAsia="Aptos" w:cs="Arial"/>
          <w:b/>
          <w:bCs/>
          <w:color w:val="000000"/>
        </w:rPr>
        <w:t xml:space="preserve">Work Count: </w:t>
      </w:r>
      <w:r w:rsidR="00846A4B">
        <w:rPr>
          <w:rFonts w:eastAsia="Aptos" w:cs="Arial"/>
          <w:b/>
          <w:bCs/>
          <w:color w:val="000000"/>
        </w:rPr>
        <w:t>5</w:t>
      </w:r>
      <w:r w:rsidR="00912235">
        <w:rPr>
          <w:rFonts w:eastAsia="Aptos" w:cs="Arial"/>
          <w:b/>
          <w:bCs/>
          <w:color w:val="000000"/>
        </w:rPr>
        <w:t>07</w:t>
      </w:r>
      <w:r w:rsidR="00E463A5">
        <w:rPr>
          <w:rFonts w:eastAsia="Aptos" w:cs="Arial"/>
          <w:b/>
          <w:bCs/>
          <w:color w:val="000000"/>
        </w:rPr>
        <w:t>6</w:t>
      </w:r>
    </w:p>
    <w:p w14:paraId="7FCA6A62" w14:textId="77777777" w:rsidR="009B49A0" w:rsidRPr="00E7301D" w:rsidRDefault="009B49A0" w:rsidP="009B49A0">
      <w:pPr>
        <w:spacing w:before="120" w:after="120"/>
        <w:jc w:val="center"/>
        <w:rPr>
          <w:rFonts w:eastAsia="Aptos" w:cs="Arial"/>
          <w:b/>
          <w:bCs/>
          <w:color w:val="000000"/>
        </w:rPr>
      </w:pPr>
    </w:p>
    <w:p w14:paraId="13602405" w14:textId="77777777" w:rsidR="009B49A0" w:rsidRPr="00E7301D" w:rsidRDefault="009B49A0" w:rsidP="009B49A0">
      <w:pPr>
        <w:spacing w:before="120" w:after="120"/>
        <w:rPr>
          <w:rFonts w:eastAsia="Aptos" w:cs="Arial"/>
          <w:b/>
          <w:bCs/>
          <w:color w:val="000000"/>
        </w:rPr>
      </w:pPr>
    </w:p>
    <w:p w14:paraId="6A529560" w14:textId="77777777" w:rsidR="009B49A0" w:rsidRPr="00E7301D" w:rsidRDefault="009B49A0" w:rsidP="009B49A0">
      <w:pPr>
        <w:spacing w:before="120" w:after="120"/>
        <w:jc w:val="center"/>
        <w:rPr>
          <w:rFonts w:eastAsia="Aptos" w:cs="Arial"/>
          <w:b/>
          <w:bCs/>
          <w:color w:val="000000"/>
        </w:rPr>
      </w:pPr>
      <w:r w:rsidRPr="00E7301D">
        <w:rPr>
          <w:rFonts w:eastAsia="Aptos" w:cs="Arial"/>
          <w:b/>
          <w:bCs/>
          <w:color w:val="000000"/>
        </w:rPr>
        <w:t xml:space="preserve">Term </w:t>
      </w:r>
      <w:r>
        <w:rPr>
          <w:rFonts w:eastAsia="Aptos" w:cs="Arial"/>
          <w:b/>
          <w:bCs/>
          <w:color w:val="000000"/>
        </w:rPr>
        <w:t>2</w:t>
      </w:r>
    </w:p>
    <w:p w14:paraId="7D39819A" w14:textId="77777777" w:rsidR="009B49A0" w:rsidRDefault="009B49A0" w:rsidP="009B49A0"/>
    <w:p w14:paraId="7C808D52" w14:textId="77777777" w:rsidR="00476A59" w:rsidRPr="00F05EFD" w:rsidRDefault="00476A59"/>
    <w:p w14:paraId="706879DB" w14:textId="77777777" w:rsidR="00B57550" w:rsidRDefault="00B57550">
      <w:pPr>
        <w:spacing w:line="278" w:lineRule="auto"/>
        <w:jc w:val="left"/>
      </w:pPr>
    </w:p>
    <w:p w14:paraId="6EDB3F12" w14:textId="4C1E7D8D" w:rsidR="00B57550" w:rsidRDefault="005F57AF">
      <w:pPr>
        <w:spacing w:line="278" w:lineRule="auto"/>
        <w:jc w:val="left"/>
        <w:rPr>
          <w:b/>
          <w:bCs/>
          <w:sz w:val="28"/>
          <w:szCs w:val="28"/>
        </w:rPr>
      </w:pPr>
      <w:r w:rsidRPr="005F57AF">
        <w:rPr>
          <w:b/>
          <w:bCs/>
          <w:sz w:val="28"/>
          <w:szCs w:val="28"/>
        </w:rPr>
        <w:t>Table of Content</w:t>
      </w:r>
    </w:p>
    <w:p w14:paraId="7C20EF15" w14:textId="4AA02E3C" w:rsidR="00912235" w:rsidRDefault="00167EF3">
      <w:pPr>
        <w:pStyle w:val="TOC1"/>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\o "1-5" \h \z \u </w:instrText>
      </w:r>
      <w:r>
        <w:rPr>
          <w:b/>
          <w:bCs/>
          <w:sz w:val="28"/>
          <w:szCs w:val="28"/>
        </w:rPr>
        <w:fldChar w:fldCharType="separate"/>
      </w:r>
      <w:hyperlink w:anchor="_Toc217241715" w:history="1">
        <w:r w:rsidR="00912235" w:rsidRPr="00440960">
          <w:rPr>
            <w:rStyle w:val="Hyperlink"/>
            <w:noProof/>
            <w:lang w:val="en-US"/>
          </w:rPr>
          <w:t>1. Selection of Organisation and Target Market</w:t>
        </w:r>
        <w:r w:rsidR="00912235">
          <w:rPr>
            <w:noProof/>
            <w:webHidden/>
          </w:rPr>
          <w:tab/>
        </w:r>
        <w:r w:rsidR="00912235">
          <w:rPr>
            <w:noProof/>
            <w:webHidden/>
          </w:rPr>
          <w:fldChar w:fldCharType="begin"/>
        </w:r>
        <w:r w:rsidR="00912235">
          <w:rPr>
            <w:noProof/>
            <w:webHidden/>
          </w:rPr>
          <w:instrText xml:space="preserve"> PAGEREF _Toc217241715 \h </w:instrText>
        </w:r>
        <w:r w:rsidR="00912235">
          <w:rPr>
            <w:noProof/>
            <w:webHidden/>
          </w:rPr>
        </w:r>
        <w:r w:rsidR="00912235">
          <w:rPr>
            <w:noProof/>
            <w:webHidden/>
          </w:rPr>
          <w:fldChar w:fldCharType="separate"/>
        </w:r>
        <w:r w:rsidR="00912235">
          <w:rPr>
            <w:noProof/>
            <w:webHidden/>
          </w:rPr>
          <w:t>6</w:t>
        </w:r>
        <w:r w:rsidR="00912235">
          <w:rPr>
            <w:noProof/>
            <w:webHidden/>
          </w:rPr>
          <w:fldChar w:fldCharType="end"/>
        </w:r>
      </w:hyperlink>
    </w:p>
    <w:p w14:paraId="1680FCA8" w14:textId="5CCC6B78" w:rsidR="00912235" w:rsidRDefault="00912235">
      <w:pPr>
        <w:pStyle w:val="TOC2"/>
        <w:tabs>
          <w:tab w:val="right" w:leader="dot" w:pos="9350"/>
        </w:tabs>
        <w:rPr>
          <w:rFonts w:asciiTheme="minorHAnsi" w:eastAsiaTheme="minorEastAsia" w:hAnsiTheme="minorHAnsi"/>
          <w:noProof/>
          <w:lang w:val="en-US"/>
        </w:rPr>
      </w:pPr>
      <w:hyperlink w:anchor="_Toc217241716" w:history="1">
        <w:r w:rsidRPr="00440960">
          <w:rPr>
            <w:rStyle w:val="Hyperlink"/>
            <w:noProof/>
            <w:lang w:val="en-US"/>
          </w:rPr>
          <w:t>1.1 Selected Organisation: B&amp;Q (Kingfisher Plc)</w:t>
        </w:r>
        <w:r>
          <w:rPr>
            <w:noProof/>
            <w:webHidden/>
          </w:rPr>
          <w:tab/>
        </w:r>
        <w:r>
          <w:rPr>
            <w:noProof/>
            <w:webHidden/>
          </w:rPr>
          <w:fldChar w:fldCharType="begin"/>
        </w:r>
        <w:r>
          <w:rPr>
            <w:noProof/>
            <w:webHidden/>
          </w:rPr>
          <w:instrText xml:space="preserve"> PAGEREF _Toc217241716 \h </w:instrText>
        </w:r>
        <w:r>
          <w:rPr>
            <w:noProof/>
            <w:webHidden/>
          </w:rPr>
        </w:r>
        <w:r>
          <w:rPr>
            <w:noProof/>
            <w:webHidden/>
          </w:rPr>
          <w:fldChar w:fldCharType="separate"/>
        </w:r>
        <w:r>
          <w:rPr>
            <w:noProof/>
            <w:webHidden/>
          </w:rPr>
          <w:t>6</w:t>
        </w:r>
        <w:r>
          <w:rPr>
            <w:noProof/>
            <w:webHidden/>
          </w:rPr>
          <w:fldChar w:fldCharType="end"/>
        </w:r>
      </w:hyperlink>
    </w:p>
    <w:p w14:paraId="6D696E9A" w14:textId="29562AFE" w:rsidR="00912235" w:rsidRDefault="00912235">
      <w:pPr>
        <w:pStyle w:val="TOC2"/>
        <w:tabs>
          <w:tab w:val="right" w:leader="dot" w:pos="9350"/>
        </w:tabs>
        <w:rPr>
          <w:rFonts w:asciiTheme="minorHAnsi" w:eastAsiaTheme="minorEastAsia" w:hAnsiTheme="minorHAnsi"/>
          <w:noProof/>
          <w:lang w:val="en-US"/>
        </w:rPr>
      </w:pPr>
      <w:hyperlink w:anchor="_Toc217241717" w:history="1">
        <w:r w:rsidRPr="00440960">
          <w:rPr>
            <w:rStyle w:val="Hyperlink"/>
            <w:noProof/>
            <w:lang w:val="en-US"/>
          </w:rPr>
          <w:t>1.2 Proposed New International Market: Australia</w:t>
        </w:r>
        <w:r>
          <w:rPr>
            <w:noProof/>
            <w:webHidden/>
          </w:rPr>
          <w:tab/>
        </w:r>
        <w:r>
          <w:rPr>
            <w:noProof/>
            <w:webHidden/>
          </w:rPr>
          <w:fldChar w:fldCharType="begin"/>
        </w:r>
        <w:r>
          <w:rPr>
            <w:noProof/>
            <w:webHidden/>
          </w:rPr>
          <w:instrText xml:space="preserve"> PAGEREF _Toc217241717 \h </w:instrText>
        </w:r>
        <w:r>
          <w:rPr>
            <w:noProof/>
            <w:webHidden/>
          </w:rPr>
        </w:r>
        <w:r>
          <w:rPr>
            <w:noProof/>
            <w:webHidden/>
          </w:rPr>
          <w:fldChar w:fldCharType="separate"/>
        </w:r>
        <w:r>
          <w:rPr>
            <w:noProof/>
            <w:webHidden/>
          </w:rPr>
          <w:t>9</w:t>
        </w:r>
        <w:r>
          <w:rPr>
            <w:noProof/>
            <w:webHidden/>
          </w:rPr>
          <w:fldChar w:fldCharType="end"/>
        </w:r>
      </w:hyperlink>
    </w:p>
    <w:p w14:paraId="00C50548" w14:textId="70B08054" w:rsidR="00912235" w:rsidRDefault="00912235">
      <w:pPr>
        <w:pStyle w:val="TOC2"/>
        <w:tabs>
          <w:tab w:val="right" w:leader="dot" w:pos="9350"/>
        </w:tabs>
        <w:rPr>
          <w:rFonts w:asciiTheme="minorHAnsi" w:eastAsiaTheme="minorEastAsia" w:hAnsiTheme="minorHAnsi"/>
          <w:noProof/>
          <w:lang w:val="en-US"/>
        </w:rPr>
      </w:pPr>
      <w:hyperlink w:anchor="_Toc217241718" w:history="1">
        <w:r w:rsidRPr="00440960">
          <w:rPr>
            <w:rStyle w:val="Hyperlink"/>
            <w:noProof/>
            <w:lang w:val="en-US"/>
          </w:rPr>
          <w:t>1.3 Strategic Justification for the B&amp;Q Australia Expansion</w:t>
        </w:r>
        <w:r>
          <w:rPr>
            <w:noProof/>
            <w:webHidden/>
          </w:rPr>
          <w:tab/>
        </w:r>
        <w:r>
          <w:rPr>
            <w:noProof/>
            <w:webHidden/>
          </w:rPr>
          <w:fldChar w:fldCharType="begin"/>
        </w:r>
        <w:r>
          <w:rPr>
            <w:noProof/>
            <w:webHidden/>
          </w:rPr>
          <w:instrText xml:space="preserve"> PAGEREF _Toc217241718 \h </w:instrText>
        </w:r>
        <w:r>
          <w:rPr>
            <w:noProof/>
            <w:webHidden/>
          </w:rPr>
        </w:r>
        <w:r>
          <w:rPr>
            <w:noProof/>
            <w:webHidden/>
          </w:rPr>
          <w:fldChar w:fldCharType="separate"/>
        </w:r>
        <w:r>
          <w:rPr>
            <w:noProof/>
            <w:webHidden/>
          </w:rPr>
          <w:t>12</w:t>
        </w:r>
        <w:r>
          <w:rPr>
            <w:noProof/>
            <w:webHidden/>
          </w:rPr>
          <w:fldChar w:fldCharType="end"/>
        </w:r>
      </w:hyperlink>
    </w:p>
    <w:p w14:paraId="21684E09" w14:textId="07007749" w:rsidR="00912235" w:rsidRDefault="00912235">
      <w:pPr>
        <w:pStyle w:val="TOC3"/>
        <w:tabs>
          <w:tab w:val="right" w:leader="dot" w:pos="9350"/>
        </w:tabs>
        <w:rPr>
          <w:rFonts w:asciiTheme="minorHAnsi" w:eastAsiaTheme="minorEastAsia" w:hAnsiTheme="minorHAnsi"/>
          <w:noProof/>
          <w:lang w:val="en-US"/>
        </w:rPr>
      </w:pPr>
      <w:hyperlink w:anchor="_Toc217241719" w:history="1">
        <w:r w:rsidRPr="00440960">
          <w:rPr>
            <w:rStyle w:val="Hyperlink"/>
            <w:noProof/>
            <w:lang w:val="en-US"/>
          </w:rPr>
          <w:t>1.3.1 Strategic fit (capabilities-to-market alignment)</w:t>
        </w:r>
        <w:r>
          <w:rPr>
            <w:noProof/>
            <w:webHidden/>
          </w:rPr>
          <w:tab/>
        </w:r>
        <w:r>
          <w:rPr>
            <w:noProof/>
            <w:webHidden/>
          </w:rPr>
          <w:fldChar w:fldCharType="begin"/>
        </w:r>
        <w:r>
          <w:rPr>
            <w:noProof/>
            <w:webHidden/>
          </w:rPr>
          <w:instrText xml:space="preserve"> PAGEREF _Toc217241719 \h </w:instrText>
        </w:r>
        <w:r>
          <w:rPr>
            <w:noProof/>
            <w:webHidden/>
          </w:rPr>
        </w:r>
        <w:r>
          <w:rPr>
            <w:noProof/>
            <w:webHidden/>
          </w:rPr>
          <w:fldChar w:fldCharType="separate"/>
        </w:r>
        <w:r>
          <w:rPr>
            <w:noProof/>
            <w:webHidden/>
          </w:rPr>
          <w:t>12</w:t>
        </w:r>
        <w:r>
          <w:rPr>
            <w:noProof/>
            <w:webHidden/>
          </w:rPr>
          <w:fldChar w:fldCharType="end"/>
        </w:r>
      </w:hyperlink>
    </w:p>
    <w:p w14:paraId="39866F8F" w14:textId="1741B6A5" w:rsidR="00912235" w:rsidRDefault="00912235">
      <w:pPr>
        <w:pStyle w:val="TOC3"/>
        <w:tabs>
          <w:tab w:val="right" w:leader="dot" w:pos="9350"/>
        </w:tabs>
        <w:rPr>
          <w:rFonts w:asciiTheme="minorHAnsi" w:eastAsiaTheme="minorEastAsia" w:hAnsiTheme="minorHAnsi"/>
          <w:noProof/>
          <w:lang w:val="en-US"/>
        </w:rPr>
      </w:pPr>
      <w:hyperlink w:anchor="_Toc217241720" w:history="1">
        <w:r w:rsidRPr="00440960">
          <w:rPr>
            <w:rStyle w:val="Hyperlink"/>
            <w:noProof/>
            <w:lang w:val="en-US"/>
          </w:rPr>
          <w:t>1.3.2 Digital entry feasibility and scalable growth</w:t>
        </w:r>
        <w:r>
          <w:rPr>
            <w:noProof/>
            <w:webHidden/>
          </w:rPr>
          <w:tab/>
        </w:r>
        <w:r>
          <w:rPr>
            <w:noProof/>
            <w:webHidden/>
          </w:rPr>
          <w:fldChar w:fldCharType="begin"/>
        </w:r>
        <w:r>
          <w:rPr>
            <w:noProof/>
            <w:webHidden/>
          </w:rPr>
          <w:instrText xml:space="preserve"> PAGEREF _Toc217241720 \h </w:instrText>
        </w:r>
        <w:r>
          <w:rPr>
            <w:noProof/>
            <w:webHidden/>
          </w:rPr>
        </w:r>
        <w:r>
          <w:rPr>
            <w:noProof/>
            <w:webHidden/>
          </w:rPr>
          <w:fldChar w:fldCharType="separate"/>
        </w:r>
        <w:r>
          <w:rPr>
            <w:noProof/>
            <w:webHidden/>
          </w:rPr>
          <w:t>13</w:t>
        </w:r>
        <w:r>
          <w:rPr>
            <w:noProof/>
            <w:webHidden/>
          </w:rPr>
          <w:fldChar w:fldCharType="end"/>
        </w:r>
      </w:hyperlink>
    </w:p>
    <w:p w14:paraId="7572A071" w14:textId="17BF23B1" w:rsidR="00912235" w:rsidRDefault="00912235">
      <w:pPr>
        <w:pStyle w:val="TOC3"/>
        <w:tabs>
          <w:tab w:val="right" w:leader="dot" w:pos="9350"/>
        </w:tabs>
        <w:rPr>
          <w:rFonts w:asciiTheme="minorHAnsi" w:eastAsiaTheme="minorEastAsia" w:hAnsiTheme="minorHAnsi"/>
          <w:noProof/>
          <w:lang w:val="en-US"/>
        </w:rPr>
      </w:pPr>
      <w:hyperlink w:anchor="_Toc217241721" w:history="1">
        <w:r w:rsidRPr="00440960">
          <w:rPr>
            <w:rStyle w:val="Hyperlink"/>
            <w:noProof/>
            <w:lang w:val="en-US"/>
          </w:rPr>
          <w:t>1.3.3 Competitive and timing rationale</w:t>
        </w:r>
        <w:r>
          <w:rPr>
            <w:noProof/>
            <w:webHidden/>
          </w:rPr>
          <w:tab/>
        </w:r>
        <w:r>
          <w:rPr>
            <w:noProof/>
            <w:webHidden/>
          </w:rPr>
          <w:fldChar w:fldCharType="begin"/>
        </w:r>
        <w:r>
          <w:rPr>
            <w:noProof/>
            <w:webHidden/>
          </w:rPr>
          <w:instrText xml:space="preserve"> PAGEREF _Toc217241721 \h </w:instrText>
        </w:r>
        <w:r>
          <w:rPr>
            <w:noProof/>
            <w:webHidden/>
          </w:rPr>
        </w:r>
        <w:r>
          <w:rPr>
            <w:noProof/>
            <w:webHidden/>
          </w:rPr>
          <w:fldChar w:fldCharType="separate"/>
        </w:r>
        <w:r>
          <w:rPr>
            <w:noProof/>
            <w:webHidden/>
          </w:rPr>
          <w:t>14</w:t>
        </w:r>
        <w:r>
          <w:rPr>
            <w:noProof/>
            <w:webHidden/>
          </w:rPr>
          <w:fldChar w:fldCharType="end"/>
        </w:r>
      </w:hyperlink>
    </w:p>
    <w:p w14:paraId="49820F54" w14:textId="28D57EF6" w:rsidR="00912235" w:rsidRDefault="00912235">
      <w:pPr>
        <w:pStyle w:val="TOC1"/>
        <w:tabs>
          <w:tab w:val="right" w:leader="dot" w:pos="9350"/>
        </w:tabs>
        <w:rPr>
          <w:rFonts w:asciiTheme="minorHAnsi" w:eastAsiaTheme="minorEastAsia" w:hAnsiTheme="minorHAnsi"/>
          <w:noProof/>
          <w:lang w:val="en-US"/>
        </w:rPr>
      </w:pPr>
      <w:hyperlink w:anchor="_Toc217241722" w:history="1">
        <w:r w:rsidRPr="00440960">
          <w:rPr>
            <w:rStyle w:val="Hyperlink"/>
            <w:noProof/>
            <w:lang w:val="en-US"/>
          </w:rPr>
          <w:t>2. Comprehensive Strategic Analysis for B&amp;Q’s Expansion into Australia</w:t>
        </w:r>
        <w:r>
          <w:rPr>
            <w:noProof/>
            <w:webHidden/>
          </w:rPr>
          <w:tab/>
        </w:r>
        <w:r>
          <w:rPr>
            <w:noProof/>
            <w:webHidden/>
          </w:rPr>
          <w:fldChar w:fldCharType="begin"/>
        </w:r>
        <w:r>
          <w:rPr>
            <w:noProof/>
            <w:webHidden/>
          </w:rPr>
          <w:instrText xml:space="preserve"> PAGEREF _Toc217241722 \h </w:instrText>
        </w:r>
        <w:r>
          <w:rPr>
            <w:noProof/>
            <w:webHidden/>
          </w:rPr>
        </w:r>
        <w:r>
          <w:rPr>
            <w:noProof/>
            <w:webHidden/>
          </w:rPr>
          <w:fldChar w:fldCharType="separate"/>
        </w:r>
        <w:r>
          <w:rPr>
            <w:noProof/>
            <w:webHidden/>
          </w:rPr>
          <w:t>15</w:t>
        </w:r>
        <w:r>
          <w:rPr>
            <w:noProof/>
            <w:webHidden/>
          </w:rPr>
          <w:fldChar w:fldCharType="end"/>
        </w:r>
      </w:hyperlink>
    </w:p>
    <w:p w14:paraId="1D92E229" w14:textId="07E3C641" w:rsidR="00912235" w:rsidRDefault="00912235">
      <w:pPr>
        <w:pStyle w:val="TOC2"/>
        <w:tabs>
          <w:tab w:val="right" w:leader="dot" w:pos="9350"/>
        </w:tabs>
        <w:rPr>
          <w:rFonts w:asciiTheme="minorHAnsi" w:eastAsiaTheme="minorEastAsia" w:hAnsiTheme="minorHAnsi"/>
          <w:noProof/>
          <w:lang w:val="en-US"/>
        </w:rPr>
      </w:pPr>
      <w:hyperlink w:anchor="_Toc217241723" w:history="1">
        <w:r w:rsidRPr="00440960">
          <w:rPr>
            <w:rStyle w:val="Hyperlink"/>
            <w:noProof/>
            <w:lang w:val="en-US"/>
          </w:rPr>
          <w:t>2.1 Macro-Environmental Analysis: PESTLE Framework</w:t>
        </w:r>
        <w:r>
          <w:rPr>
            <w:noProof/>
            <w:webHidden/>
          </w:rPr>
          <w:tab/>
        </w:r>
        <w:r>
          <w:rPr>
            <w:noProof/>
            <w:webHidden/>
          </w:rPr>
          <w:fldChar w:fldCharType="begin"/>
        </w:r>
        <w:r>
          <w:rPr>
            <w:noProof/>
            <w:webHidden/>
          </w:rPr>
          <w:instrText xml:space="preserve"> PAGEREF _Toc217241723 \h </w:instrText>
        </w:r>
        <w:r>
          <w:rPr>
            <w:noProof/>
            <w:webHidden/>
          </w:rPr>
        </w:r>
        <w:r>
          <w:rPr>
            <w:noProof/>
            <w:webHidden/>
          </w:rPr>
          <w:fldChar w:fldCharType="separate"/>
        </w:r>
        <w:r>
          <w:rPr>
            <w:noProof/>
            <w:webHidden/>
          </w:rPr>
          <w:t>15</w:t>
        </w:r>
        <w:r>
          <w:rPr>
            <w:noProof/>
            <w:webHidden/>
          </w:rPr>
          <w:fldChar w:fldCharType="end"/>
        </w:r>
      </w:hyperlink>
    </w:p>
    <w:p w14:paraId="26FAEDCD" w14:textId="5E82CA30" w:rsidR="00912235" w:rsidRDefault="00912235">
      <w:pPr>
        <w:pStyle w:val="TOC3"/>
        <w:tabs>
          <w:tab w:val="right" w:leader="dot" w:pos="9350"/>
        </w:tabs>
        <w:rPr>
          <w:rFonts w:asciiTheme="minorHAnsi" w:eastAsiaTheme="minorEastAsia" w:hAnsiTheme="minorHAnsi"/>
          <w:noProof/>
          <w:lang w:val="en-US"/>
        </w:rPr>
      </w:pPr>
      <w:hyperlink w:anchor="_Toc217241724" w:history="1">
        <w:r w:rsidRPr="00440960">
          <w:rPr>
            <w:rStyle w:val="Hyperlink"/>
            <w:noProof/>
            <w:lang w:val="en-US"/>
          </w:rPr>
          <w:t>2.1.1 Political factors</w:t>
        </w:r>
        <w:r>
          <w:rPr>
            <w:noProof/>
            <w:webHidden/>
          </w:rPr>
          <w:tab/>
        </w:r>
        <w:r>
          <w:rPr>
            <w:noProof/>
            <w:webHidden/>
          </w:rPr>
          <w:fldChar w:fldCharType="begin"/>
        </w:r>
        <w:r>
          <w:rPr>
            <w:noProof/>
            <w:webHidden/>
          </w:rPr>
          <w:instrText xml:space="preserve"> PAGEREF _Toc217241724 \h </w:instrText>
        </w:r>
        <w:r>
          <w:rPr>
            <w:noProof/>
            <w:webHidden/>
          </w:rPr>
        </w:r>
        <w:r>
          <w:rPr>
            <w:noProof/>
            <w:webHidden/>
          </w:rPr>
          <w:fldChar w:fldCharType="separate"/>
        </w:r>
        <w:r>
          <w:rPr>
            <w:noProof/>
            <w:webHidden/>
          </w:rPr>
          <w:t>15</w:t>
        </w:r>
        <w:r>
          <w:rPr>
            <w:noProof/>
            <w:webHidden/>
          </w:rPr>
          <w:fldChar w:fldCharType="end"/>
        </w:r>
      </w:hyperlink>
    </w:p>
    <w:p w14:paraId="0381A014" w14:textId="6504EC44" w:rsidR="00912235" w:rsidRDefault="00912235">
      <w:pPr>
        <w:pStyle w:val="TOC3"/>
        <w:tabs>
          <w:tab w:val="right" w:leader="dot" w:pos="9350"/>
        </w:tabs>
        <w:rPr>
          <w:rFonts w:asciiTheme="minorHAnsi" w:eastAsiaTheme="minorEastAsia" w:hAnsiTheme="minorHAnsi"/>
          <w:noProof/>
          <w:lang w:val="en-US"/>
        </w:rPr>
      </w:pPr>
      <w:hyperlink w:anchor="_Toc217241725" w:history="1">
        <w:r w:rsidRPr="00440960">
          <w:rPr>
            <w:rStyle w:val="Hyperlink"/>
            <w:noProof/>
            <w:lang w:val="en-US"/>
          </w:rPr>
          <w:t>2.1.2 Economic factors</w:t>
        </w:r>
        <w:r>
          <w:rPr>
            <w:noProof/>
            <w:webHidden/>
          </w:rPr>
          <w:tab/>
        </w:r>
        <w:r>
          <w:rPr>
            <w:noProof/>
            <w:webHidden/>
          </w:rPr>
          <w:fldChar w:fldCharType="begin"/>
        </w:r>
        <w:r>
          <w:rPr>
            <w:noProof/>
            <w:webHidden/>
          </w:rPr>
          <w:instrText xml:space="preserve"> PAGEREF _Toc217241725 \h </w:instrText>
        </w:r>
        <w:r>
          <w:rPr>
            <w:noProof/>
            <w:webHidden/>
          </w:rPr>
        </w:r>
        <w:r>
          <w:rPr>
            <w:noProof/>
            <w:webHidden/>
          </w:rPr>
          <w:fldChar w:fldCharType="separate"/>
        </w:r>
        <w:r>
          <w:rPr>
            <w:noProof/>
            <w:webHidden/>
          </w:rPr>
          <w:t>16</w:t>
        </w:r>
        <w:r>
          <w:rPr>
            <w:noProof/>
            <w:webHidden/>
          </w:rPr>
          <w:fldChar w:fldCharType="end"/>
        </w:r>
      </w:hyperlink>
    </w:p>
    <w:p w14:paraId="1EE6C123" w14:textId="6604296F" w:rsidR="00912235" w:rsidRDefault="00912235">
      <w:pPr>
        <w:pStyle w:val="TOC3"/>
        <w:tabs>
          <w:tab w:val="right" w:leader="dot" w:pos="9350"/>
        </w:tabs>
        <w:rPr>
          <w:rFonts w:asciiTheme="minorHAnsi" w:eastAsiaTheme="minorEastAsia" w:hAnsiTheme="minorHAnsi"/>
          <w:noProof/>
          <w:lang w:val="en-US"/>
        </w:rPr>
      </w:pPr>
      <w:hyperlink w:anchor="_Toc217241726" w:history="1">
        <w:r w:rsidRPr="00440960">
          <w:rPr>
            <w:rStyle w:val="Hyperlink"/>
            <w:noProof/>
            <w:lang w:val="en-US"/>
          </w:rPr>
          <w:t>2.1.3 Social factors</w:t>
        </w:r>
        <w:r>
          <w:rPr>
            <w:noProof/>
            <w:webHidden/>
          </w:rPr>
          <w:tab/>
        </w:r>
        <w:r>
          <w:rPr>
            <w:noProof/>
            <w:webHidden/>
          </w:rPr>
          <w:fldChar w:fldCharType="begin"/>
        </w:r>
        <w:r>
          <w:rPr>
            <w:noProof/>
            <w:webHidden/>
          </w:rPr>
          <w:instrText xml:space="preserve"> PAGEREF _Toc217241726 \h </w:instrText>
        </w:r>
        <w:r>
          <w:rPr>
            <w:noProof/>
            <w:webHidden/>
          </w:rPr>
        </w:r>
        <w:r>
          <w:rPr>
            <w:noProof/>
            <w:webHidden/>
          </w:rPr>
          <w:fldChar w:fldCharType="separate"/>
        </w:r>
        <w:r>
          <w:rPr>
            <w:noProof/>
            <w:webHidden/>
          </w:rPr>
          <w:t>17</w:t>
        </w:r>
        <w:r>
          <w:rPr>
            <w:noProof/>
            <w:webHidden/>
          </w:rPr>
          <w:fldChar w:fldCharType="end"/>
        </w:r>
      </w:hyperlink>
    </w:p>
    <w:p w14:paraId="158C1317" w14:textId="1824B526" w:rsidR="00912235" w:rsidRDefault="00912235">
      <w:pPr>
        <w:pStyle w:val="TOC3"/>
        <w:tabs>
          <w:tab w:val="right" w:leader="dot" w:pos="9350"/>
        </w:tabs>
        <w:rPr>
          <w:rFonts w:asciiTheme="minorHAnsi" w:eastAsiaTheme="minorEastAsia" w:hAnsiTheme="minorHAnsi"/>
          <w:noProof/>
          <w:lang w:val="en-US"/>
        </w:rPr>
      </w:pPr>
      <w:hyperlink w:anchor="_Toc217241727" w:history="1">
        <w:r w:rsidRPr="00440960">
          <w:rPr>
            <w:rStyle w:val="Hyperlink"/>
            <w:noProof/>
            <w:lang w:val="en-US"/>
          </w:rPr>
          <w:t>2.1.4 Technological factors</w:t>
        </w:r>
        <w:r>
          <w:rPr>
            <w:noProof/>
            <w:webHidden/>
          </w:rPr>
          <w:tab/>
        </w:r>
        <w:r>
          <w:rPr>
            <w:noProof/>
            <w:webHidden/>
          </w:rPr>
          <w:fldChar w:fldCharType="begin"/>
        </w:r>
        <w:r>
          <w:rPr>
            <w:noProof/>
            <w:webHidden/>
          </w:rPr>
          <w:instrText xml:space="preserve"> PAGEREF _Toc217241727 \h </w:instrText>
        </w:r>
        <w:r>
          <w:rPr>
            <w:noProof/>
            <w:webHidden/>
          </w:rPr>
        </w:r>
        <w:r>
          <w:rPr>
            <w:noProof/>
            <w:webHidden/>
          </w:rPr>
          <w:fldChar w:fldCharType="separate"/>
        </w:r>
        <w:r>
          <w:rPr>
            <w:noProof/>
            <w:webHidden/>
          </w:rPr>
          <w:t>19</w:t>
        </w:r>
        <w:r>
          <w:rPr>
            <w:noProof/>
            <w:webHidden/>
          </w:rPr>
          <w:fldChar w:fldCharType="end"/>
        </w:r>
      </w:hyperlink>
    </w:p>
    <w:p w14:paraId="39C515C0" w14:textId="454B88EC" w:rsidR="00912235" w:rsidRDefault="00912235">
      <w:pPr>
        <w:pStyle w:val="TOC3"/>
        <w:tabs>
          <w:tab w:val="right" w:leader="dot" w:pos="9350"/>
        </w:tabs>
        <w:rPr>
          <w:rFonts w:asciiTheme="minorHAnsi" w:eastAsiaTheme="minorEastAsia" w:hAnsiTheme="minorHAnsi"/>
          <w:noProof/>
          <w:lang w:val="en-US"/>
        </w:rPr>
      </w:pPr>
      <w:hyperlink w:anchor="_Toc217241728" w:history="1">
        <w:r w:rsidRPr="00440960">
          <w:rPr>
            <w:rStyle w:val="Hyperlink"/>
            <w:noProof/>
            <w:lang w:val="en-US"/>
          </w:rPr>
          <w:t>2.1.5 Legal factors</w:t>
        </w:r>
        <w:r>
          <w:rPr>
            <w:noProof/>
            <w:webHidden/>
          </w:rPr>
          <w:tab/>
        </w:r>
        <w:r>
          <w:rPr>
            <w:noProof/>
            <w:webHidden/>
          </w:rPr>
          <w:fldChar w:fldCharType="begin"/>
        </w:r>
        <w:r>
          <w:rPr>
            <w:noProof/>
            <w:webHidden/>
          </w:rPr>
          <w:instrText xml:space="preserve"> PAGEREF _Toc217241728 \h </w:instrText>
        </w:r>
        <w:r>
          <w:rPr>
            <w:noProof/>
            <w:webHidden/>
          </w:rPr>
        </w:r>
        <w:r>
          <w:rPr>
            <w:noProof/>
            <w:webHidden/>
          </w:rPr>
          <w:fldChar w:fldCharType="separate"/>
        </w:r>
        <w:r>
          <w:rPr>
            <w:noProof/>
            <w:webHidden/>
          </w:rPr>
          <w:t>19</w:t>
        </w:r>
        <w:r>
          <w:rPr>
            <w:noProof/>
            <w:webHidden/>
          </w:rPr>
          <w:fldChar w:fldCharType="end"/>
        </w:r>
      </w:hyperlink>
    </w:p>
    <w:p w14:paraId="58E029A9" w14:textId="48E26C6D" w:rsidR="00912235" w:rsidRDefault="00912235">
      <w:pPr>
        <w:pStyle w:val="TOC3"/>
        <w:tabs>
          <w:tab w:val="right" w:leader="dot" w:pos="9350"/>
        </w:tabs>
        <w:rPr>
          <w:rFonts w:asciiTheme="minorHAnsi" w:eastAsiaTheme="minorEastAsia" w:hAnsiTheme="minorHAnsi"/>
          <w:noProof/>
          <w:lang w:val="en-US"/>
        </w:rPr>
      </w:pPr>
      <w:hyperlink w:anchor="_Toc217241729" w:history="1">
        <w:r w:rsidRPr="00440960">
          <w:rPr>
            <w:rStyle w:val="Hyperlink"/>
            <w:noProof/>
            <w:lang w:val="en-US"/>
          </w:rPr>
          <w:t>2.1.6 Environmental factors</w:t>
        </w:r>
        <w:r>
          <w:rPr>
            <w:noProof/>
            <w:webHidden/>
          </w:rPr>
          <w:tab/>
        </w:r>
        <w:r>
          <w:rPr>
            <w:noProof/>
            <w:webHidden/>
          </w:rPr>
          <w:fldChar w:fldCharType="begin"/>
        </w:r>
        <w:r>
          <w:rPr>
            <w:noProof/>
            <w:webHidden/>
          </w:rPr>
          <w:instrText xml:space="preserve"> PAGEREF _Toc217241729 \h </w:instrText>
        </w:r>
        <w:r>
          <w:rPr>
            <w:noProof/>
            <w:webHidden/>
          </w:rPr>
        </w:r>
        <w:r>
          <w:rPr>
            <w:noProof/>
            <w:webHidden/>
          </w:rPr>
          <w:fldChar w:fldCharType="separate"/>
        </w:r>
        <w:r>
          <w:rPr>
            <w:noProof/>
            <w:webHidden/>
          </w:rPr>
          <w:t>20</w:t>
        </w:r>
        <w:r>
          <w:rPr>
            <w:noProof/>
            <w:webHidden/>
          </w:rPr>
          <w:fldChar w:fldCharType="end"/>
        </w:r>
      </w:hyperlink>
    </w:p>
    <w:p w14:paraId="2AAB1A1A" w14:textId="4128F9E0" w:rsidR="00912235" w:rsidRDefault="00912235">
      <w:pPr>
        <w:pStyle w:val="TOC2"/>
        <w:tabs>
          <w:tab w:val="right" w:leader="dot" w:pos="9350"/>
        </w:tabs>
        <w:rPr>
          <w:rFonts w:asciiTheme="minorHAnsi" w:eastAsiaTheme="minorEastAsia" w:hAnsiTheme="minorHAnsi"/>
          <w:noProof/>
          <w:lang w:val="en-US"/>
        </w:rPr>
      </w:pPr>
      <w:hyperlink w:anchor="_Toc217241730" w:history="1">
        <w:r w:rsidRPr="00440960">
          <w:rPr>
            <w:rStyle w:val="Hyperlink"/>
            <w:noProof/>
            <w:lang w:val="en-US"/>
          </w:rPr>
          <w:t>2.2 Competitive Landscape: Porter’s Five Forces Analysis</w:t>
        </w:r>
        <w:r>
          <w:rPr>
            <w:noProof/>
            <w:webHidden/>
          </w:rPr>
          <w:tab/>
        </w:r>
        <w:r>
          <w:rPr>
            <w:noProof/>
            <w:webHidden/>
          </w:rPr>
          <w:fldChar w:fldCharType="begin"/>
        </w:r>
        <w:r>
          <w:rPr>
            <w:noProof/>
            <w:webHidden/>
          </w:rPr>
          <w:instrText xml:space="preserve"> PAGEREF _Toc217241730 \h </w:instrText>
        </w:r>
        <w:r>
          <w:rPr>
            <w:noProof/>
            <w:webHidden/>
          </w:rPr>
        </w:r>
        <w:r>
          <w:rPr>
            <w:noProof/>
            <w:webHidden/>
          </w:rPr>
          <w:fldChar w:fldCharType="separate"/>
        </w:r>
        <w:r>
          <w:rPr>
            <w:noProof/>
            <w:webHidden/>
          </w:rPr>
          <w:t>22</w:t>
        </w:r>
        <w:r>
          <w:rPr>
            <w:noProof/>
            <w:webHidden/>
          </w:rPr>
          <w:fldChar w:fldCharType="end"/>
        </w:r>
      </w:hyperlink>
    </w:p>
    <w:p w14:paraId="01152BE5" w14:textId="113B93FB" w:rsidR="00912235" w:rsidRDefault="00912235">
      <w:pPr>
        <w:pStyle w:val="TOC3"/>
        <w:tabs>
          <w:tab w:val="right" w:leader="dot" w:pos="9350"/>
        </w:tabs>
        <w:rPr>
          <w:rFonts w:asciiTheme="minorHAnsi" w:eastAsiaTheme="minorEastAsia" w:hAnsiTheme="minorHAnsi"/>
          <w:noProof/>
          <w:lang w:val="en-US"/>
        </w:rPr>
      </w:pPr>
      <w:hyperlink w:anchor="_Toc217241731" w:history="1">
        <w:r w:rsidRPr="00440960">
          <w:rPr>
            <w:rStyle w:val="Hyperlink"/>
            <w:noProof/>
            <w:lang w:val="en-US"/>
          </w:rPr>
          <w:t>2.2.1 Threat of new entrants – moderate</w:t>
        </w:r>
        <w:r>
          <w:rPr>
            <w:noProof/>
            <w:webHidden/>
          </w:rPr>
          <w:tab/>
        </w:r>
        <w:r>
          <w:rPr>
            <w:noProof/>
            <w:webHidden/>
          </w:rPr>
          <w:fldChar w:fldCharType="begin"/>
        </w:r>
        <w:r>
          <w:rPr>
            <w:noProof/>
            <w:webHidden/>
          </w:rPr>
          <w:instrText xml:space="preserve"> PAGEREF _Toc217241731 \h </w:instrText>
        </w:r>
        <w:r>
          <w:rPr>
            <w:noProof/>
            <w:webHidden/>
          </w:rPr>
        </w:r>
        <w:r>
          <w:rPr>
            <w:noProof/>
            <w:webHidden/>
          </w:rPr>
          <w:fldChar w:fldCharType="separate"/>
        </w:r>
        <w:r>
          <w:rPr>
            <w:noProof/>
            <w:webHidden/>
          </w:rPr>
          <w:t>22</w:t>
        </w:r>
        <w:r>
          <w:rPr>
            <w:noProof/>
            <w:webHidden/>
          </w:rPr>
          <w:fldChar w:fldCharType="end"/>
        </w:r>
      </w:hyperlink>
    </w:p>
    <w:p w14:paraId="24419881" w14:textId="249AA012" w:rsidR="00912235" w:rsidRDefault="00912235">
      <w:pPr>
        <w:pStyle w:val="TOC3"/>
        <w:tabs>
          <w:tab w:val="right" w:leader="dot" w:pos="9350"/>
        </w:tabs>
        <w:rPr>
          <w:rFonts w:asciiTheme="minorHAnsi" w:eastAsiaTheme="minorEastAsia" w:hAnsiTheme="minorHAnsi"/>
          <w:noProof/>
          <w:lang w:val="en-US"/>
        </w:rPr>
      </w:pPr>
      <w:hyperlink w:anchor="_Toc217241732" w:history="1">
        <w:r w:rsidRPr="00440960">
          <w:rPr>
            <w:rStyle w:val="Hyperlink"/>
            <w:noProof/>
            <w:lang w:val="en-US"/>
          </w:rPr>
          <w:t>2.2.2 Bargaining power of suppliers – moderate</w:t>
        </w:r>
        <w:r>
          <w:rPr>
            <w:noProof/>
            <w:webHidden/>
          </w:rPr>
          <w:tab/>
        </w:r>
        <w:r>
          <w:rPr>
            <w:noProof/>
            <w:webHidden/>
          </w:rPr>
          <w:fldChar w:fldCharType="begin"/>
        </w:r>
        <w:r>
          <w:rPr>
            <w:noProof/>
            <w:webHidden/>
          </w:rPr>
          <w:instrText xml:space="preserve"> PAGEREF _Toc217241732 \h </w:instrText>
        </w:r>
        <w:r>
          <w:rPr>
            <w:noProof/>
            <w:webHidden/>
          </w:rPr>
        </w:r>
        <w:r>
          <w:rPr>
            <w:noProof/>
            <w:webHidden/>
          </w:rPr>
          <w:fldChar w:fldCharType="separate"/>
        </w:r>
        <w:r>
          <w:rPr>
            <w:noProof/>
            <w:webHidden/>
          </w:rPr>
          <w:t>22</w:t>
        </w:r>
        <w:r>
          <w:rPr>
            <w:noProof/>
            <w:webHidden/>
          </w:rPr>
          <w:fldChar w:fldCharType="end"/>
        </w:r>
      </w:hyperlink>
    </w:p>
    <w:p w14:paraId="03845C11" w14:textId="7E3FD9E6" w:rsidR="00912235" w:rsidRDefault="00912235">
      <w:pPr>
        <w:pStyle w:val="TOC3"/>
        <w:tabs>
          <w:tab w:val="right" w:leader="dot" w:pos="9350"/>
        </w:tabs>
        <w:rPr>
          <w:rFonts w:asciiTheme="minorHAnsi" w:eastAsiaTheme="minorEastAsia" w:hAnsiTheme="minorHAnsi"/>
          <w:noProof/>
          <w:lang w:val="en-US"/>
        </w:rPr>
      </w:pPr>
      <w:hyperlink w:anchor="_Toc217241733" w:history="1">
        <w:r w:rsidRPr="00440960">
          <w:rPr>
            <w:rStyle w:val="Hyperlink"/>
            <w:noProof/>
            <w:lang w:val="en-US"/>
          </w:rPr>
          <w:t>2.2.3 Bargaining power of buyers – high</w:t>
        </w:r>
        <w:r>
          <w:rPr>
            <w:noProof/>
            <w:webHidden/>
          </w:rPr>
          <w:tab/>
        </w:r>
        <w:r>
          <w:rPr>
            <w:noProof/>
            <w:webHidden/>
          </w:rPr>
          <w:fldChar w:fldCharType="begin"/>
        </w:r>
        <w:r>
          <w:rPr>
            <w:noProof/>
            <w:webHidden/>
          </w:rPr>
          <w:instrText xml:space="preserve"> PAGEREF _Toc217241733 \h </w:instrText>
        </w:r>
        <w:r>
          <w:rPr>
            <w:noProof/>
            <w:webHidden/>
          </w:rPr>
        </w:r>
        <w:r>
          <w:rPr>
            <w:noProof/>
            <w:webHidden/>
          </w:rPr>
          <w:fldChar w:fldCharType="separate"/>
        </w:r>
        <w:r>
          <w:rPr>
            <w:noProof/>
            <w:webHidden/>
          </w:rPr>
          <w:t>23</w:t>
        </w:r>
        <w:r>
          <w:rPr>
            <w:noProof/>
            <w:webHidden/>
          </w:rPr>
          <w:fldChar w:fldCharType="end"/>
        </w:r>
      </w:hyperlink>
    </w:p>
    <w:p w14:paraId="07CCB6EF" w14:textId="2F4C188A" w:rsidR="00912235" w:rsidRDefault="00912235">
      <w:pPr>
        <w:pStyle w:val="TOC3"/>
        <w:tabs>
          <w:tab w:val="right" w:leader="dot" w:pos="9350"/>
        </w:tabs>
        <w:rPr>
          <w:rFonts w:asciiTheme="minorHAnsi" w:eastAsiaTheme="minorEastAsia" w:hAnsiTheme="minorHAnsi"/>
          <w:noProof/>
          <w:lang w:val="en-US"/>
        </w:rPr>
      </w:pPr>
      <w:hyperlink w:anchor="_Toc217241734" w:history="1">
        <w:r w:rsidRPr="00440960">
          <w:rPr>
            <w:rStyle w:val="Hyperlink"/>
            <w:noProof/>
            <w:lang w:val="en-US"/>
          </w:rPr>
          <w:t>2.2.4 Threat of substitutes – moderate</w:t>
        </w:r>
        <w:r>
          <w:rPr>
            <w:noProof/>
            <w:webHidden/>
          </w:rPr>
          <w:tab/>
        </w:r>
        <w:r>
          <w:rPr>
            <w:noProof/>
            <w:webHidden/>
          </w:rPr>
          <w:fldChar w:fldCharType="begin"/>
        </w:r>
        <w:r>
          <w:rPr>
            <w:noProof/>
            <w:webHidden/>
          </w:rPr>
          <w:instrText xml:space="preserve"> PAGEREF _Toc217241734 \h </w:instrText>
        </w:r>
        <w:r>
          <w:rPr>
            <w:noProof/>
            <w:webHidden/>
          </w:rPr>
        </w:r>
        <w:r>
          <w:rPr>
            <w:noProof/>
            <w:webHidden/>
          </w:rPr>
          <w:fldChar w:fldCharType="separate"/>
        </w:r>
        <w:r>
          <w:rPr>
            <w:noProof/>
            <w:webHidden/>
          </w:rPr>
          <w:t>23</w:t>
        </w:r>
        <w:r>
          <w:rPr>
            <w:noProof/>
            <w:webHidden/>
          </w:rPr>
          <w:fldChar w:fldCharType="end"/>
        </w:r>
      </w:hyperlink>
    </w:p>
    <w:p w14:paraId="539293E0" w14:textId="253DAF08" w:rsidR="00912235" w:rsidRDefault="00912235">
      <w:pPr>
        <w:pStyle w:val="TOC3"/>
        <w:tabs>
          <w:tab w:val="right" w:leader="dot" w:pos="9350"/>
        </w:tabs>
        <w:rPr>
          <w:rFonts w:asciiTheme="minorHAnsi" w:eastAsiaTheme="minorEastAsia" w:hAnsiTheme="minorHAnsi"/>
          <w:noProof/>
          <w:lang w:val="en-US"/>
        </w:rPr>
      </w:pPr>
      <w:hyperlink w:anchor="_Toc217241735" w:history="1">
        <w:r w:rsidRPr="00440960">
          <w:rPr>
            <w:rStyle w:val="Hyperlink"/>
            <w:noProof/>
            <w:lang w:val="en-US"/>
          </w:rPr>
          <w:t>2.2.5 Competitive rivalry – high</w:t>
        </w:r>
        <w:r>
          <w:rPr>
            <w:noProof/>
            <w:webHidden/>
          </w:rPr>
          <w:tab/>
        </w:r>
        <w:r>
          <w:rPr>
            <w:noProof/>
            <w:webHidden/>
          </w:rPr>
          <w:fldChar w:fldCharType="begin"/>
        </w:r>
        <w:r>
          <w:rPr>
            <w:noProof/>
            <w:webHidden/>
          </w:rPr>
          <w:instrText xml:space="preserve"> PAGEREF _Toc217241735 \h </w:instrText>
        </w:r>
        <w:r>
          <w:rPr>
            <w:noProof/>
            <w:webHidden/>
          </w:rPr>
        </w:r>
        <w:r>
          <w:rPr>
            <w:noProof/>
            <w:webHidden/>
          </w:rPr>
          <w:fldChar w:fldCharType="separate"/>
        </w:r>
        <w:r>
          <w:rPr>
            <w:noProof/>
            <w:webHidden/>
          </w:rPr>
          <w:t>23</w:t>
        </w:r>
        <w:r>
          <w:rPr>
            <w:noProof/>
            <w:webHidden/>
          </w:rPr>
          <w:fldChar w:fldCharType="end"/>
        </w:r>
      </w:hyperlink>
    </w:p>
    <w:p w14:paraId="393FDE8A" w14:textId="5C7C81C4" w:rsidR="00912235" w:rsidRDefault="00912235">
      <w:pPr>
        <w:pStyle w:val="TOC2"/>
        <w:tabs>
          <w:tab w:val="right" w:leader="dot" w:pos="9350"/>
        </w:tabs>
        <w:rPr>
          <w:rFonts w:asciiTheme="minorHAnsi" w:eastAsiaTheme="minorEastAsia" w:hAnsiTheme="minorHAnsi"/>
          <w:noProof/>
          <w:lang w:val="en-US"/>
        </w:rPr>
      </w:pPr>
      <w:hyperlink w:anchor="_Toc217241736" w:history="1">
        <w:r w:rsidRPr="00440960">
          <w:rPr>
            <w:rStyle w:val="Hyperlink"/>
            <w:noProof/>
            <w:lang w:val="en-US"/>
          </w:rPr>
          <w:t>2.3 Competitor Analysis</w:t>
        </w:r>
        <w:r>
          <w:rPr>
            <w:noProof/>
            <w:webHidden/>
          </w:rPr>
          <w:tab/>
        </w:r>
        <w:r>
          <w:rPr>
            <w:noProof/>
            <w:webHidden/>
          </w:rPr>
          <w:fldChar w:fldCharType="begin"/>
        </w:r>
        <w:r>
          <w:rPr>
            <w:noProof/>
            <w:webHidden/>
          </w:rPr>
          <w:instrText xml:space="preserve"> PAGEREF _Toc217241736 \h </w:instrText>
        </w:r>
        <w:r>
          <w:rPr>
            <w:noProof/>
            <w:webHidden/>
          </w:rPr>
        </w:r>
        <w:r>
          <w:rPr>
            <w:noProof/>
            <w:webHidden/>
          </w:rPr>
          <w:fldChar w:fldCharType="separate"/>
        </w:r>
        <w:r>
          <w:rPr>
            <w:noProof/>
            <w:webHidden/>
          </w:rPr>
          <w:t>24</w:t>
        </w:r>
        <w:r>
          <w:rPr>
            <w:noProof/>
            <w:webHidden/>
          </w:rPr>
          <w:fldChar w:fldCharType="end"/>
        </w:r>
      </w:hyperlink>
    </w:p>
    <w:p w14:paraId="62493457" w14:textId="08015CD7" w:rsidR="00912235" w:rsidRDefault="00912235">
      <w:pPr>
        <w:pStyle w:val="TOC2"/>
        <w:tabs>
          <w:tab w:val="right" w:leader="dot" w:pos="9350"/>
        </w:tabs>
        <w:rPr>
          <w:rFonts w:asciiTheme="minorHAnsi" w:eastAsiaTheme="minorEastAsia" w:hAnsiTheme="minorHAnsi"/>
          <w:noProof/>
          <w:lang w:val="en-US"/>
        </w:rPr>
      </w:pPr>
      <w:hyperlink w:anchor="_Toc217241737" w:history="1">
        <w:r w:rsidRPr="00440960">
          <w:rPr>
            <w:rStyle w:val="Hyperlink"/>
            <w:noProof/>
            <w:lang w:val="en-US"/>
          </w:rPr>
          <w:t>2.4 Critical Evaluation of the Analytical Frameworks</w:t>
        </w:r>
        <w:r>
          <w:rPr>
            <w:noProof/>
            <w:webHidden/>
          </w:rPr>
          <w:tab/>
        </w:r>
        <w:r>
          <w:rPr>
            <w:noProof/>
            <w:webHidden/>
          </w:rPr>
          <w:fldChar w:fldCharType="begin"/>
        </w:r>
        <w:r>
          <w:rPr>
            <w:noProof/>
            <w:webHidden/>
          </w:rPr>
          <w:instrText xml:space="preserve"> PAGEREF _Toc217241737 \h </w:instrText>
        </w:r>
        <w:r>
          <w:rPr>
            <w:noProof/>
            <w:webHidden/>
          </w:rPr>
        </w:r>
        <w:r>
          <w:rPr>
            <w:noProof/>
            <w:webHidden/>
          </w:rPr>
          <w:fldChar w:fldCharType="separate"/>
        </w:r>
        <w:r>
          <w:rPr>
            <w:noProof/>
            <w:webHidden/>
          </w:rPr>
          <w:t>25</w:t>
        </w:r>
        <w:r>
          <w:rPr>
            <w:noProof/>
            <w:webHidden/>
          </w:rPr>
          <w:fldChar w:fldCharType="end"/>
        </w:r>
      </w:hyperlink>
    </w:p>
    <w:p w14:paraId="2D69D023" w14:textId="156A68C0" w:rsidR="00912235" w:rsidRDefault="00912235">
      <w:pPr>
        <w:pStyle w:val="TOC1"/>
        <w:tabs>
          <w:tab w:val="right" w:leader="dot" w:pos="9350"/>
        </w:tabs>
        <w:rPr>
          <w:rFonts w:asciiTheme="minorHAnsi" w:eastAsiaTheme="minorEastAsia" w:hAnsiTheme="minorHAnsi"/>
          <w:noProof/>
          <w:lang w:val="en-US"/>
        </w:rPr>
      </w:pPr>
      <w:hyperlink w:anchor="_Toc217241738" w:history="1">
        <w:r w:rsidRPr="00440960">
          <w:rPr>
            <w:rStyle w:val="Hyperlink"/>
            <w:noProof/>
            <w:lang w:val="en-US"/>
          </w:rPr>
          <w:t>3. Strategy Development and Formulation for B&amp;Q’s Expansion into Australia</w:t>
        </w:r>
        <w:r>
          <w:rPr>
            <w:noProof/>
            <w:webHidden/>
          </w:rPr>
          <w:tab/>
        </w:r>
        <w:r>
          <w:rPr>
            <w:noProof/>
            <w:webHidden/>
          </w:rPr>
          <w:fldChar w:fldCharType="begin"/>
        </w:r>
        <w:r>
          <w:rPr>
            <w:noProof/>
            <w:webHidden/>
          </w:rPr>
          <w:instrText xml:space="preserve"> PAGEREF _Toc217241738 \h </w:instrText>
        </w:r>
        <w:r>
          <w:rPr>
            <w:noProof/>
            <w:webHidden/>
          </w:rPr>
        </w:r>
        <w:r>
          <w:rPr>
            <w:noProof/>
            <w:webHidden/>
          </w:rPr>
          <w:fldChar w:fldCharType="separate"/>
        </w:r>
        <w:r>
          <w:rPr>
            <w:noProof/>
            <w:webHidden/>
          </w:rPr>
          <w:t>25</w:t>
        </w:r>
        <w:r>
          <w:rPr>
            <w:noProof/>
            <w:webHidden/>
          </w:rPr>
          <w:fldChar w:fldCharType="end"/>
        </w:r>
      </w:hyperlink>
    </w:p>
    <w:p w14:paraId="4F62A315" w14:textId="187B9F3A" w:rsidR="00912235" w:rsidRDefault="00912235">
      <w:pPr>
        <w:pStyle w:val="TOC2"/>
        <w:tabs>
          <w:tab w:val="right" w:leader="dot" w:pos="9350"/>
        </w:tabs>
        <w:rPr>
          <w:rFonts w:asciiTheme="minorHAnsi" w:eastAsiaTheme="minorEastAsia" w:hAnsiTheme="minorHAnsi"/>
          <w:noProof/>
          <w:lang w:val="en-US"/>
        </w:rPr>
      </w:pPr>
      <w:hyperlink w:anchor="_Toc217241739" w:history="1">
        <w:r w:rsidRPr="00440960">
          <w:rPr>
            <w:rStyle w:val="Hyperlink"/>
            <w:noProof/>
            <w:lang w:val="en-US"/>
          </w:rPr>
          <w:t>3.1 Strategic Objectives and Strategic Fit</w:t>
        </w:r>
        <w:r>
          <w:rPr>
            <w:noProof/>
            <w:webHidden/>
          </w:rPr>
          <w:tab/>
        </w:r>
        <w:r>
          <w:rPr>
            <w:noProof/>
            <w:webHidden/>
          </w:rPr>
          <w:fldChar w:fldCharType="begin"/>
        </w:r>
        <w:r>
          <w:rPr>
            <w:noProof/>
            <w:webHidden/>
          </w:rPr>
          <w:instrText xml:space="preserve"> PAGEREF _Toc217241739 \h </w:instrText>
        </w:r>
        <w:r>
          <w:rPr>
            <w:noProof/>
            <w:webHidden/>
          </w:rPr>
        </w:r>
        <w:r>
          <w:rPr>
            <w:noProof/>
            <w:webHidden/>
          </w:rPr>
          <w:fldChar w:fldCharType="separate"/>
        </w:r>
        <w:r>
          <w:rPr>
            <w:noProof/>
            <w:webHidden/>
          </w:rPr>
          <w:t>25</w:t>
        </w:r>
        <w:r>
          <w:rPr>
            <w:noProof/>
            <w:webHidden/>
          </w:rPr>
          <w:fldChar w:fldCharType="end"/>
        </w:r>
      </w:hyperlink>
    </w:p>
    <w:p w14:paraId="16174AB4" w14:textId="4068128B" w:rsidR="00912235" w:rsidRDefault="00912235">
      <w:pPr>
        <w:pStyle w:val="TOC2"/>
        <w:tabs>
          <w:tab w:val="right" w:leader="dot" w:pos="9350"/>
        </w:tabs>
        <w:rPr>
          <w:rFonts w:asciiTheme="minorHAnsi" w:eastAsiaTheme="minorEastAsia" w:hAnsiTheme="minorHAnsi"/>
          <w:noProof/>
          <w:lang w:val="en-US"/>
        </w:rPr>
      </w:pPr>
      <w:hyperlink w:anchor="_Toc217241740" w:history="1">
        <w:r w:rsidRPr="00440960">
          <w:rPr>
            <w:rStyle w:val="Hyperlink"/>
            <w:noProof/>
            <w:lang w:val="en-US"/>
          </w:rPr>
          <w:t>3.2 Entry Mode Strategy: Phased and Hybrid Market Entry</w:t>
        </w:r>
        <w:r>
          <w:rPr>
            <w:noProof/>
            <w:webHidden/>
          </w:rPr>
          <w:tab/>
        </w:r>
        <w:r>
          <w:rPr>
            <w:noProof/>
            <w:webHidden/>
          </w:rPr>
          <w:fldChar w:fldCharType="begin"/>
        </w:r>
        <w:r>
          <w:rPr>
            <w:noProof/>
            <w:webHidden/>
          </w:rPr>
          <w:instrText xml:space="preserve"> PAGEREF _Toc217241740 \h </w:instrText>
        </w:r>
        <w:r>
          <w:rPr>
            <w:noProof/>
            <w:webHidden/>
          </w:rPr>
        </w:r>
        <w:r>
          <w:rPr>
            <w:noProof/>
            <w:webHidden/>
          </w:rPr>
          <w:fldChar w:fldCharType="separate"/>
        </w:r>
        <w:r>
          <w:rPr>
            <w:noProof/>
            <w:webHidden/>
          </w:rPr>
          <w:t>26</w:t>
        </w:r>
        <w:r>
          <w:rPr>
            <w:noProof/>
            <w:webHidden/>
          </w:rPr>
          <w:fldChar w:fldCharType="end"/>
        </w:r>
      </w:hyperlink>
    </w:p>
    <w:p w14:paraId="1699885A" w14:textId="4CB0FB53" w:rsidR="00912235" w:rsidRDefault="00912235">
      <w:pPr>
        <w:pStyle w:val="TOC2"/>
        <w:tabs>
          <w:tab w:val="right" w:leader="dot" w:pos="9350"/>
        </w:tabs>
        <w:rPr>
          <w:rFonts w:asciiTheme="minorHAnsi" w:eastAsiaTheme="minorEastAsia" w:hAnsiTheme="minorHAnsi"/>
          <w:noProof/>
          <w:lang w:val="en-US"/>
        </w:rPr>
      </w:pPr>
      <w:hyperlink w:anchor="_Toc217241741" w:history="1">
        <w:r w:rsidRPr="00440960">
          <w:rPr>
            <w:rStyle w:val="Hyperlink"/>
            <w:noProof/>
            <w:lang w:val="en-US"/>
          </w:rPr>
          <w:t>3.3 Competitive Positioning and Generic Strategy</w:t>
        </w:r>
        <w:r>
          <w:rPr>
            <w:noProof/>
            <w:webHidden/>
          </w:rPr>
          <w:tab/>
        </w:r>
        <w:r>
          <w:rPr>
            <w:noProof/>
            <w:webHidden/>
          </w:rPr>
          <w:fldChar w:fldCharType="begin"/>
        </w:r>
        <w:r>
          <w:rPr>
            <w:noProof/>
            <w:webHidden/>
          </w:rPr>
          <w:instrText xml:space="preserve"> PAGEREF _Toc217241741 \h </w:instrText>
        </w:r>
        <w:r>
          <w:rPr>
            <w:noProof/>
            <w:webHidden/>
          </w:rPr>
        </w:r>
        <w:r>
          <w:rPr>
            <w:noProof/>
            <w:webHidden/>
          </w:rPr>
          <w:fldChar w:fldCharType="separate"/>
        </w:r>
        <w:r>
          <w:rPr>
            <w:noProof/>
            <w:webHidden/>
          </w:rPr>
          <w:t>28</w:t>
        </w:r>
        <w:r>
          <w:rPr>
            <w:noProof/>
            <w:webHidden/>
          </w:rPr>
          <w:fldChar w:fldCharType="end"/>
        </w:r>
      </w:hyperlink>
    </w:p>
    <w:p w14:paraId="1B109793" w14:textId="5BAFE099" w:rsidR="00912235" w:rsidRDefault="00912235">
      <w:pPr>
        <w:pStyle w:val="TOC2"/>
        <w:tabs>
          <w:tab w:val="right" w:leader="dot" w:pos="9350"/>
        </w:tabs>
        <w:rPr>
          <w:rFonts w:asciiTheme="minorHAnsi" w:eastAsiaTheme="minorEastAsia" w:hAnsiTheme="minorHAnsi"/>
          <w:noProof/>
          <w:lang w:val="en-US"/>
        </w:rPr>
      </w:pPr>
      <w:hyperlink w:anchor="_Toc217241742" w:history="1">
        <w:r w:rsidRPr="00440960">
          <w:rPr>
            <w:rStyle w:val="Hyperlink"/>
            <w:noProof/>
            <w:lang w:val="en-US"/>
          </w:rPr>
          <w:t>3.4 Resource-Based View and Capability Leveraging</w:t>
        </w:r>
        <w:r>
          <w:rPr>
            <w:noProof/>
            <w:webHidden/>
          </w:rPr>
          <w:tab/>
        </w:r>
        <w:r>
          <w:rPr>
            <w:noProof/>
            <w:webHidden/>
          </w:rPr>
          <w:fldChar w:fldCharType="begin"/>
        </w:r>
        <w:r>
          <w:rPr>
            <w:noProof/>
            <w:webHidden/>
          </w:rPr>
          <w:instrText xml:space="preserve"> PAGEREF _Toc217241742 \h </w:instrText>
        </w:r>
        <w:r>
          <w:rPr>
            <w:noProof/>
            <w:webHidden/>
          </w:rPr>
        </w:r>
        <w:r>
          <w:rPr>
            <w:noProof/>
            <w:webHidden/>
          </w:rPr>
          <w:fldChar w:fldCharType="separate"/>
        </w:r>
        <w:r>
          <w:rPr>
            <w:noProof/>
            <w:webHidden/>
          </w:rPr>
          <w:t>29</w:t>
        </w:r>
        <w:r>
          <w:rPr>
            <w:noProof/>
            <w:webHidden/>
          </w:rPr>
          <w:fldChar w:fldCharType="end"/>
        </w:r>
      </w:hyperlink>
    </w:p>
    <w:p w14:paraId="6693A2B0" w14:textId="3BBB704E" w:rsidR="00912235" w:rsidRDefault="00912235">
      <w:pPr>
        <w:pStyle w:val="TOC2"/>
        <w:tabs>
          <w:tab w:val="right" w:leader="dot" w:pos="9350"/>
        </w:tabs>
        <w:rPr>
          <w:rFonts w:asciiTheme="minorHAnsi" w:eastAsiaTheme="minorEastAsia" w:hAnsiTheme="minorHAnsi"/>
          <w:noProof/>
          <w:lang w:val="en-US"/>
        </w:rPr>
      </w:pPr>
      <w:hyperlink w:anchor="_Toc217241743" w:history="1">
        <w:r w:rsidRPr="00440960">
          <w:rPr>
            <w:rStyle w:val="Hyperlink"/>
            <w:noProof/>
            <w:lang w:val="en-US"/>
          </w:rPr>
          <w:t>3.5 Strategic Marketing and Value Proposition Development</w:t>
        </w:r>
        <w:r>
          <w:rPr>
            <w:noProof/>
            <w:webHidden/>
          </w:rPr>
          <w:tab/>
        </w:r>
        <w:r>
          <w:rPr>
            <w:noProof/>
            <w:webHidden/>
          </w:rPr>
          <w:fldChar w:fldCharType="begin"/>
        </w:r>
        <w:r>
          <w:rPr>
            <w:noProof/>
            <w:webHidden/>
          </w:rPr>
          <w:instrText xml:space="preserve"> PAGEREF _Toc217241743 \h </w:instrText>
        </w:r>
        <w:r>
          <w:rPr>
            <w:noProof/>
            <w:webHidden/>
          </w:rPr>
        </w:r>
        <w:r>
          <w:rPr>
            <w:noProof/>
            <w:webHidden/>
          </w:rPr>
          <w:fldChar w:fldCharType="separate"/>
        </w:r>
        <w:r>
          <w:rPr>
            <w:noProof/>
            <w:webHidden/>
          </w:rPr>
          <w:t>30</w:t>
        </w:r>
        <w:r>
          <w:rPr>
            <w:noProof/>
            <w:webHidden/>
          </w:rPr>
          <w:fldChar w:fldCharType="end"/>
        </w:r>
      </w:hyperlink>
    </w:p>
    <w:p w14:paraId="48D5344C" w14:textId="6D43B9D0" w:rsidR="00912235" w:rsidRDefault="00912235">
      <w:pPr>
        <w:pStyle w:val="TOC2"/>
        <w:tabs>
          <w:tab w:val="right" w:leader="dot" w:pos="9350"/>
        </w:tabs>
        <w:rPr>
          <w:rFonts w:asciiTheme="minorHAnsi" w:eastAsiaTheme="minorEastAsia" w:hAnsiTheme="minorHAnsi"/>
          <w:noProof/>
          <w:lang w:val="en-US"/>
        </w:rPr>
      </w:pPr>
      <w:hyperlink w:anchor="_Toc217241744" w:history="1">
        <w:r w:rsidRPr="00440960">
          <w:rPr>
            <w:rStyle w:val="Hyperlink"/>
            <w:noProof/>
            <w:lang w:val="en-US"/>
          </w:rPr>
          <w:t>3.6 Sustainability and Risk Mitigation Strategy</w:t>
        </w:r>
        <w:r>
          <w:rPr>
            <w:noProof/>
            <w:webHidden/>
          </w:rPr>
          <w:tab/>
        </w:r>
        <w:r>
          <w:rPr>
            <w:noProof/>
            <w:webHidden/>
          </w:rPr>
          <w:fldChar w:fldCharType="begin"/>
        </w:r>
        <w:r>
          <w:rPr>
            <w:noProof/>
            <w:webHidden/>
          </w:rPr>
          <w:instrText xml:space="preserve"> PAGEREF _Toc217241744 \h </w:instrText>
        </w:r>
        <w:r>
          <w:rPr>
            <w:noProof/>
            <w:webHidden/>
          </w:rPr>
        </w:r>
        <w:r>
          <w:rPr>
            <w:noProof/>
            <w:webHidden/>
          </w:rPr>
          <w:fldChar w:fldCharType="separate"/>
        </w:r>
        <w:r>
          <w:rPr>
            <w:noProof/>
            <w:webHidden/>
          </w:rPr>
          <w:t>31</w:t>
        </w:r>
        <w:r>
          <w:rPr>
            <w:noProof/>
            <w:webHidden/>
          </w:rPr>
          <w:fldChar w:fldCharType="end"/>
        </w:r>
      </w:hyperlink>
    </w:p>
    <w:p w14:paraId="364412D7" w14:textId="57EEE13E" w:rsidR="00912235" w:rsidRDefault="00912235">
      <w:pPr>
        <w:pStyle w:val="TOC2"/>
        <w:tabs>
          <w:tab w:val="right" w:leader="dot" w:pos="9350"/>
        </w:tabs>
        <w:rPr>
          <w:rFonts w:asciiTheme="minorHAnsi" w:eastAsiaTheme="minorEastAsia" w:hAnsiTheme="minorHAnsi"/>
          <w:noProof/>
          <w:lang w:val="en-US"/>
        </w:rPr>
      </w:pPr>
      <w:hyperlink w:anchor="_Toc217241745" w:history="1">
        <w:r w:rsidRPr="00440960">
          <w:rPr>
            <w:rStyle w:val="Hyperlink"/>
            <w:noProof/>
            <w:lang w:val="en-US"/>
          </w:rPr>
          <w:t>3.7 Strategic Coherence and Summary</w:t>
        </w:r>
        <w:r>
          <w:rPr>
            <w:noProof/>
            <w:webHidden/>
          </w:rPr>
          <w:tab/>
        </w:r>
        <w:r>
          <w:rPr>
            <w:noProof/>
            <w:webHidden/>
          </w:rPr>
          <w:fldChar w:fldCharType="begin"/>
        </w:r>
        <w:r>
          <w:rPr>
            <w:noProof/>
            <w:webHidden/>
          </w:rPr>
          <w:instrText xml:space="preserve"> PAGEREF _Toc217241745 \h </w:instrText>
        </w:r>
        <w:r>
          <w:rPr>
            <w:noProof/>
            <w:webHidden/>
          </w:rPr>
        </w:r>
        <w:r>
          <w:rPr>
            <w:noProof/>
            <w:webHidden/>
          </w:rPr>
          <w:fldChar w:fldCharType="separate"/>
        </w:r>
        <w:r>
          <w:rPr>
            <w:noProof/>
            <w:webHidden/>
          </w:rPr>
          <w:t>32</w:t>
        </w:r>
        <w:r>
          <w:rPr>
            <w:noProof/>
            <w:webHidden/>
          </w:rPr>
          <w:fldChar w:fldCharType="end"/>
        </w:r>
      </w:hyperlink>
    </w:p>
    <w:p w14:paraId="6C9383AA" w14:textId="05372FC6" w:rsidR="00912235" w:rsidRDefault="00912235">
      <w:pPr>
        <w:pStyle w:val="TOC1"/>
        <w:tabs>
          <w:tab w:val="right" w:leader="dot" w:pos="9350"/>
        </w:tabs>
        <w:rPr>
          <w:rFonts w:asciiTheme="minorHAnsi" w:eastAsiaTheme="minorEastAsia" w:hAnsiTheme="minorHAnsi"/>
          <w:noProof/>
          <w:lang w:val="en-US"/>
        </w:rPr>
      </w:pPr>
      <w:hyperlink w:anchor="_Toc217241746" w:history="1">
        <w:r w:rsidRPr="00440960">
          <w:rPr>
            <w:rStyle w:val="Hyperlink"/>
            <w:noProof/>
            <w:lang w:val="en-US"/>
          </w:rPr>
          <w:t>4. Performance Evaluation Framework for B&amp;Q’s Expansion into Australia</w:t>
        </w:r>
        <w:r>
          <w:rPr>
            <w:noProof/>
            <w:webHidden/>
          </w:rPr>
          <w:tab/>
        </w:r>
        <w:r>
          <w:rPr>
            <w:noProof/>
            <w:webHidden/>
          </w:rPr>
          <w:fldChar w:fldCharType="begin"/>
        </w:r>
        <w:r>
          <w:rPr>
            <w:noProof/>
            <w:webHidden/>
          </w:rPr>
          <w:instrText xml:space="preserve"> PAGEREF _Toc217241746 \h </w:instrText>
        </w:r>
        <w:r>
          <w:rPr>
            <w:noProof/>
            <w:webHidden/>
          </w:rPr>
        </w:r>
        <w:r>
          <w:rPr>
            <w:noProof/>
            <w:webHidden/>
          </w:rPr>
          <w:fldChar w:fldCharType="separate"/>
        </w:r>
        <w:r>
          <w:rPr>
            <w:noProof/>
            <w:webHidden/>
          </w:rPr>
          <w:t>33</w:t>
        </w:r>
        <w:r>
          <w:rPr>
            <w:noProof/>
            <w:webHidden/>
          </w:rPr>
          <w:fldChar w:fldCharType="end"/>
        </w:r>
      </w:hyperlink>
    </w:p>
    <w:p w14:paraId="722F0E7C" w14:textId="2BD57A9C" w:rsidR="00912235" w:rsidRDefault="00912235">
      <w:pPr>
        <w:pStyle w:val="TOC2"/>
        <w:tabs>
          <w:tab w:val="right" w:leader="dot" w:pos="9350"/>
        </w:tabs>
        <w:rPr>
          <w:rFonts w:asciiTheme="minorHAnsi" w:eastAsiaTheme="minorEastAsia" w:hAnsiTheme="minorHAnsi"/>
          <w:noProof/>
          <w:lang w:val="en-US"/>
        </w:rPr>
      </w:pPr>
      <w:hyperlink w:anchor="_Toc217241747" w:history="1">
        <w:r w:rsidRPr="00440960">
          <w:rPr>
            <w:rStyle w:val="Hyperlink"/>
            <w:noProof/>
            <w:lang w:val="en-US"/>
          </w:rPr>
          <w:t>4.1 Purpose and Design Principles</w:t>
        </w:r>
        <w:r>
          <w:rPr>
            <w:noProof/>
            <w:webHidden/>
          </w:rPr>
          <w:tab/>
        </w:r>
        <w:r>
          <w:rPr>
            <w:noProof/>
            <w:webHidden/>
          </w:rPr>
          <w:fldChar w:fldCharType="begin"/>
        </w:r>
        <w:r>
          <w:rPr>
            <w:noProof/>
            <w:webHidden/>
          </w:rPr>
          <w:instrText xml:space="preserve"> PAGEREF _Toc217241747 \h </w:instrText>
        </w:r>
        <w:r>
          <w:rPr>
            <w:noProof/>
            <w:webHidden/>
          </w:rPr>
        </w:r>
        <w:r>
          <w:rPr>
            <w:noProof/>
            <w:webHidden/>
          </w:rPr>
          <w:fldChar w:fldCharType="separate"/>
        </w:r>
        <w:r>
          <w:rPr>
            <w:noProof/>
            <w:webHidden/>
          </w:rPr>
          <w:t>33</w:t>
        </w:r>
        <w:r>
          <w:rPr>
            <w:noProof/>
            <w:webHidden/>
          </w:rPr>
          <w:fldChar w:fldCharType="end"/>
        </w:r>
      </w:hyperlink>
    </w:p>
    <w:p w14:paraId="124BA376" w14:textId="62C6C882" w:rsidR="00912235" w:rsidRDefault="00912235">
      <w:pPr>
        <w:pStyle w:val="TOC2"/>
        <w:tabs>
          <w:tab w:val="right" w:leader="dot" w:pos="9350"/>
        </w:tabs>
        <w:rPr>
          <w:rFonts w:asciiTheme="minorHAnsi" w:eastAsiaTheme="minorEastAsia" w:hAnsiTheme="minorHAnsi"/>
          <w:noProof/>
          <w:lang w:val="en-US"/>
        </w:rPr>
      </w:pPr>
      <w:hyperlink w:anchor="_Toc217241748" w:history="1">
        <w:r w:rsidRPr="00440960">
          <w:rPr>
            <w:rStyle w:val="Hyperlink"/>
            <w:noProof/>
            <w:lang w:val="en-US"/>
          </w:rPr>
          <w:t>4.2 Strategic Outcomes and Measurement Logic</w:t>
        </w:r>
        <w:r>
          <w:rPr>
            <w:noProof/>
            <w:webHidden/>
          </w:rPr>
          <w:tab/>
        </w:r>
        <w:r>
          <w:rPr>
            <w:noProof/>
            <w:webHidden/>
          </w:rPr>
          <w:fldChar w:fldCharType="begin"/>
        </w:r>
        <w:r>
          <w:rPr>
            <w:noProof/>
            <w:webHidden/>
          </w:rPr>
          <w:instrText xml:space="preserve"> PAGEREF _Toc217241748 \h </w:instrText>
        </w:r>
        <w:r>
          <w:rPr>
            <w:noProof/>
            <w:webHidden/>
          </w:rPr>
        </w:r>
        <w:r>
          <w:rPr>
            <w:noProof/>
            <w:webHidden/>
          </w:rPr>
          <w:fldChar w:fldCharType="separate"/>
        </w:r>
        <w:r>
          <w:rPr>
            <w:noProof/>
            <w:webHidden/>
          </w:rPr>
          <w:t>34</w:t>
        </w:r>
        <w:r>
          <w:rPr>
            <w:noProof/>
            <w:webHidden/>
          </w:rPr>
          <w:fldChar w:fldCharType="end"/>
        </w:r>
      </w:hyperlink>
    </w:p>
    <w:p w14:paraId="7ACA9572" w14:textId="4B215B99" w:rsidR="00912235" w:rsidRDefault="00912235">
      <w:pPr>
        <w:pStyle w:val="TOC2"/>
        <w:tabs>
          <w:tab w:val="right" w:leader="dot" w:pos="9350"/>
        </w:tabs>
        <w:rPr>
          <w:rFonts w:asciiTheme="minorHAnsi" w:eastAsiaTheme="minorEastAsia" w:hAnsiTheme="minorHAnsi"/>
          <w:noProof/>
          <w:lang w:val="en-US"/>
        </w:rPr>
      </w:pPr>
      <w:hyperlink w:anchor="_Toc217241749" w:history="1">
        <w:r w:rsidRPr="00440960">
          <w:rPr>
            <w:rStyle w:val="Hyperlink"/>
            <w:noProof/>
            <w:lang w:val="en-US"/>
          </w:rPr>
          <w:t>4.3 Balanced Scorecard KPIs (with TBL embedded)</w:t>
        </w:r>
        <w:r>
          <w:rPr>
            <w:noProof/>
            <w:webHidden/>
          </w:rPr>
          <w:tab/>
        </w:r>
        <w:r>
          <w:rPr>
            <w:noProof/>
            <w:webHidden/>
          </w:rPr>
          <w:fldChar w:fldCharType="begin"/>
        </w:r>
        <w:r>
          <w:rPr>
            <w:noProof/>
            <w:webHidden/>
          </w:rPr>
          <w:instrText xml:space="preserve"> PAGEREF _Toc217241749 \h </w:instrText>
        </w:r>
        <w:r>
          <w:rPr>
            <w:noProof/>
            <w:webHidden/>
          </w:rPr>
        </w:r>
        <w:r>
          <w:rPr>
            <w:noProof/>
            <w:webHidden/>
          </w:rPr>
          <w:fldChar w:fldCharType="separate"/>
        </w:r>
        <w:r>
          <w:rPr>
            <w:noProof/>
            <w:webHidden/>
          </w:rPr>
          <w:t>35</w:t>
        </w:r>
        <w:r>
          <w:rPr>
            <w:noProof/>
            <w:webHidden/>
          </w:rPr>
          <w:fldChar w:fldCharType="end"/>
        </w:r>
      </w:hyperlink>
    </w:p>
    <w:p w14:paraId="48D41D5E" w14:textId="46FA9672" w:rsidR="00912235" w:rsidRDefault="00912235">
      <w:pPr>
        <w:pStyle w:val="TOC3"/>
        <w:tabs>
          <w:tab w:val="right" w:leader="dot" w:pos="9350"/>
        </w:tabs>
        <w:rPr>
          <w:rFonts w:asciiTheme="minorHAnsi" w:eastAsiaTheme="minorEastAsia" w:hAnsiTheme="minorHAnsi"/>
          <w:noProof/>
          <w:lang w:val="en-US"/>
        </w:rPr>
      </w:pPr>
      <w:hyperlink w:anchor="_Toc217241750" w:history="1">
        <w:r w:rsidRPr="00440960">
          <w:rPr>
            <w:rStyle w:val="Hyperlink"/>
            <w:noProof/>
            <w:lang w:val="en-US"/>
          </w:rPr>
          <w:t>4.3.1 Financial Perspective</w:t>
        </w:r>
        <w:r>
          <w:rPr>
            <w:noProof/>
            <w:webHidden/>
          </w:rPr>
          <w:tab/>
        </w:r>
        <w:r>
          <w:rPr>
            <w:noProof/>
            <w:webHidden/>
          </w:rPr>
          <w:fldChar w:fldCharType="begin"/>
        </w:r>
        <w:r>
          <w:rPr>
            <w:noProof/>
            <w:webHidden/>
          </w:rPr>
          <w:instrText xml:space="preserve"> PAGEREF _Toc217241750 \h </w:instrText>
        </w:r>
        <w:r>
          <w:rPr>
            <w:noProof/>
            <w:webHidden/>
          </w:rPr>
        </w:r>
        <w:r>
          <w:rPr>
            <w:noProof/>
            <w:webHidden/>
          </w:rPr>
          <w:fldChar w:fldCharType="separate"/>
        </w:r>
        <w:r>
          <w:rPr>
            <w:noProof/>
            <w:webHidden/>
          </w:rPr>
          <w:t>35</w:t>
        </w:r>
        <w:r>
          <w:rPr>
            <w:noProof/>
            <w:webHidden/>
          </w:rPr>
          <w:fldChar w:fldCharType="end"/>
        </w:r>
      </w:hyperlink>
    </w:p>
    <w:p w14:paraId="0C7768CE" w14:textId="0947C6CF" w:rsidR="00912235" w:rsidRDefault="00912235">
      <w:pPr>
        <w:pStyle w:val="TOC3"/>
        <w:tabs>
          <w:tab w:val="right" w:leader="dot" w:pos="9350"/>
        </w:tabs>
        <w:rPr>
          <w:rFonts w:asciiTheme="minorHAnsi" w:eastAsiaTheme="minorEastAsia" w:hAnsiTheme="minorHAnsi"/>
          <w:noProof/>
          <w:lang w:val="en-US"/>
        </w:rPr>
      </w:pPr>
      <w:hyperlink w:anchor="_Toc217241751" w:history="1">
        <w:r w:rsidRPr="00440960">
          <w:rPr>
            <w:rStyle w:val="Hyperlink"/>
            <w:noProof/>
            <w:lang w:val="en-US"/>
          </w:rPr>
          <w:t>4.3.2 Customer Perspective</w:t>
        </w:r>
        <w:r>
          <w:rPr>
            <w:noProof/>
            <w:webHidden/>
          </w:rPr>
          <w:tab/>
        </w:r>
        <w:r>
          <w:rPr>
            <w:noProof/>
            <w:webHidden/>
          </w:rPr>
          <w:fldChar w:fldCharType="begin"/>
        </w:r>
        <w:r>
          <w:rPr>
            <w:noProof/>
            <w:webHidden/>
          </w:rPr>
          <w:instrText xml:space="preserve"> PAGEREF _Toc217241751 \h </w:instrText>
        </w:r>
        <w:r>
          <w:rPr>
            <w:noProof/>
            <w:webHidden/>
          </w:rPr>
        </w:r>
        <w:r>
          <w:rPr>
            <w:noProof/>
            <w:webHidden/>
          </w:rPr>
          <w:fldChar w:fldCharType="separate"/>
        </w:r>
        <w:r>
          <w:rPr>
            <w:noProof/>
            <w:webHidden/>
          </w:rPr>
          <w:t>36</w:t>
        </w:r>
        <w:r>
          <w:rPr>
            <w:noProof/>
            <w:webHidden/>
          </w:rPr>
          <w:fldChar w:fldCharType="end"/>
        </w:r>
      </w:hyperlink>
    </w:p>
    <w:p w14:paraId="5BFC6F84" w14:textId="79D53603" w:rsidR="00912235" w:rsidRDefault="00912235">
      <w:pPr>
        <w:pStyle w:val="TOC3"/>
        <w:tabs>
          <w:tab w:val="right" w:leader="dot" w:pos="9350"/>
        </w:tabs>
        <w:rPr>
          <w:rFonts w:asciiTheme="minorHAnsi" w:eastAsiaTheme="minorEastAsia" w:hAnsiTheme="minorHAnsi"/>
          <w:noProof/>
          <w:lang w:val="en-US"/>
        </w:rPr>
      </w:pPr>
      <w:hyperlink w:anchor="_Toc217241752" w:history="1">
        <w:r w:rsidRPr="00440960">
          <w:rPr>
            <w:rStyle w:val="Hyperlink"/>
            <w:noProof/>
            <w:lang w:val="en-US"/>
          </w:rPr>
          <w:t>4.3.3 Internal Process Perspective</w:t>
        </w:r>
        <w:r>
          <w:rPr>
            <w:noProof/>
            <w:webHidden/>
          </w:rPr>
          <w:tab/>
        </w:r>
        <w:r>
          <w:rPr>
            <w:noProof/>
            <w:webHidden/>
          </w:rPr>
          <w:fldChar w:fldCharType="begin"/>
        </w:r>
        <w:r>
          <w:rPr>
            <w:noProof/>
            <w:webHidden/>
          </w:rPr>
          <w:instrText xml:space="preserve"> PAGEREF _Toc217241752 \h </w:instrText>
        </w:r>
        <w:r>
          <w:rPr>
            <w:noProof/>
            <w:webHidden/>
          </w:rPr>
        </w:r>
        <w:r>
          <w:rPr>
            <w:noProof/>
            <w:webHidden/>
          </w:rPr>
          <w:fldChar w:fldCharType="separate"/>
        </w:r>
        <w:r>
          <w:rPr>
            <w:noProof/>
            <w:webHidden/>
          </w:rPr>
          <w:t>36</w:t>
        </w:r>
        <w:r>
          <w:rPr>
            <w:noProof/>
            <w:webHidden/>
          </w:rPr>
          <w:fldChar w:fldCharType="end"/>
        </w:r>
      </w:hyperlink>
    </w:p>
    <w:p w14:paraId="7E4EFC22" w14:textId="4B072856" w:rsidR="00912235" w:rsidRDefault="00912235">
      <w:pPr>
        <w:pStyle w:val="TOC3"/>
        <w:tabs>
          <w:tab w:val="right" w:leader="dot" w:pos="9350"/>
        </w:tabs>
        <w:rPr>
          <w:rFonts w:asciiTheme="minorHAnsi" w:eastAsiaTheme="minorEastAsia" w:hAnsiTheme="minorHAnsi"/>
          <w:noProof/>
          <w:lang w:val="en-US"/>
        </w:rPr>
      </w:pPr>
      <w:hyperlink w:anchor="_Toc217241753" w:history="1">
        <w:r w:rsidRPr="00440960">
          <w:rPr>
            <w:rStyle w:val="Hyperlink"/>
            <w:noProof/>
            <w:lang w:val="en-US"/>
          </w:rPr>
          <w:t>4.3.4 Learning and Growth Perspective</w:t>
        </w:r>
        <w:r>
          <w:rPr>
            <w:noProof/>
            <w:webHidden/>
          </w:rPr>
          <w:tab/>
        </w:r>
        <w:r>
          <w:rPr>
            <w:noProof/>
            <w:webHidden/>
          </w:rPr>
          <w:fldChar w:fldCharType="begin"/>
        </w:r>
        <w:r>
          <w:rPr>
            <w:noProof/>
            <w:webHidden/>
          </w:rPr>
          <w:instrText xml:space="preserve"> PAGEREF _Toc217241753 \h </w:instrText>
        </w:r>
        <w:r>
          <w:rPr>
            <w:noProof/>
            <w:webHidden/>
          </w:rPr>
        </w:r>
        <w:r>
          <w:rPr>
            <w:noProof/>
            <w:webHidden/>
          </w:rPr>
          <w:fldChar w:fldCharType="separate"/>
        </w:r>
        <w:r>
          <w:rPr>
            <w:noProof/>
            <w:webHidden/>
          </w:rPr>
          <w:t>37</w:t>
        </w:r>
        <w:r>
          <w:rPr>
            <w:noProof/>
            <w:webHidden/>
          </w:rPr>
          <w:fldChar w:fldCharType="end"/>
        </w:r>
      </w:hyperlink>
    </w:p>
    <w:p w14:paraId="372B94BF" w14:textId="4DB532C7" w:rsidR="00912235" w:rsidRDefault="00912235">
      <w:pPr>
        <w:pStyle w:val="TOC2"/>
        <w:tabs>
          <w:tab w:val="right" w:leader="dot" w:pos="9350"/>
        </w:tabs>
        <w:rPr>
          <w:rFonts w:asciiTheme="minorHAnsi" w:eastAsiaTheme="minorEastAsia" w:hAnsiTheme="minorHAnsi"/>
          <w:noProof/>
          <w:lang w:val="en-US"/>
        </w:rPr>
      </w:pPr>
      <w:hyperlink w:anchor="_Toc217241754" w:history="1">
        <w:r w:rsidRPr="00440960">
          <w:rPr>
            <w:rStyle w:val="Hyperlink"/>
            <w:noProof/>
            <w:lang w:val="en-US"/>
          </w:rPr>
          <w:t>4.4 Triple Bottom Line KPIs Embedded into the Scorecard</w:t>
        </w:r>
        <w:r>
          <w:rPr>
            <w:noProof/>
            <w:webHidden/>
          </w:rPr>
          <w:tab/>
        </w:r>
        <w:r>
          <w:rPr>
            <w:noProof/>
            <w:webHidden/>
          </w:rPr>
          <w:fldChar w:fldCharType="begin"/>
        </w:r>
        <w:r>
          <w:rPr>
            <w:noProof/>
            <w:webHidden/>
          </w:rPr>
          <w:instrText xml:space="preserve"> PAGEREF _Toc217241754 \h </w:instrText>
        </w:r>
        <w:r>
          <w:rPr>
            <w:noProof/>
            <w:webHidden/>
          </w:rPr>
        </w:r>
        <w:r>
          <w:rPr>
            <w:noProof/>
            <w:webHidden/>
          </w:rPr>
          <w:fldChar w:fldCharType="separate"/>
        </w:r>
        <w:r>
          <w:rPr>
            <w:noProof/>
            <w:webHidden/>
          </w:rPr>
          <w:t>38</w:t>
        </w:r>
        <w:r>
          <w:rPr>
            <w:noProof/>
            <w:webHidden/>
          </w:rPr>
          <w:fldChar w:fldCharType="end"/>
        </w:r>
      </w:hyperlink>
    </w:p>
    <w:p w14:paraId="1DF6288C" w14:textId="64827C74" w:rsidR="00912235" w:rsidRDefault="00912235">
      <w:pPr>
        <w:pStyle w:val="TOC3"/>
        <w:tabs>
          <w:tab w:val="right" w:leader="dot" w:pos="9350"/>
        </w:tabs>
        <w:rPr>
          <w:rFonts w:asciiTheme="minorHAnsi" w:eastAsiaTheme="minorEastAsia" w:hAnsiTheme="minorHAnsi"/>
          <w:noProof/>
          <w:lang w:val="en-US"/>
        </w:rPr>
      </w:pPr>
      <w:hyperlink w:anchor="_Toc217241755" w:history="1">
        <w:r w:rsidRPr="00440960">
          <w:rPr>
            <w:rStyle w:val="Hyperlink"/>
            <w:noProof/>
            <w:lang w:val="en-US"/>
          </w:rPr>
          <w:t>4.4.1 Environmental Metrics</w:t>
        </w:r>
        <w:r>
          <w:rPr>
            <w:noProof/>
            <w:webHidden/>
          </w:rPr>
          <w:tab/>
        </w:r>
        <w:r>
          <w:rPr>
            <w:noProof/>
            <w:webHidden/>
          </w:rPr>
          <w:fldChar w:fldCharType="begin"/>
        </w:r>
        <w:r>
          <w:rPr>
            <w:noProof/>
            <w:webHidden/>
          </w:rPr>
          <w:instrText xml:space="preserve"> PAGEREF _Toc217241755 \h </w:instrText>
        </w:r>
        <w:r>
          <w:rPr>
            <w:noProof/>
            <w:webHidden/>
          </w:rPr>
        </w:r>
        <w:r>
          <w:rPr>
            <w:noProof/>
            <w:webHidden/>
          </w:rPr>
          <w:fldChar w:fldCharType="separate"/>
        </w:r>
        <w:r>
          <w:rPr>
            <w:noProof/>
            <w:webHidden/>
          </w:rPr>
          <w:t>38</w:t>
        </w:r>
        <w:r>
          <w:rPr>
            <w:noProof/>
            <w:webHidden/>
          </w:rPr>
          <w:fldChar w:fldCharType="end"/>
        </w:r>
      </w:hyperlink>
    </w:p>
    <w:p w14:paraId="077E4F71" w14:textId="3B757A3A" w:rsidR="00912235" w:rsidRDefault="00912235">
      <w:pPr>
        <w:pStyle w:val="TOC3"/>
        <w:tabs>
          <w:tab w:val="right" w:leader="dot" w:pos="9350"/>
        </w:tabs>
        <w:rPr>
          <w:rFonts w:asciiTheme="minorHAnsi" w:eastAsiaTheme="minorEastAsia" w:hAnsiTheme="minorHAnsi"/>
          <w:noProof/>
          <w:lang w:val="en-US"/>
        </w:rPr>
      </w:pPr>
      <w:hyperlink w:anchor="_Toc217241756" w:history="1">
        <w:r w:rsidRPr="00440960">
          <w:rPr>
            <w:rStyle w:val="Hyperlink"/>
            <w:noProof/>
            <w:lang w:val="en-US"/>
          </w:rPr>
          <w:t>4.4.2 Social and Governance Metrics</w:t>
        </w:r>
        <w:r>
          <w:rPr>
            <w:noProof/>
            <w:webHidden/>
          </w:rPr>
          <w:tab/>
        </w:r>
        <w:r>
          <w:rPr>
            <w:noProof/>
            <w:webHidden/>
          </w:rPr>
          <w:fldChar w:fldCharType="begin"/>
        </w:r>
        <w:r>
          <w:rPr>
            <w:noProof/>
            <w:webHidden/>
          </w:rPr>
          <w:instrText xml:space="preserve"> PAGEREF _Toc217241756 \h </w:instrText>
        </w:r>
        <w:r>
          <w:rPr>
            <w:noProof/>
            <w:webHidden/>
          </w:rPr>
        </w:r>
        <w:r>
          <w:rPr>
            <w:noProof/>
            <w:webHidden/>
          </w:rPr>
          <w:fldChar w:fldCharType="separate"/>
        </w:r>
        <w:r>
          <w:rPr>
            <w:noProof/>
            <w:webHidden/>
          </w:rPr>
          <w:t>38</w:t>
        </w:r>
        <w:r>
          <w:rPr>
            <w:noProof/>
            <w:webHidden/>
          </w:rPr>
          <w:fldChar w:fldCharType="end"/>
        </w:r>
      </w:hyperlink>
    </w:p>
    <w:p w14:paraId="13BA4798" w14:textId="159C9F02" w:rsidR="00912235" w:rsidRDefault="00912235">
      <w:pPr>
        <w:pStyle w:val="TOC2"/>
        <w:tabs>
          <w:tab w:val="right" w:leader="dot" w:pos="9350"/>
        </w:tabs>
        <w:rPr>
          <w:rFonts w:asciiTheme="minorHAnsi" w:eastAsiaTheme="minorEastAsia" w:hAnsiTheme="minorHAnsi"/>
          <w:noProof/>
          <w:lang w:val="en-US"/>
        </w:rPr>
      </w:pPr>
      <w:hyperlink w:anchor="_Toc217241757" w:history="1">
        <w:r w:rsidRPr="00440960">
          <w:rPr>
            <w:rStyle w:val="Hyperlink"/>
            <w:noProof/>
            <w:lang w:val="en-US"/>
          </w:rPr>
          <w:t>4.5 Using the Framework to Assess Progress</w:t>
        </w:r>
        <w:r>
          <w:rPr>
            <w:noProof/>
            <w:webHidden/>
          </w:rPr>
          <w:tab/>
        </w:r>
        <w:r>
          <w:rPr>
            <w:noProof/>
            <w:webHidden/>
          </w:rPr>
          <w:fldChar w:fldCharType="begin"/>
        </w:r>
        <w:r>
          <w:rPr>
            <w:noProof/>
            <w:webHidden/>
          </w:rPr>
          <w:instrText xml:space="preserve"> PAGEREF _Toc217241757 \h </w:instrText>
        </w:r>
        <w:r>
          <w:rPr>
            <w:noProof/>
            <w:webHidden/>
          </w:rPr>
        </w:r>
        <w:r>
          <w:rPr>
            <w:noProof/>
            <w:webHidden/>
          </w:rPr>
          <w:fldChar w:fldCharType="separate"/>
        </w:r>
        <w:r>
          <w:rPr>
            <w:noProof/>
            <w:webHidden/>
          </w:rPr>
          <w:t>38</w:t>
        </w:r>
        <w:r>
          <w:rPr>
            <w:noProof/>
            <w:webHidden/>
          </w:rPr>
          <w:fldChar w:fldCharType="end"/>
        </w:r>
      </w:hyperlink>
    </w:p>
    <w:p w14:paraId="6C5945C4" w14:textId="189F22C1" w:rsidR="00912235" w:rsidRDefault="00912235">
      <w:pPr>
        <w:pStyle w:val="TOC1"/>
        <w:tabs>
          <w:tab w:val="right" w:leader="dot" w:pos="9350"/>
        </w:tabs>
        <w:rPr>
          <w:rFonts w:asciiTheme="minorHAnsi" w:eastAsiaTheme="minorEastAsia" w:hAnsiTheme="minorHAnsi"/>
          <w:noProof/>
          <w:lang w:val="en-US"/>
        </w:rPr>
      </w:pPr>
      <w:hyperlink w:anchor="_Toc217241758" w:history="1">
        <w:r w:rsidRPr="00440960">
          <w:rPr>
            <w:rStyle w:val="Hyperlink"/>
            <w:noProof/>
          </w:rPr>
          <w:t>References</w:t>
        </w:r>
        <w:r>
          <w:rPr>
            <w:noProof/>
            <w:webHidden/>
          </w:rPr>
          <w:tab/>
        </w:r>
        <w:r>
          <w:rPr>
            <w:noProof/>
            <w:webHidden/>
          </w:rPr>
          <w:fldChar w:fldCharType="begin"/>
        </w:r>
        <w:r>
          <w:rPr>
            <w:noProof/>
            <w:webHidden/>
          </w:rPr>
          <w:instrText xml:space="preserve"> PAGEREF _Toc217241758 \h </w:instrText>
        </w:r>
        <w:r>
          <w:rPr>
            <w:noProof/>
            <w:webHidden/>
          </w:rPr>
        </w:r>
        <w:r>
          <w:rPr>
            <w:noProof/>
            <w:webHidden/>
          </w:rPr>
          <w:fldChar w:fldCharType="separate"/>
        </w:r>
        <w:r>
          <w:rPr>
            <w:noProof/>
            <w:webHidden/>
          </w:rPr>
          <w:t>40</w:t>
        </w:r>
        <w:r>
          <w:rPr>
            <w:noProof/>
            <w:webHidden/>
          </w:rPr>
          <w:fldChar w:fldCharType="end"/>
        </w:r>
      </w:hyperlink>
    </w:p>
    <w:p w14:paraId="4C627C82" w14:textId="37D66F35" w:rsidR="005F57AF" w:rsidRDefault="00167EF3">
      <w:pPr>
        <w:spacing w:line="278" w:lineRule="auto"/>
        <w:jc w:val="left"/>
        <w:rPr>
          <w:b/>
          <w:bCs/>
          <w:sz w:val="28"/>
          <w:szCs w:val="28"/>
        </w:rPr>
      </w:pPr>
      <w:r>
        <w:rPr>
          <w:b/>
          <w:bCs/>
          <w:sz w:val="28"/>
          <w:szCs w:val="28"/>
        </w:rPr>
        <w:fldChar w:fldCharType="end"/>
      </w:r>
    </w:p>
    <w:p w14:paraId="21EEC04C" w14:textId="77777777" w:rsidR="00846A4B" w:rsidRDefault="00846A4B">
      <w:pPr>
        <w:spacing w:line="278" w:lineRule="auto"/>
        <w:jc w:val="left"/>
        <w:rPr>
          <w:b/>
          <w:bCs/>
          <w:sz w:val="28"/>
          <w:szCs w:val="28"/>
        </w:rPr>
      </w:pPr>
    </w:p>
    <w:p w14:paraId="42C37924" w14:textId="77777777" w:rsidR="00846A4B" w:rsidRDefault="00846A4B">
      <w:pPr>
        <w:spacing w:line="278" w:lineRule="auto"/>
        <w:jc w:val="left"/>
        <w:rPr>
          <w:b/>
          <w:bCs/>
          <w:sz w:val="28"/>
          <w:szCs w:val="28"/>
        </w:rPr>
      </w:pPr>
    </w:p>
    <w:p w14:paraId="299FA6DD" w14:textId="77777777" w:rsidR="00846A4B" w:rsidRDefault="00846A4B">
      <w:pPr>
        <w:spacing w:line="278" w:lineRule="auto"/>
        <w:jc w:val="left"/>
        <w:rPr>
          <w:b/>
          <w:bCs/>
          <w:sz w:val="28"/>
          <w:szCs w:val="28"/>
        </w:rPr>
      </w:pPr>
    </w:p>
    <w:p w14:paraId="2FD01596" w14:textId="77777777" w:rsidR="00846A4B" w:rsidRPr="005F57AF" w:rsidRDefault="00846A4B">
      <w:pPr>
        <w:spacing w:line="278" w:lineRule="auto"/>
        <w:jc w:val="left"/>
        <w:rPr>
          <w:b/>
          <w:bCs/>
          <w:sz w:val="28"/>
          <w:szCs w:val="28"/>
        </w:rPr>
      </w:pPr>
    </w:p>
    <w:p w14:paraId="0CFC134E" w14:textId="2098A4E8" w:rsidR="005F57AF" w:rsidRDefault="005F57AF">
      <w:pPr>
        <w:spacing w:line="278" w:lineRule="auto"/>
        <w:jc w:val="left"/>
        <w:rPr>
          <w:b/>
          <w:bCs/>
          <w:sz w:val="28"/>
          <w:szCs w:val="28"/>
        </w:rPr>
      </w:pPr>
      <w:r w:rsidRPr="005F57AF">
        <w:rPr>
          <w:b/>
          <w:bCs/>
          <w:sz w:val="28"/>
          <w:szCs w:val="28"/>
        </w:rPr>
        <w:t xml:space="preserve">List of </w:t>
      </w:r>
      <w:r>
        <w:rPr>
          <w:b/>
          <w:bCs/>
          <w:sz w:val="28"/>
          <w:szCs w:val="28"/>
        </w:rPr>
        <w:t>T</w:t>
      </w:r>
      <w:r w:rsidRPr="005F57AF">
        <w:rPr>
          <w:b/>
          <w:bCs/>
          <w:sz w:val="28"/>
          <w:szCs w:val="28"/>
        </w:rPr>
        <w:t>ables</w:t>
      </w:r>
    </w:p>
    <w:p w14:paraId="76D69780" w14:textId="5E75B576" w:rsidR="00912235" w:rsidRDefault="00167EF3">
      <w:pPr>
        <w:pStyle w:val="TableofFigures"/>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17241681" w:history="1">
        <w:r w:rsidR="00912235" w:rsidRPr="00541B4A">
          <w:rPr>
            <w:rStyle w:val="Hyperlink"/>
            <w:noProof/>
          </w:rPr>
          <w:t>Table 1: PESTLE Framework</w:t>
        </w:r>
        <w:r w:rsidR="00912235">
          <w:rPr>
            <w:noProof/>
            <w:webHidden/>
          </w:rPr>
          <w:tab/>
        </w:r>
        <w:r w:rsidR="00912235">
          <w:rPr>
            <w:noProof/>
            <w:webHidden/>
          </w:rPr>
          <w:fldChar w:fldCharType="begin"/>
        </w:r>
        <w:r w:rsidR="00912235">
          <w:rPr>
            <w:noProof/>
            <w:webHidden/>
          </w:rPr>
          <w:instrText xml:space="preserve"> PAGEREF _Toc217241681 \h </w:instrText>
        </w:r>
        <w:r w:rsidR="00912235">
          <w:rPr>
            <w:noProof/>
            <w:webHidden/>
          </w:rPr>
        </w:r>
        <w:r w:rsidR="00912235">
          <w:rPr>
            <w:noProof/>
            <w:webHidden/>
          </w:rPr>
          <w:fldChar w:fldCharType="separate"/>
        </w:r>
        <w:r w:rsidR="00912235">
          <w:rPr>
            <w:noProof/>
            <w:webHidden/>
          </w:rPr>
          <w:t>21</w:t>
        </w:r>
        <w:r w:rsidR="00912235">
          <w:rPr>
            <w:noProof/>
            <w:webHidden/>
          </w:rPr>
          <w:fldChar w:fldCharType="end"/>
        </w:r>
      </w:hyperlink>
    </w:p>
    <w:p w14:paraId="217EF566" w14:textId="19BAB395" w:rsidR="00912235" w:rsidRDefault="00912235">
      <w:pPr>
        <w:pStyle w:val="TableofFigures"/>
        <w:tabs>
          <w:tab w:val="right" w:leader="dot" w:pos="9350"/>
        </w:tabs>
        <w:rPr>
          <w:rFonts w:asciiTheme="minorHAnsi" w:eastAsiaTheme="minorEastAsia" w:hAnsiTheme="minorHAnsi"/>
          <w:noProof/>
          <w:lang w:val="en-US"/>
        </w:rPr>
      </w:pPr>
      <w:hyperlink w:anchor="_Toc217241682" w:history="1">
        <w:r w:rsidRPr="00541B4A">
          <w:rPr>
            <w:rStyle w:val="Hyperlink"/>
            <w:noProof/>
          </w:rPr>
          <w:t>Table 2: Competitor Analysis: Key Home Improvement Retailers in Australia</w:t>
        </w:r>
        <w:r>
          <w:rPr>
            <w:noProof/>
            <w:webHidden/>
          </w:rPr>
          <w:tab/>
        </w:r>
        <w:r>
          <w:rPr>
            <w:noProof/>
            <w:webHidden/>
          </w:rPr>
          <w:fldChar w:fldCharType="begin"/>
        </w:r>
        <w:r>
          <w:rPr>
            <w:noProof/>
            <w:webHidden/>
          </w:rPr>
          <w:instrText xml:space="preserve"> PAGEREF _Toc217241682 \h </w:instrText>
        </w:r>
        <w:r>
          <w:rPr>
            <w:noProof/>
            <w:webHidden/>
          </w:rPr>
        </w:r>
        <w:r>
          <w:rPr>
            <w:noProof/>
            <w:webHidden/>
          </w:rPr>
          <w:fldChar w:fldCharType="separate"/>
        </w:r>
        <w:r>
          <w:rPr>
            <w:noProof/>
            <w:webHidden/>
          </w:rPr>
          <w:t>24</w:t>
        </w:r>
        <w:r>
          <w:rPr>
            <w:noProof/>
            <w:webHidden/>
          </w:rPr>
          <w:fldChar w:fldCharType="end"/>
        </w:r>
      </w:hyperlink>
    </w:p>
    <w:p w14:paraId="4365A0CE" w14:textId="1E99131D" w:rsidR="00167EF3" w:rsidRDefault="00167EF3">
      <w:pPr>
        <w:spacing w:line="278" w:lineRule="auto"/>
        <w:jc w:val="left"/>
        <w:rPr>
          <w:b/>
          <w:bCs/>
          <w:sz w:val="28"/>
          <w:szCs w:val="28"/>
        </w:rPr>
      </w:pPr>
      <w:r>
        <w:rPr>
          <w:b/>
          <w:bCs/>
          <w:sz w:val="28"/>
          <w:szCs w:val="28"/>
        </w:rPr>
        <w:fldChar w:fldCharType="end"/>
      </w:r>
    </w:p>
    <w:p w14:paraId="75291C66" w14:textId="77777777" w:rsidR="005F57AF" w:rsidRDefault="005F57AF">
      <w:pPr>
        <w:spacing w:line="278" w:lineRule="auto"/>
        <w:jc w:val="left"/>
        <w:rPr>
          <w:b/>
          <w:bCs/>
          <w:sz w:val="28"/>
          <w:szCs w:val="28"/>
        </w:rPr>
      </w:pPr>
    </w:p>
    <w:p w14:paraId="2FE45646" w14:textId="77777777" w:rsidR="005F57AF" w:rsidRDefault="005F57AF">
      <w:pPr>
        <w:spacing w:line="278" w:lineRule="auto"/>
        <w:jc w:val="left"/>
        <w:rPr>
          <w:b/>
          <w:bCs/>
          <w:sz w:val="28"/>
          <w:szCs w:val="28"/>
        </w:rPr>
      </w:pPr>
    </w:p>
    <w:p w14:paraId="3F9ABCC0" w14:textId="77777777" w:rsidR="005F57AF" w:rsidRDefault="005F57AF">
      <w:pPr>
        <w:spacing w:line="278" w:lineRule="auto"/>
        <w:jc w:val="left"/>
        <w:rPr>
          <w:b/>
          <w:bCs/>
          <w:sz w:val="28"/>
          <w:szCs w:val="28"/>
        </w:rPr>
      </w:pPr>
    </w:p>
    <w:p w14:paraId="16E10025" w14:textId="77777777" w:rsidR="005F57AF" w:rsidRDefault="005F57AF">
      <w:pPr>
        <w:spacing w:line="278" w:lineRule="auto"/>
        <w:jc w:val="left"/>
        <w:rPr>
          <w:b/>
          <w:bCs/>
          <w:sz w:val="28"/>
          <w:szCs w:val="28"/>
        </w:rPr>
      </w:pPr>
    </w:p>
    <w:p w14:paraId="3A6866A3" w14:textId="77777777" w:rsidR="005F57AF" w:rsidRDefault="005F57AF">
      <w:pPr>
        <w:spacing w:line="278" w:lineRule="auto"/>
        <w:jc w:val="left"/>
        <w:rPr>
          <w:b/>
          <w:bCs/>
          <w:sz w:val="28"/>
          <w:szCs w:val="28"/>
        </w:rPr>
      </w:pPr>
    </w:p>
    <w:p w14:paraId="09726B60" w14:textId="77777777" w:rsidR="005F57AF" w:rsidRDefault="005F57AF">
      <w:pPr>
        <w:spacing w:line="278" w:lineRule="auto"/>
        <w:jc w:val="left"/>
        <w:rPr>
          <w:b/>
          <w:bCs/>
          <w:sz w:val="28"/>
          <w:szCs w:val="28"/>
        </w:rPr>
      </w:pPr>
    </w:p>
    <w:p w14:paraId="301EC57C" w14:textId="77777777" w:rsidR="005F57AF" w:rsidRDefault="005F57AF">
      <w:pPr>
        <w:spacing w:line="278" w:lineRule="auto"/>
        <w:jc w:val="left"/>
        <w:rPr>
          <w:b/>
          <w:bCs/>
          <w:sz w:val="28"/>
          <w:szCs w:val="28"/>
        </w:rPr>
      </w:pPr>
    </w:p>
    <w:p w14:paraId="16D5C3B0" w14:textId="77777777" w:rsidR="005F57AF" w:rsidRDefault="005F57AF">
      <w:pPr>
        <w:spacing w:line="278" w:lineRule="auto"/>
        <w:jc w:val="left"/>
        <w:rPr>
          <w:b/>
          <w:bCs/>
          <w:sz w:val="28"/>
          <w:szCs w:val="28"/>
        </w:rPr>
      </w:pPr>
    </w:p>
    <w:p w14:paraId="02D38054" w14:textId="77777777" w:rsidR="005F57AF" w:rsidRDefault="005F57AF">
      <w:pPr>
        <w:spacing w:line="278" w:lineRule="auto"/>
        <w:jc w:val="left"/>
        <w:rPr>
          <w:b/>
          <w:bCs/>
          <w:sz w:val="28"/>
          <w:szCs w:val="28"/>
        </w:rPr>
      </w:pPr>
    </w:p>
    <w:p w14:paraId="10D391F2" w14:textId="77777777" w:rsidR="005F57AF" w:rsidRDefault="005F57AF">
      <w:pPr>
        <w:spacing w:line="278" w:lineRule="auto"/>
        <w:jc w:val="left"/>
        <w:rPr>
          <w:b/>
          <w:bCs/>
          <w:sz w:val="28"/>
          <w:szCs w:val="28"/>
        </w:rPr>
      </w:pPr>
    </w:p>
    <w:p w14:paraId="561B18A6" w14:textId="77777777" w:rsidR="005F57AF" w:rsidRDefault="005F57AF">
      <w:pPr>
        <w:spacing w:line="278" w:lineRule="auto"/>
        <w:jc w:val="left"/>
        <w:rPr>
          <w:b/>
          <w:bCs/>
          <w:sz w:val="28"/>
          <w:szCs w:val="28"/>
        </w:rPr>
      </w:pPr>
    </w:p>
    <w:p w14:paraId="1556B788" w14:textId="77777777" w:rsidR="005F57AF" w:rsidRDefault="005F57AF">
      <w:pPr>
        <w:spacing w:line="278" w:lineRule="auto"/>
        <w:jc w:val="left"/>
        <w:rPr>
          <w:b/>
          <w:bCs/>
          <w:sz w:val="28"/>
          <w:szCs w:val="28"/>
        </w:rPr>
      </w:pPr>
    </w:p>
    <w:p w14:paraId="2FEE10AB" w14:textId="77777777" w:rsidR="005F57AF" w:rsidRDefault="005F57AF">
      <w:pPr>
        <w:spacing w:line="278" w:lineRule="auto"/>
        <w:jc w:val="left"/>
        <w:rPr>
          <w:b/>
          <w:bCs/>
          <w:sz w:val="28"/>
          <w:szCs w:val="28"/>
        </w:rPr>
      </w:pPr>
    </w:p>
    <w:p w14:paraId="01917768" w14:textId="77777777" w:rsidR="005F57AF" w:rsidRDefault="005F57AF">
      <w:pPr>
        <w:spacing w:line="278" w:lineRule="auto"/>
        <w:jc w:val="left"/>
        <w:rPr>
          <w:b/>
          <w:bCs/>
          <w:sz w:val="28"/>
          <w:szCs w:val="28"/>
        </w:rPr>
      </w:pPr>
    </w:p>
    <w:p w14:paraId="0F02B823" w14:textId="77777777" w:rsidR="005F57AF" w:rsidRDefault="005F57AF">
      <w:pPr>
        <w:spacing w:line="278" w:lineRule="auto"/>
        <w:jc w:val="left"/>
        <w:rPr>
          <w:b/>
          <w:bCs/>
          <w:sz w:val="28"/>
          <w:szCs w:val="28"/>
        </w:rPr>
      </w:pPr>
    </w:p>
    <w:p w14:paraId="2F541665" w14:textId="77777777" w:rsidR="005F57AF" w:rsidRDefault="005F57AF">
      <w:pPr>
        <w:spacing w:line="278" w:lineRule="auto"/>
        <w:jc w:val="left"/>
        <w:rPr>
          <w:b/>
          <w:bCs/>
          <w:sz w:val="28"/>
          <w:szCs w:val="28"/>
        </w:rPr>
      </w:pPr>
    </w:p>
    <w:p w14:paraId="5E046650" w14:textId="77777777" w:rsidR="005F57AF" w:rsidRDefault="005F57AF">
      <w:pPr>
        <w:spacing w:line="278" w:lineRule="auto"/>
        <w:jc w:val="left"/>
        <w:rPr>
          <w:b/>
          <w:bCs/>
          <w:sz w:val="28"/>
          <w:szCs w:val="28"/>
        </w:rPr>
      </w:pPr>
    </w:p>
    <w:p w14:paraId="51C33529" w14:textId="77777777" w:rsidR="005F57AF" w:rsidRDefault="005F57AF">
      <w:pPr>
        <w:spacing w:line="278" w:lineRule="auto"/>
        <w:jc w:val="left"/>
        <w:rPr>
          <w:b/>
          <w:bCs/>
          <w:sz w:val="28"/>
          <w:szCs w:val="28"/>
        </w:rPr>
      </w:pPr>
    </w:p>
    <w:p w14:paraId="3BC046C0" w14:textId="77777777" w:rsidR="00912235" w:rsidRDefault="00912235">
      <w:pPr>
        <w:spacing w:line="278" w:lineRule="auto"/>
        <w:jc w:val="left"/>
        <w:rPr>
          <w:b/>
          <w:bCs/>
          <w:sz w:val="28"/>
          <w:szCs w:val="28"/>
        </w:rPr>
      </w:pPr>
    </w:p>
    <w:p w14:paraId="3C988183" w14:textId="77777777" w:rsidR="00912235" w:rsidRDefault="00912235">
      <w:pPr>
        <w:spacing w:line="278" w:lineRule="auto"/>
        <w:jc w:val="left"/>
        <w:rPr>
          <w:b/>
          <w:bCs/>
          <w:sz w:val="28"/>
          <w:szCs w:val="28"/>
        </w:rPr>
      </w:pPr>
    </w:p>
    <w:p w14:paraId="552687D9" w14:textId="6EAFA000" w:rsidR="005F57AF" w:rsidRDefault="005F57AF">
      <w:pPr>
        <w:spacing w:line="278" w:lineRule="auto"/>
        <w:jc w:val="left"/>
        <w:rPr>
          <w:b/>
          <w:bCs/>
          <w:sz w:val="28"/>
          <w:szCs w:val="28"/>
        </w:rPr>
      </w:pPr>
      <w:r w:rsidRPr="005F57AF">
        <w:rPr>
          <w:b/>
          <w:bCs/>
          <w:sz w:val="28"/>
          <w:szCs w:val="28"/>
        </w:rPr>
        <w:lastRenderedPageBreak/>
        <w:t>List of Figures</w:t>
      </w:r>
    </w:p>
    <w:p w14:paraId="2352B232" w14:textId="44C64B4F" w:rsidR="00912235" w:rsidRDefault="00167EF3">
      <w:pPr>
        <w:pStyle w:val="TableofFigures"/>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7241683" w:history="1">
        <w:r w:rsidR="00912235" w:rsidRPr="005C3763">
          <w:rPr>
            <w:rStyle w:val="Hyperlink"/>
            <w:noProof/>
          </w:rPr>
          <w:t>Figure 1: B&amp;Q Logo</w:t>
        </w:r>
        <w:r w:rsidR="00912235">
          <w:rPr>
            <w:noProof/>
            <w:webHidden/>
          </w:rPr>
          <w:tab/>
        </w:r>
        <w:r w:rsidR="00912235">
          <w:rPr>
            <w:noProof/>
            <w:webHidden/>
          </w:rPr>
          <w:fldChar w:fldCharType="begin"/>
        </w:r>
        <w:r w:rsidR="00912235">
          <w:rPr>
            <w:noProof/>
            <w:webHidden/>
          </w:rPr>
          <w:instrText xml:space="preserve"> PAGEREF _Toc217241683 \h </w:instrText>
        </w:r>
        <w:r w:rsidR="00912235">
          <w:rPr>
            <w:noProof/>
            <w:webHidden/>
          </w:rPr>
        </w:r>
        <w:r w:rsidR="00912235">
          <w:rPr>
            <w:noProof/>
            <w:webHidden/>
          </w:rPr>
          <w:fldChar w:fldCharType="separate"/>
        </w:r>
        <w:r w:rsidR="00912235">
          <w:rPr>
            <w:noProof/>
            <w:webHidden/>
          </w:rPr>
          <w:t>6</w:t>
        </w:r>
        <w:r w:rsidR="00912235">
          <w:rPr>
            <w:noProof/>
            <w:webHidden/>
          </w:rPr>
          <w:fldChar w:fldCharType="end"/>
        </w:r>
      </w:hyperlink>
    </w:p>
    <w:p w14:paraId="368AE0E3" w14:textId="74E22E7A" w:rsidR="00912235" w:rsidRDefault="00912235">
      <w:pPr>
        <w:pStyle w:val="TableofFigures"/>
        <w:tabs>
          <w:tab w:val="right" w:leader="dot" w:pos="9350"/>
        </w:tabs>
        <w:rPr>
          <w:rFonts w:asciiTheme="minorHAnsi" w:eastAsiaTheme="minorEastAsia" w:hAnsiTheme="minorHAnsi"/>
          <w:noProof/>
          <w:lang w:val="en-US"/>
        </w:rPr>
      </w:pPr>
      <w:hyperlink w:anchor="_Toc217241684" w:history="1">
        <w:r w:rsidRPr="005C3763">
          <w:rPr>
            <w:rStyle w:val="Hyperlink"/>
            <w:noProof/>
          </w:rPr>
          <w:t>Figure 2: Financial highlights Kingfisher</w:t>
        </w:r>
        <w:r>
          <w:rPr>
            <w:noProof/>
            <w:webHidden/>
          </w:rPr>
          <w:tab/>
        </w:r>
        <w:r>
          <w:rPr>
            <w:noProof/>
            <w:webHidden/>
          </w:rPr>
          <w:fldChar w:fldCharType="begin"/>
        </w:r>
        <w:r>
          <w:rPr>
            <w:noProof/>
            <w:webHidden/>
          </w:rPr>
          <w:instrText xml:space="preserve"> PAGEREF _Toc217241684 \h </w:instrText>
        </w:r>
        <w:r>
          <w:rPr>
            <w:noProof/>
            <w:webHidden/>
          </w:rPr>
        </w:r>
        <w:r>
          <w:rPr>
            <w:noProof/>
            <w:webHidden/>
          </w:rPr>
          <w:fldChar w:fldCharType="separate"/>
        </w:r>
        <w:r>
          <w:rPr>
            <w:noProof/>
            <w:webHidden/>
          </w:rPr>
          <w:t>7</w:t>
        </w:r>
        <w:r>
          <w:rPr>
            <w:noProof/>
            <w:webHidden/>
          </w:rPr>
          <w:fldChar w:fldCharType="end"/>
        </w:r>
      </w:hyperlink>
    </w:p>
    <w:p w14:paraId="08E22B33" w14:textId="2D97ADFB" w:rsidR="00912235" w:rsidRDefault="00912235">
      <w:pPr>
        <w:pStyle w:val="TableofFigures"/>
        <w:tabs>
          <w:tab w:val="right" w:leader="dot" w:pos="9350"/>
        </w:tabs>
        <w:rPr>
          <w:rFonts w:asciiTheme="minorHAnsi" w:eastAsiaTheme="minorEastAsia" w:hAnsiTheme="minorHAnsi"/>
          <w:noProof/>
          <w:lang w:val="en-US"/>
        </w:rPr>
      </w:pPr>
      <w:hyperlink w:anchor="_Toc217241685" w:history="1">
        <w:r w:rsidRPr="005C3763">
          <w:rPr>
            <w:rStyle w:val="Hyperlink"/>
            <w:noProof/>
          </w:rPr>
          <w:t>Figure 3: Marketplace at B&amp;Q</w:t>
        </w:r>
        <w:r>
          <w:rPr>
            <w:noProof/>
            <w:webHidden/>
          </w:rPr>
          <w:tab/>
        </w:r>
        <w:r>
          <w:rPr>
            <w:noProof/>
            <w:webHidden/>
          </w:rPr>
          <w:fldChar w:fldCharType="begin"/>
        </w:r>
        <w:r>
          <w:rPr>
            <w:noProof/>
            <w:webHidden/>
          </w:rPr>
          <w:instrText xml:space="preserve"> PAGEREF _Toc217241685 \h </w:instrText>
        </w:r>
        <w:r>
          <w:rPr>
            <w:noProof/>
            <w:webHidden/>
          </w:rPr>
        </w:r>
        <w:r>
          <w:rPr>
            <w:noProof/>
            <w:webHidden/>
          </w:rPr>
          <w:fldChar w:fldCharType="separate"/>
        </w:r>
        <w:r>
          <w:rPr>
            <w:noProof/>
            <w:webHidden/>
          </w:rPr>
          <w:t>8</w:t>
        </w:r>
        <w:r>
          <w:rPr>
            <w:noProof/>
            <w:webHidden/>
          </w:rPr>
          <w:fldChar w:fldCharType="end"/>
        </w:r>
      </w:hyperlink>
    </w:p>
    <w:p w14:paraId="67A008FC" w14:textId="50C08BAD" w:rsidR="00912235" w:rsidRDefault="00912235">
      <w:pPr>
        <w:pStyle w:val="TableofFigures"/>
        <w:tabs>
          <w:tab w:val="right" w:leader="dot" w:pos="9350"/>
        </w:tabs>
        <w:rPr>
          <w:rFonts w:asciiTheme="minorHAnsi" w:eastAsiaTheme="minorEastAsia" w:hAnsiTheme="minorHAnsi"/>
          <w:noProof/>
          <w:lang w:val="en-US"/>
        </w:rPr>
      </w:pPr>
      <w:hyperlink w:anchor="_Toc217241686" w:history="1">
        <w:r w:rsidRPr="005C3763">
          <w:rPr>
            <w:rStyle w:val="Hyperlink"/>
            <w:noProof/>
          </w:rPr>
          <w:t>Figure 4: Proposed New International Market: Australia</w:t>
        </w:r>
        <w:r>
          <w:rPr>
            <w:noProof/>
            <w:webHidden/>
          </w:rPr>
          <w:tab/>
        </w:r>
        <w:r>
          <w:rPr>
            <w:noProof/>
            <w:webHidden/>
          </w:rPr>
          <w:fldChar w:fldCharType="begin"/>
        </w:r>
        <w:r>
          <w:rPr>
            <w:noProof/>
            <w:webHidden/>
          </w:rPr>
          <w:instrText xml:space="preserve"> PAGEREF _Toc217241686 \h </w:instrText>
        </w:r>
        <w:r>
          <w:rPr>
            <w:noProof/>
            <w:webHidden/>
          </w:rPr>
        </w:r>
        <w:r>
          <w:rPr>
            <w:noProof/>
            <w:webHidden/>
          </w:rPr>
          <w:fldChar w:fldCharType="separate"/>
        </w:r>
        <w:r>
          <w:rPr>
            <w:noProof/>
            <w:webHidden/>
          </w:rPr>
          <w:t>9</w:t>
        </w:r>
        <w:r>
          <w:rPr>
            <w:noProof/>
            <w:webHidden/>
          </w:rPr>
          <w:fldChar w:fldCharType="end"/>
        </w:r>
      </w:hyperlink>
    </w:p>
    <w:p w14:paraId="01859400" w14:textId="7AF4B38C" w:rsidR="00912235" w:rsidRDefault="00912235">
      <w:pPr>
        <w:pStyle w:val="TableofFigures"/>
        <w:tabs>
          <w:tab w:val="right" w:leader="dot" w:pos="9350"/>
        </w:tabs>
        <w:rPr>
          <w:rFonts w:asciiTheme="minorHAnsi" w:eastAsiaTheme="minorEastAsia" w:hAnsiTheme="minorHAnsi"/>
          <w:noProof/>
          <w:lang w:val="en-US"/>
        </w:rPr>
      </w:pPr>
      <w:hyperlink w:anchor="_Toc217241687" w:history="1">
        <w:r w:rsidRPr="005C3763">
          <w:rPr>
            <w:rStyle w:val="Hyperlink"/>
            <w:noProof/>
          </w:rPr>
          <w:t>Figure 5: Australia Home Improvement Market</w:t>
        </w:r>
        <w:r>
          <w:rPr>
            <w:noProof/>
            <w:webHidden/>
          </w:rPr>
          <w:tab/>
        </w:r>
        <w:r>
          <w:rPr>
            <w:noProof/>
            <w:webHidden/>
          </w:rPr>
          <w:fldChar w:fldCharType="begin"/>
        </w:r>
        <w:r>
          <w:rPr>
            <w:noProof/>
            <w:webHidden/>
          </w:rPr>
          <w:instrText xml:space="preserve"> PAGEREF _Toc217241687 \h </w:instrText>
        </w:r>
        <w:r>
          <w:rPr>
            <w:noProof/>
            <w:webHidden/>
          </w:rPr>
        </w:r>
        <w:r>
          <w:rPr>
            <w:noProof/>
            <w:webHidden/>
          </w:rPr>
          <w:fldChar w:fldCharType="separate"/>
        </w:r>
        <w:r>
          <w:rPr>
            <w:noProof/>
            <w:webHidden/>
          </w:rPr>
          <w:t>10</w:t>
        </w:r>
        <w:r>
          <w:rPr>
            <w:noProof/>
            <w:webHidden/>
          </w:rPr>
          <w:fldChar w:fldCharType="end"/>
        </w:r>
      </w:hyperlink>
    </w:p>
    <w:p w14:paraId="7C8B7F6A" w14:textId="414A0DA0" w:rsidR="00912235" w:rsidRDefault="00912235">
      <w:pPr>
        <w:pStyle w:val="TableofFigures"/>
        <w:tabs>
          <w:tab w:val="right" w:leader="dot" w:pos="9350"/>
        </w:tabs>
        <w:rPr>
          <w:rFonts w:asciiTheme="minorHAnsi" w:eastAsiaTheme="minorEastAsia" w:hAnsiTheme="minorHAnsi"/>
          <w:noProof/>
          <w:lang w:val="en-US"/>
        </w:rPr>
      </w:pPr>
      <w:hyperlink w:anchor="_Toc217241688" w:history="1">
        <w:r w:rsidRPr="005C3763">
          <w:rPr>
            <w:rStyle w:val="Hyperlink"/>
            <w:noProof/>
          </w:rPr>
          <w:t>Figure 6: Australia Home Improvement Market value</w:t>
        </w:r>
        <w:r>
          <w:rPr>
            <w:noProof/>
            <w:webHidden/>
          </w:rPr>
          <w:tab/>
        </w:r>
        <w:r>
          <w:rPr>
            <w:noProof/>
            <w:webHidden/>
          </w:rPr>
          <w:fldChar w:fldCharType="begin"/>
        </w:r>
        <w:r>
          <w:rPr>
            <w:noProof/>
            <w:webHidden/>
          </w:rPr>
          <w:instrText xml:space="preserve"> PAGEREF _Toc217241688 \h </w:instrText>
        </w:r>
        <w:r>
          <w:rPr>
            <w:noProof/>
            <w:webHidden/>
          </w:rPr>
        </w:r>
        <w:r>
          <w:rPr>
            <w:noProof/>
            <w:webHidden/>
          </w:rPr>
          <w:fldChar w:fldCharType="separate"/>
        </w:r>
        <w:r>
          <w:rPr>
            <w:noProof/>
            <w:webHidden/>
          </w:rPr>
          <w:t>11</w:t>
        </w:r>
        <w:r>
          <w:rPr>
            <w:noProof/>
            <w:webHidden/>
          </w:rPr>
          <w:fldChar w:fldCharType="end"/>
        </w:r>
      </w:hyperlink>
    </w:p>
    <w:p w14:paraId="0EA4074A" w14:textId="10C14FFC" w:rsidR="00912235" w:rsidRDefault="00912235">
      <w:pPr>
        <w:pStyle w:val="TableofFigures"/>
        <w:tabs>
          <w:tab w:val="right" w:leader="dot" w:pos="9350"/>
        </w:tabs>
        <w:rPr>
          <w:rFonts w:asciiTheme="minorHAnsi" w:eastAsiaTheme="minorEastAsia" w:hAnsiTheme="minorHAnsi"/>
          <w:noProof/>
          <w:lang w:val="en-US"/>
        </w:rPr>
      </w:pPr>
      <w:hyperlink w:anchor="_Toc217241689" w:history="1">
        <w:r w:rsidRPr="005C3763">
          <w:rPr>
            <w:rStyle w:val="Hyperlink"/>
            <w:noProof/>
          </w:rPr>
          <w:t>Figure 7: Broad Home Improvement Ranges</w:t>
        </w:r>
        <w:r>
          <w:rPr>
            <w:noProof/>
            <w:webHidden/>
          </w:rPr>
          <w:tab/>
        </w:r>
        <w:r>
          <w:rPr>
            <w:noProof/>
            <w:webHidden/>
          </w:rPr>
          <w:fldChar w:fldCharType="begin"/>
        </w:r>
        <w:r>
          <w:rPr>
            <w:noProof/>
            <w:webHidden/>
          </w:rPr>
          <w:instrText xml:space="preserve"> PAGEREF _Toc217241689 \h </w:instrText>
        </w:r>
        <w:r>
          <w:rPr>
            <w:noProof/>
            <w:webHidden/>
          </w:rPr>
        </w:r>
        <w:r>
          <w:rPr>
            <w:noProof/>
            <w:webHidden/>
          </w:rPr>
          <w:fldChar w:fldCharType="separate"/>
        </w:r>
        <w:r>
          <w:rPr>
            <w:noProof/>
            <w:webHidden/>
          </w:rPr>
          <w:t>12</w:t>
        </w:r>
        <w:r>
          <w:rPr>
            <w:noProof/>
            <w:webHidden/>
          </w:rPr>
          <w:fldChar w:fldCharType="end"/>
        </w:r>
      </w:hyperlink>
    </w:p>
    <w:p w14:paraId="45B8519D" w14:textId="490A66A8" w:rsidR="00912235" w:rsidRDefault="00912235">
      <w:pPr>
        <w:pStyle w:val="TableofFigures"/>
        <w:tabs>
          <w:tab w:val="right" w:leader="dot" w:pos="9350"/>
        </w:tabs>
        <w:rPr>
          <w:rFonts w:asciiTheme="minorHAnsi" w:eastAsiaTheme="minorEastAsia" w:hAnsiTheme="minorHAnsi"/>
          <w:noProof/>
          <w:lang w:val="en-US"/>
        </w:rPr>
      </w:pPr>
      <w:hyperlink w:anchor="_Toc217241690" w:history="1">
        <w:r w:rsidRPr="005C3763">
          <w:rPr>
            <w:rStyle w:val="Hyperlink"/>
            <w:noProof/>
          </w:rPr>
          <w:t>Figure 8: Australian DIY E-Commerce Growth</w:t>
        </w:r>
        <w:r>
          <w:rPr>
            <w:noProof/>
            <w:webHidden/>
          </w:rPr>
          <w:tab/>
        </w:r>
        <w:r>
          <w:rPr>
            <w:noProof/>
            <w:webHidden/>
          </w:rPr>
          <w:fldChar w:fldCharType="begin"/>
        </w:r>
        <w:r>
          <w:rPr>
            <w:noProof/>
            <w:webHidden/>
          </w:rPr>
          <w:instrText xml:space="preserve"> PAGEREF _Toc217241690 \h </w:instrText>
        </w:r>
        <w:r>
          <w:rPr>
            <w:noProof/>
            <w:webHidden/>
          </w:rPr>
        </w:r>
        <w:r>
          <w:rPr>
            <w:noProof/>
            <w:webHidden/>
          </w:rPr>
          <w:fldChar w:fldCharType="separate"/>
        </w:r>
        <w:r>
          <w:rPr>
            <w:noProof/>
            <w:webHidden/>
          </w:rPr>
          <w:t>13</w:t>
        </w:r>
        <w:r>
          <w:rPr>
            <w:noProof/>
            <w:webHidden/>
          </w:rPr>
          <w:fldChar w:fldCharType="end"/>
        </w:r>
      </w:hyperlink>
    </w:p>
    <w:p w14:paraId="4B1FC28F" w14:textId="3B2FB9A5" w:rsidR="00912235" w:rsidRDefault="00912235">
      <w:pPr>
        <w:pStyle w:val="TableofFigures"/>
        <w:tabs>
          <w:tab w:val="right" w:leader="dot" w:pos="9350"/>
        </w:tabs>
        <w:rPr>
          <w:rFonts w:asciiTheme="minorHAnsi" w:eastAsiaTheme="minorEastAsia" w:hAnsiTheme="minorHAnsi"/>
          <w:noProof/>
          <w:lang w:val="en-US"/>
        </w:rPr>
      </w:pPr>
      <w:hyperlink w:anchor="_Toc217241691" w:history="1">
        <w:r w:rsidRPr="005C3763">
          <w:rPr>
            <w:rStyle w:val="Hyperlink"/>
            <w:noProof/>
          </w:rPr>
          <w:t>Figure 9: Competitive Australian DIY Market</w:t>
        </w:r>
        <w:r>
          <w:rPr>
            <w:noProof/>
            <w:webHidden/>
          </w:rPr>
          <w:tab/>
        </w:r>
        <w:r>
          <w:rPr>
            <w:noProof/>
            <w:webHidden/>
          </w:rPr>
          <w:fldChar w:fldCharType="begin"/>
        </w:r>
        <w:r>
          <w:rPr>
            <w:noProof/>
            <w:webHidden/>
          </w:rPr>
          <w:instrText xml:space="preserve"> PAGEREF _Toc217241691 \h </w:instrText>
        </w:r>
        <w:r>
          <w:rPr>
            <w:noProof/>
            <w:webHidden/>
          </w:rPr>
        </w:r>
        <w:r>
          <w:rPr>
            <w:noProof/>
            <w:webHidden/>
          </w:rPr>
          <w:fldChar w:fldCharType="separate"/>
        </w:r>
        <w:r>
          <w:rPr>
            <w:noProof/>
            <w:webHidden/>
          </w:rPr>
          <w:t>14</w:t>
        </w:r>
        <w:r>
          <w:rPr>
            <w:noProof/>
            <w:webHidden/>
          </w:rPr>
          <w:fldChar w:fldCharType="end"/>
        </w:r>
      </w:hyperlink>
    </w:p>
    <w:p w14:paraId="1C77CF94" w14:textId="451564D2" w:rsidR="00912235" w:rsidRDefault="00912235">
      <w:pPr>
        <w:pStyle w:val="TableofFigures"/>
        <w:tabs>
          <w:tab w:val="right" w:leader="dot" w:pos="9350"/>
        </w:tabs>
        <w:rPr>
          <w:rFonts w:asciiTheme="minorHAnsi" w:eastAsiaTheme="minorEastAsia" w:hAnsiTheme="minorHAnsi"/>
          <w:noProof/>
          <w:lang w:val="en-US"/>
        </w:rPr>
      </w:pPr>
      <w:hyperlink w:anchor="_Toc217241692" w:history="1">
        <w:r w:rsidRPr="005C3763">
          <w:rPr>
            <w:rStyle w:val="Hyperlink"/>
            <w:noProof/>
          </w:rPr>
          <w:t>Figure 10: Australia’s Stable Political Environment</w:t>
        </w:r>
        <w:r>
          <w:rPr>
            <w:noProof/>
            <w:webHidden/>
          </w:rPr>
          <w:tab/>
        </w:r>
        <w:r>
          <w:rPr>
            <w:noProof/>
            <w:webHidden/>
          </w:rPr>
          <w:fldChar w:fldCharType="begin"/>
        </w:r>
        <w:r>
          <w:rPr>
            <w:noProof/>
            <w:webHidden/>
          </w:rPr>
          <w:instrText xml:space="preserve"> PAGEREF _Toc217241692 \h </w:instrText>
        </w:r>
        <w:r>
          <w:rPr>
            <w:noProof/>
            <w:webHidden/>
          </w:rPr>
        </w:r>
        <w:r>
          <w:rPr>
            <w:noProof/>
            <w:webHidden/>
          </w:rPr>
          <w:fldChar w:fldCharType="separate"/>
        </w:r>
        <w:r>
          <w:rPr>
            <w:noProof/>
            <w:webHidden/>
          </w:rPr>
          <w:t>16</w:t>
        </w:r>
        <w:r>
          <w:rPr>
            <w:noProof/>
            <w:webHidden/>
          </w:rPr>
          <w:fldChar w:fldCharType="end"/>
        </w:r>
      </w:hyperlink>
    </w:p>
    <w:p w14:paraId="3B631C42" w14:textId="34F99A83" w:rsidR="00912235" w:rsidRDefault="00912235">
      <w:pPr>
        <w:pStyle w:val="TableofFigures"/>
        <w:tabs>
          <w:tab w:val="right" w:leader="dot" w:pos="9350"/>
        </w:tabs>
        <w:rPr>
          <w:rFonts w:asciiTheme="minorHAnsi" w:eastAsiaTheme="minorEastAsia" w:hAnsiTheme="minorHAnsi"/>
          <w:noProof/>
          <w:lang w:val="en-US"/>
        </w:rPr>
      </w:pPr>
      <w:hyperlink w:anchor="_Toc217241693" w:history="1">
        <w:r w:rsidRPr="005C3763">
          <w:rPr>
            <w:rStyle w:val="Hyperlink"/>
            <w:noProof/>
          </w:rPr>
          <w:t>Figure 11: Australia Home Improvement Outlook</w:t>
        </w:r>
        <w:r>
          <w:rPr>
            <w:noProof/>
            <w:webHidden/>
          </w:rPr>
          <w:tab/>
        </w:r>
        <w:r>
          <w:rPr>
            <w:noProof/>
            <w:webHidden/>
          </w:rPr>
          <w:fldChar w:fldCharType="begin"/>
        </w:r>
        <w:r>
          <w:rPr>
            <w:noProof/>
            <w:webHidden/>
          </w:rPr>
          <w:instrText xml:space="preserve"> PAGEREF _Toc217241693 \h </w:instrText>
        </w:r>
        <w:r>
          <w:rPr>
            <w:noProof/>
            <w:webHidden/>
          </w:rPr>
        </w:r>
        <w:r>
          <w:rPr>
            <w:noProof/>
            <w:webHidden/>
          </w:rPr>
          <w:fldChar w:fldCharType="separate"/>
        </w:r>
        <w:r>
          <w:rPr>
            <w:noProof/>
            <w:webHidden/>
          </w:rPr>
          <w:t>17</w:t>
        </w:r>
        <w:r>
          <w:rPr>
            <w:noProof/>
            <w:webHidden/>
          </w:rPr>
          <w:fldChar w:fldCharType="end"/>
        </w:r>
      </w:hyperlink>
    </w:p>
    <w:p w14:paraId="643FF25B" w14:textId="0B76568B" w:rsidR="00912235" w:rsidRDefault="00912235">
      <w:pPr>
        <w:pStyle w:val="TableofFigures"/>
        <w:tabs>
          <w:tab w:val="right" w:leader="dot" w:pos="9350"/>
        </w:tabs>
        <w:rPr>
          <w:rFonts w:asciiTheme="minorHAnsi" w:eastAsiaTheme="minorEastAsia" w:hAnsiTheme="minorHAnsi"/>
          <w:noProof/>
          <w:lang w:val="en-US"/>
        </w:rPr>
      </w:pPr>
      <w:hyperlink w:anchor="_Toc217241694" w:history="1">
        <w:r w:rsidRPr="005C3763">
          <w:rPr>
            <w:rStyle w:val="Hyperlink"/>
            <w:noProof/>
          </w:rPr>
          <w:t>Figure 12: Social Drivers of DIY</w:t>
        </w:r>
        <w:r>
          <w:rPr>
            <w:noProof/>
            <w:webHidden/>
          </w:rPr>
          <w:tab/>
        </w:r>
        <w:r>
          <w:rPr>
            <w:noProof/>
            <w:webHidden/>
          </w:rPr>
          <w:fldChar w:fldCharType="begin"/>
        </w:r>
        <w:r>
          <w:rPr>
            <w:noProof/>
            <w:webHidden/>
          </w:rPr>
          <w:instrText xml:space="preserve"> PAGEREF _Toc217241694 \h </w:instrText>
        </w:r>
        <w:r>
          <w:rPr>
            <w:noProof/>
            <w:webHidden/>
          </w:rPr>
        </w:r>
        <w:r>
          <w:rPr>
            <w:noProof/>
            <w:webHidden/>
          </w:rPr>
          <w:fldChar w:fldCharType="separate"/>
        </w:r>
        <w:r>
          <w:rPr>
            <w:noProof/>
            <w:webHidden/>
          </w:rPr>
          <w:t>18</w:t>
        </w:r>
        <w:r>
          <w:rPr>
            <w:noProof/>
            <w:webHidden/>
          </w:rPr>
          <w:fldChar w:fldCharType="end"/>
        </w:r>
      </w:hyperlink>
    </w:p>
    <w:p w14:paraId="044179DC" w14:textId="78F9C5CE" w:rsidR="00912235" w:rsidRDefault="00912235">
      <w:pPr>
        <w:pStyle w:val="TableofFigures"/>
        <w:tabs>
          <w:tab w:val="right" w:leader="dot" w:pos="9350"/>
        </w:tabs>
        <w:rPr>
          <w:rFonts w:asciiTheme="minorHAnsi" w:eastAsiaTheme="minorEastAsia" w:hAnsiTheme="minorHAnsi"/>
          <w:noProof/>
          <w:lang w:val="en-US"/>
        </w:rPr>
      </w:pPr>
      <w:hyperlink w:anchor="_Toc217241695" w:history="1">
        <w:r w:rsidRPr="005C3763">
          <w:rPr>
            <w:rStyle w:val="Hyperlink"/>
            <w:noProof/>
          </w:rPr>
          <w:t>Figure 13: Australian DIY Digitalisation</w:t>
        </w:r>
        <w:r>
          <w:rPr>
            <w:noProof/>
            <w:webHidden/>
          </w:rPr>
          <w:tab/>
        </w:r>
        <w:r>
          <w:rPr>
            <w:noProof/>
            <w:webHidden/>
          </w:rPr>
          <w:fldChar w:fldCharType="begin"/>
        </w:r>
        <w:r>
          <w:rPr>
            <w:noProof/>
            <w:webHidden/>
          </w:rPr>
          <w:instrText xml:space="preserve"> PAGEREF _Toc217241695 \h </w:instrText>
        </w:r>
        <w:r>
          <w:rPr>
            <w:noProof/>
            <w:webHidden/>
          </w:rPr>
        </w:r>
        <w:r>
          <w:rPr>
            <w:noProof/>
            <w:webHidden/>
          </w:rPr>
          <w:fldChar w:fldCharType="separate"/>
        </w:r>
        <w:r>
          <w:rPr>
            <w:noProof/>
            <w:webHidden/>
          </w:rPr>
          <w:t>19</w:t>
        </w:r>
        <w:r>
          <w:rPr>
            <w:noProof/>
            <w:webHidden/>
          </w:rPr>
          <w:fldChar w:fldCharType="end"/>
        </w:r>
      </w:hyperlink>
    </w:p>
    <w:p w14:paraId="5EEC9681" w14:textId="5A34E659" w:rsidR="00912235" w:rsidRDefault="00912235">
      <w:pPr>
        <w:pStyle w:val="TableofFigures"/>
        <w:tabs>
          <w:tab w:val="right" w:leader="dot" w:pos="9350"/>
        </w:tabs>
        <w:rPr>
          <w:rFonts w:asciiTheme="minorHAnsi" w:eastAsiaTheme="minorEastAsia" w:hAnsiTheme="minorHAnsi"/>
          <w:noProof/>
          <w:lang w:val="en-US"/>
        </w:rPr>
      </w:pPr>
      <w:hyperlink w:anchor="_Toc217241696" w:history="1">
        <w:r w:rsidRPr="005C3763">
          <w:rPr>
            <w:rStyle w:val="Hyperlink"/>
            <w:noProof/>
          </w:rPr>
          <w:t>Figure 14: Sustainability-Driven Home Improvement</w:t>
        </w:r>
        <w:r>
          <w:rPr>
            <w:noProof/>
            <w:webHidden/>
          </w:rPr>
          <w:tab/>
        </w:r>
        <w:r>
          <w:rPr>
            <w:noProof/>
            <w:webHidden/>
          </w:rPr>
          <w:fldChar w:fldCharType="begin"/>
        </w:r>
        <w:r>
          <w:rPr>
            <w:noProof/>
            <w:webHidden/>
          </w:rPr>
          <w:instrText xml:space="preserve"> PAGEREF _Toc217241696 \h </w:instrText>
        </w:r>
        <w:r>
          <w:rPr>
            <w:noProof/>
            <w:webHidden/>
          </w:rPr>
        </w:r>
        <w:r>
          <w:rPr>
            <w:noProof/>
            <w:webHidden/>
          </w:rPr>
          <w:fldChar w:fldCharType="separate"/>
        </w:r>
        <w:r>
          <w:rPr>
            <w:noProof/>
            <w:webHidden/>
          </w:rPr>
          <w:t>20</w:t>
        </w:r>
        <w:r>
          <w:rPr>
            <w:noProof/>
            <w:webHidden/>
          </w:rPr>
          <w:fldChar w:fldCharType="end"/>
        </w:r>
      </w:hyperlink>
    </w:p>
    <w:p w14:paraId="3556CBCC" w14:textId="531303E3" w:rsidR="00912235" w:rsidRDefault="00912235">
      <w:pPr>
        <w:pStyle w:val="TableofFigures"/>
        <w:tabs>
          <w:tab w:val="right" w:leader="dot" w:pos="9350"/>
        </w:tabs>
        <w:rPr>
          <w:rFonts w:asciiTheme="minorHAnsi" w:eastAsiaTheme="minorEastAsia" w:hAnsiTheme="minorHAnsi"/>
          <w:noProof/>
          <w:lang w:val="en-US"/>
        </w:rPr>
      </w:pPr>
      <w:hyperlink w:anchor="_Toc217241697" w:history="1">
        <w:r w:rsidRPr="005C3763">
          <w:rPr>
            <w:rStyle w:val="Hyperlink"/>
            <w:noProof/>
          </w:rPr>
          <w:t>Figure 15: Porter’s Five Forces Analysis</w:t>
        </w:r>
        <w:r>
          <w:rPr>
            <w:noProof/>
            <w:webHidden/>
          </w:rPr>
          <w:tab/>
        </w:r>
        <w:r>
          <w:rPr>
            <w:noProof/>
            <w:webHidden/>
          </w:rPr>
          <w:fldChar w:fldCharType="begin"/>
        </w:r>
        <w:r>
          <w:rPr>
            <w:noProof/>
            <w:webHidden/>
          </w:rPr>
          <w:instrText xml:space="preserve"> PAGEREF _Toc217241697 \h </w:instrText>
        </w:r>
        <w:r>
          <w:rPr>
            <w:noProof/>
            <w:webHidden/>
          </w:rPr>
        </w:r>
        <w:r>
          <w:rPr>
            <w:noProof/>
            <w:webHidden/>
          </w:rPr>
          <w:fldChar w:fldCharType="separate"/>
        </w:r>
        <w:r>
          <w:rPr>
            <w:noProof/>
            <w:webHidden/>
          </w:rPr>
          <w:t>22</w:t>
        </w:r>
        <w:r>
          <w:rPr>
            <w:noProof/>
            <w:webHidden/>
          </w:rPr>
          <w:fldChar w:fldCharType="end"/>
        </w:r>
      </w:hyperlink>
    </w:p>
    <w:p w14:paraId="5DD53164" w14:textId="7170D4E9" w:rsidR="00912235" w:rsidRDefault="00912235">
      <w:pPr>
        <w:pStyle w:val="TableofFigures"/>
        <w:tabs>
          <w:tab w:val="right" w:leader="dot" w:pos="9350"/>
        </w:tabs>
        <w:rPr>
          <w:rFonts w:asciiTheme="minorHAnsi" w:eastAsiaTheme="minorEastAsia" w:hAnsiTheme="minorHAnsi"/>
          <w:noProof/>
          <w:lang w:val="en-US"/>
        </w:rPr>
      </w:pPr>
      <w:hyperlink w:anchor="_Toc217241698" w:history="1">
        <w:r w:rsidRPr="005C3763">
          <w:rPr>
            <w:rStyle w:val="Hyperlink"/>
            <w:noProof/>
          </w:rPr>
          <w:t>Figure 16: B&amp;Q Stores</w:t>
        </w:r>
        <w:r>
          <w:rPr>
            <w:noProof/>
            <w:webHidden/>
          </w:rPr>
          <w:tab/>
        </w:r>
        <w:r>
          <w:rPr>
            <w:noProof/>
            <w:webHidden/>
          </w:rPr>
          <w:fldChar w:fldCharType="begin"/>
        </w:r>
        <w:r>
          <w:rPr>
            <w:noProof/>
            <w:webHidden/>
          </w:rPr>
          <w:instrText xml:space="preserve"> PAGEREF _Toc217241698 \h </w:instrText>
        </w:r>
        <w:r>
          <w:rPr>
            <w:noProof/>
            <w:webHidden/>
          </w:rPr>
        </w:r>
        <w:r>
          <w:rPr>
            <w:noProof/>
            <w:webHidden/>
          </w:rPr>
          <w:fldChar w:fldCharType="separate"/>
        </w:r>
        <w:r>
          <w:rPr>
            <w:noProof/>
            <w:webHidden/>
          </w:rPr>
          <w:t>25</w:t>
        </w:r>
        <w:r>
          <w:rPr>
            <w:noProof/>
            <w:webHidden/>
          </w:rPr>
          <w:fldChar w:fldCharType="end"/>
        </w:r>
      </w:hyperlink>
    </w:p>
    <w:p w14:paraId="56D4B2D3" w14:textId="1E471C61" w:rsidR="00912235" w:rsidRDefault="00912235">
      <w:pPr>
        <w:pStyle w:val="TableofFigures"/>
        <w:tabs>
          <w:tab w:val="right" w:leader="dot" w:pos="9350"/>
        </w:tabs>
        <w:rPr>
          <w:rFonts w:asciiTheme="minorHAnsi" w:eastAsiaTheme="minorEastAsia" w:hAnsiTheme="minorHAnsi"/>
          <w:noProof/>
          <w:lang w:val="en-US"/>
        </w:rPr>
      </w:pPr>
      <w:hyperlink w:anchor="_Toc217241699" w:history="1">
        <w:r w:rsidRPr="005C3763">
          <w:rPr>
            <w:rStyle w:val="Hyperlink"/>
            <w:noProof/>
          </w:rPr>
          <w:t>Figure 17: Market Entry</w:t>
        </w:r>
        <w:r>
          <w:rPr>
            <w:noProof/>
            <w:webHidden/>
          </w:rPr>
          <w:tab/>
        </w:r>
        <w:r>
          <w:rPr>
            <w:noProof/>
            <w:webHidden/>
          </w:rPr>
          <w:fldChar w:fldCharType="begin"/>
        </w:r>
        <w:r>
          <w:rPr>
            <w:noProof/>
            <w:webHidden/>
          </w:rPr>
          <w:instrText xml:space="preserve"> PAGEREF _Toc217241699 \h </w:instrText>
        </w:r>
        <w:r>
          <w:rPr>
            <w:noProof/>
            <w:webHidden/>
          </w:rPr>
        </w:r>
        <w:r>
          <w:rPr>
            <w:noProof/>
            <w:webHidden/>
          </w:rPr>
          <w:fldChar w:fldCharType="separate"/>
        </w:r>
        <w:r>
          <w:rPr>
            <w:noProof/>
            <w:webHidden/>
          </w:rPr>
          <w:t>26</w:t>
        </w:r>
        <w:r>
          <w:rPr>
            <w:noProof/>
            <w:webHidden/>
          </w:rPr>
          <w:fldChar w:fldCharType="end"/>
        </w:r>
      </w:hyperlink>
    </w:p>
    <w:p w14:paraId="38DD3F44" w14:textId="2867A6CD" w:rsidR="00912235" w:rsidRDefault="00912235">
      <w:pPr>
        <w:pStyle w:val="TableofFigures"/>
        <w:tabs>
          <w:tab w:val="right" w:leader="dot" w:pos="9350"/>
        </w:tabs>
        <w:rPr>
          <w:rFonts w:asciiTheme="minorHAnsi" w:eastAsiaTheme="minorEastAsia" w:hAnsiTheme="minorHAnsi"/>
          <w:noProof/>
          <w:lang w:val="en-US"/>
        </w:rPr>
      </w:pPr>
      <w:hyperlink w:anchor="_Toc217241700" w:history="1">
        <w:r w:rsidRPr="005C3763">
          <w:rPr>
            <w:rStyle w:val="Hyperlink"/>
            <w:noProof/>
          </w:rPr>
          <w:t>Figure 18: Third-party sellers</w:t>
        </w:r>
        <w:r>
          <w:rPr>
            <w:noProof/>
            <w:webHidden/>
          </w:rPr>
          <w:tab/>
        </w:r>
        <w:r>
          <w:rPr>
            <w:noProof/>
            <w:webHidden/>
          </w:rPr>
          <w:fldChar w:fldCharType="begin"/>
        </w:r>
        <w:r>
          <w:rPr>
            <w:noProof/>
            <w:webHidden/>
          </w:rPr>
          <w:instrText xml:space="preserve"> PAGEREF _Toc217241700 \h </w:instrText>
        </w:r>
        <w:r>
          <w:rPr>
            <w:noProof/>
            <w:webHidden/>
          </w:rPr>
        </w:r>
        <w:r>
          <w:rPr>
            <w:noProof/>
            <w:webHidden/>
          </w:rPr>
          <w:fldChar w:fldCharType="separate"/>
        </w:r>
        <w:r>
          <w:rPr>
            <w:noProof/>
            <w:webHidden/>
          </w:rPr>
          <w:t>27</w:t>
        </w:r>
        <w:r>
          <w:rPr>
            <w:noProof/>
            <w:webHidden/>
          </w:rPr>
          <w:fldChar w:fldCharType="end"/>
        </w:r>
      </w:hyperlink>
    </w:p>
    <w:p w14:paraId="1AD0DBC9" w14:textId="07CDAE2A" w:rsidR="00912235" w:rsidRDefault="00912235">
      <w:pPr>
        <w:pStyle w:val="TableofFigures"/>
        <w:tabs>
          <w:tab w:val="right" w:leader="dot" w:pos="9350"/>
        </w:tabs>
        <w:rPr>
          <w:rFonts w:asciiTheme="minorHAnsi" w:eastAsiaTheme="minorEastAsia" w:hAnsiTheme="minorHAnsi"/>
          <w:noProof/>
          <w:lang w:val="en-US"/>
        </w:rPr>
      </w:pPr>
      <w:hyperlink w:anchor="_Toc217241701" w:history="1">
        <w:r w:rsidRPr="005C3763">
          <w:rPr>
            <w:rStyle w:val="Hyperlink"/>
            <w:noProof/>
          </w:rPr>
          <w:t>Figure 19: Generic Strategy</w:t>
        </w:r>
        <w:r>
          <w:rPr>
            <w:noProof/>
            <w:webHidden/>
          </w:rPr>
          <w:tab/>
        </w:r>
        <w:r>
          <w:rPr>
            <w:noProof/>
            <w:webHidden/>
          </w:rPr>
          <w:fldChar w:fldCharType="begin"/>
        </w:r>
        <w:r>
          <w:rPr>
            <w:noProof/>
            <w:webHidden/>
          </w:rPr>
          <w:instrText xml:space="preserve"> PAGEREF _Toc217241701 \h </w:instrText>
        </w:r>
        <w:r>
          <w:rPr>
            <w:noProof/>
            <w:webHidden/>
          </w:rPr>
        </w:r>
        <w:r>
          <w:rPr>
            <w:noProof/>
            <w:webHidden/>
          </w:rPr>
          <w:fldChar w:fldCharType="separate"/>
        </w:r>
        <w:r>
          <w:rPr>
            <w:noProof/>
            <w:webHidden/>
          </w:rPr>
          <w:t>28</w:t>
        </w:r>
        <w:r>
          <w:rPr>
            <w:noProof/>
            <w:webHidden/>
          </w:rPr>
          <w:fldChar w:fldCharType="end"/>
        </w:r>
      </w:hyperlink>
    </w:p>
    <w:p w14:paraId="598C7DD1" w14:textId="0F3DFBE5" w:rsidR="00912235" w:rsidRDefault="00912235">
      <w:pPr>
        <w:pStyle w:val="TableofFigures"/>
        <w:tabs>
          <w:tab w:val="right" w:leader="dot" w:pos="9350"/>
        </w:tabs>
        <w:rPr>
          <w:rFonts w:asciiTheme="minorHAnsi" w:eastAsiaTheme="minorEastAsia" w:hAnsiTheme="minorHAnsi"/>
          <w:noProof/>
          <w:lang w:val="en-US"/>
        </w:rPr>
      </w:pPr>
      <w:hyperlink w:anchor="_Toc217241702" w:history="1">
        <w:r w:rsidRPr="005C3763">
          <w:rPr>
            <w:rStyle w:val="Hyperlink"/>
            <w:noProof/>
          </w:rPr>
          <w:t>Figure 20: Affordable Expertise</w:t>
        </w:r>
        <w:r>
          <w:rPr>
            <w:noProof/>
            <w:webHidden/>
          </w:rPr>
          <w:tab/>
        </w:r>
        <w:r>
          <w:rPr>
            <w:noProof/>
            <w:webHidden/>
          </w:rPr>
          <w:fldChar w:fldCharType="begin"/>
        </w:r>
        <w:r>
          <w:rPr>
            <w:noProof/>
            <w:webHidden/>
          </w:rPr>
          <w:instrText xml:space="preserve"> PAGEREF _Toc217241702 \h </w:instrText>
        </w:r>
        <w:r>
          <w:rPr>
            <w:noProof/>
            <w:webHidden/>
          </w:rPr>
        </w:r>
        <w:r>
          <w:rPr>
            <w:noProof/>
            <w:webHidden/>
          </w:rPr>
          <w:fldChar w:fldCharType="separate"/>
        </w:r>
        <w:r>
          <w:rPr>
            <w:noProof/>
            <w:webHidden/>
          </w:rPr>
          <w:t>28</w:t>
        </w:r>
        <w:r>
          <w:rPr>
            <w:noProof/>
            <w:webHidden/>
          </w:rPr>
          <w:fldChar w:fldCharType="end"/>
        </w:r>
      </w:hyperlink>
    </w:p>
    <w:p w14:paraId="7DC3A5EC" w14:textId="7475BCAB" w:rsidR="00912235" w:rsidRDefault="00912235">
      <w:pPr>
        <w:pStyle w:val="TableofFigures"/>
        <w:tabs>
          <w:tab w:val="right" w:leader="dot" w:pos="9350"/>
        </w:tabs>
        <w:rPr>
          <w:rFonts w:asciiTheme="minorHAnsi" w:eastAsiaTheme="minorEastAsia" w:hAnsiTheme="minorHAnsi"/>
          <w:noProof/>
          <w:lang w:val="en-US"/>
        </w:rPr>
      </w:pPr>
      <w:hyperlink w:anchor="_Toc217241703" w:history="1">
        <w:r w:rsidRPr="005C3763">
          <w:rPr>
            <w:rStyle w:val="Hyperlink"/>
            <w:noProof/>
          </w:rPr>
          <w:t>Figure 21: Resource-Based View</w:t>
        </w:r>
        <w:r>
          <w:rPr>
            <w:noProof/>
            <w:webHidden/>
          </w:rPr>
          <w:tab/>
        </w:r>
        <w:r>
          <w:rPr>
            <w:noProof/>
            <w:webHidden/>
          </w:rPr>
          <w:fldChar w:fldCharType="begin"/>
        </w:r>
        <w:r>
          <w:rPr>
            <w:noProof/>
            <w:webHidden/>
          </w:rPr>
          <w:instrText xml:space="preserve"> PAGEREF _Toc217241703 \h </w:instrText>
        </w:r>
        <w:r>
          <w:rPr>
            <w:noProof/>
            <w:webHidden/>
          </w:rPr>
        </w:r>
        <w:r>
          <w:rPr>
            <w:noProof/>
            <w:webHidden/>
          </w:rPr>
          <w:fldChar w:fldCharType="separate"/>
        </w:r>
        <w:r>
          <w:rPr>
            <w:noProof/>
            <w:webHidden/>
          </w:rPr>
          <w:t>29</w:t>
        </w:r>
        <w:r>
          <w:rPr>
            <w:noProof/>
            <w:webHidden/>
          </w:rPr>
          <w:fldChar w:fldCharType="end"/>
        </w:r>
      </w:hyperlink>
    </w:p>
    <w:p w14:paraId="55C13742" w14:textId="55546FEE" w:rsidR="00912235" w:rsidRDefault="00912235">
      <w:pPr>
        <w:pStyle w:val="TableofFigures"/>
        <w:tabs>
          <w:tab w:val="right" w:leader="dot" w:pos="9350"/>
        </w:tabs>
        <w:rPr>
          <w:rFonts w:asciiTheme="minorHAnsi" w:eastAsiaTheme="minorEastAsia" w:hAnsiTheme="minorHAnsi"/>
          <w:noProof/>
          <w:lang w:val="en-US"/>
        </w:rPr>
      </w:pPr>
      <w:hyperlink w:anchor="_Toc217241704" w:history="1">
        <w:r w:rsidRPr="005C3763">
          <w:rPr>
            <w:rStyle w:val="Hyperlink"/>
            <w:noProof/>
          </w:rPr>
          <w:t>Figure 22: Value Proposition Development</w:t>
        </w:r>
        <w:r>
          <w:rPr>
            <w:noProof/>
            <w:webHidden/>
          </w:rPr>
          <w:tab/>
        </w:r>
        <w:r>
          <w:rPr>
            <w:noProof/>
            <w:webHidden/>
          </w:rPr>
          <w:fldChar w:fldCharType="begin"/>
        </w:r>
        <w:r>
          <w:rPr>
            <w:noProof/>
            <w:webHidden/>
          </w:rPr>
          <w:instrText xml:space="preserve"> PAGEREF _Toc217241704 \h </w:instrText>
        </w:r>
        <w:r>
          <w:rPr>
            <w:noProof/>
            <w:webHidden/>
          </w:rPr>
        </w:r>
        <w:r>
          <w:rPr>
            <w:noProof/>
            <w:webHidden/>
          </w:rPr>
          <w:fldChar w:fldCharType="separate"/>
        </w:r>
        <w:r>
          <w:rPr>
            <w:noProof/>
            <w:webHidden/>
          </w:rPr>
          <w:t>30</w:t>
        </w:r>
        <w:r>
          <w:rPr>
            <w:noProof/>
            <w:webHidden/>
          </w:rPr>
          <w:fldChar w:fldCharType="end"/>
        </w:r>
      </w:hyperlink>
    </w:p>
    <w:p w14:paraId="7071C7CC" w14:textId="58D2F102" w:rsidR="00912235" w:rsidRDefault="00912235">
      <w:pPr>
        <w:pStyle w:val="TableofFigures"/>
        <w:tabs>
          <w:tab w:val="right" w:leader="dot" w:pos="9350"/>
        </w:tabs>
        <w:rPr>
          <w:rFonts w:asciiTheme="minorHAnsi" w:eastAsiaTheme="minorEastAsia" w:hAnsiTheme="minorHAnsi"/>
          <w:noProof/>
          <w:lang w:val="en-US"/>
        </w:rPr>
      </w:pPr>
      <w:hyperlink w:anchor="_Toc217241705" w:history="1">
        <w:r w:rsidRPr="005C3763">
          <w:rPr>
            <w:rStyle w:val="Hyperlink"/>
            <w:noProof/>
          </w:rPr>
          <w:t>Figure 23: The 3 Pillars of Sustainability</w:t>
        </w:r>
        <w:r>
          <w:rPr>
            <w:noProof/>
            <w:webHidden/>
          </w:rPr>
          <w:tab/>
        </w:r>
        <w:r>
          <w:rPr>
            <w:noProof/>
            <w:webHidden/>
          </w:rPr>
          <w:fldChar w:fldCharType="begin"/>
        </w:r>
        <w:r>
          <w:rPr>
            <w:noProof/>
            <w:webHidden/>
          </w:rPr>
          <w:instrText xml:space="preserve"> PAGEREF _Toc217241705 \h </w:instrText>
        </w:r>
        <w:r>
          <w:rPr>
            <w:noProof/>
            <w:webHidden/>
          </w:rPr>
        </w:r>
        <w:r>
          <w:rPr>
            <w:noProof/>
            <w:webHidden/>
          </w:rPr>
          <w:fldChar w:fldCharType="separate"/>
        </w:r>
        <w:r>
          <w:rPr>
            <w:noProof/>
            <w:webHidden/>
          </w:rPr>
          <w:t>31</w:t>
        </w:r>
        <w:r>
          <w:rPr>
            <w:noProof/>
            <w:webHidden/>
          </w:rPr>
          <w:fldChar w:fldCharType="end"/>
        </w:r>
      </w:hyperlink>
    </w:p>
    <w:p w14:paraId="580AE1BB" w14:textId="2F49C31C" w:rsidR="00912235" w:rsidRDefault="00912235">
      <w:pPr>
        <w:pStyle w:val="TableofFigures"/>
        <w:tabs>
          <w:tab w:val="right" w:leader="dot" w:pos="9350"/>
        </w:tabs>
        <w:rPr>
          <w:rFonts w:asciiTheme="minorHAnsi" w:eastAsiaTheme="minorEastAsia" w:hAnsiTheme="minorHAnsi"/>
          <w:noProof/>
          <w:lang w:val="en-US"/>
        </w:rPr>
      </w:pPr>
      <w:hyperlink w:anchor="_Toc217241706" w:history="1">
        <w:r w:rsidRPr="005C3763">
          <w:rPr>
            <w:rStyle w:val="Hyperlink"/>
            <w:noProof/>
          </w:rPr>
          <w:t>Figure 24: Risks of Expanding a Business Internationally</w:t>
        </w:r>
        <w:r>
          <w:rPr>
            <w:noProof/>
            <w:webHidden/>
          </w:rPr>
          <w:tab/>
        </w:r>
        <w:r>
          <w:rPr>
            <w:noProof/>
            <w:webHidden/>
          </w:rPr>
          <w:fldChar w:fldCharType="begin"/>
        </w:r>
        <w:r>
          <w:rPr>
            <w:noProof/>
            <w:webHidden/>
          </w:rPr>
          <w:instrText xml:space="preserve"> PAGEREF _Toc217241706 \h </w:instrText>
        </w:r>
        <w:r>
          <w:rPr>
            <w:noProof/>
            <w:webHidden/>
          </w:rPr>
        </w:r>
        <w:r>
          <w:rPr>
            <w:noProof/>
            <w:webHidden/>
          </w:rPr>
          <w:fldChar w:fldCharType="separate"/>
        </w:r>
        <w:r>
          <w:rPr>
            <w:noProof/>
            <w:webHidden/>
          </w:rPr>
          <w:t>32</w:t>
        </w:r>
        <w:r>
          <w:rPr>
            <w:noProof/>
            <w:webHidden/>
          </w:rPr>
          <w:fldChar w:fldCharType="end"/>
        </w:r>
      </w:hyperlink>
    </w:p>
    <w:p w14:paraId="3482B041" w14:textId="0A71E111" w:rsidR="00912235" w:rsidRDefault="00912235">
      <w:pPr>
        <w:pStyle w:val="TableofFigures"/>
        <w:tabs>
          <w:tab w:val="right" w:leader="dot" w:pos="9350"/>
        </w:tabs>
        <w:rPr>
          <w:rFonts w:asciiTheme="minorHAnsi" w:eastAsiaTheme="minorEastAsia" w:hAnsiTheme="minorHAnsi"/>
          <w:noProof/>
          <w:lang w:val="en-US"/>
        </w:rPr>
      </w:pPr>
      <w:hyperlink w:anchor="_Toc217241707" w:history="1">
        <w:r w:rsidRPr="005C3763">
          <w:rPr>
            <w:rStyle w:val="Hyperlink"/>
            <w:noProof/>
          </w:rPr>
          <w:t>Figure 25: Balanced Scorecard</w:t>
        </w:r>
        <w:r>
          <w:rPr>
            <w:noProof/>
            <w:webHidden/>
          </w:rPr>
          <w:tab/>
        </w:r>
        <w:r>
          <w:rPr>
            <w:noProof/>
            <w:webHidden/>
          </w:rPr>
          <w:fldChar w:fldCharType="begin"/>
        </w:r>
        <w:r>
          <w:rPr>
            <w:noProof/>
            <w:webHidden/>
          </w:rPr>
          <w:instrText xml:space="preserve"> PAGEREF _Toc217241707 \h </w:instrText>
        </w:r>
        <w:r>
          <w:rPr>
            <w:noProof/>
            <w:webHidden/>
          </w:rPr>
        </w:r>
        <w:r>
          <w:rPr>
            <w:noProof/>
            <w:webHidden/>
          </w:rPr>
          <w:fldChar w:fldCharType="separate"/>
        </w:r>
        <w:r>
          <w:rPr>
            <w:noProof/>
            <w:webHidden/>
          </w:rPr>
          <w:t>33</w:t>
        </w:r>
        <w:r>
          <w:rPr>
            <w:noProof/>
            <w:webHidden/>
          </w:rPr>
          <w:fldChar w:fldCharType="end"/>
        </w:r>
      </w:hyperlink>
    </w:p>
    <w:p w14:paraId="14B087FB" w14:textId="5AD22A58" w:rsidR="00912235" w:rsidRDefault="00912235">
      <w:pPr>
        <w:pStyle w:val="TableofFigures"/>
        <w:tabs>
          <w:tab w:val="right" w:leader="dot" w:pos="9350"/>
        </w:tabs>
        <w:rPr>
          <w:rFonts w:asciiTheme="minorHAnsi" w:eastAsiaTheme="minorEastAsia" w:hAnsiTheme="minorHAnsi"/>
          <w:noProof/>
          <w:lang w:val="en-US"/>
        </w:rPr>
      </w:pPr>
      <w:hyperlink w:anchor="_Toc217241708" w:history="1">
        <w:r w:rsidRPr="005C3763">
          <w:rPr>
            <w:rStyle w:val="Hyperlink"/>
            <w:noProof/>
          </w:rPr>
          <w:t>Figure 26: Triple Bottom Line</w:t>
        </w:r>
        <w:r>
          <w:rPr>
            <w:noProof/>
            <w:webHidden/>
          </w:rPr>
          <w:tab/>
        </w:r>
        <w:r>
          <w:rPr>
            <w:noProof/>
            <w:webHidden/>
          </w:rPr>
          <w:fldChar w:fldCharType="begin"/>
        </w:r>
        <w:r>
          <w:rPr>
            <w:noProof/>
            <w:webHidden/>
          </w:rPr>
          <w:instrText xml:space="preserve"> PAGEREF _Toc217241708 \h </w:instrText>
        </w:r>
        <w:r>
          <w:rPr>
            <w:noProof/>
            <w:webHidden/>
          </w:rPr>
        </w:r>
        <w:r>
          <w:rPr>
            <w:noProof/>
            <w:webHidden/>
          </w:rPr>
          <w:fldChar w:fldCharType="separate"/>
        </w:r>
        <w:r>
          <w:rPr>
            <w:noProof/>
            <w:webHidden/>
          </w:rPr>
          <w:t>34</w:t>
        </w:r>
        <w:r>
          <w:rPr>
            <w:noProof/>
            <w:webHidden/>
          </w:rPr>
          <w:fldChar w:fldCharType="end"/>
        </w:r>
      </w:hyperlink>
    </w:p>
    <w:p w14:paraId="535D5DE8" w14:textId="21439B9F" w:rsidR="00912235" w:rsidRDefault="00912235">
      <w:pPr>
        <w:pStyle w:val="TableofFigures"/>
        <w:tabs>
          <w:tab w:val="right" w:leader="dot" w:pos="9350"/>
        </w:tabs>
        <w:rPr>
          <w:rFonts w:asciiTheme="minorHAnsi" w:eastAsiaTheme="minorEastAsia" w:hAnsiTheme="minorHAnsi"/>
          <w:noProof/>
          <w:lang w:val="en-US"/>
        </w:rPr>
      </w:pPr>
      <w:hyperlink w:anchor="_Toc217241709" w:history="1">
        <w:r w:rsidRPr="005C3763">
          <w:rPr>
            <w:rStyle w:val="Hyperlink"/>
            <w:noProof/>
          </w:rPr>
          <w:t>Figure 27: Financial Perspective</w:t>
        </w:r>
        <w:r>
          <w:rPr>
            <w:noProof/>
            <w:webHidden/>
          </w:rPr>
          <w:tab/>
        </w:r>
        <w:r>
          <w:rPr>
            <w:noProof/>
            <w:webHidden/>
          </w:rPr>
          <w:fldChar w:fldCharType="begin"/>
        </w:r>
        <w:r>
          <w:rPr>
            <w:noProof/>
            <w:webHidden/>
          </w:rPr>
          <w:instrText xml:space="preserve"> PAGEREF _Toc217241709 \h </w:instrText>
        </w:r>
        <w:r>
          <w:rPr>
            <w:noProof/>
            <w:webHidden/>
          </w:rPr>
        </w:r>
        <w:r>
          <w:rPr>
            <w:noProof/>
            <w:webHidden/>
          </w:rPr>
          <w:fldChar w:fldCharType="separate"/>
        </w:r>
        <w:r>
          <w:rPr>
            <w:noProof/>
            <w:webHidden/>
          </w:rPr>
          <w:t>35</w:t>
        </w:r>
        <w:r>
          <w:rPr>
            <w:noProof/>
            <w:webHidden/>
          </w:rPr>
          <w:fldChar w:fldCharType="end"/>
        </w:r>
      </w:hyperlink>
    </w:p>
    <w:p w14:paraId="3FE87030" w14:textId="10F407CF" w:rsidR="00912235" w:rsidRDefault="00912235">
      <w:pPr>
        <w:pStyle w:val="TableofFigures"/>
        <w:tabs>
          <w:tab w:val="right" w:leader="dot" w:pos="9350"/>
        </w:tabs>
        <w:rPr>
          <w:rFonts w:asciiTheme="minorHAnsi" w:eastAsiaTheme="minorEastAsia" w:hAnsiTheme="minorHAnsi"/>
          <w:noProof/>
          <w:lang w:val="en-US"/>
        </w:rPr>
      </w:pPr>
      <w:hyperlink w:anchor="_Toc217241710" w:history="1">
        <w:r w:rsidRPr="005C3763">
          <w:rPr>
            <w:rStyle w:val="Hyperlink"/>
            <w:noProof/>
          </w:rPr>
          <w:t>Figure 28: Customer Perspective</w:t>
        </w:r>
        <w:r>
          <w:rPr>
            <w:noProof/>
            <w:webHidden/>
          </w:rPr>
          <w:tab/>
        </w:r>
        <w:r>
          <w:rPr>
            <w:noProof/>
            <w:webHidden/>
          </w:rPr>
          <w:fldChar w:fldCharType="begin"/>
        </w:r>
        <w:r>
          <w:rPr>
            <w:noProof/>
            <w:webHidden/>
          </w:rPr>
          <w:instrText xml:space="preserve"> PAGEREF _Toc217241710 \h </w:instrText>
        </w:r>
        <w:r>
          <w:rPr>
            <w:noProof/>
            <w:webHidden/>
          </w:rPr>
        </w:r>
        <w:r>
          <w:rPr>
            <w:noProof/>
            <w:webHidden/>
          </w:rPr>
          <w:fldChar w:fldCharType="separate"/>
        </w:r>
        <w:r>
          <w:rPr>
            <w:noProof/>
            <w:webHidden/>
          </w:rPr>
          <w:t>36</w:t>
        </w:r>
        <w:r>
          <w:rPr>
            <w:noProof/>
            <w:webHidden/>
          </w:rPr>
          <w:fldChar w:fldCharType="end"/>
        </w:r>
      </w:hyperlink>
    </w:p>
    <w:p w14:paraId="5324B249" w14:textId="291A35A7" w:rsidR="00912235" w:rsidRDefault="00912235">
      <w:pPr>
        <w:pStyle w:val="TableofFigures"/>
        <w:tabs>
          <w:tab w:val="right" w:leader="dot" w:pos="9350"/>
        </w:tabs>
        <w:rPr>
          <w:rFonts w:asciiTheme="minorHAnsi" w:eastAsiaTheme="minorEastAsia" w:hAnsiTheme="minorHAnsi"/>
          <w:noProof/>
          <w:lang w:val="en-US"/>
        </w:rPr>
      </w:pPr>
      <w:hyperlink w:anchor="_Toc217241711" w:history="1">
        <w:r w:rsidRPr="005C3763">
          <w:rPr>
            <w:rStyle w:val="Hyperlink"/>
            <w:noProof/>
          </w:rPr>
          <w:t>Figure 29: Internal Process Perspective</w:t>
        </w:r>
        <w:r>
          <w:rPr>
            <w:noProof/>
            <w:webHidden/>
          </w:rPr>
          <w:tab/>
        </w:r>
        <w:r>
          <w:rPr>
            <w:noProof/>
            <w:webHidden/>
          </w:rPr>
          <w:fldChar w:fldCharType="begin"/>
        </w:r>
        <w:r>
          <w:rPr>
            <w:noProof/>
            <w:webHidden/>
          </w:rPr>
          <w:instrText xml:space="preserve"> PAGEREF _Toc217241711 \h </w:instrText>
        </w:r>
        <w:r>
          <w:rPr>
            <w:noProof/>
            <w:webHidden/>
          </w:rPr>
        </w:r>
        <w:r>
          <w:rPr>
            <w:noProof/>
            <w:webHidden/>
          </w:rPr>
          <w:fldChar w:fldCharType="separate"/>
        </w:r>
        <w:r>
          <w:rPr>
            <w:noProof/>
            <w:webHidden/>
          </w:rPr>
          <w:t>37</w:t>
        </w:r>
        <w:r>
          <w:rPr>
            <w:noProof/>
            <w:webHidden/>
          </w:rPr>
          <w:fldChar w:fldCharType="end"/>
        </w:r>
      </w:hyperlink>
    </w:p>
    <w:p w14:paraId="41D873FC" w14:textId="3BA745A6" w:rsidR="00912235" w:rsidRDefault="00912235">
      <w:pPr>
        <w:pStyle w:val="TableofFigures"/>
        <w:tabs>
          <w:tab w:val="right" w:leader="dot" w:pos="9350"/>
        </w:tabs>
        <w:rPr>
          <w:rFonts w:asciiTheme="minorHAnsi" w:eastAsiaTheme="minorEastAsia" w:hAnsiTheme="minorHAnsi"/>
          <w:noProof/>
          <w:lang w:val="en-US"/>
        </w:rPr>
      </w:pPr>
      <w:hyperlink w:anchor="_Toc217241712" w:history="1">
        <w:r w:rsidRPr="005C3763">
          <w:rPr>
            <w:rStyle w:val="Hyperlink"/>
            <w:noProof/>
          </w:rPr>
          <w:t>Figure 30: Learning and Growth Perspective</w:t>
        </w:r>
        <w:r>
          <w:rPr>
            <w:noProof/>
            <w:webHidden/>
          </w:rPr>
          <w:tab/>
        </w:r>
        <w:r>
          <w:rPr>
            <w:noProof/>
            <w:webHidden/>
          </w:rPr>
          <w:fldChar w:fldCharType="begin"/>
        </w:r>
        <w:r>
          <w:rPr>
            <w:noProof/>
            <w:webHidden/>
          </w:rPr>
          <w:instrText xml:space="preserve"> PAGEREF _Toc217241712 \h </w:instrText>
        </w:r>
        <w:r>
          <w:rPr>
            <w:noProof/>
            <w:webHidden/>
          </w:rPr>
        </w:r>
        <w:r>
          <w:rPr>
            <w:noProof/>
            <w:webHidden/>
          </w:rPr>
          <w:fldChar w:fldCharType="separate"/>
        </w:r>
        <w:r>
          <w:rPr>
            <w:noProof/>
            <w:webHidden/>
          </w:rPr>
          <w:t>38</w:t>
        </w:r>
        <w:r>
          <w:rPr>
            <w:noProof/>
            <w:webHidden/>
          </w:rPr>
          <w:fldChar w:fldCharType="end"/>
        </w:r>
      </w:hyperlink>
    </w:p>
    <w:p w14:paraId="697EF1F4" w14:textId="77777777" w:rsidR="00E463A5" w:rsidRDefault="00167EF3" w:rsidP="00912235">
      <w:pPr>
        <w:pStyle w:val="Heading1"/>
        <w:rPr>
          <w:bCs/>
          <w:szCs w:val="28"/>
        </w:rPr>
      </w:pPr>
      <w:r>
        <w:rPr>
          <w:bCs/>
          <w:szCs w:val="28"/>
        </w:rPr>
        <w:lastRenderedPageBreak/>
        <w:fldChar w:fldCharType="end"/>
      </w:r>
      <w:bookmarkStart w:id="0" w:name="_Toc217241715"/>
    </w:p>
    <w:p w14:paraId="07600288" w14:textId="75A5E414" w:rsidR="005B702F" w:rsidRPr="00912235" w:rsidRDefault="005B702F" w:rsidP="00912235">
      <w:pPr>
        <w:pStyle w:val="Heading1"/>
        <w:rPr>
          <w:bCs/>
          <w:szCs w:val="28"/>
        </w:rPr>
      </w:pPr>
      <w:r w:rsidRPr="005B702F">
        <w:rPr>
          <w:lang w:val="en-US"/>
        </w:rPr>
        <w:t>1. Selection of Organisation and Target Market</w:t>
      </w:r>
      <w:bookmarkEnd w:id="0"/>
    </w:p>
    <w:p w14:paraId="094DDDDF" w14:textId="77777777" w:rsidR="005B702F" w:rsidRPr="005B702F" w:rsidRDefault="005B702F" w:rsidP="005B702F">
      <w:pPr>
        <w:pStyle w:val="Heading2"/>
        <w:rPr>
          <w:lang w:val="en-US"/>
        </w:rPr>
      </w:pPr>
      <w:bookmarkStart w:id="1" w:name="_Toc217241716"/>
      <w:r w:rsidRPr="005B702F">
        <w:rPr>
          <w:lang w:val="en-US"/>
        </w:rPr>
        <w:t>1.1 Selected Organisation: B&amp;Q (Kingfisher Plc)</w:t>
      </w:r>
      <w:bookmarkEnd w:id="1"/>
    </w:p>
    <w:p w14:paraId="009745E0" w14:textId="3BFAB696" w:rsidR="00ED3959" w:rsidRDefault="00D376F8" w:rsidP="005B702F">
      <w:pPr>
        <w:rPr>
          <w:lang w:val="en-US"/>
        </w:rPr>
      </w:pPr>
      <w:r w:rsidRPr="00D376F8">
        <w:rPr>
          <w:lang w:val="en-US"/>
        </w:rPr>
        <w:t>B&amp;Q is the largest retailer in the home improvement and garden living industry in the United Kingdom, with over 300 retail outlets in the United Kingdom and Ireland as of 2025 (B&amp;Q, 2025). The enterprise has over 20 million customers each year with the facet off proposition offering a well-defined do</w:t>
      </w:r>
      <w:r w:rsidR="00F64B40" w:rsidRPr="00D376F8">
        <w:rPr>
          <w:lang w:val="en-US"/>
        </w:rPr>
        <w:t>-it</w:t>
      </w:r>
      <w:r w:rsidRPr="00D376F8">
        <w:rPr>
          <w:lang w:val="en-US"/>
        </w:rPr>
        <w:t>-yourself sort of products, specialist project guidance, and assist services (B&amp;Q, 2025). Operatively, B&amp;Q is embedded in Kingfisher plc, from which it benefits from economies of scale, a seasoned sourcing structure, and a proven multi-brand retail structure throughout the European market (Kingfisher Plc, 2025).</w:t>
      </w:r>
      <w:r w:rsidR="005B702F" w:rsidRPr="005B702F">
        <w:rPr>
          <w:lang w:val="en-US"/>
        </w:rPr>
        <w:t xml:space="preserve"> </w:t>
      </w:r>
    </w:p>
    <w:p w14:paraId="7879E17C" w14:textId="3790BE53" w:rsidR="00ED3959" w:rsidRDefault="00ED3959" w:rsidP="00ED3959">
      <w:pPr>
        <w:jc w:val="center"/>
        <w:rPr>
          <w:lang w:val="en-US"/>
        </w:rPr>
      </w:pPr>
      <w:r>
        <w:rPr>
          <w:noProof/>
        </w:rPr>
        <w:drawing>
          <wp:inline distT="0" distB="0" distL="0" distR="0" wp14:anchorId="3485C500" wp14:editId="10070602">
            <wp:extent cx="3562350" cy="3562350"/>
            <wp:effectExtent l="0" t="0" r="0" b="0"/>
            <wp:docPr id="251045499" name="Picture 1" descr="B&amp;Q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B&amp;Q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62350" cy="3562350"/>
                    </a:xfrm>
                    <a:prstGeom prst="rect">
                      <a:avLst/>
                    </a:prstGeom>
                    <a:noFill/>
                    <a:ln>
                      <a:noFill/>
                    </a:ln>
                  </pic:spPr>
                </pic:pic>
              </a:graphicData>
            </a:graphic>
          </wp:inline>
        </w:drawing>
      </w:r>
    </w:p>
    <w:p w14:paraId="08E2EE61" w14:textId="353F4EE4" w:rsidR="00ED3959" w:rsidRDefault="00ED3959" w:rsidP="00ED3959">
      <w:pPr>
        <w:pStyle w:val="Caption"/>
        <w:rPr>
          <w:lang w:val="en-US"/>
        </w:rPr>
      </w:pPr>
      <w:bookmarkStart w:id="2" w:name="_Toc217241683"/>
      <w:r>
        <w:t xml:space="preserve">Figure </w:t>
      </w:r>
      <w:r>
        <w:fldChar w:fldCharType="begin"/>
      </w:r>
      <w:r>
        <w:instrText xml:space="preserve"> SEQ Figure \* ARABIC </w:instrText>
      </w:r>
      <w:r>
        <w:fldChar w:fldCharType="separate"/>
      </w:r>
      <w:r w:rsidR="00237415">
        <w:rPr>
          <w:noProof/>
        </w:rPr>
        <w:t>1</w:t>
      </w:r>
      <w:r>
        <w:fldChar w:fldCharType="end"/>
      </w:r>
      <w:r>
        <w:t xml:space="preserve">: </w:t>
      </w:r>
      <w:r w:rsidRPr="001E4317">
        <w:t>B&amp;</w:t>
      </w:r>
      <w:r w:rsidR="00D376F8" w:rsidRPr="001E4317">
        <w:t xml:space="preserve">Q </w:t>
      </w:r>
      <w:r w:rsidR="00D376F8">
        <w:t>Logo</w:t>
      </w:r>
      <w:bookmarkEnd w:id="2"/>
    </w:p>
    <w:p w14:paraId="0B456BE9" w14:textId="1E87C92C" w:rsidR="005B702F" w:rsidRDefault="00C1619D" w:rsidP="005B702F">
      <w:pPr>
        <w:rPr>
          <w:lang w:val="en-US"/>
        </w:rPr>
      </w:pPr>
      <w:r w:rsidRPr="00C1619D">
        <w:rPr>
          <w:lang w:val="en-US"/>
        </w:rPr>
        <w:t xml:space="preserve">Most recent trading news indicates strength in core and high-value product lines, which can be explained by strategic actions in the e-commerce and trade arena. Kingfisher has </w:t>
      </w:r>
      <w:r w:rsidRPr="00C1619D">
        <w:rPr>
          <w:lang w:val="en-US"/>
        </w:rPr>
        <w:lastRenderedPageBreak/>
        <w:t>adjusted its adjusted profit before taxes in the year to profit of £5280million after growth in volume in UK and Ireland with like like sales increasing in B&amp;Q and screwfix (Alliance News, 2025). The changes highlight financial flexibility and operational also, which are critical in the case of international growth, with initial investments usually being drawn in prior to payback full (Tyukhtenko et al., 2024; Mbabu et al., 2024).</w:t>
      </w:r>
    </w:p>
    <w:p w14:paraId="17076F1A" w14:textId="441B784A" w:rsidR="00ED3959" w:rsidRDefault="00ED3959" w:rsidP="00ED3959">
      <w:pPr>
        <w:jc w:val="center"/>
        <w:rPr>
          <w:lang w:val="en-US"/>
        </w:rPr>
      </w:pPr>
      <w:r>
        <w:rPr>
          <w:noProof/>
        </w:rPr>
        <w:drawing>
          <wp:inline distT="0" distB="0" distL="0" distR="0" wp14:anchorId="6CE286EC" wp14:editId="7F4639C5">
            <wp:extent cx="4775685" cy="5772150"/>
            <wp:effectExtent l="0" t="0" r="6350" b="0"/>
            <wp:docPr id="808364106" name="Picture 1" descr="A screenshot of a white and blu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64106" name="Picture 1" descr="A screenshot of a white and blue page&#10;&#10;AI-generated content may be incorrect."/>
                    <pic:cNvPicPr/>
                  </pic:nvPicPr>
                  <pic:blipFill>
                    <a:blip r:embed="rId10"/>
                    <a:stretch>
                      <a:fillRect/>
                    </a:stretch>
                  </pic:blipFill>
                  <pic:spPr>
                    <a:xfrm>
                      <a:off x="0" y="0"/>
                      <a:ext cx="4777186" cy="5773964"/>
                    </a:xfrm>
                    <a:prstGeom prst="rect">
                      <a:avLst/>
                    </a:prstGeom>
                  </pic:spPr>
                </pic:pic>
              </a:graphicData>
            </a:graphic>
          </wp:inline>
        </w:drawing>
      </w:r>
    </w:p>
    <w:p w14:paraId="7EE5E3E3" w14:textId="3566F10F" w:rsidR="00ED3959" w:rsidRPr="005B702F" w:rsidRDefault="00ED3959" w:rsidP="00ED3959">
      <w:pPr>
        <w:pStyle w:val="Caption"/>
        <w:rPr>
          <w:lang w:val="en-US"/>
        </w:rPr>
      </w:pPr>
      <w:bookmarkStart w:id="3" w:name="_Toc217241684"/>
      <w:r>
        <w:t xml:space="preserve">Figure </w:t>
      </w:r>
      <w:r>
        <w:fldChar w:fldCharType="begin"/>
      </w:r>
      <w:r>
        <w:instrText xml:space="preserve"> SEQ Figure \* ARABIC </w:instrText>
      </w:r>
      <w:r>
        <w:fldChar w:fldCharType="separate"/>
      </w:r>
      <w:r w:rsidR="00237415">
        <w:rPr>
          <w:noProof/>
        </w:rPr>
        <w:t>2</w:t>
      </w:r>
      <w:r>
        <w:fldChar w:fldCharType="end"/>
      </w:r>
      <w:r>
        <w:t xml:space="preserve">: </w:t>
      </w:r>
      <w:r w:rsidRPr="004015A8">
        <w:t>Financial highlights</w:t>
      </w:r>
      <w:r>
        <w:t xml:space="preserve"> </w:t>
      </w:r>
      <w:r w:rsidRPr="00ED3959">
        <w:t>Kingfisher</w:t>
      </w:r>
      <w:bookmarkEnd w:id="3"/>
    </w:p>
    <w:p w14:paraId="602C8253" w14:textId="3EB72588" w:rsidR="006A6B52" w:rsidRDefault="00ED6142" w:rsidP="005B702F">
      <w:pPr>
        <w:rPr>
          <w:lang w:val="en-US"/>
        </w:rPr>
      </w:pPr>
      <w:r w:rsidRPr="00ED6142">
        <w:rPr>
          <w:lang w:val="en-US"/>
        </w:rPr>
        <w:t xml:space="preserve">From a strategic management perspective, B&amp;Q offers a good base to develop its market due to the high consumer brand recognition, the presence of an omnichannel </w:t>
      </w:r>
      <w:r w:rsidRPr="00ED6142">
        <w:rPr>
          <w:lang w:val="en-US"/>
        </w:rPr>
        <w:lastRenderedPageBreak/>
        <w:t>infrastructure, as well as the scalability of its marketplace model that enables the increase of products while reducing risk to inventory (B&amp;Q, 2025; Optimizon, 2024).</w:t>
      </w:r>
      <w:r w:rsidR="005B702F" w:rsidRPr="005B702F">
        <w:rPr>
          <w:lang w:val="en-US"/>
        </w:rPr>
        <w:t xml:space="preserve"> </w:t>
      </w:r>
      <w:r w:rsidR="00C63E01" w:rsidRPr="00C63E01">
        <w:rPr>
          <w:lang w:val="en-US"/>
        </w:rPr>
        <w:t>The B&amp;Q marketplace has new customer choice in excess of 1.2 million products whose foundation is an associated group of over 1,100 verified sellers. In 2023, diy.com received more than 320 million traffic. Sales made in the marketplace have made up 38% of the total B&amp;Q online sales by January 2024, highlighting the importance of platform-led growth to the digital mix of the firm (B&amp;Q, 2025).</w:t>
      </w:r>
      <w:r w:rsidR="005B702F" w:rsidRPr="005B702F">
        <w:rPr>
          <w:lang w:val="en-US"/>
        </w:rPr>
        <w:t xml:space="preserve"> </w:t>
      </w:r>
    </w:p>
    <w:p w14:paraId="118074CF" w14:textId="4F39B091" w:rsidR="006A6B52" w:rsidRDefault="006A6B52" w:rsidP="005B702F">
      <w:pPr>
        <w:rPr>
          <w:lang w:val="en-US"/>
        </w:rPr>
      </w:pPr>
      <w:r>
        <w:rPr>
          <w:noProof/>
        </w:rPr>
        <w:drawing>
          <wp:inline distT="0" distB="0" distL="0" distR="0" wp14:anchorId="733790CD" wp14:editId="0B2BA640">
            <wp:extent cx="5943600" cy="4731385"/>
            <wp:effectExtent l="0" t="0" r="0" b="0"/>
            <wp:docPr id="1782916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916221" name=""/>
                    <pic:cNvPicPr/>
                  </pic:nvPicPr>
                  <pic:blipFill>
                    <a:blip r:embed="rId11"/>
                    <a:stretch>
                      <a:fillRect/>
                    </a:stretch>
                  </pic:blipFill>
                  <pic:spPr>
                    <a:xfrm>
                      <a:off x="0" y="0"/>
                      <a:ext cx="5943600" cy="4731385"/>
                    </a:xfrm>
                    <a:prstGeom prst="rect">
                      <a:avLst/>
                    </a:prstGeom>
                  </pic:spPr>
                </pic:pic>
              </a:graphicData>
            </a:graphic>
          </wp:inline>
        </w:drawing>
      </w:r>
    </w:p>
    <w:p w14:paraId="199DEE6B" w14:textId="77123117" w:rsidR="006A6B52" w:rsidRDefault="006A6B52" w:rsidP="006A6B52">
      <w:pPr>
        <w:pStyle w:val="Caption"/>
        <w:rPr>
          <w:lang w:val="en-US"/>
        </w:rPr>
      </w:pPr>
      <w:bookmarkStart w:id="4" w:name="_Toc217241685"/>
      <w:r>
        <w:t xml:space="preserve">Figure </w:t>
      </w:r>
      <w:r>
        <w:fldChar w:fldCharType="begin"/>
      </w:r>
      <w:r>
        <w:instrText xml:space="preserve"> SEQ Figure \* ARABIC </w:instrText>
      </w:r>
      <w:r>
        <w:fldChar w:fldCharType="separate"/>
      </w:r>
      <w:r w:rsidR="00237415">
        <w:rPr>
          <w:noProof/>
        </w:rPr>
        <w:t>3</w:t>
      </w:r>
      <w:r>
        <w:fldChar w:fldCharType="end"/>
      </w:r>
      <w:r>
        <w:t xml:space="preserve">: </w:t>
      </w:r>
      <w:r w:rsidRPr="0005691C">
        <w:t>Marketplace at B&amp;Q</w:t>
      </w:r>
      <w:bookmarkEnd w:id="4"/>
    </w:p>
    <w:p w14:paraId="01499075" w14:textId="4D7F6982" w:rsidR="005B702F" w:rsidRDefault="00087440" w:rsidP="005B702F">
      <w:pPr>
        <w:rPr>
          <w:lang w:val="en-US"/>
        </w:rPr>
      </w:pPr>
      <w:r w:rsidRPr="00087440">
        <w:rPr>
          <w:lang w:val="en-US"/>
        </w:rPr>
        <w:t>The importance of such capability under internationalization agenda are its ability to allow rapid localization of product assortments, to offer coverage of long tail categories, to offer scalable online expansion and to have a comparatively lower fixed cost intensity to large format rollouts (Schellenberg, Harker, and Jafari, 2017; Kravets, 2025).</w:t>
      </w:r>
    </w:p>
    <w:p w14:paraId="6751F598" w14:textId="77777777" w:rsidR="00995756" w:rsidRPr="005B702F" w:rsidRDefault="00995756" w:rsidP="005B702F">
      <w:pPr>
        <w:rPr>
          <w:lang w:val="en-US"/>
        </w:rPr>
      </w:pPr>
    </w:p>
    <w:p w14:paraId="7E377E90" w14:textId="77777777" w:rsidR="005B702F" w:rsidRPr="005B702F" w:rsidRDefault="005B702F" w:rsidP="005B702F">
      <w:pPr>
        <w:pStyle w:val="Heading2"/>
        <w:rPr>
          <w:lang w:val="en-US"/>
        </w:rPr>
      </w:pPr>
      <w:bookmarkStart w:id="5" w:name="_Toc217241717"/>
      <w:r w:rsidRPr="005B702F">
        <w:rPr>
          <w:lang w:val="en-US"/>
        </w:rPr>
        <w:t>1.2 Proposed New International Market: Australia</w:t>
      </w:r>
      <w:bookmarkEnd w:id="5"/>
    </w:p>
    <w:p w14:paraId="485B0636" w14:textId="3B80B480" w:rsidR="00716417" w:rsidRDefault="00AF7CA0" w:rsidP="005B702F">
      <w:pPr>
        <w:rPr>
          <w:lang w:val="en-US"/>
        </w:rPr>
      </w:pPr>
      <w:r w:rsidRPr="00AF7CA0">
        <w:rPr>
          <w:lang w:val="en-US"/>
        </w:rPr>
        <w:t>The fact that Australia has integrated a large, diversified economy in home improvement and building supplies, a growing digital do it yourself channel, and core consumer drivers which combination are consistent with the B&amp;Q value proposition led to Australia being chosen as the new international market (Mackay and Perkins, 2016; IBISWorld, 2025). The size of the market is further supported by empirical values on market sizing and the opportunities of segmentation.</w:t>
      </w:r>
      <w:r w:rsidR="005B702F" w:rsidRPr="005B702F">
        <w:rPr>
          <w:lang w:val="en-US"/>
        </w:rPr>
        <w:t xml:space="preserve"> </w:t>
      </w:r>
    </w:p>
    <w:p w14:paraId="07E779E4" w14:textId="1361F1E4" w:rsidR="00716417" w:rsidRDefault="000C78C7" w:rsidP="005B702F">
      <w:pPr>
        <w:rPr>
          <w:lang w:val="en-US"/>
        </w:rPr>
      </w:pPr>
      <w:r>
        <w:rPr>
          <w:noProof/>
          <w:lang w:val="en-US"/>
        </w:rPr>
        <w:drawing>
          <wp:inline distT="0" distB="0" distL="0" distR="0" wp14:anchorId="37ECCD36" wp14:editId="0F3C324A">
            <wp:extent cx="6005195" cy="3230880"/>
            <wp:effectExtent l="0" t="0" r="0" b="7620"/>
            <wp:docPr id="185110209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05195" cy="3230880"/>
                    </a:xfrm>
                    <a:prstGeom prst="rect">
                      <a:avLst/>
                    </a:prstGeom>
                    <a:noFill/>
                  </pic:spPr>
                </pic:pic>
              </a:graphicData>
            </a:graphic>
          </wp:inline>
        </w:drawing>
      </w:r>
    </w:p>
    <w:p w14:paraId="22DBD442" w14:textId="30DC4E5F" w:rsidR="00EE2C80" w:rsidRDefault="00EE2C80" w:rsidP="00EE2C80">
      <w:pPr>
        <w:pStyle w:val="Caption"/>
        <w:rPr>
          <w:lang w:val="en-US"/>
        </w:rPr>
      </w:pPr>
      <w:bookmarkStart w:id="6" w:name="_Toc217241686"/>
      <w:r>
        <w:t xml:space="preserve">Figure </w:t>
      </w:r>
      <w:r>
        <w:fldChar w:fldCharType="begin"/>
      </w:r>
      <w:r>
        <w:instrText xml:space="preserve"> SEQ Figure \* ARABIC </w:instrText>
      </w:r>
      <w:r>
        <w:fldChar w:fldCharType="separate"/>
      </w:r>
      <w:r w:rsidR="00237415">
        <w:rPr>
          <w:noProof/>
        </w:rPr>
        <w:t>4</w:t>
      </w:r>
      <w:r>
        <w:fldChar w:fldCharType="end"/>
      </w:r>
      <w:r>
        <w:t xml:space="preserve">: </w:t>
      </w:r>
      <w:r w:rsidRPr="00E148C4">
        <w:t>Proposed New International Market: Australia</w:t>
      </w:r>
      <w:bookmarkEnd w:id="6"/>
    </w:p>
    <w:p w14:paraId="31FF6502" w14:textId="278EC601" w:rsidR="005B702F" w:rsidRDefault="003903E5" w:rsidP="005B702F">
      <w:pPr>
        <w:rPr>
          <w:lang w:val="en-US"/>
        </w:rPr>
      </w:pPr>
      <w:r w:rsidRPr="003903E5">
        <w:rPr>
          <w:lang w:val="en-US"/>
        </w:rPr>
        <w:t>In Australia, the value of the Home Improvement &amp; Gardening Products segment was worth USD 16,921.04 million in 2024 (GlobalData, 2025). Although this indicator noted a historical trend of declining 2.85% CAGR (2021-2024), it is expected that forward facing outlooks are for renewed growth in home improvement demand, with an Australia home improvement market growth estimate of 7.2% CAGR (2026-2035) (values reported in AUD billions) (GlobalData, 2025).</w:t>
      </w:r>
      <w:r w:rsidR="005B702F" w:rsidRPr="005B702F">
        <w:rPr>
          <w:lang w:val="en-US"/>
        </w:rPr>
        <w:t xml:space="preserve"> </w:t>
      </w:r>
      <w:r w:rsidR="0028144D" w:rsidRPr="0028144D">
        <w:rPr>
          <w:lang w:val="en-US"/>
        </w:rPr>
        <w:t xml:space="preserve">In the case of an entrant, this trend indicates that Australia can potentially be going through a period of post-boom </w:t>
      </w:r>
      <w:r w:rsidR="00FC425E" w:rsidRPr="0028144D">
        <w:rPr>
          <w:lang w:val="en-US"/>
        </w:rPr>
        <w:t>normalization</w:t>
      </w:r>
      <w:r w:rsidR="0028144D" w:rsidRPr="0028144D">
        <w:rPr>
          <w:lang w:val="en-US"/>
        </w:rPr>
        <w:t xml:space="preserve"> of an economy, then a new developmental cycle, creating a window of opportunity to allow a </w:t>
      </w:r>
      <w:r w:rsidR="0028144D" w:rsidRPr="0028144D">
        <w:rPr>
          <w:lang w:val="en-US"/>
        </w:rPr>
        <w:lastRenderedPageBreak/>
        <w:t>differentiated, digitally empowered operator to enter the market and create a market presence before the growth curve takes off (Al</w:t>
      </w:r>
      <w:r w:rsidR="0028144D" w:rsidRPr="0028144D">
        <w:rPr>
          <w:rFonts w:ascii="Cambria Math" w:hAnsi="Cambria Math" w:cs="Cambria Math"/>
          <w:lang w:val="en-US"/>
        </w:rPr>
        <w:t>‑</w:t>
      </w:r>
      <w:r w:rsidR="0028144D" w:rsidRPr="0028144D">
        <w:rPr>
          <w:lang w:val="en-US"/>
        </w:rPr>
        <w:t>Shammari, 2025; Mbabu et</w:t>
      </w:r>
      <w:r w:rsidR="0028144D" w:rsidRPr="0028144D">
        <w:rPr>
          <w:rFonts w:cs="Arial"/>
          <w:lang w:val="en-US"/>
        </w:rPr>
        <w:t> </w:t>
      </w:r>
      <w:r w:rsidR="0028144D" w:rsidRPr="0028144D">
        <w:rPr>
          <w:lang w:val="en-US"/>
        </w:rPr>
        <w:t>al., 2024).</w:t>
      </w:r>
    </w:p>
    <w:p w14:paraId="4471081B" w14:textId="251B1D2E" w:rsidR="005B702F" w:rsidRDefault="005B702F" w:rsidP="005B702F">
      <w:pPr>
        <w:rPr>
          <w:lang w:val="en-US"/>
        </w:rPr>
      </w:pPr>
      <w:r>
        <w:rPr>
          <w:noProof/>
        </w:rPr>
        <w:drawing>
          <wp:inline distT="0" distB="0" distL="0" distR="0" wp14:anchorId="1C3B301A" wp14:editId="5B77ED71">
            <wp:extent cx="5943600" cy="3129280"/>
            <wp:effectExtent l="0" t="0" r="0" b="0"/>
            <wp:docPr id="1068219710" name="Picture 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19710" name="Picture 1" descr="A graph of blue bars&#10;&#10;AI-generated content may be incorrect."/>
                    <pic:cNvPicPr/>
                  </pic:nvPicPr>
                  <pic:blipFill>
                    <a:blip r:embed="rId13"/>
                    <a:stretch>
                      <a:fillRect/>
                    </a:stretch>
                  </pic:blipFill>
                  <pic:spPr>
                    <a:xfrm>
                      <a:off x="0" y="0"/>
                      <a:ext cx="5943600" cy="3129280"/>
                    </a:xfrm>
                    <a:prstGeom prst="rect">
                      <a:avLst/>
                    </a:prstGeom>
                  </pic:spPr>
                </pic:pic>
              </a:graphicData>
            </a:graphic>
          </wp:inline>
        </w:drawing>
      </w:r>
    </w:p>
    <w:p w14:paraId="402CDB8C" w14:textId="4A6219BB" w:rsidR="00393F74" w:rsidRPr="005B702F" w:rsidRDefault="00393F74" w:rsidP="00393F74">
      <w:pPr>
        <w:pStyle w:val="Caption"/>
        <w:rPr>
          <w:lang w:val="en-US"/>
        </w:rPr>
      </w:pPr>
      <w:bookmarkStart w:id="7" w:name="_Toc217241687"/>
      <w:r>
        <w:t xml:space="preserve">Figure </w:t>
      </w:r>
      <w:r>
        <w:fldChar w:fldCharType="begin"/>
      </w:r>
      <w:r>
        <w:instrText xml:space="preserve"> SEQ Figure \* ARABIC </w:instrText>
      </w:r>
      <w:r>
        <w:fldChar w:fldCharType="separate"/>
      </w:r>
      <w:r w:rsidR="00237415">
        <w:rPr>
          <w:noProof/>
        </w:rPr>
        <w:t>5</w:t>
      </w:r>
      <w:r>
        <w:fldChar w:fldCharType="end"/>
      </w:r>
      <w:r>
        <w:t xml:space="preserve">: </w:t>
      </w:r>
      <w:r w:rsidRPr="00AF7113">
        <w:t xml:space="preserve">Australia Home </w:t>
      </w:r>
      <w:r w:rsidR="00DA7C3F" w:rsidRPr="00AF7113">
        <w:t xml:space="preserve">Improvement </w:t>
      </w:r>
      <w:r w:rsidR="00DA7C3F">
        <w:t>Market</w:t>
      </w:r>
      <w:bookmarkEnd w:id="7"/>
    </w:p>
    <w:p w14:paraId="2DD2C522" w14:textId="1FA7F862" w:rsidR="005B702F" w:rsidRDefault="00DA7C3F" w:rsidP="005B702F">
      <w:pPr>
        <w:rPr>
          <w:lang w:val="en-US"/>
        </w:rPr>
      </w:pPr>
      <w:r w:rsidRPr="00DA7C3F">
        <w:rPr>
          <w:lang w:val="en-US"/>
        </w:rPr>
        <w:t>The structure of the industry is also an indicator of strategic relevance. IBISWorld estimates that Australian Hardware and Building Supplies retailing generated revenue of AUD 31.3 billion in 2025, with revenue declining at an annualised rate of 1.3% over the previous five years, driven by cost of living pressures, interest rates and decreased construction activity in the process; however, the outlook is positive with a forecast of improvement as economic conditions and construction activity return, while large retailers look to grow their market share via store expansion and investments in online sales channels (IBISWorld, 2025).</w:t>
      </w:r>
      <w:r w:rsidR="005B702F" w:rsidRPr="005B702F">
        <w:rPr>
          <w:lang w:val="en-US"/>
        </w:rPr>
        <w:t xml:space="preserve"> </w:t>
      </w:r>
      <w:r w:rsidR="002800E8" w:rsidRPr="002800E8">
        <w:rPr>
          <w:lang w:val="en-US"/>
        </w:rPr>
        <w:t>The reason this is relevant to B&amp;Q is that it is an indication (i) that its market size is large, in absolute terms, (ii) that competition is becoming more intense, with digital capability and scale economies becoming increasingly important to competitive advantage; which are the two areas where the marketplace-based range expansion and omni-channel experience at B&amp;Q can be transferred to (B&amp;Q, 2025; Kravets, 2025).</w:t>
      </w:r>
    </w:p>
    <w:p w14:paraId="3455D37E" w14:textId="1867747C" w:rsidR="007C5348" w:rsidRDefault="007C5348" w:rsidP="005B702F">
      <w:pPr>
        <w:rPr>
          <w:lang w:val="en-US"/>
        </w:rPr>
      </w:pPr>
      <w:r>
        <w:rPr>
          <w:noProof/>
        </w:rPr>
        <w:lastRenderedPageBreak/>
        <w:drawing>
          <wp:inline distT="0" distB="0" distL="0" distR="0" wp14:anchorId="53EC6CD2" wp14:editId="7264C894">
            <wp:extent cx="5943600" cy="4695825"/>
            <wp:effectExtent l="0" t="0" r="0" b="9525"/>
            <wp:docPr id="57596042"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96042" name="Picture 1" descr="A graph of a bar chart&#10;&#10;AI-generated content may be incorrect."/>
                    <pic:cNvPicPr/>
                  </pic:nvPicPr>
                  <pic:blipFill>
                    <a:blip r:embed="rId14"/>
                    <a:stretch>
                      <a:fillRect/>
                    </a:stretch>
                  </pic:blipFill>
                  <pic:spPr>
                    <a:xfrm>
                      <a:off x="0" y="0"/>
                      <a:ext cx="5943600" cy="4695825"/>
                    </a:xfrm>
                    <a:prstGeom prst="rect">
                      <a:avLst/>
                    </a:prstGeom>
                  </pic:spPr>
                </pic:pic>
              </a:graphicData>
            </a:graphic>
          </wp:inline>
        </w:drawing>
      </w:r>
    </w:p>
    <w:p w14:paraId="0C53FEA8" w14:textId="5BD4EDCE" w:rsidR="00393F74" w:rsidRPr="005B702F" w:rsidRDefault="00393F74" w:rsidP="00393F74">
      <w:pPr>
        <w:pStyle w:val="Caption"/>
        <w:rPr>
          <w:lang w:val="en-US"/>
        </w:rPr>
      </w:pPr>
      <w:bookmarkStart w:id="8" w:name="_Toc217241688"/>
      <w:r>
        <w:t xml:space="preserve">Figure </w:t>
      </w:r>
      <w:r>
        <w:fldChar w:fldCharType="begin"/>
      </w:r>
      <w:r>
        <w:instrText xml:space="preserve"> SEQ Figure \* ARABIC </w:instrText>
      </w:r>
      <w:r>
        <w:fldChar w:fldCharType="separate"/>
      </w:r>
      <w:r w:rsidR="00237415">
        <w:rPr>
          <w:noProof/>
        </w:rPr>
        <w:t>6</w:t>
      </w:r>
      <w:r>
        <w:fldChar w:fldCharType="end"/>
      </w:r>
      <w:r>
        <w:t xml:space="preserve">: </w:t>
      </w:r>
      <w:r w:rsidRPr="005A2B92">
        <w:t>Australia Home Improvement</w:t>
      </w:r>
      <w:r>
        <w:t xml:space="preserve"> Market value</w:t>
      </w:r>
      <w:bookmarkEnd w:id="8"/>
    </w:p>
    <w:p w14:paraId="09E1872A" w14:textId="76D210D9" w:rsidR="005B702F" w:rsidRDefault="00067BA0" w:rsidP="005B702F">
      <w:pPr>
        <w:rPr>
          <w:lang w:val="en-US"/>
        </w:rPr>
      </w:pPr>
      <w:r w:rsidRPr="00067BA0">
        <w:rPr>
          <w:lang w:val="en-US"/>
        </w:rPr>
        <w:t>Australia's internet DIY channel is also developed enough which will allow for a digital-first entry path. The Australian DIY e-commerce market is worth USD 3,246 million in 2024 and is predicted to have a growth rate of 5 - 10% and a 5 - 10% growth forecast for 2024/25 (ECDB, 2025). Online penetration as a meaningful measure is neither saturated nor insignificant: online share is estimated at 10-15% in 2024 with a similar 10-15% forecast for 2025 (ECDB, 2025).</w:t>
      </w:r>
      <w:r w:rsidR="005B702F" w:rsidRPr="005B702F">
        <w:rPr>
          <w:lang w:val="en-US"/>
        </w:rPr>
        <w:t xml:space="preserve"> </w:t>
      </w:r>
      <w:r w:rsidR="00945202" w:rsidRPr="00945202">
        <w:rPr>
          <w:lang w:val="en-US"/>
        </w:rPr>
        <w:t>As perceived by B&amp;Q, the development also provides a positive runway that can enable a marketplace-led model to win market share under the conditions of consumers moving more and more toward DIY purchasing online, and its ability to maintain the possibility of future differentiation in an omnichannel by touch, service, and return-infrastructure (B&amp;Q, 2025; Schellenberg, Harker and Jafari, 2017).</w:t>
      </w:r>
    </w:p>
    <w:p w14:paraId="23C7D2F1" w14:textId="77777777" w:rsidR="005B702F" w:rsidRPr="005B702F" w:rsidRDefault="005B702F" w:rsidP="005B702F">
      <w:pPr>
        <w:rPr>
          <w:lang w:val="en-US"/>
        </w:rPr>
      </w:pPr>
    </w:p>
    <w:p w14:paraId="2C0B199F" w14:textId="035CC854" w:rsidR="005B702F" w:rsidRPr="005B702F" w:rsidRDefault="005B702F" w:rsidP="005B702F">
      <w:pPr>
        <w:pStyle w:val="Heading2"/>
        <w:rPr>
          <w:lang w:val="en-US"/>
        </w:rPr>
      </w:pPr>
      <w:bookmarkStart w:id="9" w:name="_Toc217241718"/>
      <w:r w:rsidRPr="005B702F">
        <w:rPr>
          <w:lang w:val="en-US"/>
        </w:rPr>
        <w:lastRenderedPageBreak/>
        <w:t>1.3 Strategic Justification for the B&amp;Q Australia Expansion</w:t>
      </w:r>
      <w:bookmarkEnd w:id="9"/>
    </w:p>
    <w:p w14:paraId="6DC24866" w14:textId="552FAAE5" w:rsidR="0010199E" w:rsidRDefault="0010199E" w:rsidP="00521FB1">
      <w:pPr>
        <w:pStyle w:val="Heading3"/>
        <w:rPr>
          <w:lang w:val="en-US"/>
        </w:rPr>
      </w:pPr>
      <w:bookmarkStart w:id="10" w:name="_Toc217241719"/>
      <w:r>
        <w:rPr>
          <w:lang w:val="en-US"/>
        </w:rPr>
        <w:t xml:space="preserve">1.3.1 </w:t>
      </w:r>
      <w:r w:rsidR="005B702F" w:rsidRPr="005B702F">
        <w:rPr>
          <w:lang w:val="en-US"/>
        </w:rPr>
        <w:t>Strategic fit (capabilities-to-market alignment)</w:t>
      </w:r>
      <w:bookmarkEnd w:id="10"/>
    </w:p>
    <w:p w14:paraId="7B843AE0" w14:textId="57E20C5B" w:rsidR="0010199E" w:rsidRDefault="0010199E" w:rsidP="005B702F">
      <w:pPr>
        <w:rPr>
          <w:lang w:val="en-US"/>
        </w:rPr>
      </w:pPr>
      <w:r>
        <w:rPr>
          <w:noProof/>
        </w:rPr>
        <w:drawing>
          <wp:inline distT="0" distB="0" distL="0" distR="0" wp14:anchorId="1600E03E" wp14:editId="280283A7">
            <wp:extent cx="5943600" cy="5544185"/>
            <wp:effectExtent l="0" t="0" r="0" b="0"/>
            <wp:docPr id="89560527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605271" name="Picture 1" descr="A screenshot of a website&#10;&#10;AI-generated content may be incorrect."/>
                    <pic:cNvPicPr/>
                  </pic:nvPicPr>
                  <pic:blipFill>
                    <a:blip r:embed="rId15"/>
                    <a:stretch>
                      <a:fillRect/>
                    </a:stretch>
                  </pic:blipFill>
                  <pic:spPr>
                    <a:xfrm>
                      <a:off x="0" y="0"/>
                      <a:ext cx="5943600" cy="5544185"/>
                    </a:xfrm>
                    <a:prstGeom prst="rect">
                      <a:avLst/>
                    </a:prstGeom>
                  </pic:spPr>
                </pic:pic>
              </a:graphicData>
            </a:graphic>
          </wp:inline>
        </w:drawing>
      </w:r>
    </w:p>
    <w:p w14:paraId="20EFBBC0" w14:textId="675ACF80" w:rsidR="0010199E" w:rsidRDefault="0010199E" w:rsidP="0010199E">
      <w:pPr>
        <w:pStyle w:val="Caption"/>
        <w:rPr>
          <w:lang w:val="en-US"/>
        </w:rPr>
      </w:pPr>
      <w:bookmarkStart w:id="11" w:name="_Toc217241689"/>
      <w:r>
        <w:t xml:space="preserve">Figure </w:t>
      </w:r>
      <w:r>
        <w:fldChar w:fldCharType="begin"/>
      </w:r>
      <w:r>
        <w:instrText xml:space="preserve"> SEQ Figure \* ARABIC </w:instrText>
      </w:r>
      <w:r>
        <w:fldChar w:fldCharType="separate"/>
      </w:r>
      <w:r w:rsidR="00237415">
        <w:rPr>
          <w:noProof/>
        </w:rPr>
        <w:t>7</w:t>
      </w:r>
      <w:r>
        <w:fldChar w:fldCharType="end"/>
      </w:r>
      <w:r>
        <w:t xml:space="preserve">: </w:t>
      </w:r>
      <w:r w:rsidRPr="00C95A57">
        <w:t>Broad Home Improvement Ranges</w:t>
      </w:r>
      <w:bookmarkEnd w:id="11"/>
    </w:p>
    <w:p w14:paraId="40E2A78D" w14:textId="38BAB28A" w:rsidR="005B702F" w:rsidRDefault="00521FB1" w:rsidP="005B702F">
      <w:pPr>
        <w:rPr>
          <w:lang w:val="en-US"/>
        </w:rPr>
      </w:pPr>
      <w:r w:rsidRPr="00521FB1">
        <w:rPr>
          <w:lang w:val="en-US"/>
        </w:rPr>
        <w:t xml:space="preserve">B&amp;Q's main capability is </w:t>
      </w:r>
      <w:r w:rsidR="00CA7B21" w:rsidRPr="00521FB1">
        <w:rPr>
          <w:lang w:val="en-US"/>
        </w:rPr>
        <w:t>home</w:t>
      </w:r>
      <w:r w:rsidRPr="00521FB1">
        <w:rPr>
          <w:lang w:val="en-US"/>
        </w:rPr>
        <w:t xml:space="preserve"> improvement accessibility based on the broad range of products, low value positioning of products and facilitating the project execution (B&amp;Q, 2025). In the Australian market, strong relevancy of Do It Yourself activities are noticeable which are assisted to a considerable addressable category base of tools, building materials, paint, plumbing and garden-related goods which parallels B&amp;Q's assortment </w:t>
      </w:r>
      <w:r w:rsidRPr="00521FB1">
        <w:rPr>
          <w:lang w:val="en-US"/>
        </w:rPr>
        <w:lastRenderedPageBreak/>
        <w:t>architecture (IBISWorld, 2025; GlobalData, 2025).</w:t>
      </w:r>
      <w:r w:rsidR="005B702F" w:rsidRPr="005B702F">
        <w:rPr>
          <w:lang w:val="en-US"/>
        </w:rPr>
        <w:t xml:space="preserve"> </w:t>
      </w:r>
      <w:r w:rsidR="00CA7B21" w:rsidRPr="00CA7B21">
        <w:rPr>
          <w:lang w:val="en-US"/>
        </w:rPr>
        <w:t xml:space="preserve">Marketplace model fits the Australian context more specifically because it can power the process of </w:t>
      </w:r>
      <w:r w:rsidR="00AC1E58" w:rsidRPr="00CA7B21">
        <w:rPr>
          <w:lang w:val="en-US"/>
        </w:rPr>
        <w:t>localization</w:t>
      </w:r>
      <w:r w:rsidR="00CA7B21" w:rsidRPr="00CA7B21">
        <w:rPr>
          <w:lang w:val="en-US"/>
        </w:rPr>
        <w:t xml:space="preserve"> faster by making products standards congruent, creating climate responsive garden lines, and sharpening capital discipline at the same time. This strategy is consistent with the empirical evidence that the strictness of strategic analysis and the contextual fit can significantly improve the quality of future strategic formulation (Al</w:t>
      </w:r>
      <w:r w:rsidR="00CA7B21" w:rsidRPr="00CA7B21">
        <w:rPr>
          <w:rFonts w:ascii="Cambria Math" w:hAnsi="Cambria Math" w:cs="Cambria Math"/>
          <w:lang w:val="en-US"/>
        </w:rPr>
        <w:t>‑</w:t>
      </w:r>
      <w:r w:rsidR="00CA7B21" w:rsidRPr="00CA7B21">
        <w:rPr>
          <w:lang w:val="en-US"/>
        </w:rPr>
        <w:t>Shammari, 2025; Heyes et</w:t>
      </w:r>
      <w:r w:rsidR="00CA7B21" w:rsidRPr="00CA7B21">
        <w:rPr>
          <w:rFonts w:cs="Arial"/>
          <w:lang w:val="en-US"/>
        </w:rPr>
        <w:t> </w:t>
      </w:r>
      <w:r w:rsidR="00CA7B21" w:rsidRPr="00CA7B21">
        <w:rPr>
          <w:lang w:val="en-US"/>
        </w:rPr>
        <w:t>al., 2023).</w:t>
      </w:r>
    </w:p>
    <w:p w14:paraId="67E6DC31" w14:textId="77777777" w:rsidR="0010199E" w:rsidRPr="005B702F" w:rsidRDefault="0010199E" w:rsidP="005B702F">
      <w:pPr>
        <w:rPr>
          <w:lang w:val="en-US"/>
        </w:rPr>
      </w:pPr>
    </w:p>
    <w:p w14:paraId="098A3C68" w14:textId="5264FCD1" w:rsidR="0010199E" w:rsidRDefault="0010199E" w:rsidP="00521FB1">
      <w:pPr>
        <w:pStyle w:val="Heading3"/>
        <w:rPr>
          <w:lang w:val="en-US"/>
        </w:rPr>
      </w:pPr>
      <w:bookmarkStart w:id="12" w:name="_Toc217241720"/>
      <w:r>
        <w:rPr>
          <w:lang w:val="en-US"/>
        </w:rPr>
        <w:t xml:space="preserve">1.3.2 </w:t>
      </w:r>
      <w:r w:rsidR="005B702F" w:rsidRPr="005B702F">
        <w:rPr>
          <w:lang w:val="en-US"/>
        </w:rPr>
        <w:t>Digital entry feasibility and scalable growth</w:t>
      </w:r>
      <w:bookmarkEnd w:id="12"/>
    </w:p>
    <w:p w14:paraId="330291B8" w14:textId="324AAC39" w:rsidR="00882FA8" w:rsidRDefault="00882FA8" w:rsidP="005B702F">
      <w:pPr>
        <w:rPr>
          <w:b/>
          <w:bCs/>
          <w:lang w:val="en-US"/>
        </w:rPr>
      </w:pPr>
      <w:r>
        <w:rPr>
          <w:noProof/>
        </w:rPr>
        <w:drawing>
          <wp:inline distT="0" distB="0" distL="0" distR="0" wp14:anchorId="75BDD9F3" wp14:editId="59F11836">
            <wp:extent cx="5943600" cy="3539490"/>
            <wp:effectExtent l="0" t="0" r="0" b="3810"/>
            <wp:docPr id="41668198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81989" name="Picture 1" descr="A screenshot of a computer screen&#10;&#10;AI-generated content may be incorrect."/>
                    <pic:cNvPicPr/>
                  </pic:nvPicPr>
                  <pic:blipFill>
                    <a:blip r:embed="rId16"/>
                    <a:stretch>
                      <a:fillRect/>
                    </a:stretch>
                  </pic:blipFill>
                  <pic:spPr>
                    <a:xfrm>
                      <a:off x="0" y="0"/>
                      <a:ext cx="5943600" cy="3539490"/>
                    </a:xfrm>
                    <a:prstGeom prst="rect">
                      <a:avLst/>
                    </a:prstGeom>
                  </pic:spPr>
                </pic:pic>
              </a:graphicData>
            </a:graphic>
          </wp:inline>
        </w:drawing>
      </w:r>
    </w:p>
    <w:p w14:paraId="65286680" w14:textId="0F48B2FE" w:rsidR="00882FA8" w:rsidRDefault="00882FA8" w:rsidP="00882FA8">
      <w:pPr>
        <w:pStyle w:val="Caption"/>
        <w:rPr>
          <w:b/>
          <w:bCs/>
          <w:lang w:val="en-US"/>
        </w:rPr>
      </w:pPr>
      <w:bookmarkStart w:id="13" w:name="_Toc217241690"/>
      <w:r>
        <w:t xml:space="preserve">Figure </w:t>
      </w:r>
      <w:r>
        <w:fldChar w:fldCharType="begin"/>
      </w:r>
      <w:r>
        <w:instrText xml:space="preserve"> SEQ Figure \* ARABIC </w:instrText>
      </w:r>
      <w:r>
        <w:fldChar w:fldCharType="separate"/>
      </w:r>
      <w:r w:rsidR="00237415">
        <w:rPr>
          <w:noProof/>
        </w:rPr>
        <w:t>8</w:t>
      </w:r>
      <w:r>
        <w:fldChar w:fldCharType="end"/>
      </w:r>
      <w:r>
        <w:t xml:space="preserve">: </w:t>
      </w:r>
      <w:r w:rsidRPr="00C23639">
        <w:t>Australian DIY E-Commerce Growth</w:t>
      </w:r>
      <w:bookmarkEnd w:id="13"/>
    </w:p>
    <w:p w14:paraId="5242AE4E" w14:textId="0B32A1DB" w:rsidR="005B702F" w:rsidRDefault="000444D8" w:rsidP="005B702F">
      <w:pPr>
        <w:rPr>
          <w:lang w:val="en-US"/>
        </w:rPr>
      </w:pPr>
      <w:r w:rsidRPr="000444D8">
        <w:rPr>
          <w:lang w:val="en-US"/>
        </w:rPr>
        <w:t xml:space="preserve">The Australian DIY e-Commerce market's revenue of $3,246m and 10-15% online share is indicative of a substantial and growing market that is going online (ECDB, 2025). B&amp;Q already has a high traffic, seller-enabled marketplace (320m annual visits; 1.2m products; 1100+ sellers; 38% of online sales from marketplace) which can be replicated with an Australia-focused marketplace approach with a selection of categories, increase seller base and range depth and plug in omnichannel touchpoints (service hubs, partnerships, </w:t>
      </w:r>
      <w:r w:rsidRPr="000444D8">
        <w:rPr>
          <w:lang w:val="en-US"/>
        </w:rPr>
        <w:lastRenderedPageBreak/>
        <w:t>or stores selective inclusions) once online traction is proven (B&amp;Q, 2025; Schellenberg, Harker et al, 2017).</w:t>
      </w:r>
      <w:r w:rsidR="005B702F" w:rsidRPr="005B702F">
        <w:rPr>
          <w:lang w:val="en-US"/>
        </w:rPr>
        <w:t xml:space="preserve"> </w:t>
      </w:r>
      <w:r w:rsidR="005D2130" w:rsidRPr="005D2130">
        <w:rPr>
          <w:lang w:val="en-US"/>
        </w:rPr>
        <w:t>This sequencing lessens the exposure to fixed-cost risk and provides the possibility to learn and adapt which is a crucial neo-need in fluid international surroundings (Tyukhtenko et al., 2024; Yuwono et al., 2024).</w:t>
      </w:r>
    </w:p>
    <w:p w14:paraId="55FFD838" w14:textId="77777777" w:rsidR="005D2130" w:rsidRPr="005B702F" w:rsidRDefault="005D2130" w:rsidP="005B702F">
      <w:pPr>
        <w:rPr>
          <w:lang w:val="en-US"/>
        </w:rPr>
      </w:pPr>
    </w:p>
    <w:p w14:paraId="40AE45E0" w14:textId="309C53AA" w:rsidR="0010199E" w:rsidRDefault="0010199E" w:rsidP="005D2130">
      <w:pPr>
        <w:pStyle w:val="Heading3"/>
        <w:rPr>
          <w:lang w:val="en-US"/>
        </w:rPr>
      </w:pPr>
      <w:bookmarkStart w:id="14" w:name="_Toc217241721"/>
      <w:r>
        <w:rPr>
          <w:lang w:val="en-US"/>
        </w:rPr>
        <w:t xml:space="preserve">1.3.3 </w:t>
      </w:r>
      <w:r w:rsidR="005B702F" w:rsidRPr="005B702F">
        <w:rPr>
          <w:lang w:val="en-US"/>
        </w:rPr>
        <w:t>Competitive and timing rationale</w:t>
      </w:r>
      <w:bookmarkEnd w:id="14"/>
    </w:p>
    <w:p w14:paraId="5D62B14B" w14:textId="036AC354" w:rsidR="000E7EA2" w:rsidRDefault="000E7EA2" w:rsidP="005B702F">
      <w:pPr>
        <w:rPr>
          <w:b/>
          <w:bCs/>
          <w:lang w:val="en-US"/>
        </w:rPr>
      </w:pPr>
      <w:r>
        <w:rPr>
          <w:noProof/>
        </w:rPr>
        <w:drawing>
          <wp:inline distT="0" distB="0" distL="0" distR="0" wp14:anchorId="31D421AB" wp14:editId="40912CC6">
            <wp:extent cx="5943600" cy="4871085"/>
            <wp:effectExtent l="0" t="0" r="0" b="5715"/>
            <wp:docPr id="1438796483" name="Picture 1"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796483" name="Picture 1" descr="A screenshot of a report&#10;&#10;AI-generated content may be incorrect."/>
                    <pic:cNvPicPr/>
                  </pic:nvPicPr>
                  <pic:blipFill>
                    <a:blip r:embed="rId17">
                      <a:extLst>
                        <a:ext uri="{BEBA8EAE-BF5A-486C-A8C5-ECC9F3942E4B}">
                          <a14:imgProps xmlns:a14="http://schemas.microsoft.com/office/drawing/2010/main">
                            <a14:imgLayer r:embed="rId18">
                              <a14:imgEffect>
                                <a14:colorTemperature colorTemp="4700"/>
                              </a14:imgEffect>
                            </a14:imgLayer>
                          </a14:imgProps>
                        </a:ext>
                      </a:extLst>
                    </a:blip>
                    <a:stretch>
                      <a:fillRect/>
                    </a:stretch>
                  </pic:blipFill>
                  <pic:spPr>
                    <a:xfrm>
                      <a:off x="0" y="0"/>
                      <a:ext cx="5943600" cy="4871085"/>
                    </a:xfrm>
                    <a:prstGeom prst="rect">
                      <a:avLst/>
                    </a:prstGeom>
                  </pic:spPr>
                </pic:pic>
              </a:graphicData>
            </a:graphic>
          </wp:inline>
        </w:drawing>
      </w:r>
    </w:p>
    <w:p w14:paraId="3042D165" w14:textId="56B97F36" w:rsidR="000E7EA2" w:rsidRDefault="000E7EA2" w:rsidP="000E7EA2">
      <w:pPr>
        <w:pStyle w:val="Caption"/>
        <w:rPr>
          <w:b/>
          <w:bCs/>
          <w:lang w:val="en-US"/>
        </w:rPr>
      </w:pPr>
      <w:bookmarkStart w:id="15" w:name="_Toc217241691"/>
      <w:r>
        <w:t xml:space="preserve">Figure </w:t>
      </w:r>
      <w:r>
        <w:fldChar w:fldCharType="begin"/>
      </w:r>
      <w:r>
        <w:instrText xml:space="preserve"> SEQ Figure \* ARABIC </w:instrText>
      </w:r>
      <w:r>
        <w:fldChar w:fldCharType="separate"/>
      </w:r>
      <w:r w:rsidR="00237415">
        <w:rPr>
          <w:noProof/>
        </w:rPr>
        <w:t>9</w:t>
      </w:r>
      <w:r>
        <w:fldChar w:fldCharType="end"/>
      </w:r>
      <w:r>
        <w:t xml:space="preserve">: </w:t>
      </w:r>
      <w:r w:rsidRPr="005F1008">
        <w:t>Competitive Australian DIY Market</w:t>
      </w:r>
      <w:bookmarkEnd w:id="15"/>
    </w:p>
    <w:p w14:paraId="7559CFF5" w14:textId="7565DFBF" w:rsidR="005B1B7B" w:rsidRPr="005B1B7B" w:rsidRDefault="001911AB" w:rsidP="005B1B7B">
      <w:pPr>
        <w:rPr>
          <w:lang w:val="en-US"/>
        </w:rPr>
      </w:pPr>
      <w:r w:rsidRPr="001911AB">
        <w:rPr>
          <w:lang w:val="en-US"/>
        </w:rPr>
        <w:t xml:space="preserve">The Australian market has a competitive landscape with large incumbents and strong online marketplaces. According to the Australian e Commerce Data Board (ECDB), a huge portion of online DIY revenue is concentrated in major platforms, with an example being amazon.com.au's reported USD 670 Million in online revenue for 2024 in the </w:t>
      </w:r>
      <w:r w:rsidRPr="001911AB">
        <w:rPr>
          <w:lang w:val="en-US"/>
        </w:rPr>
        <w:lastRenderedPageBreak/>
        <w:t>category of DIY e-Commerce. These findings therefore imply that breadth of product range and convenience of platform are influential determinants of consumer choice (ECDB, 2025).</w:t>
      </w:r>
      <w:r w:rsidR="005B702F" w:rsidRPr="005B702F">
        <w:rPr>
          <w:lang w:val="en-US"/>
        </w:rPr>
        <w:t xml:space="preserve"> </w:t>
      </w:r>
      <w:r w:rsidR="005B1B7B" w:rsidRPr="005B1B7B">
        <w:rPr>
          <w:lang w:val="en-US"/>
        </w:rPr>
        <w:t xml:space="preserve">The difference made by B&amp;Q is the integration of a marketplace assortment and a home improvement authority and a project-based customer experience, which is attributed to competitive advantage by market orientation and strategically planned marketing systems (Abderzag, 2021; Novita </w:t>
      </w:r>
      <w:r w:rsidR="00346AF2">
        <w:rPr>
          <w:lang w:val="en-US"/>
        </w:rPr>
        <w:t>et al.</w:t>
      </w:r>
      <w:r w:rsidR="005B1B7B" w:rsidRPr="005B1B7B">
        <w:rPr>
          <w:lang w:val="en-US"/>
        </w:rPr>
        <w:t>, 2020).</w:t>
      </w:r>
    </w:p>
    <w:p w14:paraId="6325B742" w14:textId="688CE2D8" w:rsidR="005B702F" w:rsidRPr="005B702F" w:rsidRDefault="005B1B7B" w:rsidP="005B1B7B">
      <w:pPr>
        <w:rPr>
          <w:lang w:val="en-US"/>
        </w:rPr>
      </w:pPr>
      <w:r w:rsidRPr="005B1B7B">
        <w:rPr>
          <w:lang w:val="en-US"/>
        </w:rPr>
        <w:t xml:space="preserve">Additionally, the profit improvement and sales increase on the basis of volumes in recent years of Kingfisher </w:t>
      </w:r>
      <w:r w:rsidR="00346AF2" w:rsidRPr="005B1B7B">
        <w:rPr>
          <w:lang w:val="en-US"/>
        </w:rPr>
        <w:t>help</w:t>
      </w:r>
      <w:r w:rsidRPr="005B1B7B">
        <w:rPr>
          <w:lang w:val="en-US"/>
        </w:rPr>
        <w:t xml:space="preserve"> justify the possibility of financing market testing experiments without significantly affecting the operations (Alliance News, 2025; Kingfisher Plc, 2025).</w:t>
      </w:r>
    </w:p>
    <w:p w14:paraId="38F43F69" w14:textId="7A607C78" w:rsidR="005B702F" w:rsidRPr="005B702F" w:rsidRDefault="00346AF2" w:rsidP="005B702F">
      <w:pPr>
        <w:rPr>
          <w:lang w:val="en-US"/>
        </w:rPr>
      </w:pPr>
      <w:r w:rsidRPr="00346AF2">
        <w:rPr>
          <w:lang w:val="en-US"/>
        </w:rPr>
        <w:t xml:space="preserve">In sum, the decision to focus on B&amp;Q and the Australian market is strategic in its justifiability as it is given the substantial magnitude of the opportunity (segment value USD 16,921.04 million; Australian hardware retailing AUD 31.3 billion), the potential for digital scalability (DIY e-commerce revenue USD 3,246 million; an online </w:t>
      </w:r>
      <w:r w:rsidR="00B92444" w:rsidRPr="00346AF2">
        <w:rPr>
          <w:lang w:val="en-US"/>
        </w:rPr>
        <w:t>market share</w:t>
      </w:r>
      <w:r w:rsidRPr="00346AF2">
        <w:rPr>
          <w:lang w:val="en-US"/>
        </w:rPr>
        <w:t xml:space="preserve"> ranging from 10% to 15%), and is consonant with B&amp;Q's empirically evidenced competencies in omnichannel retailing and marketplace-driven expansion </w:t>
      </w:r>
      <w:r w:rsidR="00B92444">
        <w:rPr>
          <w:lang w:val="en-US"/>
        </w:rPr>
        <w:t>(</w:t>
      </w:r>
      <w:r w:rsidRPr="00346AF2">
        <w:rPr>
          <w:lang w:val="en-US"/>
        </w:rPr>
        <w:t>GlobalData</w:t>
      </w:r>
      <w:r w:rsidR="00B92444">
        <w:rPr>
          <w:lang w:val="en-US"/>
        </w:rPr>
        <w:t xml:space="preserve">, </w:t>
      </w:r>
      <w:r w:rsidRPr="00346AF2">
        <w:rPr>
          <w:lang w:val="en-US"/>
        </w:rPr>
        <w:t>2025</w:t>
      </w:r>
      <w:r w:rsidR="00B92444">
        <w:rPr>
          <w:lang w:val="en-US"/>
        </w:rPr>
        <w:t>)</w:t>
      </w:r>
    </w:p>
    <w:p w14:paraId="194D1774" w14:textId="458ECBF2" w:rsidR="00613E26" w:rsidRDefault="00613E26" w:rsidP="0010199E">
      <w:pPr>
        <w:rPr>
          <w:lang w:val="en-US"/>
        </w:rPr>
      </w:pPr>
    </w:p>
    <w:p w14:paraId="388055BE" w14:textId="36CA8B1B" w:rsidR="000E7EA2" w:rsidRPr="006A6B52" w:rsidRDefault="006A6B52" w:rsidP="00B92444">
      <w:pPr>
        <w:pStyle w:val="Heading1"/>
        <w:rPr>
          <w:lang w:val="en-US"/>
        </w:rPr>
      </w:pPr>
      <w:bookmarkStart w:id="16" w:name="_Toc217241722"/>
      <w:r w:rsidRPr="006A6B52">
        <w:rPr>
          <w:lang w:val="en-US"/>
        </w:rPr>
        <w:t>2. Comprehensive Strategic Analysis for B&amp;Q’s Expansion into Australia</w:t>
      </w:r>
      <w:bookmarkEnd w:id="16"/>
    </w:p>
    <w:p w14:paraId="6EDE80A1" w14:textId="77777777" w:rsidR="006A6B52" w:rsidRPr="006A6B52" w:rsidRDefault="006A6B52" w:rsidP="00B92444">
      <w:pPr>
        <w:pStyle w:val="Heading2"/>
        <w:rPr>
          <w:lang w:val="en-US"/>
        </w:rPr>
      </w:pPr>
      <w:bookmarkStart w:id="17" w:name="_Toc217241723"/>
      <w:r w:rsidRPr="006A6B52">
        <w:rPr>
          <w:lang w:val="en-US"/>
        </w:rPr>
        <w:t>2.1 Macro-Environmental Analysis: PESTLE Framework</w:t>
      </w:r>
      <w:bookmarkEnd w:id="17"/>
    </w:p>
    <w:p w14:paraId="2900A2A2" w14:textId="722AF24D" w:rsidR="006A6B52" w:rsidRDefault="00E40583" w:rsidP="00B92444">
      <w:pPr>
        <w:pStyle w:val="Heading3"/>
        <w:rPr>
          <w:lang w:val="en-US"/>
        </w:rPr>
      </w:pPr>
      <w:bookmarkStart w:id="18" w:name="_Toc217241724"/>
      <w:r>
        <w:rPr>
          <w:lang w:val="en-US"/>
        </w:rPr>
        <w:t xml:space="preserve">2.1.1 </w:t>
      </w:r>
      <w:r w:rsidR="006A6B52" w:rsidRPr="006A6B52">
        <w:rPr>
          <w:lang w:val="en-US"/>
        </w:rPr>
        <w:t>Political factors</w:t>
      </w:r>
      <w:bookmarkEnd w:id="18"/>
    </w:p>
    <w:p w14:paraId="68F990CE" w14:textId="7F0160D4" w:rsidR="006A6B52" w:rsidRDefault="00064D58" w:rsidP="006A6B52">
      <w:pPr>
        <w:rPr>
          <w:lang w:val="en-US"/>
        </w:rPr>
      </w:pPr>
      <w:r w:rsidRPr="00064D58">
        <w:rPr>
          <w:lang w:val="en-US"/>
        </w:rPr>
        <w:t>Australia is a politically stable country which offers a transparent institutional environment and thus, breadth of sovereign risk among foreign retailers. However, the housing policy, infrastructure spending and planning regulations influence the home-improvement industry indirectly and condition the construction and renovation cycles. Therefore, growth choices in B&amp;Q should be less deterministic and instead adapt to policy-induced changes instead of assuming continuous growth (Gini and Agala, 2023; Value Consulting Partners, 2025).</w:t>
      </w:r>
    </w:p>
    <w:p w14:paraId="69954619" w14:textId="5E5E47AE" w:rsidR="00E40583" w:rsidRDefault="0029749B" w:rsidP="006A6B52">
      <w:pPr>
        <w:rPr>
          <w:lang w:val="en-US"/>
        </w:rPr>
      </w:pPr>
      <w:r>
        <w:rPr>
          <w:noProof/>
        </w:rPr>
        <w:lastRenderedPageBreak/>
        <w:drawing>
          <wp:inline distT="0" distB="0" distL="0" distR="0" wp14:anchorId="168EFD35" wp14:editId="2F548C30">
            <wp:extent cx="5943600" cy="4839335"/>
            <wp:effectExtent l="0" t="0" r="0" b="0"/>
            <wp:docPr id="2030650040" name="Picture 4" descr="Chapter one: Foundations for success | Foreign Policy White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Chapter one: Foundations for success | Foreign Policy White Pap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4839335"/>
                    </a:xfrm>
                    <a:prstGeom prst="rect">
                      <a:avLst/>
                    </a:prstGeom>
                    <a:noFill/>
                    <a:ln>
                      <a:noFill/>
                    </a:ln>
                  </pic:spPr>
                </pic:pic>
              </a:graphicData>
            </a:graphic>
          </wp:inline>
        </w:drawing>
      </w:r>
    </w:p>
    <w:p w14:paraId="738E82A9" w14:textId="0DEA0292" w:rsidR="0029749B" w:rsidRDefault="0029749B" w:rsidP="0029749B">
      <w:pPr>
        <w:pStyle w:val="Caption"/>
      </w:pPr>
      <w:bookmarkStart w:id="19" w:name="_Toc217241692"/>
      <w:r>
        <w:t xml:space="preserve">Figure </w:t>
      </w:r>
      <w:r>
        <w:fldChar w:fldCharType="begin"/>
      </w:r>
      <w:r>
        <w:instrText xml:space="preserve"> SEQ Figure \* ARABIC </w:instrText>
      </w:r>
      <w:r>
        <w:fldChar w:fldCharType="separate"/>
      </w:r>
      <w:r w:rsidR="00237415">
        <w:rPr>
          <w:noProof/>
        </w:rPr>
        <w:t>10</w:t>
      </w:r>
      <w:r>
        <w:fldChar w:fldCharType="end"/>
      </w:r>
      <w:r>
        <w:t xml:space="preserve">: </w:t>
      </w:r>
      <w:r w:rsidRPr="00320EAF">
        <w:t xml:space="preserve">Australia’s Stable </w:t>
      </w:r>
      <w:r>
        <w:t>Political</w:t>
      </w:r>
      <w:r w:rsidRPr="00320EAF">
        <w:t xml:space="preserve"> Environment</w:t>
      </w:r>
      <w:bookmarkEnd w:id="19"/>
    </w:p>
    <w:p w14:paraId="76E5401F" w14:textId="77777777" w:rsidR="0029749B" w:rsidRPr="006A6B52" w:rsidRDefault="0029749B" w:rsidP="0029749B">
      <w:pPr>
        <w:rPr>
          <w:lang w:val="en-US"/>
        </w:rPr>
      </w:pPr>
    </w:p>
    <w:p w14:paraId="0103BE9C" w14:textId="1383A26A" w:rsidR="006A6B52" w:rsidRDefault="00E40583" w:rsidP="00064D58">
      <w:pPr>
        <w:pStyle w:val="Heading3"/>
        <w:rPr>
          <w:lang w:val="en-US"/>
        </w:rPr>
      </w:pPr>
      <w:bookmarkStart w:id="20" w:name="_Toc217241725"/>
      <w:r>
        <w:rPr>
          <w:lang w:val="en-US"/>
        </w:rPr>
        <w:t xml:space="preserve">2.1.2 </w:t>
      </w:r>
      <w:r w:rsidR="006A6B52" w:rsidRPr="006A6B52">
        <w:rPr>
          <w:lang w:val="en-US"/>
        </w:rPr>
        <w:t>Economic factors</w:t>
      </w:r>
      <w:bookmarkEnd w:id="20"/>
    </w:p>
    <w:p w14:paraId="49351377" w14:textId="2E758F98" w:rsidR="006A6B52" w:rsidRDefault="00EC0A3D" w:rsidP="006A6B52">
      <w:pPr>
        <w:rPr>
          <w:lang w:val="en-US"/>
        </w:rPr>
      </w:pPr>
      <w:r w:rsidRPr="00EC0A3D">
        <w:rPr>
          <w:lang w:val="en-US"/>
        </w:rPr>
        <w:t>Australia is a large, though cyclic, market prospect. Home Improvement &amp; Gardening Products segment was worth USD 16,921.04: This was more dollars in 2024, but the period of 2021-2024 showed a compound annual growth of -2.85% denoting the post pandemic normalization and persistence of cost of living (GlobalData, 2025).</w:t>
      </w:r>
      <w:r w:rsidR="006A6B52" w:rsidRPr="006A6B52">
        <w:rPr>
          <w:lang w:val="en-US"/>
        </w:rPr>
        <w:t xml:space="preserve"> </w:t>
      </w:r>
      <w:r w:rsidR="007A68E4" w:rsidRPr="007A68E4">
        <w:rPr>
          <w:lang w:val="en-US"/>
        </w:rPr>
        <w:t xml:space="preserve">The hardware and building supplies retail industry is estimated to experience a slight decrease in total revenue, which will be AUD31.3billion by the year 2025 due to the increasing interest rates and slow pace of </w:t>
      </w:r>
      <w:r w:rsidR="00420105" w:rsidRPr="007A68E4">
        <w:rPr>
          <w:lang w:val="en-US"/>
        </w:rPr>
        <w:t>construction building</w:t>
      </w:r>
      <w:r w:rsidR="007A68E4" w:rsidRPr="007A68E4">
        <w:rPr>
          <w:lang w:val="en-US"/>
        </w:rPr>
        <w:t xml:space="preserve"> (IBISWorld,2025). Future projections suggest recovery with the Australian home-improvement sector bound to record a growth </w:t>
      </w:r>
      <w:r w:rsidR="007A68E4" w:rsidRPr="007A68E4">
        <w:rPr>
          <w:lang w:val="en-US"/>
        </w:rPr>
        <w:lastRenderedPageBreak/>
        <w:t>of 7.2% per annum over the period of 2026 to 2035 (GlobalData, 2025). This contrast of short-term shrinkage and medium-term growth forms the basis of a planned entry approach of B&amp;Q, thus limiting the fixed-cost risk and also aligning the company to mount a future recovery (Mbabu et al., 2024).</w:t>
      </w:r>
    </w:p>
    <w:p w14:paraId="1B8B2744" w14:textId="2C745D00" w:rsidR="004761BD" w:rsidRDefault="004761BD" w:rsidP="006A6B52">
      <w:pPr>
        <w:rPr>
          <w:lang w:val="en-US"/>
        </w:rPr>
      </w:pPr>
      <w:r>
        <w:rPr>
          <w:noProof/>
        </w:rPr>
        <w:drawing>
          <wp:inline distT="0" distB="0" distL="0" distR="0" wp14:anchorId="072089AB" wp14:editId="221F405D">
            <wp:extent cx="5943600" cy="3103245"/>
            <wp:effectExtent l="0" t="0" r="0" b="1905"/>
            <wp:docPr id="14672540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54017" name="Picture 1" descr="A screenshot of a computer&#10;&#10;AI-generated content may be incorrect."/>
                    <pic:cNvPicPr/>
                  </pic:nvPicPr>
                  <pic:blipFill>
                    <a:blip r:embed="rId20">
                      <a:extLst>
                        <a:ext uri="{BEBA8EAE-BF5A-486C-A8C5-ECC9F3942E4B}">
                          <a14:imgProps xmlns:a14="http://schemas.microsoft.com/office/drawing/2010/main">
                            <a14:imgLayer r:embed="rId21">
                              <a14:imgEffect>
                                <a14:colorTemperature colorTemp="8800"/>
                              </a14:imgEffect>
                            </a14:imgLayer>
                          </a14:imgProps>
                        </a:ext>
                      </a:extLst>
                    </a:blip>
                    <a:stretch>
                      <a:fillRect/>
                    </a:stretch>
                  </pic:blipFill>
                  <pic:spPr>
                    <a:xfrm>
                      <a:off x="0" y="0"/>
                      <a:ext cx="5943600" cy="3103245"/>
                    </a:xfrm>
                    <a:prstGeom prst="rect">
                      <a:avLst/>
                    </a:prstGeom>
                  </pic:spPr>
                </pic:pic>
              </a:graphicData>
            </a:graphic>
          </wp:inline>
        </w:drawing>
      </w:r>
    </w:p>
    <w:p w14:paraId="7254C156" w14:textId="7D7147D8" w:rsidR="004761BD" w:rsidRDefault="004761BD" w:rsidP="004761BD">
      <w:pPr>
        <w:pStyle w:val="Caption"/>
      </w:pPr>
      <w:bookmarkStart w:id="21" w:name="_Toc217241693"/>
      <w:r>
        <w:t xml:space="preserve">Figure </w:t>
      </w:r>
      <w:r>
        <w:fldChar w:fldCharType="begin"/>
      </w:r>
      <w:r>
        <w:instrText xml:space="preserve"> SEQ Figure \* ARABIC </w:instrText>
      </w:r>
      <w:r>
        <w:fldChar w:fldCharType="separate"/>
      </w:r>
      <w:r w:rsidR="00237415">
        <w:rPr>
          <w:noProof/>
        </w:rPr>
        <w:t>11</w:t>
      </w:r>
      <w:r>
        <w:fldChar w:fldCharType="end"/>
      </w:r>
      <w:r>
        <w:t xml:space="preserve">: </w:t>
      </w:r>
      <w:r w:rsidRPr="008B7A2D">
        <w:t>Australia Home Improvement Outlook</w:t>
      </w:r>
      <w:bookmarkEnd w:id="21"/>
    </w:p>
    <w:p w14:paraId="2C14892A" w14:textId="77777777" w:rsidR="004761BD" w:rsidRPr="006A6B52" w:rsidRDefault="004761BD" w:rsidP="004761BD">
      <w:pPr>
        <w:rPr>
          <w:lang w:val="en-US"/>
        </w:rPr>
      </w:pPr>
    </w:p>
    <w:p w14:paraId="2FC9E3C5" w14:textId="7B7C800A" w:rsidR="006A6B52" w:rsidRDefault="00E40583" w:rsidP="00420105">
      <w:pPr>
        <w:pStyle w:val="Heading3"/>
        <w:rPr>
          <w:lang w:val="en-US"/>
        </w:rPr>
      </w:pPr>
      <w:bookmarkStart w:id="22" w:name="_Toc217241726"/>
      <w:r>
        <w:rPr>
          <w:lang w:val="en-US"/>
        </w:rPr>
        <w:t xml:space="preserve">2.1.3 </w:t>
      </w:r>
      <w:r w:rsidR="006A6B52" w:rsidRPr="006A6B52">
        <w:rPr>
          <w:lang w:val="en-US"/>
        </w:rPr>
        <w:t>Social factors</w:t>
      </w:r>
      <w:bookmarkEnd w:id="22"/>
    </w:p>
    <w:p w14:paraId="143893E6" w14:textId="34621A5B" w:rsidR="006A6B52" w:rsidRDefault="00E5427E" w:rsidP="006A6B52">
      <w:pPr>
        <w:rPr>
          <w:lang w:val="en-US"/>
        </w:rPr>
      </w:pPr>
      <w:r w:rsidRPr="00E5427E">
        <w:rPr>
          <w:lang w:val="en-US"/>
        </w:rPr>
        <w:t>The habit of do-it-yourself (DIY) is still culturally embedded in the developed housing markets, but the modern consumer behaviour is giving alopizess uppermost to convenience, affordability and confidence in the project rather than just basis of economical saving (Mackay et al., 2016).</w:t>
      </w:r>
      <w:r w:rsidR="006A6B52" w:rsidRPr="006A6B52">
        <w:rPr>
          <w:lang w:val="en-US"/>
        </w:rPr>
        <w:t xml:space="preserve"> </w:t>
      </w:r>
      <w:r w:rsidR="002963C0" w:rsidRPr="002963C0">
        <w:rPr>
          <w:lang w:val="en-US"/>
        </w:rPr>
        <w:t>The Australian branch of buyers cannot be described as any less mindful about sustainability and ethical sourcing, though, housing-related purchases attract their attention the most (Han, 2023). The offer of B&amp;Q, including value-oriented products, professional counseling, and service support, fits these societal biases, which means that there is a strong strategic fit as long as localisation is implemented efficiently (B&amp;Q, 2025).</w:t>
      </w:r>
    </w:p>
    <w:p w14:paraId="43746204" w14:textId="2FBBBD18" w:rsidR="004761BD" w:rsidRDefault="004761BD" w:rsidP="002963C0">
      <w:pPr>
        <w:jc w:val="center"/>
        <w:rPr>
          <w:lang w:val="en-US"/>
        </w:rPr>
      </w:pPr>
      <w:r>
        <w:rPr>
          <w:noProof/>
          <w:lang w:val="en-US"/>
        </w:rPr>
        <w:lastRenderedPageBreak/>
        <w:drawing>
          <wp:inline distT="0" distB="0" distL="0" distR="0" wp14:anchorId="2BEC7A35" wp14:editId="74C95071">
            <wp:extent cx="3529955" cy="7486650"/>
            <wp:effectExtent l="0" t="0" r="0" b="0"/>
            <wp:docPr id="13826560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48254" cy="7525461"/>
                    </a:xfrm>
                    <a:prstGeom prst="rect">
                      <a:avLst/>
                    </a:prstGeom>
                    <a:noFill/>
                  </pic:spPr>
                </pic:pic>
              </a:graphicData>
            </a:graphic>
          </wp:inline>
        </w:drawing>
      </w:r>
    </w:p>
    <w:p w14:paraId="3AFC8FBF" w14:textId="44885EA6" w:rsidR="004761BD" w:rsidRDefault="004761BD" w:rsidP="0036406C">
      <w:pPr>
        <w:pStyle w:val="Caption"/>
      </w:pPr>
      <w:bookmarkStart w:id="23" w:name="_Toc217241694"/>
      <w:r>
        <w:t xml:space="preserve">Figure </w:t>
      </w:r>
      <w:r>
        <w:fldChar w:fldCharType="begin"/>
      </w:r>
      <w:r>
        <w:instrText xml:space="preserve"> SEQ Figure \* ARABIC </w:instrText>
      </w:r>
      <w:r>
        <w:fldChar w:fldCharType="separate"/>
      </w:r>
      <w:r w:rsidR="00237415">
        <w:rPr>
          <w:noProof/>
        </w:rPr>
        <w:t>12</w:t>
      </w:r>
      <w:r>
        <w:fldChar w:fldCharType="end"/>
      </w:r>
      <w:r>
        <w:t xml:space="preserve">: </w:t>
      </w:r>
      <w:r w:rsidRPr="00F06181">
        <w:t>Social Drivers of DIY</w:t>
      </w:r>
      <w:bookmarkEnd w:id="23"/>
    </w:p>
    <w:p w14:paraId="31282E1D" w14:textId="77777777" w:rsidR="0036406C" w:rsidRPr="006A6B52" w:rsidRDefault="0036406C" w:rsidP="0036406C"/>
    <w:p w14:paraId="56D9C106" w14:textId="12B70D1E" w:rsidR="006A6B52" w:rsidRDefault="004761BD" w:rsidP="0036406C">
      <w:pPr>
        <w:pStyle w:val="Heading3"/>
        <w:rPr>
          <w:lang w:val="en-US"/>
        </w:rPr>
      </w:pPr>
      <w:bookmarkStart w:id="24" w:name="_Toc217241727"/>
      <w:r>
        <w:rPr>
          <w:lang w:val="en-US"/>
        </w:rPr>
        <w:lastRenderedPageBreak/>
        <w:t xml:space="preserve">2.1.4 </w:t>
      </w:r>
      <w:r w:rsidR="006A6B52" w:rsidRPr="006A6B52">
        <w:rPr>
          <w:lang w:val="en-US"/>
        </w:rPr>
        <w:t>Technological factors</w:t>
      </w:r>
      <w:bookmarkEnd w:id="24"/>
    </w:p>
    <w:p w14:paraId="598EA5F6" w14:textId="0950BE0D" w:rsidR="006A6B52" w:rsidRDefault="00D96BA6" w:rsidP="006A6B52">
      <w:pPr>
        <w:rPr>
          <w:lang w:val="en-US"/>
        </w:rPr>
      </w:pPr>
      <w:r w:rsidRPr="00D96BA6">
        <w:rPr>
          <w:lang w:val="en-US"/>
        </w:rPr>
        <w:t>The digital change is reshaping the Australian do-it-yourself sector. In 2024, the e-comm sub-segment of DIY infield appears to have generated about USD 3246 billion USD, whereas online penetration was estimated to fall between 10</w:t>
      </w:r>
      <w:r>
        <w:rPr>
          <w:lang w:val="en-US"/>
        </w:rPr>
        <w:t>%</w:t>
      </w:r>
      <w:r w:rsidRPr="00D96BA6">
        <w:rPr>
          <w:lang w:val="en-US"/>
        </w:rPr>
        <w:t xml:space="preserve"> and 15</w:t>
      </w:r>
      <w:r>
        <w:rPr>
          <w:lang w:val="en-US"/>
        </w:rPr>
        <w:t>%</w:t>
      </w:r>
      <w:r w:rsidRPr="00D96BA6">
        <w:rPr>
          <w:lang w:val="en-US"/>
        </w:rPr>
        <w:t>, implying that there are currently significant but still emergent levels of adoption (ECDB, 2025). This backdrop setting promotes competitive advantage for retailers who have scalable omnichannel and marketplace infrastructure in place.</w:t>
      </w:r>
      <w:r w:rsidR="006A6B52" w:rsidRPr="006A6B52">
        <w:rPr>
          <w:lang w:val="en-US"/>
        </w:rPr>
        <w:t xml:space="preserve"> </w:t>
      </w:r>
      <w:r w:rsidR="00CF2AFD" w:rsidRPr="00CF2AFD">
        <w:rPr>
          <w:lang w:val="en-US"/>
        </w:rPr>
        <w:t>In this regard, the model of marketplace introduced by B&amp;Q, which is based on growth of its product offering in the shortest time possible by using third-party sellers, is particularly relevant, as it allows accelerating the localisation process and creating an improved merchandising strategy, which relies on data (B&amp;Q, 2025; Optimizon, 2024; Kravets, 2025).</w:t>
      </w:r>
    </w:p>
    <w:p w14:paraId="095779AF" w14:textId="0EC01165" w:rsidR="004761BD" w:rsidRDefault="00082FB3" w:rsidP="00082FB3">
      <w:pPr>
        <w:jc w:val="center"/>
        <w:rPr>
          <w:lang w:val="en-US"/>
        </w:rPr>
      </w:pPr>
      <w:r>
        <w:rPr>
          <w:noProof/>
        </w:rPr>
        <w:drawing>
          <wp:inline distT="0" distB="0" distL="0" distR="0" wp14:anchorId="79680377" wp14:editId="3DD6D364">
            <wp:extent cx="5943600" cy="2153920"/>
            <wp:effectExtent l="0" t="0" r="0" b="0"/>
            <wp:docPr id="16206374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3746" name="Picture 1" descr="A screenshot of a website&#10;&#10;AI-generated content may be incorrect."/>
                    <pic:cNvPicPr/>
                  </pic:nvPicPr>
                  <pic:blipFill>
                    <a:blip r:embed="rId23"/>
                    <a:stretch>
                      <a:fillRect/>
                    </a:stretch>
                  </pic:blipFill>
                  <pic:spPr>
                    <a:xfrm>
                      <a:off x="0" y="0"/>
                      <a:ext cx="5943600" cy="2153920"/>
                    </a:xfrm>
                    <a:prstGeom prst="rect">
                      <a:avLst/>
                    </a:prstGeom>
                  </pic:spPr>
                </pic:pic>
              </a:graphicData>
            </a:graphic>
          </wp:inline>
        </w:drawing>
      </w:r>
    </w:p>
    <w:p w14:paraId="609DE3B8" w14:textId="132F7501" w:rsidR="00082FB3" w:rsidRDefault="00082FB3" w:rsidP="00082FB3">
      <w:pPr>
        <w:pStyle w:val="Caption"/>
      </w:pPr>
      <w:bookmarkStart w:id="25" w:name="_Toc217241695"/>
      <w:r>
        <w:t xml:space="preserve">Figure </w:t>
      </w:r>
      <w:r>
        <w:fldChar w:fldCharType="begin"/>
      </w:r>
      <w:r>
        <w:instrText xml:space="preserve"> SEQ Figure \* ARABIC </w:instrText>
      </w:r>
      <w:r>
        <w:fldChar w:fldCharType="separate"/>
      </w:r>
      <w:r w:rsidR="00237415">
        <w:rPr>
          <w:noProof/>
        </w:rPr>
        <w:t>13</w:t>
      </w:r>
      <w:r>
        <w:fldChar w:fldCharType="end"/>
      </w:r>
      <w:r>
        <w:t xml:space="preserve">: </w:t>
      </w:r>
      <w:r w:rsidRPr="0073186A">
        <w:t>Australian DIY Digitalisation</w:t>
      </w:r>
      <w:bookmarkEnd w:id="25"/>
    </w:p>
    <w:p w14:paraId="6A1CB7BE" w14:textId="77777777" w:rsidR="00082FB3" w:rsidRPr="006A6B52" w:rsidRDefault="00082FB3" w:rsidP="00082FB3">
      <w:pPr>
        <w:rPr>
          <w:lang w:val="en-US"/>
        </w:rPr>
      </w:pPr>
    </w:p>
    <w:p w14:paraId="238F0362" w14:textId="4C34B9AD" w:rsidR="004761BD" w:rsidRDefault="004761BD" w:rsidP="00CF2AFD">
      <w:pPr>
        <w:pStyle w:val="Heading3"/>
        <w:rPr>
          <w:lang w:val="en-US"/>
        </w:rPr>
      </w:pPr>
      <w:bookmarkStart w:id="26" w:name="_Toc217241728"/>
      <w:r>
        <w:rPr>
          <w:lang w:val="en-US"/>
        </w:rPr>
        <w:t xml:space="preserve">2.1.5 </w:t>
      </w:r>
      <w:r w:rsidR="006A6B52" w:rsidRPr="006A6B52">
        <w:rPr>
          <w:lang w:val="en-US"/>
        </w:rPr>
        <w:t>Legal factor</w:t>
      </w:r>
      <w:r>
        <w:rPr>
          <w:lang w:val="en-US"/>
        </w:rPr>
        <w:t>s</w:t>
      </w:r>
      <w:bookmarkEnd w:id="26"/>
    </w:p>
    <w:p w14:paraId="2B9B3F93" w14:textId="390BDDF4" w:rsidR="00082FB3" w:rsidRPr="006A6B52" w:rsidRDefault="00EE2108" w:rsidP="006A6B52">
      <w:pPr>
        <w:rPr>
          <w:lang w:val="en-US"/>
        </w:rPr>
      </w:pPr>
      <w:r w:rsidRPr="00EE2108">
        <w:rPr>
          <w:lang w:val="en-US"/>
        </w:rPr>
        <w:t>Retailers are bound to comply with strict rules and regulations surrounding consumer protection, product safety, employment, and data privacy. In the context of marketplace-based operations, legal risk would apply to third-party seller compliance, standards in delivery and returns management. Although these requirements add extra complexity to operations, B&amp;Q's existing "verified seller" governance provides an existing, transferable basis of compliance with the requirements in Australia (Schellenberg et al., 2017; B&amp;Q, 2025).</w:t>
      </w:r>
    </w:p>
    <w:p w14:paraId="13740498" w14:textId="20AB794C" w:rsidR="006A6B52" w:rsidRDefault="004761BD" w:rsidP="00EE2108">
      <w:pPr>
        <w:pStyle w:val="Heading3"/>
        <w:rPr>
          <w:lang w:val="en-US"/>
        </w:rPr>
      </w:pPr>
      <w:bookmarkStart w:id="27" w:name="_Toc217241729"/>
      <w:r>
        <w:rPr>
          <w:lang w:val="en-US"/>
        </w:rPr>
        <w:lastRenderedPageBreak/>
        <w:t xml:space="preserve">2.1.6 </w:t>
      </w:r>
      <w:r w:rsidR="006A6B52" w:rsidRPr="006A6B52">
        <w:rPr>
          <w:lang w:val="en-US"/>
        </w:rPr>
        <w:t>Environmental factors</w:t>
      </w:r>
      <w:bookmarkEnd w:id="27"/>
    </w:p>
    <w:p w14:paraId="3F0998AB" w14:textId="77777777" w:rsidR="00EE2108" w:rsidRDefault="00EE2108" w:rsidP="00EE2108">
      <w:pPr>
        <w:rPr>
          <w:lang w:val="en-US"/>
        </w:rPr>
      </w:pPr>
      <w:r>
        <w:rPr>
          <w:noProof/>
        </w:rPr>
        <w:drawing>
          <wp:inline distT="0" distB="0" distL="0" distR="0" wp14:anchorId="2B9128A4" wp14:editId="7AD0F09E">
            <wp:extent cx="5943600" cy="4580255"/>
            <wp:effectExtent l="0" t="0" r="0" b="0"/>
            <wp:docPr id="1172630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3032" name="Picture 1" descr="A screenshot of a computer&#10;&#10;AI-generated content may be incorrect."/>
                    <pic:cNvPicPr/>
                  </pic:nvPicPr>
                  <pic:blipFill>
                    <a:blip r:embed="rId24">
                      <a:extLst>
                        <a:ext uri="{BEBA8EAE-BF5A-486C-A8C5-ECC9F3942E4B}">
                          <a14:imgProps xmlns:a14="http://schemas.microsoft.com/office/drawing/2010/main">
                            <a14:imgLayer r:embed="rId25">
                              <a14:imgEffect>
                                <a14:colorTemperature colorTemp="4700"/>
                              </a14:imgEffect>
                            </a14:imgLayer>
                          </a14:imgProps>
                        </a:ext>
                      </a:extLst>
                    </a:blip>
                    <a:stretch>
                      <a:fillRect/>
                    </a:stretch>
                  </pic:blipFill>
                  <pic:spPr>
                    <a:xfrm>
                      <a:off x="0" y="0"/>
                      <a:ext cx="5943600" cy="4580255"/>
                    </a:xfrm>
                    <a:prstGeom prst="rect">
                      <a:avLst/>
                    </a:prstGeom>
                  </pic:spPr>
                </pic:pic>
              </a:graphicData>
            </a:graphic>
          </wp:inline>
        </w:drawing>
      </w:r>
    </w:p>
    <w:p w14:paraId="296266AC" w14:textId="51AF7DD5" w:rsidR="00EE2108" w:rsidRDefault="00EE2108" w:rsidP="00AA27DC">
      <w:pPr>
        <w:pStyle w:val="Caption"/>
        <w:rPr>
          <w:lang w:val="en-US"/>
        </w:rPr>
      </w:pPr>
      <w:bookmarkStart w:id="28" w:name="_Toc217241696"/>
      <w:r>
        <w:t xml:space="preserve">Figure </w:t>
      </w:r>
      <w:r>
        <w:fldChar w:fldCharType="begin"/>
      </w:r>
      <w:r>
        <w:instrText xml:space="preserve"> SEQ Figure \* ARABIC </w:instrText>
      </w:r>
      <w:r>
        <w:fldChar w:fldCharType="separate"/>
      </w:r>
      <w:r>
        <w:rPr>
          <w:noProof/>
        </w:rPr>
        <w:t>14</w:t>
      </w:r>
      <w:r>
        <w:fldChar w:fldCharType="end"/>
      </w:r>
      <w:r>
        <w:t xml:space="preserve">: </w:t>
      </w:r>
      <w:r w:rsidRPr="00B462EB">
        <w:t>Sustainability-Driven Home Improvement</w:t>
      </w:r>
      <w:bookmarkEnd w:id="28"/>
    </w:p>
    <w:p w14:paraId="19B72413" w14:textId="686B7458" w:rsidR="006A6B52" w:rsidRPr="006A6B52" w:rsidRDefault="00A10CE0" w:rsidP="006A6B52">
      <w:pPr>
        <w:rPr>
          <w:lang w:val="en-US"/>
        </w:rPr>
      </w:pPr>
      <w:r w:rsidRPr="00A10CE0">
        <w:rPr>
          <w:lang w:val="en-US"/>
        </w:rPr>
        <w:t>The concept of environmental sustainability continues to affect the purchasing decision and the regulatory demands in the home improvement industry. There is empirical evidence that viable triple bottom line practices have long-term competitiveness and legitimacy (Jali et al., 2025; Nogueira et al., 2025). As a result, the sustainability promises established by B&amp;Q can become a differentiator when they are appropriately translated to product ranges related to local focus and presented in an open manner (Electrical Times, 2024; B&amp;Q, 2025).</w:t>
      </w:r>
    </w:p>
    <w:p w14:paraId="7D74984C" w14:textId="77777777" w:rsidR="003A66D1" w:rsidRDefault="003A66D1" w:rsidP="006A6B52">
      <w:pPr>
        <w:rPr>
          <w:lang w:val="en-US"/>
        </w:rPr>
      </w:pPr>
    </w:p>
    <w:p w14:paraId="0F2F844B" w14:textId="77777777" w:rsidR="003A66D1" w:rsidRDefault="003A66D1" w:rsidP="006A6B52">
      <w:pPr>
        <w:rPr>
          <w:lang w:val="en-US"/>
        </w:rPr>
      </w:pPr>
    </w:p>
    <w:tbl>
      <w:tblPr>
        <w:tblStyle w:val="GridTable4-Accent5"/>
        <w:tblW w:w="0" w:type="auto"/>
        <w:tblLook w:val="04A0" w:firstRow="1" w:lastRow="0" w:firstColumn="1" w:lastColumn="0" w:noHBand="0" w:noVBand="1"/>
      </w:tblPr>
      <w:tblGrid>
        <w:gridCol w:w="1896"/>
        <w:gridCol w:w="7454"/>
      </w:tblGrid>
      <w:tr w:rsidR="00F64B40" w:rsidRPr="00F64B40" w14:paraId="1F2FE7E1" w14:textId="77777777" w:rsidTr="00F64B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CA2F4F" w14:textId="77777777" w:rsidR="00F64B40" w:rsidRPr="00F64B40" w:rsidRDefault="00F64B40" w:rsidP="00F64B40">
            <w:pPr>
              <w:pStyle w:val="Caption"/>
              <w:spacing w:line="360" w:lineRule="auto"/>
              <w:rPr>
                <w:lang w:val="en-US"/>
              </w:rPr>
            </w:pPr>
            <w:r w:rsidRPr="00F64B40">
              <w:rPr>
                <w:lang w:val="en-US"/>
              </w:rPr>
              <w:lastRenderedPageBreak/>
              <w:t>PESTLE Factor</w:t>
            </w:r>
          </w:p>
        </w:tc>
        <w:tc>
          <w:tcPr>
            <w:tcW w:w="0" w:type="auto"/>
            <w:hideMark/>
          </w:tcPr>
          <w:p w14:paraId="4285B9A6" w14:textId="77777777" w:rsidR="00F64B40" w:rsidRPr="00F64B40" w:rsidRDefault="00F64B40" w:rsidP="00F64B40">
            <w:pPr>
              <w:pStyle w:val="Caption"/>
              <w:spacing w:line="360" w:lineRule="auto"/>
              <w:cnfStyle w:val="100000000000" w:firstRow="1" w:lastRow="0" w:firstColumn="0" w:lastColumn="0" w:oddVBand="0" w:evenVBand="0" w:oddHBand="0" w:evenHBand="0" w:firstRowFirstColumn="0" w:firstRowLastColumn="0" w:lastRowFirstColumn="0" w:lastRowLastColumn="0"/>
              <w:rPr>
                <w:lang w:val="en-US"/>
              </w:rPr>
            </w:pPr>
            <w:r w:rsidRPr="00F64B40">
              <w:rPr>
                <w:lang w:val="en-US"/>
              </w:rPr>
              <w:t>Key Implications for B&amp;Q’s Expansion</w:t>
            </w:r>
          </w:p>
        </w:tc>
      </w:tr>
      <w:tr w:rsidR="00F64B40" w:rsidRPr="00F64B40" w14:paraId="7C866BA7" w14:textId="77777777" w:rsidTr="00F64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DF5CA9" w14:textId="77777777" w:rsidR="00F64B40" w:rsidRPr="00F64B40" w:rsidRDefault="00F64B40" w:rsidP="00F64B40">
            <w:pPr>
              <w:pStyle w:val="Caption"/>
              <w:spacing w:line="360" w:lineRule="auto"/>
              <w:rPr>
                <w:lang w:val="en-US"/>
              </w:rPr>
            </w:pPr>
            <w:r w:rsidRPr="00F64B40">
              <w:rPr>
                <w:lang w:val="en-US"/>
              </w:rPr>
              <w:t>Political</w:t>
            </w:r>
          </w:p>
        </w:tc>
        <w:tc>
          <w:tcPr>
            <w:tcW w:w="0" w:type="auto"/>
            <w:hideMark/>
          </w:tcPr>
          <w:p w14:paraId="12F28289" w14:textId="77777777" w:rsidR="00F64B40" w:rsidRPr="00F64B40" w:rsidRDefault="00F64B40" w:rsidP="00F64B40">
            <w:pPr>
              <w:pStyle w:val="Caption"/>
              <w:spacing w:line="360" w:lineRule="auto"/>
              <w:cnfStyle w:val="000000100000" w:firstRow="0" w:lastRow="0" w:firstColumn="0" w:lastColumn="0" w:oddVBand="0" w:evenVBand="0" w:oddHBand="1" w:evenHBand="0" w:firstRowFirstColumn="0" w:firstRowLastColumn="0" w:lastRowFirstColumn="0" w:lastRowLastColumn="0"/>
              <w:rPr>
                <w:lang w:val="en-US"/>
              </w:rPr>
            </w:pPr>
            <w:r w:rsidRPr="00F64B40">
              <w:rPr>
                <w:lang w:val="en-US"/>
              </w:rPr>
              <w:t>Australia’s political stability lowers sovereign risk, but housing policy, infrastructure spending and planning regulations can influence renovation cycles, requiring B&amp;Q to maintain strategic flexibility (Gini and Agala, 2023; Value Consulting Partners, 2025).</w:t>
            </w:r>
          </w:p>
        </w:tc>
      </w:tr>
      <w:tr w:rsidR="00F64B40" w:rsidRPr="00F64B40" w14:paraId="4131639E" w14:textId="77777777" w:rsidTr="00F64B40">
        <w:tc>
          <w:tcPr>
            <w:cnfStyle w:val="001000000000" w:firstRow="0" w:lastRow="0" w:firstColumn="1" w:lastColumn="0" w:oddVBand="0" w:evenVBand="0" w:oddHBand="0" w:evenHBand="0" w:firstRowFirstColumn="0" w:firstRowLastColumn="0" w:lastRowFirstColumn="0" w:lastRowLastColumn="0"/>
            <w:tcW w:w="0" w:type="auto"/>
            <w:hideMark/>
          </w:tcPr>
          <w:p w14:paraId="4BDCD41D" w14:textId="77777777" w:rsidR="00F64B40" w:rsidRPr="00F64B40" w:rsidRDefault="00F64B40" w:rsidP="00F64B40">
            <w:pPr>
              <w:pStyle w:val="Caption"/>
              <w:spacing w:line="360" w:lineRule="auto"/>
              <w:rPr>
                <w:lang w:val="en-US"/>
              </w:rPr>
            </w:pPr>
            <w:r w:rsidRPr="00F64B40">
              <w:rPr>
                <w:lang w:val="en-US"/>
              </w:rPr>
              <w:t>Economic</w:t>
            </w:r>
          </w:p>
        </w:tc>
        <w:tc>
          <w:tcPr>
            <w:tcW w:w="0" w:type="auto"/>
            <w:hideMark/>
          </w:tcPr>
          <w:p w14:paraId="71C22C7B" w14:textId="77777777" w:rsidR="00F64B40" w:rsidRPr="00F64B40" w:rsidRDefault="00F64B40" w:rsidP="00F64B40">
            <w:pPr>
              <w:pStyle w:val="Caption"/>
              <w:spacing w:line="360" w:lineRule="auto"/>
              <w:cnfStyle w:val="000000000000" w:firstRow="0" w:lastRow="0" w:firstColumn="0" w:lastColumn="0" w:oddVBand="0" w:evenVBand="0" w:oddHBand="0" w:evenHBand="0" w:firstRowFirstColumn="0" w:firstRowLastColumn="0" w:lastRowFirstColumn="0" w:lastRowLastColumn="0"/>
              <w:rPr>
                <w:lang w:val="en-US"/>
              </w:rPr>
            </w:pPr>
            <w:r w:rsidRPr="00F64B40">
              <w:rPr>
                <w:lang w:val="en-US"/>
              </w:rPr>
              <w:t>The home improvement and gardening market was valued at USD 16,921.04m in 2024, with short-term contraction but strong medium-term growth forecast at 7.2% CAGR from 2026, supporting a phased, low–fixed-cost entry strategy (GlobalData, 2025; IBISWorld, 2025; Mbabu and Gulali, 2024).</w:t>
            </w:r>
          </w:p>
        </w:tc>
      </w:tr>
      <w:tr w:rsidR="00F64B40" w:rsidRPr="00F64B40" w14:paraId="11611A26" w14:textId="77777777" w:rsidTr="00F64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C784D5" w14:textId="77777777" w:rsidR="00F64B40" w:rsidRPr="00F64B40" w:rsidRDefault="00F64B40" w:rsidP="00F64B40">
            <w:pPr>
              <w:pStyle w:val="Caption"/>
              <w:spacing w:line="360" w:lineRule="auto"/>
              <w:rPr>
                <w:lang w:val="en-US"/>
              </w:rPr>
            </w:pPr>
            <w:r w:rsidRPr="00F64B40">
              <w:rPr>
                <w:lang w:val="en-US"/>
              </w:rPr>
              <w:t>Social</w:t>
            </w:r>
          </w:p>
        </w:tc>
        <w:tc>
          <w:tcPr>
            <w:tcW w:w="0" w:type="auto"/>
            <w:hideMark/>
          </w:tcPr>
          <w:p w14:paraId="673FB073" w14:textId="77777777" w:rsidR="00F64B40" w:rsidRPr="00F64B40" w:rsidRDefault="00F64B40" w:rsidP="00F64B40">
            <w:pPr>
              <w:pStyle w:val="Caption"/>
              <w:spacing w:line="360" w:lineRule="auto"/>
              <w:cnfStyle w:val="000000100000" w:firstRow="0" w:lastRow="0" w:firstColumn="0" w:lastColumn="0" w:oddVBand="0" w:evenVBand="0" w:oddHBand="1" w:evenHBand="0" w:firstRowFirstColumn="0" w:firstRowLastColumn="0" w:lastRowFirstColumn="0" w:lastRowLastColumn="0"/>
              <w:rPr>
                <w:lang w:val="en-US"/>
              </w:rPr>
            </w:pPr>
            <w:r w:rsidRPr="00F64B40">
              <w:rPr>
                <w:lang w:val="en-US"/>
              </w:rPr>
              <w:t>A strong DIY culture combined with rising demand for convenience, affordability and sustainable products aligns well with B&amp;Q’s value-led and advice-based proposition if appropriately localised (Mackay and Perkins, 2016; Han, 2023; B&amp;Q, 2025).</w:t>
            </w:r>
          </w:p>
        </w:tc>
      </w:tr>
      <w:tr w:rsidR="00F64B40" w:rsidRPr="00F64B40" w14:paraId="0A5D9F3F" w14:textId="77777777" w:rsidTr="00F64B40">
        <w:tc>
          <w:tcPr>
            <w:cnfStyle w:val="001000000000" w:firstRow="0" w:lastRow="0" w:firstColumn="1" w:lastColumn="0" w:oddVBand="0" w:evenVBand="0" w:oddHBand="0" w:evenHBand="0" w:firstRowFirstColumn="0" w:firstRowLastColumn="0" w:lastRowFirstColumn="0" w:lastRowLastColumn="0"/>
            <w:tcW w:w="0" w:type="auto"/>
            <w:hideMark/>
          </w:tcPr>
          <w:p w14:paraId="5534ECA2" w14:textId="77777777" w:rsidR="00F64B40" w:rsidRPr="00F64B40" w:rsidRDefault="00F64B40" w:rsidP="00F64B40">
            <w:pPr>
              <w:pStyle w:val="Caption"/>
              <w:spacing w:line="360" w:lineRule="auto"/>
              <w:rPr>
                <w:lang w:val="en-US"/>
              </w:rPr>
            </w:pPr>
            <w:r w:rsidRPr="00F64B40">
              <w:rPr>
                <w:lang w:val="en-US"/>
              </w:rPr>
              <w:t>Technological</w:t>
            </w:r>
          </w:p>
        </w:tc>
        <w:tc>
          <w:tcPr>
            <w:tcW w:w="0" w:type="auto"/>
            <w:hideMark/>
          </w:tcPr>
          <w:p w14:paraId="6A66F1F8" w14:textId="77777777" w:rsidR="00F64B40" w:rsidRPr="00F64B40" w:rsidRDefault="00F64B40" w:rsidP="00F64B40">
            <w:pPr>
              <w:pStyle w:val="Caption"/>
              <w:spacing w:line="360" w:lineRule="auto"/>
              <w:cnfStyle w:val="000000000000" w:firstRow="0" w:lastRow="0" w:firstColumn="0" w:lastColumn="0" w:oddVBand="0" w:evenVBand="0" w:oddHBand="0" w:evenHBand="0" w:firstRowFirstColumn="0" w:firstRowLastColumn="0" w:lastRowFirstColumn="0" w:lastRowLastColumn="0"/>
              <w:rPr>
                <w:lang w:val="en-US"/>
              </w:rPr>
            </w:pPr>
            <w:r w:rsidRPr="00F64B40">
              <w:rPr>
                <w:lang w:val="en-US"/>
              </w:rPr>
              <w:t>DIY e-commerce generated USD 3,246m in 2024 with 10–15% penetration, favouring B&amp;Q’s marketplace-led, omnichannel and data-driven operating model (ECDB, 2025; Optimizon, 2024; Kravets, 2025).</w:t>
            </w:r>
          </w:p>
        </w:tc>
      </w:tr>
      <w:tr w:rsidR="00F64B40" w:rsidRPr="00F64B40" w14:paraId="42289EFF" w14:textId="77777777" w:rsidTr="00F64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B2F9CB" w14:textId="77777777" w:rsidR="00F64B40" w:rsidRPr="00F64B40" w:rsidRDefault="00F64B40" w:rsidP="00F64B40">
            <w:pPr>
              <w:pStyle w:val="Caption"/>
              <w:spacing w:line="360" w:lineRule="auto"/>
              <w:rPr>
                <w:lang w:val="en-US"/>
              </w:rPr>
            </w:pPr>
            <w:r w:rsidRPr="00F64B40">
              <w:rPr>
                <w:lang w:val="en-US"/>
              </w:rPr>
              <w:t>Legal</w:t>
            </w:r>
          </w:p>
        </w:tc>
        <w:tc>
          <w:tcPr>
            <w:tcW w:w="0" w:type="auto"/>
            <w:hideMark/>
          </w:tcPr>
          <w:p w14:paraId="2125CCA5" w14:textId="77777777" w:rsidR="00F64B40" w:rsidRPr="00F64B40" w:rsidRDefault="00F64B40" w:rsidP="00F64B40">
            <w:pPr>
              <w:pStyle w:val="Caption"/>
              <w:spacing w:line="360" w:lineRule="auto"/>
              <w:cnfStyle w:val="000000100000" w:firstRow="0" w:lastRow="0" w:firstColumn="0" w:lastColumn="0" w:oddVBand="0" w:evenVBand="0" w:oddHBand="1" w:evenHBand="0" w:firstRowFirstColumn="0" w:firstRowLastColumn="0" w:lastRowFirstColumn="0" w:lastRowLastColumn="0"/>
              <w:rPr>
                <w:lang w:val="en-US"/>
              </w:rPr>
            </w:pPr>
            <w:r w:rsidRPr="00F64B40">
              <w:rPr>
                <w:lang w:val="en-US"/>
              </w:rPr>
              <w:t>Strict consumer protection, product safety and data privacy regulations increase operational complexity, but B&amp;Q’s verified-seller governance framework provides a transferable compliance mechanism (Schellenberg, Harker and Jafari, 2017; B&amp;Q, 2025).</w:t>
            </w:r>
          </w:p>
        </w:tc>
      </w:tr>
      <w:tr w:rsidR="00F64B40" w:rsidRPr="00F64B40" w14:paraId="495EBD16" w14:textId="77777777" w:rsidTr="00F64B40">
        <w:tc>
          <w:tcPr>
            <w:cnfStyle w:val="001000000000" w:firstRow="0" w:lastRow="0" w:firstColumn="1" w:lastColumn="0" w:oddVBand="0" w:evenVBand="0" w:oddHBand="0" w:evenHBand="0" w:firstRowFirstColumn="0" w:firstRowLastColumn="0" w:lastRowFirstColumn="0" w:lastRowLastColumn="0"/>
            <w:tcW w:w="0" w:type="auto"/>
            <w:hideMark/>
          </w:tcPr>
          <w:p w14:paraId="2B687A4C" w14:textId="77777777" w:rsidR="00F64B40" w:rsidRPr="00F64B40" w:rsidRDefault="00F64B40" w:rsidP="00F64B40">
            <w:pPr>
              <w:pStyle w:val="Caption"/>
              <w:spacing w:line="360" w:lineRule="auto"/>
              <w:rPr>
                <w:lang w:val="en-US"/>
              </w:rPr>
            </w:pPr>
            <w:r w:rsidRPr="00F64B40">
              <w:rPr>
                <w:lang w:val="en-US"/>
              </w:rPr>
              <w:t>Environmental</w:t>
            </w:r>
          </w:p>
        </w:tc>
        <w:tc>
          <w:tcPr>
            <w:tcW w:w="0" w:type="auto"/>
            <w:hideMark/>
          </w:tcPr>
          <w:p w14:paraId="62289165" w14:textId="77777777" w:rsidR="00F64B40" w:rsidRPr="00F64B40" w:rsidRDefault="00F64B40" w:rsidP="00F64B40">
            <w:pPr>
              <w:pStyle w:val="Caption"/>
              <w:spacing w:line="360" w:lineRule="auto"/>
              <w:cnfStyle w:val="000000000000" w:firstRow="0" w:lastRow="0" w:firstColumn="0" w:lastColumn="0" w:oddVBand="0" w:evenVBand="0" w:oddHBand="0" w:evenHBand="0" w:firstRowFirstColumn="0" w:firstRowLastColumn="0" w:lastRowFirstColumn="0" w:lastRowLastColumn="0"/>
              <w:rPr>
                <w:lang w:val="en-US"/>
              </w:rPr>
            </w:pPr>
            <w:r w:rsidRPr="00F64B40">
              <w:rPr>
                <w:lang w:val="en-US"/>
              </w:rPr>
              <w:t>Growing regulatory and consumer emphasis on sustainability strengthens the strategic value of B&amp;Q’s triple bottom line practices as a source of long-term differentiation and legitimacy (Jali, Doorasamy and Gregory, 2025; Nogueira, Gomes and Lopes, 2025).</w:t>
            </w:r>
          </w:p>
        </w:tc>
      </w:tr>
    </w:tbl>
    <w:p w14:paraId="3512644C" w14:textId="100B72B2" w:rsidR="00B92444" w:rsidRPr="006A6B52" w:rsidRDefault="00B92444" w:rsidP="00C164C4">
      <w:pPr>
        <w:pStyle w:val="Caption"/>
      </w:pPr>
      <w:bookmarkStart w:id="29" w:name="_Toc217241681"/>
      <w:r>
        <w:t xml:space="preserve">Table </w:t>
      </w:r>
      <w:r>
        <w:fldChar w:fldCharType="begin"/>
      </w:r>
      <w:r>
        <w:instrText xml:space="preserve"> SEQ Table \* ARABIC </w:instrText>
      </w:r>
      <w:r>
        <w:fldChar w:fldCharType="separate"/>
      </w:r>
      <w:r>
        <w:rPr>
          <w:noProof/>
        </w:rPr>
        <w:t>1</w:t>
      </w:r>
      <w:r>
        <w:fldChar w:fldCharType="end"/>
      </w:r>
      <w:r>
        <w:t xml:space="preserve">: </w:t>
      </w:r>
      <w:r w:rsidRPr="000B5B89">
        <w:t>PESTLE Framework</w:t>
      </w:r>
      <w:bookmarkEnd w:id="29"/>
    </w:p>
    <w:p w14:paraId="029A8763" w14:textId="77777777" w:rsidR="006A6B52" w:rsidRDefault="006A6B52" w:rsidP="00C164C4">
      <w:pPr>
        <w:pStyle w:val="Heading2"/>
        <w:rPr>
          <w:lang w:val="en-US"/>
        </w:rPr>
      </w:pPr>
      <w:bookmarkStart w:id="30" w:name="_Toc217241730"/>
      <w:r w:rsidRPr="006A6B52">
        <w:rPr>
          <w:lang w:val="en-US"/>
        </w:rPr>
        <w:lastRenderedPageBreak/>
        <w:t>2.2 Competitive Landscape: Porter’s Five Forces Analysis</w:t>
      </w:r>
      <w:bookmarkEnd w:id="30"/>
    </w:p>
    <w:p w14:paraId="0A315058" w14:textId="4D2C2444" w:rsidR="003A66D1" w:rsidRDefault="003A66D1" w:rsidP="006A6B52">
      <w:pPr>
        <w:rPr>
          <w:b/>
          <w:bCs/>
          <w:lang w:val="en-US"/>
        </w:rPr>
      </w:pPr>
      <w:r>
        <w:rPr>
          <w:noProof/>
        </w:rPr>
        <w:drawing>
          <wp:inline distT="0" distB="0" distL="0" distR="0" wp14:anchorId="7936F0C8" wp14:editId="1BD6387C">
            <wp:extent cx="5943600" cy="3107690"/>
            <wp:effectExtent l="0" t="0" r="0" b="0"/>
            <wp:docPr id="1637016930" name="Picture 6" descr="Porter's Five Forces: The Ultimate Competitive Strategy Blueprint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Porter's Five Forces: The Ultimate Competitive Strategy Blueprint | TSI"/>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656FFE13" w14:textId="195CFA5E" w:rsidR="003A66D1" w:rsidRDefault="003A66D1" w:rsidP="003A66D1">
      <w:pPr>
        <w:pStyle w:val="Caption"/>
      </w:pPr>
      <w:bookmarkStart w:id="31" w:name="_Toc217241697"/>
      <w:r>
        <w:t xml:space="preserve">Figure </w:t>
      </w:r>
      <w:r>
        <w:fldChar w:fldCharType="begin"/>
      </w:r>
      <w:r>
        <w:instrText xml:space="preserve"> SEQ Figure \* ARABIC </w:instrText>
      </w:r>
      <w:r>
        <w:fldChar w:fldCharType="separate"/>
      </w:r>
      <w:r w:rsidR="00237415">
        <w:rPr>
          <w:noProof/>
        </w:rPr>
        <w:t>15</w:t>
      </w:r>
      <w:r>
        <w:fldChar w:fldCharType="end"/>
      </w:r>
      <w:r>
        <w:t xml:space="preserve">: </w:t>
      </w:r>
      <w:r w:rsidRPr="00EA40EE">
        <w:t>Porter’s Five Forces Analysis</w:t>
      </w:r>
      <w:bookmarkEnd w:id="31"/>
    </w:p>
    <w:p w14:paraId="510BA75E" w14:textId="77777777" w:rsidR="003A66D1" w:rsidRPr="006A6B52" w:rsidRDefault="003A66D1" w:rsidP="003A66D1">
      <w:pPr>
        <w:rPr>
          <w:lang w:val="en-US"/>
        </w:rPr>
      </w:pPr>
    </w:p>
    <w:p w14:paraId="641AC07C" w14:textId="2AE267BF" w:rsidR="006A6B52" w:rsidRDefault="003A66D1" w:rsidP="00C164C4">
      <w:pPr>
        <w:pStyle w:val="Heading3"/>
        <w:rPr>
          <w:lang w:val="en-US"/>
        </w:rPr>
      </w:pPr>
      <w:bookmarkStart w:id="32" w:name="_Toc217241731"/>
      <w:r>
        <w:rPr>
          <w:lang w:val="en-US"/>
        </w:rPr>
        <w:t xml:space="preserve">2.2.1 </w:t>
      </w:r>
      <w:r w:rsidR="006A6B52" w:rsidRPr="006A6B52">
        <w:rPr>
          <w:lang w:val="en-US"/>
        </w:rPr>
        <w:t>Threat of new entrants – moderate</w:t>
      </w:r>
      <w:bookmarkEnd w:id="32"/>
    </w:p>
    <w:p w14:paraId="7D488B85" w14:textId="29E71AA8" w:rsidR="006A6B52" w:rsidRPr="006A6B52" w:rsidRDefault="006B2CFA" w:rsidP="006A6B52">
      <w:pPr>
        <w:rPr>
          <w:lang w:val="en-US"/>
        </w:rPr>
      </w:pPr>
      <w:r w:rsidRPr="006B2CFA">
        <w:rPr>
          <w:lang w:val="en-US"/>
        </w:rPr>
        <w:t>The barriers to market entry in the Australian do-it-yourself and hardware industry are characterized by economies of scale, supplier networks, logistics infrastructure and consumer brand trust. According to IBISWorld, 2025, the competitive intensity is moderate and rising too, with larger retailers gaining their market share with the strategic investment in physical outlets as well as digital platforms. Although digital platforms reduce certain barriers to entry, it is hard to reach the necessary scale and profitability, thereby favouring entrants with significant capital resources, such as B&amp;Q.</w:t>
      </w:r>
    </w:p>
    <w:p w14:paraId="4A8306E8" w14:textId="77777777" w:rsidR="003A66D1" w:rsidRDefault="003A66D1" w:rsidP="006A6B52">
      <w:pPr>
        <w:rPr>
          <w:b/>
          <w:bCs/>
          <w:lang w:val="en-US"/>
        </w:rPr>
      </w:pPr>
    </w:p>
    <w:p w14:paraId="00F4E4F7" w14:textId="40317211" w:rsidR="006A6B52" w:rsidRDefault="003A66D1" w:rsidP="006B2CFA">
      <w:pPr>
        <w:pStyle w:val="Heading3"/>
        <w:rPr>
          <w:lang w:val="en-US"/>
        </w:rPr>
      </w:pPr>
      <w:bookmarkStart w:id="33" w:name="_Toc217241732"/>
      <w:r>
        <w:rPr>
          <w:lang w:val="en-US"/>
        </w:rPr>
        <w:t xml:space="preserve">2.2.2 </w:t>
      </w:r>
      <w:r w:rsidR="006A6B52" w:rsidRPr="006A6B52">
        <w:rPr>
          <w:lang w:val="en-US"/>
        </w:rPr>
        <w:t>Bargaining power of suppliers – moderate</w:t>
      </w:r>
      <w:bookmarkEnd w:id="33"/>
    </w:p>
    <w:p w14:paraId="631D741D" w14:textId="39BC7068" w:rsidR="006A6B52" w:rsidRPr="006A6B52" w:rsidRDefault="008C0B02" w:rsidP="006A6B52">
      <w:pPr>
        <w:rPr>
          <w:lang w:val="en-US"/>
        </w:rPr>
      </w:pPr>
      <w:r w:rsidRPr="008C0B02">
        <w:rPr>
          <w:lang w:val="en-US"/>
        </w:rPr>
        <w:t xml:space="preserve">Suppliers include multinationals that produce and include domestic distributors. Large retail organizations exert buying power by using the strategy of volume purchase and own labelling, but small organizations face a limitation on margins. To B&amp;Q, the strategic </w:t>
      </w:r>
      <w:r w:rsidRPr="008C0B02">
        <w:rPr>
          <w:lang w:val="en-US"/>
        </w:rPr>
        <w:lastRenderedPageBreak/>
        <w:t>exploitation of global sourcing activity by Kingfisher in addition to creation of proprietary brand lines could reduce the power of suppliers and maximize the cost competitiveness (Kingfisher Plc, 2025; IBISWorld, 2025).</w:t>
      </w:r>
    </w:p>
    <w:p w14:paraId="2D16CE86" w14:textId="77777777" w:rsidR="003A66D1" w:rsidRDefault="003A66D1" w:rsidP="006A6B52">
      <w:pPr>
        <w:rPr>
          <w:b/>
          <w:bCs/>
          <w:lang w:val="en-US"/>
        </w:rPr>
      </w:pPr>
    </w:p>
    <w:p w14:paraId="74AFF48D" w14:textId="3797516B" w:rsidR="006A6B52" w:rsidRDefault="003A66D1" w:rsidP="006B2CFA">
      <w:pPr>
        <w:pStyle w:val="Heading3"/>
        <w:rPr>
          <w:lang w:val="en-US"/>
        </w:rPr>
      </w:pPr>
      <w:bookmarkStart w:id="34" w:name="_Toc217241733"/>
      <w:r>
        <w:rPr>
          <w:lang w:val="en-US"/>
        </w:rPr>
        <w:t xml:space="preserve">2.2.3 </w:t>
      </w:r>
      <w:r w:rsidR="006A6B52" w:rsidRPr="006A6B52">
        <w:rPr>
          <w:lang w:val="en-US"/>
        </w:rPr>
        <w:t>Bargaining power of buyers – high</w:t>
      </w:r>
      <w:bookmarkEnd w:id="34"/>
    </w:p>
    <w:p w14:paraId="7BFC649B" w14:textId="63C3EA55" w:rsidR="006A6B52" w:rsidRPr="006A6B52" w:rsidRDefault="00C84E5A" w:rsidP="00C84E5A">
      <w:pPr>
        <w:rPr>
          <w:lang w:val="en-US"/>
        </w:rPr>
      </w:pPr>
      <w:r w:rsidRPr="00C84E5A">
        <w:rPr>
          <w:lang w:val="en-US"/>
        </w:rPr>
        <w:t>Consumers face low switching costs and increased price transparency, especially regarding online marketplaces.</w:t>
      </w:r>
      <w:r>
        <w:rPr>
          <w:lang w:val="en-US"/>
        </w:rPr>
        <w:t xml:space="preserve"> </w:t>
      </w:r>
      <w:r w:rsidRPr="00C84E5A">
        <w:rPr>
          <w:lang w:val="en-US"/>
        </w:rPr>
        <w:t>IBISWorld (2025) finds a high level of competitive pressure in price, diversity of products and convenience across the sector. Accordingly, B&amp;Q cannot rely solely on price leadership, and it has to achieve differentiation based on bundled value propositions, integrated project solutions and service integration to reduce the perceived risk of consumers (Han, 2023; Mishra et al., 2025).</w:t>
      </w:r>
    </w:p>
    <w:p w14:paraId="1EA7A269" w14:textId="77777777" w:rsidR="003A66D1" w:rsidRDefault="003A66D1" w:rsidP="006A6B52">
      <w:pPr>
        <w:rPr>
          <w:b/>
          <w:bCs/>
          <w:lang w:val="en-US"/>
        </w:rPr>
      </w:pPr>
    </w:p>
    <w:p w14:paraId="63D8E225" w14:textId="592BCC19" w:rsidR="006A6B52" w:rsidRDefault="003A66D1" w:rsidP="006B2CFA">
      <w:pPr>
        <w:pStyle w:val="Heading3"/>
        <w:rPr>
          <w:lang w:val="en-US"/>
        </w:rPr>
      </w:pPr>
      <w:bookmarkStart w:id="35" w:name="_Toc217241734"/>
      <w:r>
        <w:rPr>
          <w:lang w:val="en-US"/>
        </w:rPr>
        <w:t xml:space="preserve">2.2.4 </w:t>
      </w:r>
      <w:r w:rsidR="006A6B52" w:rsidRPr="006A6B52">
        <w:rPr>
          <w:lang w:val="en-US"/>
        </w:rPr>
        <w:t>Threat of substitutes – moderate</w:t>
      </w:r>
      <w:bookmarkEnd w:id="35"/>
    </w:p>
    <w:p w14:paraId="1CAC99FA" w14:textId="2DFAD797" w:rsidR="006A6B52" w:rsidRPr="006A6B52" w:rsidRDefault="00D0207F" w:rsidP="006A6B52">
      <w:pPr>
        <w:rPr>
          <w:lang w:val="en-US"/>
        </w:rPr>
      </w:pPr>
      <w:r w:rsidRPr="00D0207F">
        <w:rPr>
          <w:lang w:val="en-US"/>
        </w:rPr>
        <w:t>Substitution is occasioned by the fact that the professional contractors and wholesalers are taking over demand that would otherwise be retail-based. Firms in the construction industry are buying commodities directly to wholesalers without going through retail stores (IBISWorld, 2025). An approving strategy that B&amp;Q can use to reverse this is by enhancing its trade-oriented propositions, providing services of assisted DIY to narrow the gap between full professional outsourcing and independent DIY (B&amp;Q, 2025).</w:t>
      </w:r>
    </w:p>
    <w:p w14:paraId="7869BDFE" w14:textId="77777777" w:rsidR="003A66D1" w:rsidRDefault="003A66D1" w:rsidP="006A6B52">
      <w:pPr>
        <w:rPr>
          <w:b/>
          <w:bCs/>
          <w:lang w:val="en-US"/>
        </w:rPr>
      </w:pPr>
    </w:p>
    <w:p w14:paraId="6804E7E0" w14:textId="1CA19563" w:rsidR="006A6B52" w:rsidRDefault="003A66D1" w:rsidP="00C84E5A">
      <w:pPr>
        <w:pStyle w:val="Heading3"/>
        <w:rPr>
          <w:lang w:val="en-US"/>
        </w:rPr>
      </w:pPr>
      <w:bookmarkStart w:id="36" w:name="_Toc217241735"/>
      <w:r>
        <w:rPr>
          <w:lang w:val="en-US"/>
        </w:rPr>
        <w:t xml:space="preserve">2.2.5 </w:t>
      </w:r>
      <w:r w:rsidR="006A6B52" w:rsidRPr="006A6B52">
        <w:rPr>
          <w:lang w:val="en-US"/>
        </w:rPr>
        <w:t>Competitive rivalry – high</w:t>
      </w:r>
      <w:bookmarkEnd w:id="36"/>
    </w:p>
    <w:p w14:paraId="61512CB6" w14:textId="68FFC81A" w:rsidR="003A66D1" w:rsidRPr="00CA607C" w:rsidRDefault="00BE5902" w:rsidP="006A6B52">
      <w:pPr>
        <w:rPr>
          <w:lang w:val="en-US"/>
        </w:rPr>
      </w:pPr>
      <w:r w:rsidRPr="00BE5902">
        <w:rPr>
          <w:lang w:val="en-US"/>
        </w:rPr>
        <w:t>There is serious competition in the Australian market between the large format chains and fast-growing e-Commerce sites. With industry revenues exceeding AUD31.3 billion and USD3,246 million worth of online do-it-yourself sales, the industry competition is strengthened through economies of scale and marketing expenses (IBISWorld, 2025; ECDB, 2025). For B&amp;Q this context means that successful entry will be based on differentiation and strategic focus as opposed to pursuing immediate scale dominance.</w:t>
      </w:r>
    </w:p>
    <w:p w14:paraId="47774B2F" w14:textId="395086D3" w:rsidR="006A6B52" w:rsidRPr="006A6B52" w:rsidRDefault="006A6B52" w:rsidP="00D0207F">
      <w:pPr>
        <w:pStyle w:val="Heading2"/>
        <w:rPr>
          <w:lang w:val="en-US"/>
        </w:rPr>
      </w:pPr>
      <w:bookmarkStart w:id="37" w:name="_Toc217241736"/>
      <w:r w:rsidRPr="006A6B52">
        <w:rPr>
          <w:lang w:val="en-US"/>
        </w:rPr>
        <w:lastRenderedPageBreak/>
        <w:t>2.3 Competitor Analysis</w:t>
      </w:r>
      <w:bookmarkEnd w:id="37"/>
    </w:p>
    <w:p w14:paraId="468C141A" w14:textId="67958203" w:rsidR="006A6B52" w:rsidRPr="006A6B52" w:rsidRDefault="002319CC" w:rsidP="006A6B52">
      <w:pPr>
        <w:rPr>
          <w:lang w:val="en-US"/>
        </w:rPr>
      </w:pPr>
      <w:r w:rsidRPr="002319CC">
        <w:rPr>
          <w:lang w:val="en-US"/>
        </w:rPr>
        <w:t>The competitive environment in Australia includes large-format store home improvements, trade-based wholesalers, and online shopping. According to IBISWorld (2025), more significant retailers are consolidating their dominance by building stores and investing digitally and smaller businesses depend on purchasing companies to be competitive. This framework indicates that scale and omnichannel ability are important success factors.</w:t>
      </w:r>
      <w:r w:rsidR="006A6B52" w:rsidRPr="006A6B52">
        <w:rPr>
          <w:lang w:val="en-US"/>
        </w:rPr>
        <w:t xml:space="preserve"> B</w:t>
      </w:r>
      <w:r w:rsidR="00AA7833" w:rsidRPr="00AA7833">
        <w:t xml:space="preserve"> </w:t>
      </w:r>
      <w:r w:rsidR="00AA7833" w:rsidRPr="00AA7833">
        <w:rPr>
          <w:lang w:val="en-US"/>
        </w:rPr>
        <w:t xml:space="preserve">B&amp;Q's marketplace-led approach provides a strategic framework in which to compete on product range and convenience without having to immediately undertake a large scale physical deployment. This approach is consistent with empirical evidence suggesting that a staged entry approach helps to reduce </w:t>
      </w:r>
      <w:r w:rsidR="00426F73" w:rsidRPr="00AA7833">
        <w:rPr>
          <w:lang w:val="en-US"/>
        </w:rPr>
        <w:t>internationalization</w:t>
      </w:r>
      <w:r w:rsidR="00AA7833" w:rsidRPr="00AA7833">
        <w:rPr>
          <w:lang w:val="en-US"/>
        </w:rPr>
        <w:t xml:space="preserve"> risk in the face of uncertainty (Mbabu et al., 2024; Schellenberg et al., 2017).</w:t>
      </w:r>
    </w:p>
    <w:p w14:paraId="6D95F310" w14:textId="5C458776" w:rsidR="00AA7833" w:rsidRDefault="00AA7833" w:rsidP="00A55194">
      <w:pPr>
        <w:pStyle w:val="Caption"/>
      </w:pPr>
      <w:r>
        <w:rPr>
          <w:noProof/>
        </w:rPr>
        <w:drawing>
          <wp:inline distT="0" distB="0" distL="0" distR="0" wp14:anchorId="726AABC1" wp14:editId="6061C6FC">
            <wp:extent cx="5943600" cy="4745355"/>
            <wp:effectExtent l="0" t="0" r="0" b="0"/>
            <wp:docPr id="342042531" name="Picture 1" descr="A green and whit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42531" name="Picture 1" descr="A green and white chart with text&#10;&#10;AI-generated content may be incorrect."/>
                    <pic:cNvPicPr/>
                  </pic:nvPicPr>
                  <pic:blipFill>
                    <a:blip r:embed="rId27"/>
                    <a:stretch>
                      <a:fillRect/>
                    </a:stretch>
                  </pic:blipFill>
                  <pic:spPr>
                    <a:xfrm>
                      <a:off x="0" y="0"/>
                      <a:ext cx="5943600" cy="4745355"/>
                    </a:xfrm>
                    <a:prstGeom prst="rect">
                      <a:avLst/>
                    </a:prstGeom>
                  </pic:spPr>
                </pic:pic>
              </a:graphicData>
            </a:graphic>
          </wp:inline>
        </w:drawing>
      </w:r>
    </w:p>
    <w:p w14:paraId="4C348497" w14:textId="6DA99EFA" w:rsidR="00A55194" w:rsidRPr="006A6B52" w:rsidRDefault="00A55194" w:rsidP="00426F73">
      <w:pPr>
        <w:pStyle w:val="Caption"/>
      </w:pPr>
      <w:bookmarkStart w:id="38" w:name="_Toc217241682"/>
      <w:r>
        <w:t xml:space="preserve">Table </w:t>
      </w:r>
      <w:r>
        <w:fldChar w:fldCharType="begin"/>
      </w:r>
      <w:r>
        <w:instrText xml:space="preserve"> SEQ Table \* ARABIC </w:instrText>
      </w:r>
      <w:r>
        <w:fldChar w:fldCharType="separate"/>
      </w:r>
      <w:r>
        <w:rPr>
          <w:noProof/>
        </w:rPr>
        <w:t>2</w:t>
      </w:r>
      <w:r>
        <w:fldChar w:fldCharType="end"/>
      </w:r>
      <w:r>
        <w:t xml:space="preserve">: </w:t>
      </w:r>
      <w:r w:rsidRPr="007C62AC">
        <w:t>Competitor Analysis: Key Home Improvement Retailers in Australia</w:t>
      </w:r>
      <w:bookmarkEnd w:id="38"/>
    </w:p>
    <w:p w14:paraId="29ED3AAC" w14:textId="77777777" w:rsidR="006A6B52" w:rsidRPr="006A6B52" w:rsidRDefault="006A6B52" w:rsidP="00426F73">
      <w:pPr>
        <w:pStyle w:val="Heading2"/>
        <w:rPr>
          <w:lang w:val="en-US"/>
        </w:rPr>
      </w:pPr>
      <w:bookmarkStart w:id="39" w:name="_Toc217241737"/>
      <w:r w:rsidRPr="006A6B52">
        <w:rPr>
          <w:lang w:val="en-US"/>
        </w:rPr>
        <w:lastRenderedPageBreak/>
        <w:t>2.4 Critical Evaluation of the Analytical Frameworks</w:t>
      </w:r>
      <w:bookmarkEnd w:id="39"/>
    </w:p>
    <w:p w14:paraId="0CF0A464" w14:textId="3CAA4EB9" w:rsidR="006A6B52" w:rsidRPr="006A6B52" w:rsidRDefault="00921361" w:rsidP="006A6B52">
      <w:pPr>
        <w:rPr>
          <w:lang w:val="en-US"/>
        </w:rPr>
      </w:pPr>
      <w:r w:rsidRPr="00921361">
        <w:rPr>
          <w:lang w:val="en-US"/>
        </w:rPr>
        <w:t>PESTLE analysis comes in handy when conducting an organisation of the intricate macro-environmental drivers as well as relating them to strategic implications, as in matching entry timing to the anticipated 7.2</w:t>
      </w:r>
      <w:r>
        <w:rPr>
          <w:lang w:val="en-US"/>
        </w:rPr>
        <w:t>%</w:t>
      </w:r>
      <w:r w:rsidRPr="00921361">
        <w:rPr>
          <w:lang w:val="en-US"/>
        </w:rPr>
        <w:t xml:space="preserve"> CAGR growth phase after 2026 (GlobalData, 2025; Alonso, 2025). Even then, the methodology is largely descriptive and does not give priority to the factors by their strategic effect, which requires supplementation by market and financial data (Gini et al., 2023).</w:t>
      </w:r>
    </w:p>
    <w:p w14:paraId="06DF43E2" w14:textId="59B40D83" w:rsidR="006A6B52" w:rsidRDefault="001B5C2C" w:rsidP="001B5C2C">
      <w:pPr>
        <w:rPr>
          <w:lang w:val="en-US"/>
        </w:rPr>
      </w:pPr>
      <w:r w:rsidRPr="001B5C2C">
        <w:rPr>
          <w:lang w:val="en-US"/>
        </w:rPr>
        <w:t>Porter's Five Forces gives a clear assessment of competition pressure and profit factors, emphasizing the force of the buyer and the competition as main limitations (IBISWorld, 2025). Its drawback is the inadequate portrayal of platform-based competition and the rapid evolution of digital change, which are becoming an ever more influential factor in retail competition (Kravets, 2025).  Consequently, although these analytical tools provide valuable structure and insight their insights need to be aligned with the digital and data - driven perspectives to gain a holistic representation of the competitive challenges and opportunities for B&amp;Q in Australia.</w:t>
      </w:r>
    </w:p>
    <w:p w14:paraId="5D42C254" w14:textId="77777777" w:rsidR="003A66D1" w:rsidRPr="006A6B52" w:rsidRDefault="003A66D1" w:rsidP="006A6B52">
      <w:pPr>
        <w:rPr>
          <w:lang w:val="en-US"/>
        </w:rPr>
      </w:pPr>
    </w:p>
    <w:p w14:paraId="578A1E5F" w14:textId="77777777" w:rsidR="0010199E" w:rsidRPr="0010199E" w:rsidRDefault="0010199E" w:rsidP="001B5C2C">
      <w:pPr>
        <w:pStyle w:val="Heading1"/>
        <w:rPr>
          <w:lang w:val="en-US"/>
        </w:rPr>
      </w:pPr>
      <w:bookmarkStart w:id="40" w:name="_Toc217241738"/>
      <w:r w:rsidRPr="0010199E">
        <w:rPr>
          <w:lang w:val="en-US"/>
        </w:rPr>
        <w:t>3. Strategy Development and Formulation for B&amp;Q’s Expansion into Australia</w:t>
      </w:r>
      <w:bookmarkEnd w:id="40"/>
    </w:p>
    <w:p w14:paraId="68BC0C4F" w14:textId="77777777" w:rsidR="0010199E" w:rsidRDefault="0010199E" w:rsidP="001B5C2C">
      <w:pPr>
        <w:pStyle w:val="Heading2"/>
        <w:rPr>
          <w:lang w:val="en-US"/>
        </w:rPr>
      </w:pPr>
      <w:bookmarkStart w:id="41" w:name="_Toc217241739"/>
      <w:r w:rsidRPr="0010199E">
        <w:rPr>
          <w:lang w:val="en-US"/>
        </w:rPr>
        <w:t>3.1 Strategic Objectives and Strategic Fit</w:t>
      </w:r>
      <w:bookmarkEnd w:id="41"/>
    </w:p>
    <w:p w14:paraId="260A0817" w14:textId="41F4F38C" w:rsidR="003A66D1" w:rsidRDefault="003A66D1" w:rsidP="003A66D1">
      <w:pPr>
        <w:jc w:val="center"/>
        <w:rPr>
          <w:b/>
          <w:bCs/>
          <w:lang w:val="en-US"/>
        </w:rPr>
      </w:pPr>
      <w:r>
        <w:rPr>
          <w:b/>
          <w:bCs/>
          <w:noProof/>
          <w:lang w:val="en-US"/>
        </w:rPr>
        <w:drawing>
          <wp:inline distT="0" distB="0" distL="0" distR="0" wp14:anchorId="145BCA07" wp14:editId="5306ABAD">
            <wp:extent cx="2857500" cy="1600200"/>
            <wp:effectExtent l="0" t="0" r="0" b="0"/>
            <wp:docPr id="13369427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659D2DB3" w14:textId="5D8EAE39" w:rsidR="003A66D1" w:rsidRPr="0010199E" w:rsidRDefault="003A66D1" w:rsidP="003A66D1">
      <w:pPr>
        <w:pStyle w:val="Caption"/>
        <w:rPr>
          <w:b/>
          <w:bCs/>
          <w:lang w:val="en-US"/>
        </w:rPr>
      </w:pPr>
      <w:bookmarkStart w:id="42" w:name="_Toc217241698"/>
      <w:r>
        <w:t xml:space="preserve">Figure </w:t>
      </w:r>
      <w:r>
        <w:fldChar w:fldCharType="begin"/>
      </w:r>
      <w:r>
        <w:instrText xml:space="preserve"> SEQ Figure \* ARABIC </w:instrText>
      </w:r>
      <w:r>
        <w:fldChar w:fldCharType="separate"/>
      </w:r>
      <w:r w:rsidR="00237415">
        <w:rPr>
          <w:noProof/>
        </w:rPr>
        <w:t>16</w:t>
      </w:r>
      <w:r>
        <w:fldChar w:fldCharType="end"/>
      </w:r>
      <w:r>
        <w:t xml:space="preserve">: </w:t>
      </w:r>
      <w:r w:rsidRPr="00FB1D4A">
        <w:t>B&amp;Q</w:t>
      </w:r>
      <w:r>
        <w:t xml:space="preserve"> Stores</w:t>
      </w:r>
      <w:bookmarkEnd w:id="42"/>
    </w:p>
    <w:p w14:paraId="11311ED3" w14:textId="3C937C46" w:rsidR="0010199E" w:rsidRPr="0010199E" w:rsidRDefault="00FE3A95" w:rsidP="0010199E">
      <w:pPr>
        <w:rPr>
          <w:lang w:val="en-US"/>
        </w:rPr>
      </w:pPr>
      <w:r w:rsidRPr="00FE3A95">
        <w:rPr>
          <w:lang w:val="en-US"/>
        </w:rPr>
        <w:lastRenderedPageBreak/>
        <w:t xml:space="preserve">The international expansion strategy of B&amp;Q needs to be in line with the overall goals of Kingfisher plc sustainable growth, margin resilience and digitally </w:t>
      </w:r>
      <w:r w:rsidR="00167A04" w:rsidRPr="00FE3A95">
        <w:rPr>
          <w:lang w:val="en-US"/>
        </w:rPr>
        <w:t>lead</w:t>
      </w:r>
      <w:r w:rsidRPr="00FE3A95">
        <w:rPr>
          <w:lang w:val="en-US"/>
        </w:rPr>
        <w:t xml:space="preserve"> scalability. B&amp;Q has made a market in the recent financial </w:t>
      </w:r>
      <w:r w:rsidR="00167A04" w:rsidRPr="00FE3A95">
        <w:rPr>
          <w:lang w:val="en-US"/>
        </w:rPr>
        <w:t>performance,</w:t>
      </w:r>
      <w:r w:rsidRPr="00FE3A95">
        <w:rPr>
          <w:lang w:val="en-US"/>
        </w:rPr>
        <w:t xml:space="preserve"> and this shall enable Kingfisher to revised its profit outlook and instilled confidence in the disciplined international expansion efforts (Alliance News, 2025; Beevers, 2025).</w:t>
      </w:r>
      <w:r>
        <w:rPr>
          <w:lang w:val="en-US"/>
        </w:rPr>
        <w:t xml:space="preserve"> </w:t>
      </w:r>
      <w:r w:rsidR="00167A04" w:rsidRPr="00167A04">
        <w:rPr>
          <w:lang w:val="en-US"/>
        </w:rPr>
        <w:t xml:space="preserve">Australia represents a strategic attractive market inasmuch as a combined and estimated large home-improvement and horticultural market of USD 16,921.04 million in 2024 and a projected long-term recovery of a compound annual growth rate of 7.2 % in 2026-2035 (GlobalData 2025). Consequently, the strategic orientation does not focus on rapid physical scale replication, but advocates a measured, asset-light market ingress leveraging B&amp;Q's digital and marketplace competencies to gain competitive edge while at the same time mitigating downside risk (Mbabu </w:t>
      </w:r>
      <w:r w:rsidR="00000527">
        <w:rPr>
          <w:lang w:val="en-US"/>
        </w:rPr>
        <w:t>et al.,</w:t>
      </w:r>
      <w:r w:rsidR="00167A04" w:rsidRPr="00167A04">
        <w:rPr>
          <w:lang w:val="en-US"/>
        </w:rPr>
        <w:t xml:space="preserve"> 2024).</w:t>
      </w:r>
    </w:p>
    <w:p w14:paraId="24783C40" w14:textId="77723CBE" w:rsidR="0010199E" w:rsidRPr="0010199E" w:rsidRDefault="0010199E" w:rsidP="0010199E">
      <w:pPr>
        <w:rPr>
          <w:lang w:val="en-US"/>
        </w:rPr>
      </w:pPr>
    </w:p>
    <w:p w14:paraId="33AC348C" w14:textId="77777777" w:rsidR="0010199E" w:rsidRDefault="0010199E" w:rsidP="00FE3A95">
      <w:pPr>
        <w:pStyle w:val="Heading2"/>
        <w:rPr>
          <w:lang w:val="en-US"/>
        </w:rPr>
      </w:pPr>
      <w:bookmarkStart w:id="43" w:name="_Toc217241740"/>
      <w:r w:rsidRPr="0010199E">
        <w:rPr>
          <w:lang w:val="en-US"/>
        </w:rPr>
        <w:t>3.2 Entry Mode Strategy: Phased and Hybrid Market Entry</w:t>
      </w:r>
      <w:bookmarkEnd w:id="43"/>
    </w:p>
    <w:p w14:paraId="61584971" w14:textId="2687A0D1" w:rsidR="009668DA" w:rsidRDefault="009668DA" w:rsidP="0010199E">
      <w:pPr>
        <w:rPr>
          <w:b/>
          <w:bCs/>
          <w:lang w:val="en-US"/>
        </w:rPr>
      </w:pPr>
      <w:r>
        <w:rPr>
          <w:b/>
          <w:bCs/>
          <w:noProof/>
          <w:lang w:val="en-US"/>
        </w:rPr>
        <w:drawing>
          <wp:inline distT="0" distB="0" distL="0" distR="0" wp14:anchorId="2CD21A19" wp14:editId="2C7CEBC2">
            <wp:extent cx="5829300" cy="2137696"/>
            <wp:effectExtent l="0" t="0" r="0" b="0"/>
            <wp:docPr id="19765621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9">
                      <a:extLst>
                        <a:ext uri="{28A0092B-C50C-407E-A947-70E740481C1C}">
                          <a14:useLocalDpi xmlns:a14="http://schemas.microsoft.com/office/drawing/2010/main" val="0"/>
                        </a:ext>
                      </a:extLst>
                    </a:blip>
                    <a:srcRect b="28242"/>
                    <a:stretch>
                      <a:fillRect/>
                    </a:stretch>
                  </pic:blipFill>
                  <pic:spPr bwMode="auto">
                    <a:xfrm>
                      <a:off x="0" y="0"/>
                      <a:ext cx="5837275" cy="2140620"/>
                    </a:xfrm>
                    <a:prstGeom prst="rect">
                      <a:avLst/>
                    </a:prstGeom>
                    <a:noFill/>
                    <a:ln>
                      <a:noFill/>
                    </a:ln>
                    <a:extLst>
                      <a:ext uri="{53640926-AAD7-44D8-BBD7-CCE9431645EC}">
                        <a14:shadowObscured xmlns:a14="http://schemas.microsoft.com/office/drawing/2010/main"/>
                      </a:ext>
                    </a:extLst>
                  </pic:spPr>
                </pic:pic>
              </a:graphicData>
            </a:graphic>
          </wp:inline>
        </w:drawing>
      </w:r>
    </w:p>
    <w:p w14:paraId="4BB7390E" w14:textId="330481A0" w:rsidR="009668DA" w:rsidRPr="0010199E" w:rsidRDefault="009668DA" w:rsidP="009668DA">
      <w:pPr>
        <w:pStyle w:val="Caption"/>
        <w:rPr>
          <w:b/>
          <w:bCs/>
          <w:lang w:val="en-US"/>
        </w:rPr>
      </w:pPr>
      <w:bookmarkStart w:id="44" w:name="_Toc217241699"/>
      <w:r>
        <w:t xml:space="preserve">Figure </w:t>
      </w:r>
      <w:r>
        <w:fldChar w:fldCharType="begin"/>
      </w:r>
      <w:r>
        <w:instrText xml:space="preserve"> SEQ Figure \* ARABIC </w:instrText>
      </w:r>
      <w:r>
        <w:fldChar w:fldCharType="separate"/>
      </w:r>
      <w:r w:rsidR="00237415">
        <w:rPr>
          <w:noProof/>
        </w:rPr>
        <w:t>17</w:t>
      </w:r>
      <w:r>
        <w:fldChar w:fldCharType="end"/>
      </w:r>
      <w:r>
        <w:t xml:space="preserve">: </w:t>
      </w:r>
      <w:r w:rsidRPr="00E60D49">
        <w:t>Market Entry</w:t>
      </w:r>
      <w:bookmarkEnd w:id="44"/>
    </w:p>
    <w:p w14:paraId="7068BBC5" w14:textId="0FA547C1" w:rsidR="0010199E" w:rsidRDefault="00B62C3E" w:rsidP="0010199E">
      <w:pPr>
        <w:rPr>
          <w:lang w:val="en-US"/>
        </w:rPr>
      </w:pPr>
      <w:r w:rsidRPr="00B62C3E">
        <w:rPr>
          <w:lang w:val="en-US"/>
        </w:rPr>
        <w:t>Based on the global market entry literature, a phased entry process, incorporating a digital presence and strategic partnerships seems the most appropriate entry strategy that B&amp;Q can consider in entering the Australian market (Schellenberg et al., 2017). At the first stage, B&amp;Q can be recommended with the focus on a digital-first approach through the introduction of a local B&amp;Q Marketplace portal.</w:t>
      </w:r>
      <w:r w:rsidR="0010199E" w:rsidRPr="0010199E">
        <w:rPr>
          <w:lang w:val="en-US"/>
        </w:rPr>
        <w:t xml:space="preserve"> </w:t>
      </w:r>
      <w:r w:rsidR="00956A08" w:rsidRPr="00956A08">
        <w:rPr>
          <w:lang w:val="en-US"/>
        </w:rPr>
        <w:t xml:space="preserve">This strategy allows B&amp;Q to gain access into the Australian do-it-yourself e-Commerce market, which is valued at US$3246 million </w:t>
      </w:r>
      <w:r w:rsidR="00956A08" w:rsidRPr="00956A08">
        <w:rPr>
          <w:lang w:val="en-US"/>
        </w:rPr>
        <w:lastRenderedPageBreak/>
        <w:t>in 2024, where online penetration is between 10% and 15% (ECDB, 2025) and helps them to bypass the need for incurring the high fixed costs upfront in business (for example, B&amp;Q) due to the presence of brick and mortar stores.</w:t>
      </w:r>
    </w:p>
    <w:p w14:paraId="11B3F4CE" w14:textId="5DEA9D70" w:rsidR="009668DA" w:rsidRDefault="009668DA" w:rsidP="0010199E">
      <w:pPr>
        <w:rPr>
          <w:lang w:val="en-US"/>
        </w:rPr>
      </w:pPr>
      <w:r>
        <w:rPr>
          <w:noProof/>
          <w:lang w:val="en-US"/>
        </w:rPr>
        <w:drawing>
          <wp:inline distT="0" distB="0" distL="0" distR="0" wp14:anchorId="42E16060" wp14:editId="58CC731B">
            <wp:extent cx="5905321" cy="4619625"/>
            <wp:effectExtent l="0" t="0" r="635" b="0"/>
            <wp:docPr id="7470143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23089" cy="4633525"/>
                    </a:xfrm>
                    <a:prstGeom prst="rect">
                      <a:avLst/>
                    </a:prstGeom>
                    <a:noFill/>
                  </pic:spPr>
                </pic:pic>
              </a:graphicData>
            </a:graphic>
          </wp:inline>
        </w:drawing>
      </w:r>
    </w:p>
    <w:p w14:paraId="5C7AE61E" w14:textId="7FFB9020" w:rsidR="009668DA" w:rsidRPr="0010199E" w:rsidRDefault="009668DA" w:rsidP="009668DA">
      <w:pPr>
        <w:pStyle w:val="Caption"/>
        <w:rPr>
          <w:lang w:val="en-US"/>
        </w:rPr>
      </w:pPr>
      <w:bookmarkStart w:id="45" w:name="_Toc217241700"/>
      <w:r>
        <w:t xml:space="preserve">Figure </w:t>
      </w:r>
      <w:r>
        <w:fldChar w:fldCharType="begin"/>
      </w:r>
      <w:r>
        <w:instrText xml:space="preserve"> SEQ Figure \* ARABIC </w:instrText>
      </w:r>
      <w:r>
        <w:fldChar w:fldCharType="separate"/>
      </w:r>
      <w:r w:rsidR="00237415">
        <w:rPr>
          <w:noProof/>
        </w:rPr>
        <w:t>18</w:t>
      </w:r>
      <w:r>
        <w:fldChar w:fldCharType="end"/>
      </w:r>
      <w:r>
        <w:t>: T</w:t>
      </w:r>
      <w:r w:rsidRPr="00356A5E">
        <w:t>hird-party sellers</w:t>
      </w:r>
      <w:bookmarkEnd w:id="45"/>
    </w:p>
    <w:p w14:paraId="52D8673F" w14:textId="77777777" w:rsidR="00690A0E" w:rsidRPr="00690A0E" w:rsidRDefault="00690A0E" w:rsidP="00690A0E">
      <w:pPr>
        <w:rPr>
          <w:lang w:val="en-US"/>
        </w:rPr>
      </w:pPr>
      <w:r w:rsidRPr="00690A0E">
        <w:rPr>
          <w:lang w:val="en-US"/>
        </w:rPr>
        <w:t xml:space="preserve">The marketplace model helps it to scale its assortments faster by allowing third-party sellers to increase its local relevance and demand responsiveness in addition to lowering inventory risk simultaneously (Optimizon, 2024; B &amp; Q, 2025).  </w:t>
      </w:r>
    </w:p>
    <w:p w14:paraId="5E3DAE02" w14:textId="3668BE2F" w:rsidR="0010199E" w:rsidRPr="0010199E" w:rsidRDefault="00690A0E" w:rsidP="0010199E">
      <w:pPr>
        <w:rPr>
          <w:lang w:val="en-US"/>
        </w:rPr>
      </w:pPr>
      <w:r w:rsidRPr="00690A0E">
        <w:rPr>
          <w:lang w:val="en-US"/>
        </w:rPr>
        <w:t>B &amp; Q should, in the medium term, when demand patterns are developed and brand recognition enhanced, consider hybrid entry mode, gradually involving physical formats, including compact urban stores or trade centres. This step-by-step process aligns with the evidence that stepwise committing reduces uncertainty and builds strong performance in the long-term within the international expansion (Tyukhtenko et al., 2024).</w:t>
      </w:r>
    </w:p>
    <w:p w14:paraId="7F49675A" w14:textId="77777777" w:rsidR="0010199E" w:rsidRDefault="0010199E" w:rsidP="00690A0E">
      <w:pPr>
        <w:pStyle w:val="Heading2"/>
        <w:rPr>
          <w:lang w:val="en-US"/>
        </w:rPr>
      </w:pPr>
      <w:bookmarkStart w:id="46" w:name="_Toc217241741"/>
      <w:r w:rsidRPr="0010199E">
        <w:rPr>
          <w:lang w:val="en-US"/>
        </w:rPr>
        <w:lastRenderedPageBreak/>
        <w:t>3.3 Competitive Positioning and Generic Strategy</w:t>
      </w:r>
      <w:bookmarkEnd w:id="46"/>
    </w:p>
    <w:p w14:paraId="46B0C2DD" w14:textId="58D89F4A" w:rsidR="00A55194" w:rsidRDefault="00A55194" w:rsidP="002F2E79">
      <w:pPr>
        <w:jc w:val="center"/>
        <w:rPr>
          <w:b/>
          <w:bCs/>
          <w:lang w:val="en-US"/>
        </w:rPr>
      </w:pPr>
      <w:r>
        <w:rPr>
          <w:noProof/>
        </w:rPr>
        <w:drawing>
          <wp:inline distT="0" distB="0" distL="0" distR="0" wp14:anchorId="16212C23" wp14:editId="3A3E08A4">
            <wp:extent cx="3151180" cy="2371725"/>
            <wp:effectExtent l="0" t="0" r="0" b="0"/>
            <wp:docPr id="301038153" name="Picture 12"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descr="Porter's Generic Strategies EXPLAINED with EXAMPLES | B2U"/>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9936" r="15385"/>
                    <a:stretch>
                      <a:fillRect/>
                    </a:stretch>
                  </pic:blipFill>
                  <pic:spPr bwMode="auto">
                    <a:xfrm>
                      <a:off x="0" y="0"/>
                      <a:ext cx="3155590" cy="2375044"/>
                    </a:xfrm>
                    <a:prstGeom prst="rect">
                      <a:avLst/>
                    </a:prstGeom>
                    <a:noFill/>
                    <a:ln>
                      <a:noFill/>
                    </a:ln>
                    <a:extLst>
                      <a:ext uri="{53640926-AAD7-44D8-BBD7-CCE9431645EC}">
                        <a14:shadowObscured xmlns:a14="http://schemas.microsoft.com/office/drawing/2010/main"/>
                      </a:ext>
                    </a:extLst>
                  </pic:spPr>
                </pic:pic>
              </a:graphicData>
            </a:graphic>
          </wp:inline>
        </w:drawing>
      </w:r>
    </w:p>
    <w:p w14:paraId="06A1F8F3" w14:textId="4A28DF82" w:rsidR="00A55194" w:rsidRPr="0010199E" w:rsidRDefault="00A55194" w:rsidP="00A55194">
      <w:pPr>
        <w:pStyle w:val="Caption"/>
        <w:rPr>
          <w:b/>
          <w:bCs/>
          <w:lang w:val="en-US"/>
        </w:rPr>
      </w:pPr>
      <w:bookmarkStart w:id="47" w:name="_Toc217241701"/>
      <w:r>
        <w:t xml:space="preserve">Figure </w:t>
      </w:r>
      <w:r>
        <w:fldChar w:fldCharType="begin"/>
      </w:r>
      <w:r>
        <w:instrText xml:space="preserve"> SEQ Figure \* ARABIC </w:instrText>
      </w:r>
      <w:r>
        <w:fldChar w:fldCharType="separate"/>
      </w:r>
      <w:r w:rsidR="00237415">
        <w:rPr>
          <w:noProof/>
        </w:rPr>
        <w:t>19</w:t>
      </w:r>
      <w:r>
        <w:fldChar w:fldCharType="end"/>
      </w:r>
      <w:r>
        <w:t xml:space="preserve">: </w:t>
      </w:r>
      <w:r w:rsidRPr="00A55194">
        <w:t>Generic Strategy</w:t>
      </w:r>
      <w:bookmarkEnd w:id="47"/>
    </w:p>
    <w:p w14:paraId="3E0EE5BA" w14:textId="2C30304F" w:rsidR="0010199E" w:rsidRDefault="002F2E79" w:rsidP="0010199E">
      <w:pPr>
        <w:rPr>
          <w:lang w:val="en-US"/>
        </w:rPr>
      </w:pPr>
      <w:r w:rsidRPr="002F2E79">
        <w:rPr>
          <w:lang w:val="en-US"/>
        </w:rPr>
        <w:t xml:space="preserve">From Porter's generic strategies framework, B&amp;Q's competitive advantage in the market in Australia should be based on differentiation combined with cost discipline, rather than on a purely cost leadership orientation. The Australian market is </w:t>
      </w:r>
      <w:r w:rsidR="00B53BDC" w:rsidRPr="002F2E79">
        <w:rPr>
          <w:lang w:val="en-US"/>
        </w:rPr>
        <w:t>characterized</w:t>
      </w:r>
      <w:r w:rsidRPr="002F2E79">
        <w:rPr>
          <w:lang w:val="en-US"/>
        </w:rPr>
        <w:t xml:space="preserve"> by the great buyer power and heavy competition, where price-only competition is unsustainable for new entrants (IBISWorld, 2025). B&amp;Q's differentiation strategy is grounded in the fact that it is able to blend affordability with project advice, curated product ranges, and digital convenience.</w:t>
      </w:r>
    </w:p>
    <w:p w14:paraId="09B037A0" w14:textId="3FCE4723" w:rsidR="003E1E3F" w:rsidRDefault="003E1E3F" w:rsidP="00B53BDC">
      <w:pPr>
        <w:jc w:val="center"/>
        <w:rPr>
          <w:lang w:val="en-US"/>
        </w:rPr>
      </w:pPr>
      <w:r>
        <w:rPr>
          <w:noProof/>
        </w:rPr>
        <w:drawing>
          <wp:inline distT="0" distB="0" distL="0" distR="0" wp14:anchorId="678BCE32" wp14:editId="7F2C2918">
            <wp:extent cx="3635327" cy="2543175"/>
            <wp:effectExtent l="0" t="0" r="3810" b="0"/>
            <wp:docPr id="704269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69236" name=""/>
                    <pic:cNvPicPr/>
                  </pic:nvPicPr>
                  <pic:blipFill>
                    <a:blip r:embed="rId32"/>
                    <a:stretch>
                      <a:fillRect/>
                    </a:stretch>
                  </pic:blipFill>
                  <pic:spPr>
                    <a:xfrm>
                      <a:off x="0" y="0"/>
                      <a:ext cx="3638458" cy="2545365"/>
                    </a:xfrm>
                    <a:prstGeom prst="rect">
                      <a:avLst/>
                    </a:prstGeom>
                  </pic:spPr>
                </pic:pic>
              </a:graphicData>
            </a:graphic>
          </wp:inline>
        </w:drawing>
      </w:r>
    </w:p>
    <w:p w14:paraId="7F455154" w14:textId="3304E12B" w:rsidR="003E1E3F" w:rsidRPr="0010199E" w:rsidRDefault="003E1E3F" w:rsidP="003E1E3F">
      <w:pPr>
        <w:pStyle w:val="Caption"/>
        <w:rPr>
          <w:lang w:val="en-US"/>
        </w:rPr>
      </w:pPr>
      <w:bookmarkStart w:id="48" w:name="_Toc217241702"/>
      <w:r>
        <w:t xml:space="preserve">Figure </w:t>
      </w:r>
      <w:r>
        <w:fldChar w:fldCharType="begin"/>
      </w:r>
      <w:r>
        <w:instrText xml:space="preserve"> SEQ Figure \* ARABIC </w:instrText>
      </w:r>
      <w:r>
        <w:fldChar w:fldCharType="separate"/>
      </w:r>
      <w:r w:rsidR="00237415">
        <w:rPr>
          <w:noProof/>
        </w:rPr>
        <w:t>20</w:t>
      </w:r>
      <w:r>
        <w:fldChar w:fldCharType="end"/>
      </w:r>
      <w:r>
        <w:t>: A</w:t>
      </w:r>
      <w:r w:rsidRPr="00114511">
        <w:t xml:space="preserve">ffordable </w:t>
      </w:r>
      <w:r>
        <w:t>E</w:t>
      </w:r>
      <w:r w:rsidRPr="00114511">
        <w:t>xpertise</w:t>
      </w:r>
      <w:bookmarkEnd w:id="48"/>
    </w:p>
    <w:p w14:paraId="5C8FD820" w14:textId="21FB0F00" w:rsidR="0010199E" w:rsidRPr="0010199E" w:rsidRDefault="001B50A5" w:rsidP="0010199E">
      <w:pPr>
        <w:rPr>
          <w:lang w:val="en-US"/>
        </w:rPr>
      </w:pPr>
      <w:r w:rsidRPr="001B50A5">
        <w:rPr>
          <w:lang w:val="en-US"/>
        </w:rPr>
        <w:lastRenderedPageBreak/>
        <w:t xml:space="preserve">The marketplace structure and the dimension of its product </w:t>
      </w:r>
      <w:r w:rsidR="009138C7" w:rsidRPr="001B50A5">
        <w:rPr>
          <w:lang w:val="en-US"/>
        </w:rPr>
        <w:t>spread,</w:t>
      </w:r>
      <w:r w:rsidRPr="001B50A5">
        <w:rPr>
          <w:lang w:val="en-US"/>
        </w:rPr>
        <w:t xml:space="preserve"> and access create a sense of value internally through the combination of cost efficiency attainable through its extensive </w:t>
      </w:r>
      <w:r w:rsidR="009138C7" w:rsidRPr="001B50A5">
        <w:rPr>
          <w:lang w:val="en-US"/>
        </w:rPr>
        <w:t>private label</w:t>
      </w:r>
      <w:r w:rsidRPr="001B50A5">
        <w:rPr>
          <w:lang w:val="en-US"/>
        </w:rPr>
        <w:t xml:space="preserve"> portfolio and a global network of sourcing (Kingfisher Plc, 2025; Novita et al., 2020). This business position supports a strategic value of affordable expertise, which Australian customers are attracted to instead of high-end oppression (Han, 2023; Mackay et al., 2016).</w:t>
      </w:r>
    </w:p>
    <w:p w14:paraId="15632F60" w14:textId="018FF10D" w:rsidR="0010199E" w:rsidRPr="0010199E" w:rsidRDefault="0010199E" w:rsidP="0010199E">
      <w:pPr>
        <w:rPr>
          <w:lang w:val="en-US"/>
        </w:rPr>
      </w:pPr>
    </w:p>
    <w:p w14:paraId="191D30FF" w14:textId="77777777" w:rsidR="0010199E" w:rsidRDefault="0010199E" w:rsidP="001B50A5">
      <w:pPr>
        <w:pStyle w:val="Heading2"/>
        <w:rPr>
          <w:lang w:val="en-US"/>
        </w:rPr>
      </w:pPr>
      <w:bookmarkStart w:id="49" w:name="_Toc217241742"/>
      <w:r w:rsidRPr="0010199E">
        <w:rPr>
          <w:lang w:val="en-US"/>
        </w:rPr>
        <w:t>3.4 Resource-Based View and Capability Leveraging</w:t>
      </w:r>
      <w:bookmarkEnd w:id="49"/>
    </w:p>
    <w:p w14:paraId="68900A34" w14:textId="1766454C" w:rsidR="00973BFF" w:rsidRDefault="00973BFF" w:rsidP="0010199E">
      <w:pPr>
        <w:rPr>
          <w:b/>
          <w:bCs/>
          <w:lang w:val="en-US"/>
        </w:rPr>
      </w:pPr>
      <w:r w:rsidRPr="00973BFF">
        <w:rPr>
          <w:b/>
          <w:bCs/>
          <w:noProof/>
        </w:rPr>
        <w:drawing>
          <wp:inline distT="0" distB="0" distL="0" distR="0" wp14:anchorId="01830A48" wp14:editId="5247BAD5">
            <wp:extent cx="5943600" cy="4095750"/>
            <wp:effectExtent l="0" t="0" r="0" b="0"/>
            <wp:docPr id="2147298030" name="Picture 14" descr="Resource-Based View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descr="Resource-Based View - FourWeekMBA"/>
                    <pic:cNvPicPr>
                      <a:picLocks noChangeAspect="1" noChangeArrowheads="1"/>
                    </pic:cNvPicPr>
                  </pic:nvPicPr>
                  <pic:blipFill rotWithShape="1">
                    <a:blip r:embed="rId33">
                      <a:extLst>
                        <a:ext uri="{28A0092B-C50C-407E-A947-70E740481C1C}">
                          <a14:useLocalDpi xmlns:a14="http://schemas.microsoft.com/office/drawing/2010/main" val="0"/>
                        </a:ext>
                      </a:extLst>
                    </a:blip>
                    <a:srcRect b="8679"/>
                    <a:stretch>
                      <a:fillRect/>
                    </a:stretch>
                  </pic:blipFill>
                  <pic:spPr bwMode="auto">
                    <a:xfrm>
                      <a:off x="0" y="0"/>
                      <a:ext cx="5943600" cy="4095750"/>
                    </a:xfrm>
                    <a:prstGeom prst="rect">
                      <a:avLst/>
                    </a:prstGeom>
                    <a:noFill/>
                    <a:ln>
                      <a:noFill/>
                    </a:ln>
                    <a:extLst>
                      <a:ext uri="{53640926-AAD7-44D8-BBD7-CCE9431645EC}">
                        <a14:shadowObscured xmlns:a14="http://schemas.microsoft.com/office/drawing/2010/main"/>
                      </a:ext>
                    </a:extLst>
                  </pic:spPr>
                </pic:pic>
              </a:graphicData>
            </a:graphic>
          </wp:inline>
        </w:drawing>
      </w:r>
    </w:p>
    <w:p w14:paraId="75C95F09" w14:textId="421E7BF3" w:rsidR="00973BFF" w:rsidRPr="0010199E" w:rsidRDefault="00973BFF" w:rsidP="00973BFF">
      <w:pPr>
        <w:pStyle w:val="Caption"/>
        <w:rPr>
          <w:b/>
          <w:bCs/>
          <w:lang w:val="en-US"/>
        </w:rPr>
      </w:pPr>
      <w:bookmarkStart w:id="50" w:name="_Toc217241703"/>
      <w:r>
        <w:t xml:space="preserve">Figure </w:t>
      </w:r>
      <w:r>
        <w:fldChar w:fldCharType="begin"/>
      </w:r>
      <w:r>
        <w:instrText xml:space="preserve"> SEQ Figure \* ARABIC </w:instrText>
      </w:r>
      <w:r>
        <w:fldChar w:fldCharType="separate"/>
      </w:r>
      <w:r w:rsidR="00237415">
        <w:rPr>
          <w:noProof/>
        </w:rPr>
        <w:t>21</w:t>
      </w:r>
      <w:r>
        <w:fldChar w:fldCharType="end"/>
      </w:r>
      <w:r>
        <w:t xml:space="preserve">: </w:t>
      </w:r>
      <w:r w:rsidRPr="008C2BFE">
        <w:t>Resource-Based View</w:t>
      </w:r>
      <w:bookmarkEnd w:id="50"/>
    </w:p>
    <w:p w14:paraId="0FED662E" w14:textId="6EC6164F" w:rsidR="0010199E" w:rsidRPr="0010199E" w:rsidRDefault="00C10483" w:rsidP="0010199E">
      <w:pPr>
        <w:rPr>
          <w:lang w:val="en-US"/>
        </w:rPr>
      </w:pPr>
      <w:r w:rsidRPr="00C10483">
        <w:rPr>
          <w:lang w:val="en-US"/>
        </w:rPr>
        <w:t xml:space="preserve">Applying the Resource-Based View (RBV), B&amp;Q has a number of valuable, rare, and difficult-to-imitate resources that can be the foundation for competitive advantage in Australia. These including its established omnichannel infrastructure, proprietary marketplace governance systems and sustainability-led brand credibility (B&amp;Q, 2025; </w:t>
      </w:r>
      <w:r w:rsidRPr="00C10483">
        <w:rPr>
          <w:lang w:val="en-US"/>
        </w:rPr>
        <w:lastRenderedPageBreak/>
        <w:t>Electrical Times, 2024).</w:t>
      </w:r>
      <w:r w:rsidR="0010199E" w:rsidRPr="0010199E">
        <w:rPr>
          <w:lang w:val="en-US"/>
        </w:rPr>
        <w:t xml:space="preserve"> </w:t>
      </w:r>
      <w:r w:rsidR="00246B1C" w:rsidRPr="00246B1C">
        <w:rPr>
          <w:lang w:val="en-US"/>
        </w:rPr>
        <w:t>These abilities will allow scaling digitally in the B&amp;Q, which will not compromise trust and compliance, especially in a regulated retail landscape.</w:t>
      </w:r>
    </w:p>
    <w:p w14:paraId="2175A763" w14:textId="1DC1AFEA" w:rsidR="0010199E" w:rsidRPr="0010199E" w:rsidRDefault="00302EBC" w:rsidP="00302EBC">
      <w:pPr>
        <w:rPr>
          <w:lang w:val="en-US"/>
        </w:rPr>
      </w:pPr>
      <w:r w:rsidRPr="00302EBC">
        <w:rPr>
          <w:lang w:val="en-US"/>
        </w:rPr>
        <w:t>Moreover, Kingfisher's financial strength, as well as the learning functions across various international markets, contributes to the improvement of B&amp;Q's dynamic capabilities to adapt to Australia's cyclical demand conditions (Al-Shammari, 2025; Kingfisher Plc, 2025).</w:t>
      </w:r>
      <w:r>
        <w:rPr>
          <w:lang w:val="en-US"/>
        </w:rPr>
        <w:t xml:space="preserve"> </w:t>
      </w:r>
      <w:r w:rsidRPr="00302EBC">
        <w:rPr>
          <w:lang w:val="en-US"/>
        </w:rPr>
        <w:t>By taking advantage of these firm-specific assets, B&amp;Q is able to overcome the liability of foreignness and compete well with entrenched local players (Abderzag, 2021).</w:t>
      </w:r>
    </w:p>
    <w:p w14:paraId="39A34F0A" w14:textId="0A1F1E12" w:rsidR="0010199E" w:rsidRPr="0010199E" w:rsidRDefault="0010199E" w:rsidP="0010199E">
      <w:pPr>
        <w:rPr>
          <w:lang w:val="en-US"/>
        </w:rPr>
      </w:pPr>
    </w:p>
    <w:p w14:paraId="491C16D0" w14:textId="77777777" w:rsidR="0010199E" w:rsidRDefault="0010199E" w:rsidP="00302EBC">
      <w:pPr>
        <w:pStyle w:val="Heading2"/>
        <w:rPr>
          <w:lang w:val="en-US"/>
        </w:rPr>
      </w:pPr>
      <w:bookmarkStart w:id="51" w:name="_Toc217241743"/>
      <w:r w:rsidRPr="0010199E">
        <w:rPr>
          <w:lang w:val="en-US"/>
        </w:rPr>
        <w:t>3.5 Strategic Marketing and Value Proposition Development</w:t>
      </w:r>
      <w:bookmarkEnd w:id="51"/>
    </w:p>
    <w:p w14:paraId="33E003C2" w14:textId="5EB1EA7D" w:rsidR="00BF1054" w:rsidRDefault="00BF1054" w:rsidP="0010199E">
      <w:pPr>
        <w:rPr>
          <w:b/>
          <w:bCs/>
          <w:lang w:val="en-US"/>
        </w:rPr>
      </w:pPr>
      <w:r>
        <w:rPr>
          <w:b/>
          <w:bCs/>
          <w:noProof/>
          <w:lang w:val="en-US"/>
        </w:rPr>
        <w:drawing>
          <wp:inline distT="0" distB="0" distL="0" distR="0" wp14:anchorId="09BA8B87" wp14:editId="2A31E3EE">
            <wp:extent cx="6029325" cy="3391495"/>
            <wp:effectExtent l="0" t="0" r="0" b="0"/>
            <wp:docPr id="48788652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49837" cy="3403033"/>
                    </a:xfrm>
                    <a:prstGeom prst="rect">
                      <a:avLst/>
                    </a:prstGeom>
                    <a:noFill/>
                  </pic:spPr>
                </pic:pic>
              </a:graphicData>
            </a:graphic>
          </wp:inline>
        </w:drawing>
      </w:r>
    </w:p>
    <w:p w14:paraId="61F8BB3D" w14:textId="0CE1D302" w:rsidR="00BF1054" w:rsidRPr="0010199E" w:rsidRDefault="00BF1054" w:rsidP="00BF1054">
      <w:pPr>
        <w:pStyle w:val="Caption"/>
        <w:rPr>
          <w:b/>
          <w:bCs/>
          <w:lang w:val="en-US"/>
        </w:rPr>
      </w:pPr>
      <w:bookmarkStart w:id="52" w:name="_Toc217241704"/>
      <w:r>
        <w:t xml:space="preserve">Figure </w:t>
      </w:r>
      <w:r>
        <w:fldChar w:fldCharType="begin"/>
      </w:r>
      <w:r>
        <w:instrText xml:space="preserve"> SEQ Figure \* ARABIC </w:instrText>
      </w:r>
      <w:r>
        <w:fldChar w:fldCharType="separate"/>
      </w:r>
      <w:r w:rsidR="00237415">
        <w:rPr>
          <w:noProof/>
        </w:rPr>
        <w:t>22</w:t>
      </w:r>
      <w:r>
        <w:fldChar w:fldCharType="end"/>
      </w:r>
      <w:r>
        <w:t xml:space="preserve">: </w:t>
      </w:r>
      <w:r w:rsidRPr="00F82CA4">
        <w:t>Value Proposition Development</w:t>
      </w:r>
      <w:bookmarkEnd w:id="52"/>
    </w:p>
    <w:p w14:paraId="55A3FDC8" w14:textId="40C6C49C" w:rsidR="0010199E" w:rsidRPr="0010199E" w:rsidRDefault="00F05036" w:rsidP="0010199E">
      <w:pPr>
        <w:rPr>
          <w:lang w:val="en-US"/>
        </w:rPr>
      </w:pPr>
      <w:r w:rsidRPr="00F05036">
        <w:rPr>
          <w:lang w:val="en-US"/>
        </w:rPr>
        <w:t xml:space="preserve">Strategic marketing models focus on the match between information of the design of consumer needs and value that can be created, and organisational capabilities (Rajer, 2023). Value-for-money and useful advantages are considered to be imperative in Australia, where discretionary spending has not been constrained in the short-term (Blythe, 2025). As a result, the marketing approach should put the emphasis on B&amp;Q is to be rather affordable, sustainable, and confident in the implementation of the project, </w:t>
      </w:r>
      <w:r w:rsidRPr="00F05036">
        <w:rPr>
          <w:lang w:val="en-US"/>
        </w:rPr>
        <w:lastRenderedPageBreak/>
        <w:t>which should be supported by digital content, tutorials, and data-based personalisation (Kravets, 2025; Mishra et al., 2025).</w:t>
      </w:r>
    </w:p>
    <w:p w14:paraId="0F4BC1CB" w14:textId="37E03602" w:rsidR="0010199E" w:rsidRPr="0010199E" w:rsidRDefault="00467741" w:rsidP="0010199E">
      <w:pPr>
        <w:rPr>
          <w:lang w:val="en-US"/>
        </w:rPr>
      </w:pPr>
      <w:r w:rsidRPr="00467741">
        <w:rPr>
          <w:lang w:val="en-US"/>
        </w:rPr>
        <w:t>The marketplace platform provides an environment rich in data that allows for analytics-based decision making, which enables B&amp;Q to optimise its assortment, pricing and promotional strategies in line with the localised consumer behaviour (Lagodiienko et al., 2019). This analytical capability strengthens the competitive positioning, becoming the foundation for constant improvement of customer experience (Camilleri, 2024).</w:t>
      </w:r>
    </w:p>
    <w:p w14:paraId="68563DF1" w14:textId="66D161AB" w:rsidR="0010199E" w:rsidRPr="0010199E" w:rsidRDefault="0010199E" w:rsidP="0010199E">
      <w:pPr>
        <w:rPr>
          <w:lang w:val="en-US"/>
        </w:rPr>
      </w:pPr>
    </w:p>
    <w:p w14:paraId="4F934567" w14:textId="77777777" w:rsidR="0010199E" w:rsidRDefault="0010199E" w:rsidP="00F05036">
      <w:pPr>
        <w:pStyle w:val="Heading2"/>
        <w:rPr>
          <w:lang w:val="en-US"/>
        </w:rPr>
      </w:pPr>
      <w:bookmarkStart w:id="53" w:name="_Toc217241744"/>
      <w:r w:rsidRPr="0010199E">
        <w:rPr>
          <w:lang w:val="en-US"/>
        </w:rPr>
        <w:t>3.6 Sustainability and Risk Mitigation Strategy</w:t>
      </w:r>
      <w:bookmarkEnd w:id="53"/>
    </w:p>
    <w:p w14:paraId="40E25F52" w14:textId="3A1591E2" w:rsidR="00B2160B" w:rsidRDefault="00B2160B" w:rsidP="00B2160B">
      <w:pPr>
        <w:jc w:val="center"/>
        <w:rPr>
          <w:b/>
          <w:bCs/>
          <w:lang w:val="en-US"/>
        </w:rPr>
      </w:pPr>
      <w:r>
        <w:rPr>
          <w:b/>
          <w:bCs/>
          <w:noProof/>
          <w:lang w:val="en-US"/>
        </w:rPr>
        <w:drawing>
          <wp:inline distT="0" distB="0" distL="0" distR="0" wp14:anchorId="2094C8F5" wp14:editId="13F1B0BA">
            <wp:extent cx="4286250" cy="3476625"/>
            <wp:effectExtent l="0" t="0" r="0" b="9525"/>
            <wp:docPr id="1104334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86250" cy="3476625"/>
                    </a:xfrm>
                    <a:prstGeom prst="rect">
                      <a:avLst/>
                    </a:prstGeom>
                    <a:noFill/>
                  </pic:spPr>
                </pic:pic>
              </a:graphicData>
            </a:graphic>
          </wp:inline>
        </w:drawing>
      </w:r>
    </w:p>
    <w:p w14:paraId="1EE233A6" w14:textId="34949D2A" w:rsidR="00B2160B" w:rsidRPr="0010199E" w:rsidRDefault="00B2160B" w:rsidP="00B2160B">
      <w:pPr>
        <w:pStyle w:val="Caption"/>
        <w:rPr>
          <w:b/>
          <w:bCs/>
          <w:lang w:val="en-US"/>
        </w:rPr>
      </w:pPr>
      <w:bookmarkStart w:id="54" w:name="_Toc217241705"/>
      <w:r>
        <w:t xml:space="preserve">Figure </w:t>
      </w:r>
      <w:r>
        <w:fldChar w:fldCharType="begin"/>
      </w:r>
      <w:r>
        <w:instrText xml:space="preserve"> SEQ Figure \* ARABIC </w:instrText>
      </w:r>
      <w:r>
        <w:fldChar w:fldCharType="separate"/>
      </w:r>
      <w:r w:rsidR="00237415">
        <w:rPr>
          <w:noProof/>
        </w:rPr>
        <w:t>23</w:t>
      </w:r>
      <w:r>
        <w:fldChar w:fldCharType="end"/>
      </w:r>
      <w:r>
        <w:t xml:space="preserve">: </w:t>
      </w:r>
      <w:r w:rsidRPr="00892808">
        <w:t>The 3 Pillars of Sustainability</w:t>
      </w:r>
      <w:bookmarkEnd w:id="54"/>
    </w:p>
    <w:p w14:paraId="5FDA6E1D" w14:textId="08EDBD11" w:rsidR="0010199E" w:rsidRDefault="0092577E" w:rsidP="0010199E">
      <w:pPr>
        <w:rPr>
          <w:lang w:val="en-US"/>
        </w:rPr>
      </w:pPr>
      <w:r w:rsidRPr="0092577E">
        <w:rPr>
          <w:lang w:val="en-US"/>
        </w:rPr>
        <w:t xml:space="preserve">Sustainability should be institutionalized as one of the strategic pillars as opposed to it being a compliance aspect. It has been shown that utilizing the triple bottom line improves long-term resilience and legitimacy among the stakeholders (Jali et al., 2025; Nogueira et al., 2025). The already established policies of B&amp;Q on reducing emissions, ethically sourcing, and engaging communities can be used to make the firm stand out in Australia, </w:t>
      </w:r>
      <w:r w:rsidRPr="0092577E">
        <w:rPr>
          <w:lang w:val="en-US"/>
        </w:rPr>
        <w:lastRenderedPageBreak/>
        <w:t>which, where increased environmental awareness is becoming a significant factor in buying products (Electrical Times, 2024; Williams, 2025).</w:t>
      </w:r>
    </w:p>
    <w:p w14:paraId="7C46A6D5" w14:textId="644DA047" w:rsidR="005D6A65" w:rsidRDefault="005D6A65" w:rsidP="0010199E">
      <w:pPr>
        <w:rPr>
          <w:lang w:val="en-US"/>
        </w:rPr>
      </w:pPr>
      <w:r>
        <w:rPr>
          <w:noProof/>
          <w:lang w:val="en-US"/>
        </w:rPr>
        <w:drawing>
          <wp:inline distT="0" distB="0" distL="0" distR="0" wp14:anchorId="69E4003E" wp14:editId="59FA4F2B">
            <wp:extent cx="5962278" cy="2625725"/>
            <wp:effectExtent l="0" t="0" r="635" b="3175"/>
            <wp:docPr id="56934105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6">
                      <a:extLst>
                        <a:ext uri="{28A0092B-C50C-407E-A947-70E740481C1C}">
                          <a14:useLocalDpi xmlns:a14="http://schemas.microsoft.com/office/drawing/2010/main" val="0"/>
                        </a:ext>
                      </a:extLst>
                    </a:blip>
                    <a:srcRect t="15870"/>
                    <a:stretch>
                      <a:fillRect/>
                    </a:stretch>
                  </pic:blipFill>
                  <pic:spPr bwMode="auto">
                    <a:xfrm>
                      <a:off x="0" y="0"/>
                      <a:ext cx="5969667" cy="2628979"/>
                    </a:xfrm>
                    <a:prstGeom prst="rect">
                      <a:avLst/>
                    </a:prstGeom>
                    <a:noFill/>
                    <a:ln>
                      <a:noFill/>
                    </a:ln>
                    <a:extLst>
                      <a:ext uri="{53640926-AAD7-44D8-BBD7-CCE9431645EC}">
                        <a14:shadowObscured xmlns:a14="http://schemas.microsoft.com/office/drawing/2010/main"/>
                      </a:ext>
                    </a:extLst>
                  </pic:spPr>
                </pic:pic>
              </a:graphicData>
            </a:graphic>
          </wp:inline>
        </w:drawing>
      </w:r>
    </w:p>
    <w:p w14:paraId="30828D86" w14:textId="538C78D1" w:rsidR="005D6A65" w:rsidRPr="0010199E" w:rsidRDefault="005D6A65" w:rsidP="005D6A65">
      <w:pPr>
        <w:pStyle w:val="Caption"/>
        <w:rPr>
          <w:lang w:val="en-US"/>
        </w:rPr>
      </w:pPr>
      <w:bookmarkStart w:id="55" w:name="_Toc217241706"/>
      <w:r>
        <w:t xml:space="preserve">Figure </w:t>
      </w:r>
      <w:r>
        <w:fldChar w:fldCharType="begin"/>
      </w:r>
      <w:r>
        <w:instrText xml:space="preserve"> SEQ Figure \* ARABIC </w:instrText>
      </w:r>
      <w:r>
        <w:fldChar w:fldCharType="separate"/>
      </w:r>
      <w:r w:rsidR="00237415">
        <w:rPr>
          <w:noProof/>
        </w:rPr>
        <w:t>24</w:t>
      </w:r>
      <w:r>
        <w:fldChar w:fldCharType="end"/>
      </w:r>
      <w:r>
        <w:t xml:space="preserve">: </w:t>
      </w:r>
      <w:r w:rsidRPr="00A244F0">
        <w:t>Risks of Expanding a Business Internationally</w:t>
      </w:r>
      <w:bookmarkEnd w:id="55"/>
    </w:p>
    <w:p w14:paraId="22A6A811" w14:textId="77777777" w:rsidR="00543AE2" w:rsidRPr="00543AE2" w:rsidRDefault="00543AE2" w:rsidP="00543AE2">
      <w:pPr>
        <w:rPr>
          <w:lang w:val="en-US"/>
        </w:rPr>
      </w:pPr>
      <w:r w:rsidRPr="00543AE2">
        <w:rPr>
          <w:lang w:val="en-US"/>
        </w:rPr>
        <w:t xml:space="preserve">Key risks associated with the expansion include economic volatility, high competition, and complexity of operations in the administration of third-party sellers. These risks could be addressed by phased investment, effective governance of the marketplace and a measurement of performance that is dependent on the strategic goal achievement (Hwang, 2024; Gomes et al. 2025).  </w:t>
      </w:r>
    </w:p>
    <w:p w14:paraId="59BF2560" w14:textId="4D07DF84" w:rsidR="0010199E" w:rsidRPr="0010199E" w:rsidRDefault="00543AE2" w:rsidP="00543AE2">
      <w:pPr>
        <w:rPr>
          <w:lang w:val="en-US"/>
        </w:rPr>
      </w:pPr>
      <w:r w:rsidRPr="00543AE2">
        <w:rPr>
          <w:lang w:val="en-US"/>
        </w:rPr>
        <w:t>The implementation of balanced scorecard principles ensures that strategies of the financial performance, customer results, inner processes and environmental factors are strategically aligned during expansion (Terziev et al., 2025).</w:t>
      </w:r>
    </w:p>
    <w:p w14:paraId="1509C1B9" w14:textId="099CCD41" w:rsidR="0010199E" w:rsidRPr="0010199E" w:rsidRDefault="0010199E" w:rsidP="0010199E">
      <w:pPr>
        <w:rPr>
          <w:lang w:val="en-US"/>
        </w:rPr>
      </w:pPr>
    </w:p>
    <w:p w14:paraId="325994A0" w14:textId="77777777" w:rsidR="0010199E" w:rsidRPr="0010199E" w:rsidRDefault="0010199E" w:rsidP="00543AE2">
      <w:pPr>
        <w:pStyle w:val="Heading2"/>
        <w:rPr>
          <w:lang w:val="en-US"/>
        </w:rPr>
      </w:pPr>
      <w:bookmarkStart w:id="56" w:name="_Toc217241745"/>
      <w:r w:rsidRPr="0010199E">
        <w:rPr>
          <w:lang w:val="en-US"/>
        </w:rPr>
        <w:t>3.7 Strategic Coherence and Summary</w:t>
      </w:r>
      <w:bookmarkEnd w:id="56"/>
    </w:p>
    <w:p w14:paraId="31A77D5E" w14:textId="67DEEF8D" w:rsidR="0010199E" w:rsidRPr="0010199E" w:rsidRDefault="00300C2A" w:rsidP="0010199E">
      <w:pPr>
        <w:rPr>
          <w:lang w:val="en-US"/>
        </w:rPr>
      </w:pPr>
      <w:r w:rsidRPr="00300C2A">
        <w:rPr>
          <w:lang w:val="en-US"/>
        </w:rPr>
        <w:t xml:space="preserve">All in all, the market entry strategy adopted by B&amp;Q into Australian market should be described as a gradual commitment, online leadership, and diverse value generation. Through its capabilities of marketplaces, global sourcing and sustainability, B&amp;Q can provide itself with a defensible competitive location in balanced out the risks posed by market cyclicality and competition. The strategy identifies organisational aspirations with </w:t>
      </w:r>
      <w:r w:rsidRPr="00300C2A">
        <w:rPr>
          <w:lang w:val="en-US"/>
        </w:rPr>
        <w:lastRenderedPageBreak/>
        <w:t>business facts and enables long term development in a potential but competitive foreign market. (GlobalData, 2025; IBISWorld, 2025)</w:t>
      </w:r>
    </w:p>
    <w:p w14:paraId="4AF5AD09" w14:textId="77777777" w:rsidR="00727F85" w:rsidRPr="00480FF6" w:rsidRDefault="00727F85" w:rsidP="00BA6D59">
      <w:pPr>
        <w:rPr>
          <w:lang w:val="en-US"/>
        </w:rPr>
      </w:pPr>
    </w:p>
    <w:p w14:paraId="54F604D3" w14:textId="77777777" w:rsidR="0010199E" w:rsidRPr="0010199E" w:rsidRDefault="0010199E" w:rsidP="00300C2A">
      <w:pPr>
        <w:pStyle w:val="Heading1"/>
        <w:rPr>
          <w:lang w:val="en-US"/>
        </w:rPr>
      </w:pPr>
      <w:bookmarkStart w:id="57" w:name="_Toc217241746"/>
      <w:r w:rsidRPr="0010199E">
        <w:rPr>
          <w:lang w:val="en-US"/>
        </w:rPr>
        <w:t>4. Performance Evaluation Framework for B&amp;Q’s Expansion into Australia</w:t>
      </w:r>
      <w:bookmarkEnd w:id="57"/>
    </w:p>
    <w:p w14:paraId="7D23E2AC" w14:textId="77777777" w:rsidR="0010199E" w:rsidRPr="0010199E" w:rsidRDefault="0010199E" w:rsidP="00300C2A">
      <w:pPr>
        <w:pStyle w:val="Heading2"/>
        <w:rPr>
          <w:lang w:val="en-US"/>
        </w:rPr>
      </w:pPr>
      <w:bookmarkStart w:id="58" w:name="_Toc217241747"/>
      <w:r w:rsidRPr="0010199E">
        <w:rPr>
          <w:lang w:val="en-US"/>
        </w:rPr>
        <w:t>4.1 Purpose and Design Principles</w:t>
      </w:r>
      <w:bookmarkEnd w:id="58"/>
    </w:p>
    <w:p w14:paraId="252CA99E" w14:textId="448CEE8B" w:rsidR="00707F98" w:rsidRDefault="00F30371" w:rsidP="0010199E">
      <w:pPr>
        <w:rPr>
          <w:lang w:val="en-US"/>
        </w:rPr>
      </w:pPr>
      <w:r w:rsidRPr="00F30371">
        <w:rPr>
          <w:lang w:val="en-US"/>
        </w:rPr>
        <w:t>Evaluating B&amp;Q's Australia expansion Balanced Scorecard (BSC) coupled with the Triple Bottom Line (TBL) is a sound performance measurement system, as it is well aligned to the strategic intent of a digital-first entry, marketplace scaling and selective physical presence - with the quantification of results in terms of financial, customer, internal process, learning and sustainability dimensions (Gomes et al., 2025; Terziev et al., 2025).</w:t>
      </w:r>
      <w:r w:rsidR="0010199E" w:rsidRPr="0010199E">
        <w:rPr>
          <w:lang w:val="en-US"/>
        </w:rPr>
        <w:t xml:space="preserve"> </w:t>
      </w:r>
    </w:p>
    <w:p w14:paraId="1FA89AF6" w14:textId="223B97B0" w:rsidR="00707F98" w:rsidRDefault="00707F98" w:rsidP="0010199E">
      <w:pPr>
        <w:rPr>
          <w:lang w:val="en-US"/>
        </w:rPr>
      </w:pPr>
      <w:r>
        <w:rPr>
          <w:noProof/>
          <w:lang w:val="en-US"/>
        </w:rPr>
        <w:drawing>
          <wp:inline distT="0" distB="0" distL="0" distR="0" wp14:anchorId="137BE051" wp14:editId="2E80D3A8">
            <wp:extent cx="5915025" cy="3327202"/>
            <wp:effectExtent l="0" t="0" r="0" b="6985"/>
            <wp:docPr id="176462237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30019" cy="3335636"/>
                    </a:xfrm>
                    <a:prstGeom prst="rect">
                      <a:avLst/>
                    </a:prstGeom>
                    <a:noFill/>
                  </pic:spPr>
                </pic:pic>
              </a:graphicData>
            </a:graphic>
          </wp:inline>
        </w:drawing>
      </w:r>
    </w:p>
    <w:p w14:paraId="1249AAB5" w14:textId="1337A0BC" w:rsidR="00707F98" w:rsidRDefault="00707F98" w:rsidP="00707F98">
      <w:pPr>
        <w:pStyle w:val="Caption"/>
      </w:pPr>
      <w:bookmarkStart w:id="59" w:name="_Toc217241707"/>
      <w:r>
        <w:t xml:space="preserve">Figure </w:t>
      </w:r>
      <w:r>
        <w:fldChar w:fldCharType="begin"/>
      </w:r>
      <w:r>
        <w:instrText xml:space="preserve"> SEQ Figure \* ARABIC </w:instrText>
      </w:r>
      <w:r>
        <w:fldChar w:fldCharType="separate"/>
      </w:r>
      <w:r w:rsidR="00237415">
        <w:rPr>
          <w:noProof/>
        </w:rPr>
        <w:t>25</w:t>
      </w:r>
      <w:r>
        <w:fldChar w:fldCharType="end"/>
      </w:r>
      <w:r>
        <w:t xml:space="preserve">: </w:t>
      </w:r>
      <w:r w:rsidRPr="00733C66">
        <w:t>Balanced Scorecard</w:t>
      </w:r>
      <w:bookmarkEnd w:id="59"/>
    </w:p>
    <w:p w14:paraId="1D749A3B" w14:textId="0D7A1694" w:rsidR="00707F98" w:rsidRDefault="00707F98" w:rsidP="00707F98">
      <w:pPr>
        <w:jc w:val="center"/>
      </w:pPr>
      <w:r>
        <w:rPr>
          <w:noProof/>
        </w:rPr>
        <w:lastRenderedPageBreak/>
        <w:drawing>
          <wp:inline distT="0" distB="0" distL="0" distR="0" wp14:anchorId="430DEDAD" wp14:editId="22C5E548">
            <wp:extent cx="4494848" cy="3457575"/>
            <wp:effectExtent l="0" t="0" r="1270" b="0"/>
            <wp:docPr id="117344447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498091" cy="3460070"/>
                    </a:xfrm>
                    <a:prstGeom prst="rect">
                      <a:avLst/>
                    </a:prstGeom>
                    <a:noFill/>
                  </pic:spPr>
                </pic:pic>
              </a:graphicData>
            </a:graphic>
          </wp:inline>
        </w:drawing>
      </w:r>
    </w:p>
    <w:p w14:paraId="35ACA07C" w14:textId="25AE9A57" w:rsidR="00707F98" w:rsidRPr="00707F98" w:rsidRDefault="00707F98" w:rsidP="00707F98">
      <w:pPr>
        <w:pStyle w:val="Caption"/>
      </w:pPr>
      <w:bookmarkStart w:id="60" w:name="_Toc217241708"/>
      <w:r>
        <w:t xml:space="preserve">Figure </w:t>
      </w:r>
      <w:r>
        <w:fldChar w:fldCharType="begin"/>
      </w:r>
      <w:r>
        <w:instrText xml:space="preserve"> SEQ Figure \* ARABIC </w:instrText>
      </w:r>
      <w:r>
        <w:fldChar w:fldCharType="separate"/>
      </w:r>
      <w:r w:rsidR="00237415">
        <w:rPr>
          <w:noProof/>
        </w:rPr>
        <w:t>26</w:t>
      </w:r>
      <w:r>
        <w:fldChar w:fldCharType="end"/>
      </w:r>
      <w:r>
        <w:t xml:space="preserve">: </w:t>
      </w:r>
      <w:r w:rsidRPr="005E496A">
        <w:t>Triple Bottom Line</w:t>
      </w:r>
      <w:bookmarkEnd w:id="60"/>
    </w:p>
    <w:p w14:paraId="64BBE063" w14:textId="538BB332" w:rsidR="0010199E" w:rsidRPr="0010199E" w:rsidRDefault="00CA3040" w:rsidP="0010199E">
      <w:pPr>
        <w:rPr>
          <w:lang w:val="en-US"/>
        </w:rPr>
      </w:pPr>
      <w:r w:rsidRPr="00CA3040">
        <w:rPr>
          <w:lang w:val="en-US"/>
        </w:rPr>
        <w:t>It is essential in the retail internationalization practice where the initial success can be non-financial (brand trust, seller quality, fulfilment reliability) before the realization of profit (Schellenberg et al., 2017; Hwang, 2024). The KPI set is pegged on market opportunity signals: the home improvement and gardening products segment value of USD 16,921.04 million (2024) and the anticipated future 7.2% CAGR (20262035) shows the potential of long-run demand, and the DIY e-commerce market value of USD 3,246 million (2024) indicates the scale that will be available once entering the marketplace (GlobalData, 2025; ECDB, 2025</w:t>
      </w:r>
    </w:p>
    <w:p w14:paraId="169C1234" w14:textId="4E644A77" w:rsidR="0010199E" w:rsidRPr="0010199E" w:rsidRDefault="0010199E" w:rsidP="0010199E">
      <w:pPr>
        <w:rPr>
          <w:lang w:val="en-US"/>
        </w:rPr>
      </w:pPr>
    </w:p>
    <w:p w14:paraId="7C731F5E" w14:textId="77777777" w:rsidR="0010199E" w:rsidRPr="0010199E" w:rsidRDefault="0010199E" w:rsidP="00CA3040">
      <w:pPr>
        <w:pStyle w:val="Heading2"/>
        <w:rPr>
          <w:lang w:val="en-US"/>
        </w:rPr>
      </w:pPr>
      <w:bookmarkStart w:id="61" w:name="_Toc217241748"/>
      <w:r w:rsidRPr="0010199E">
        <w:rPr>
          <w:lang w:val="en-US"/>
        </w:rPr>
        <w:t>4.2 Strategic Outcomes and Measurement Logic</w:t>
      </w:r>
      <w:bookmarkEnd w:id="61"/>
    </w:p>
    <w:p w14:paraId="6787481D" w14:textId="3DF3297A" w:rsidR="0010199E" w:rsidRPr="0010199E" w:rsidRDefault="00D14F00" w:rsidP="0010199E">
      <w:pPr>
        <w:rPr>
          <w:lang w:val="en-US"/>
        </w:rPr>
      </w:pPr>
      <w:r w:rsidRPr="00D14F00">
        <w:rPr>
          <w:lang w:val="en-US"/>
        </w:rPr>
        <w:t xml:space="preserve">This framework uses a linear cause and effect framework: the development of capabilities and governance structures, in line with learning and growth, to allow the execution of operational processes. This operational execution in turn makes the customer value in the perspective of the consumer, as well as growth of profits in the Money Contribution area. Simultaneously, triple-bottom line (TBL) metrics are mechanisms to ensure </w:t>
      </w:r>
      <w:r w:rsidR="002E720A" w:rsidRPr="00D14F00">
        <w:rPr>
          <w:lang w:val="en-US"/>
        </w:rPr>
        <w:lastRenderedPageBreak/>
        <w:t>organizational</w:t>
      </w:r>
      <w:r w:rsidRPr="00D14F00">
        <w:rPr>
          <w:lang w:val="en-US"/>
        </w:rPr>
        <w:t xml:space="preserve"> legitimacy and resilience (Camilleri, 2024; Nogueira</w:t>
      </w:r>
      <w:r>
        <w:rPr>
          <w:lang w:val="en-US"/>
        </w:rPr>
        <w:t xml:space="preserve"> et al.</w:t>
      </w:r>
      <w:r w:rsidRPr="00D14F00">
        <w:rPr>
          <w:lang w:val="en-US"/>
        </w:rPr>
        <w:t>, 2025).</w:t>
      </w:r>
      <w:r w:rsidR="0010199E" w:rsidRPr="0010199E">
        <w:rPr>
          <w:lang w:val="en-US"/>
        </w:rPr>
        <w:t xml:space="preserve"> </w:t>
      </w:r>
      <w:r w:rsidR="002E720A" w:rsidRPr="002E720A">
        <w:rPr>
          <w:lang w:val="en-US"/>
        </w:rPr>
        <w:t>The scorecard has to be reviewed monthly within the first year of launching and then quarterly after that. Each key performance indicator like the Country Manager, Marketplace Director, Supply Chain Lead, or ESG Lead will have a lion who will be assigned a particular owner to ensure accountability (Yusriani et al., 2023; Hwang, 2024).</w:t>
      </w:r>
    </w:p>
    <w:p w14:paraId="4BE68130" w14:textId="04C86FF1" w:rsidR="0010199E" w:rsidRPr="0010199E" w:rsidRDefault="0010199E" w:rsidP="0010199E">
      <w:pPr>
        <w:rPr>
          <w:lang w:val="en-US"/>
        </w:rPr>
      </w:pPr>
    </w:p>
    <w:p w14:paraId="64F6E38E" w14:textId="77777777" w:rsidR="0010199E" w:rsidRPr="0010199E" w:rsidRDefault="0010199E" w:rsidP="00D14F00">
      <w:pPr>
        <w:pStyle w:val="Heading2"/>
        <w:rPr>
          <w:lang w:val="en-US"/>
        </w:rPr>
      </w:pPr>
      <w:bookmarkStart w:id="62" w:name="_Toc217241749"/>
      <w:r w:rsidRPr="0010199E">
        <w:rPr>
          <w:lang w:val="en-US"/>
        </w:rPr>
        <w:t>4.3 Balanced Scorecard KPIs (with TBL embedded)</w:t>
      </w:r>
      <w:bookmarkEnd w:id="62"/>
    </w:p>
    <w:p w14:paraId="6E84A59C" w14:textId="3826CB41" w:rsidR="0010199E" w:rsidRPr="0010199E" w:rsidRDefault="000B7AA3" w:rsidP="00D14F00">
      <w:pPr>
        <w:pStyle w:val="Heading3"/>
        <w:rPr>
          <w:lang w:val="en-US"/>
        </w:rPr>
      </w:pPr>
      <w:bookmarkStart w:id="63" w:name="_Toc217241750"/>
      <w:r>
        <w:rPr>
          <w:lang w:val="en-US"/>
        </w:rPr>
        <w:t xml:space="preserve">4.3.1 </w:t>
      </w:r>
      <w:r w:rsidR="0010199E" w:rsidRPr="0010199E">
        <w:rPr>
          <w:lang w:val="en-US"/>
        </w:rPr>
        <w:t>Financial Perspective</w:t>
      </w:r>
      <w:bookmarkEnd w:id="63"/>
    </w:p>
    <w:p w14:paraId="71D24881" w14:textId="1A933FC8" w:rsidR="0010199E" w:rsidRDefault="00FF4277" w:rsidP="0010199E">
      <w:pPr>
        <w:rPr>
          <w:lang w:val="en-US"/>
        </w:rPr>
      </w:pPr>
      <w:r w:rsidRPr="00FF4277">
        <w:rPr>
          <w:lang w:val="en-US"/>
        </w:rPr>
        <w:t>Financial key performance indicators should include aspects of both growth dynamics and those at the unit-level economics, because in the early stages of a revenue stream, there is a risk of being misled by early revenue if acquisition expenditures and subsequent returns erode profit margins (Camilleri, 2024). In the first year of the fiscal year, the focus should be on getting up and holding the gross profit discipline; in the second and third years, the profit expectations should be gradually tightened as the enterprise expands.</w:t>
      </w:r>
    </w:p>
    <w:p w14:paraId="5EEEC8CB" w14:textId="3647D353" w:rsidR="000B7AA3" w:rsidRDefault="00FF4277" w:rsidP="0010199E">
      <w:pPr>
        <w:rPr>
          <w:lang w:val="en-US"/>
        </w:rPr>
      </w:pPr>
      <w:r>
        <w:rPr>
          <w:noProof/>
          <w:lang w:val="en-US"/>
        </w:rPr>
        <w:drawing>
          <wp:inline distT="0" distB="0" distL="0" distR="0" wp14:anchorId="2550D47A" wp14:editId="40451BC9">
            <wp:extent cx="5944235" cy="2688590"/>
            <wp:effectExtent l="0" t="0" r="0" b="0"/>
            <wp:docPr id="122511866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4235" cy="2688590"/>
                    </a:xfrm>
                    <a:prstGeom prst="rect">
                      <a:avLst/>
                    </a:prstGeom>
                    <a:noFill/>
                  </pic:spPr>
                </pic:pic>
              </a:graphicData>
            </a:graphic>
          </wp:inline>
        </w:drawing>
      </w:r>
    </w:p>
    <w:p w14:paraId="132751F8" w14:textId="4B9E096D" w:rsidR="000B7AA3" w:rsidRPr="0010199E" w:rsidRDefault="000B7AA3" w:rsidP="000B7AA3">
      <w:pPr>
        <w:pStyle w:val="Caption"/>
        <w:rPr>
          <w:lang w:val="en-US"/>
        </w:rPr>
      </w:pPr>
      <w:bookmarkStart w:id="64" w:name="_Toc217241709"/>
      <w:r>
        <w:t xml:space="preserve">Figure </w:t>
      </w:r>
      <w:r>
        <w:fldChar w:fldCharType="begin"/>
      </w:r>
      <w:r>
        <w:instrText xml:space="preserve"> SEQ Figure \* ARABIC </w:instrText>
      </w:r>
      <w:r>
        <w:fldChar w:fldCharType="separate"/>
      </w:r>
      <w:r w:rsidR="00237415">
        <w:rPr>
          <w:noProof/>
        </w:rPr>
        <w:t>27</w:t>
      </w:r>
      <w:r>
        <w:fldChar w:fldCharType="end"/>
      </w:r>
      <w:r>
        <w:t xml:space="preserve">: </w:t>
      </w:r>
      <w:r w:rsidRPr="003857C6">
        <w:t>Financial Perspective</w:t>
      </w:r>
      <w:bookmarkEnd w:id="64"/>
    </w:p>
    <w:p w14:paraId="594403C5" w14:textId="5CC5329C" w:rsidR="000B7AA3" w:rsidRDefault="00185D14" w:rsidP="0010199E">
      <w:pPr>
        <w:rPr>
          <w:lang w:val="en-US"/>
        </w:rPr>
      </w:pPr>
      <w:r w:rsidRPr="00185D14">
        <w:rPr>
          <w:lang w:val="en-US"/>
        </w:rPr>
        <w:t>The recent increases in the profit of Kingfisher can be regarded as a strategic benchmark that the company is oriented at the strict management of performance and the volume-</w:t>
      </w:r>
      <w:r w:rsidRPr="00185D14">
        <w:rPr>
          <w:lang w:val="en-US"/>
        </w:rPr>
        <w:lastRenderedPageBreak/>
        <w:t>based growth, these principles should be applied to the Australian controls as well (Alliance News, 2025).</w:t>
      </w:r>
    </w:p>
    <w:p w14:paraId="14A3703F" w14:textId="77777777" w:rsidR="00185D14" w:rsidRPr="0010199E" w:rsidRDefault="00185D14" w:rsidP="0010199E">
      <w:pPr>
        <w:rPr>
          <w:lang w:val="en-US"/>
        </w:rPr>
      </w:pPr>
    </w:p>
    <w:p w14:paraId="1B2C5F49" w14:textId="7EBC18BD" w:rsidR="0010199E" w:rsidRPr="0010199E" w:rsidRDefault="000B7AA3" w:rsidP="00185D14">
      <w:pPr>
        <w:pStyle w:val="Heading3"/>
        <w:rPr>
          <w:lang w:val="en-US"/>
        </w:rPr>
      </w:pPr>
      <w:bookmarkStart w:id="65" w:name="_Toc217241751"/>
      <w:r>
        <w:rPr>
          <w:lang w:val="en-US"/>
        </w:rPr>
        <w:t xml:space="preserve">4.3.2 </w:t>
      </w:r>
      <w:r w:rsidR="0010199E" w:rsidRPr="0010199E">
        <w:rPr>
          <w:lang w:val="en-US"/>
        </w:rPr>
        <w:t>Customer Perspective</w:t>
      </w:r>
      <w:bookmarkEnd w:id="65"/>
    </w:p>
    <w:p w14:paraId="105027BF" w14:textId="548C4FCC" w:rsidR="0010199E" w:rsidRPr="0010199E" w:rsidRDefault="007E4C95" w:rsidP="0010199E">
      <w:pPr>
        <w:rPr>
          <w:lang w:val="en-US"/>
        </w:rPr>
      </w:pPr>
      <w:r w:rsidRPr="007E4C95">
        <w:rPr>
          <w:lang w:val="en-US"/>
        </w:rPr>
        <w:t>A new-market entrant will need to analyse customer metrics to assess customers' adoption of B&amp;Q's value proposition "affordable expertise + range + convenience" with specific focus on channels such as online, where switching costs are low (Han, 2023; Mackay and Perkins, 2016). Given that, already, the Australian DIY e-commerce market, represents a material value base, B&amp;Q should monitor if they are attracting digital attention and inculcating repeat behaviour (ECDB, 2025).</w:t>
      </w:r>
    </w:p>
    <w:p w14:paraId="338E90FF" w14:textId="62AD5960" w:rsidR="0010199E" w:rsidRDefault="007E4C95" w:rsidP="0010199E">
      <w:pPr>
        <w:rPr>
          <w:lang w:val="en-US"/>
        </w:rPr>
      </w:pPr>
      <w:r>
        <w:rPr>
          <w:noProof/>
          <w:lang w:val="en-US"/>
        </w:rPr>
        <w:drawing>
          <wp:inline distT="0" distB="0" distL="0" distR="0" wp14:anchorId="5A889613" wp14:editId="62E412AD">
            <wp:extent cx="5974715" cy="2889885"/>
            <wp:effectExtent l="0" t="0" r="6985" b="5715"/>
            <wp:docPr id="182543160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74715" cy="2889885"/>
                    </a:xfrm>
                    <a:prstGeom prst="rect">
                      <a:avLst/>
                    </a:prstGeom>
                    <a:noFill/>
                  </pic:spPr>
                </pic:pic>
              </a:graphicData>
            </a:graphic>
          </wp:inline>
        </w:drawing>
      </w:r>
    </w:p>
    <w:p w14:paraId="3EC81B2B" w14:textId="161DEBE9" w:rsidR="00E902EB" w:rsidRDefault="00E902EB" w:rsidP="00E902EB">
      <w:pPr>
        <w:pStyle w:val="Caption"/>
      </w:pPr>
      <w:bookmarkStart w:id="66" w:name="_Toc217241710"/>
      <w:r>
        <w:t xml:space="preserve">Figure </w:t>
      </w:r>
      <w:r>
        <w:fldChar w:fldCharType="begin"/>
      </w:r>
      <w:r>
        <w:instrText xml:space="preserve"> SEQ Figure \* ARABIC </w:instrText>
      </w:r>
      <w:r>
        <w:fldChar w:fldCharType="separate"/>
      </w:r>
      <w:r w:rsidR="00237415">
        <w:rPr>
          <w:noProof/>
        </w:rPr>
        <w:t>28</w:t>
      </w:r>
      <w:r>
        <w:fldChar w:fldCharType="end"/>
      </w:r>
      <w:r>
        <w:t xml:space="preserve">: </w:t>
      </w:r>
      <w:r w:rsidRPr="003C4623">
        <w:t>Customer Perspective</w:t>
      </w:r>
      <w:bookmarkEnd w:id="66"/>
    </w:p>
    <w:p w14:paraId="6FF690D1" w14:textId="77777777" w:rsidR="00E902EB" w:rsidRPr="0010199E" w:rsidRDefault="00E902EB" w:rsidP="00E902EB">
      <w:pPr>
        <w:rPr>
          <w:lang w:val="en-US"/>
        </w:rPr>
      </w:pPr>
    </w:p>
    <w:p w14:paraId="7F5D58AE" w14:textId="4963C91C" w:rsidR="0010199E" w:rsidRPr="0010199E" w:rsidRDefault="00E902EB" w:rsidP="007E4C95">
      <w:pPr>
        <w:pStyle w:val="Heading3"/>
        <w:rPr>
          <w:lang w:val="en-US"/>
        </w:rPr>
      </w:pPr>
      <w:bookmarkStart w:id="67" w:name="_Toc217241752"/>
      <w:r>
        <w:rPr>
          <w:lang w:val="en-US"/>
        </w:rPr>
        <w:t xml:space="preserve">4.3.3 </w:t>
      </w:r>
      <w:r w:rsidR="0010199E" w:rsidRPr="0010199E">
        <w:rPr>
          <w:lang w:val="en-US"/>
        </w:rPr>
        <w:t>Internal Process Perspective</w:t>
      </w:r>
      <w:bookmarkEnd w:id="67"/>
    </w:p>
    <w:p w14:paraId="3B200771" w14:textId="29287CDE" w:rsidR="0010199E" w:rsidRPr="0010199E" w:rsidRDefault="00EB716F" w:rsidP="0010199E">
      <w:pPr>
        <w:rPr>
          <w:lang w:val="en-US"/>
        </w:rPr>
      </w:pPr>
      <w:r w:rsidRPr="00EB716F">
        <w:rPr>
          <w:lang w:val="en-US"/>
        </w:rPr>
        <w:t xml:space="preserve">This perspective assesses the quality of execution, or fulfillment or marketplace governance, because operational reliability is a key factor when determining the repeat purchase behaviour in digitally mediated retail (Lagodiienko et al., 2019; Hwang, 2024). </w:t>
      </w:r>
      <w:r w:rsidRPr="00EB716F">
        <w:rPr>
          <w:lang w:val="en-US"/>
        </w:rPr>
        <w:lastRenderedPageBreak/>
        <w:t>In addition, it addresses risks like non-compliance by vendors, inobligatory delivery, as well as leakage by returns.</w:t>
      </w:r>
    </w:p>
    <w:p w14:paraId="2BF298A3" w14:textId="665E46F3" w:rsidR="0010199E" w:rsidRDefault="000B33E5" w:rsidP="00B30A52">
      <w:pPr>
        <w:jc w:val="center"/>
        <w:rPr>
          <w:lang w:val="en-US"/>
        </w:rPr>
      </w:pPr>
      <w:r>
        <w:rPr>
          <w:noProof/>
          <w:lang w:val="en-US"/>
        </w:rPr>
        <w:drawing>
          <wp:inline distT="0" distB="0" distL="0" distR="0" wp14:anchorId="00B96E3D" wp14:editId="72F5F61E">
            <wp:extent cx="5480050" cy="2642295"/>
            <wp:effectExtent l="0" t="0" r="6350" b="5715"/>
            <wp:docPr id="191655782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84739" cy="2644556"/>
                    </a:xfrm>
                    <a:prstGeom prst="rect">
                      <a:avLst/>
                    </a:prstGeom>
                    <a:noFill/>
                  </pic:spPr>
                </pic:pic>
              </a:graphicData>
            </a:graphic>
          </wp:inline>
        </w:drawing>
      </w:r>
    </w:p>
    <w:p w14:paraId="6B6E1591" w14:textId="432DB3D3" w:rsidR="00817DA0" w:rsidRDefault="00817DA0" w:rsidP="00817DA0">
      <w:pPr>
        <w:pStyle w:val="Caption"/>
      </w:pPr>
      <w:bookmarkStart w:id="68" w:name="_Toc217241711"/>
      <w:r>
        <w:t xml:space="preserve">Figure </w:t>
      </w:r>
      <w:r>
        <w:fldChar w:fldCharType="begin"/>
      </w:r>
      <w:r>
        <w:instrText xml:space="preserve"> SEQ Figure \* ARABIC </w:instrText>
      </w:r>
      <w:r>
        <w:fldChar w:fldCharType="separate"/>
      </w:r>
      <w:r w:rsidR="00237415">
        <w:rPr>
          <w:noProof/>
        </w:rPr>
        <w:t>29</w:t>
      </w:r>
      <w:r>
        <w:fldChar w:fldCharType="end"/>
      </w:r>
      <w:r>
        <w:t xml:space="preserve">: </w:t>
      </w:r>
      <w:r w:rsidRPr="00174EE1">
        <w:t>Internal Process Perspective</w:t>
      </w:r>
      <w:bookmarkEnd w:id="68"/>
    </w:p>
    <w:p w14:paraId="0A3C494C" w14:textId="77777777" w:rsidR="00817DA0" w:rsidRPr="0010199E" w:rsidRDefault="00817DA0" w:rsidP="00817DA0">
      <w:pPr>
        <w:rPr>
          <w:lang w:val="en-US"/>
        </w:rPr>
      </w:pPr>
    </w:p>
    <w:p w14:paraId="14D67DB5" w14:textId="4D065D85" w:rsidR="0010199E" w:rsidRPr="0010199E" w:rsidRDefault="00237415" w:rsidP="000B33E5">
      <w:pPr>
        <w:pStyle w:val="Heading3"/>
        <w:rPr>
          <w:lang w:val="en-US"/>
        </w:rPr>
      </w:pPr>
      <w:bookmarkStart w:id="69" w:name="_Toc217241753"/>
      <w:r>
        <w:rPr>
          <w:lang w:val="en-US"/>
        </w:rPr>
        <w:t xml:space="preserve">4.3.4 </w:t>
      </w:r>
      <w:r w:rsidR="0010199E" w:rsidRPr="0010199E">
        <w:rPr>
          <w:lang w:val="en-US"/>
        </w:rPr>
        <w:t>Learning and Growth Perspective</w:t>
      </w:r>
      <w:bookmarkEnd w:id="69"/>
    </w:p>
    <w:p w14:paraId="03A15017" w14:textId="181E1046" w:rsidR="0010199E" w:rsidRPr="0010199E" w:rsidRDefault="00B30A52" w:rsidP="0010199E">
      <w:pPr>
        <w:rPr>
          <w:lang w:val="en-US"/>
        </w:rPr>
      </w:pPr>
      <w:r w:rsidRPr="00B30A52">
        <w:rPr>
          <w:lang w:val="en-US"/>
        </w:rPr>
        <w:t>Ensuring key performance indicators for learning and growth helps B&amp;Q to build local capabilities, support data-based decision-making and set up innovation routines; capabilities associated with maintaining competitive advantage and improving strategic execution (Abderzag, 2021; Al-Shammari, 2025).</w:t>
      </w:r>
    </w:p>
    <w:p w14:paraId="76CD0339" w14:textId="0664CC1F" w:rsidR="0010199E" w:rsidRDefault="00B30A52" w:rsidP="0010199E">
      <w:pPr>
        <w:rPr>
          <w:lang w:val="en-US"/>
        </w:rPr>
      </w:pPr>
      <w:r>
        <w:rPr>
          <w:noProof/>
          <w:lang w:val="en-US"/>
        </w:rPr>
        <w:drawing>
          <wp:inline distT="0" distB="0" distL="0" distR="0" wp14:anchorId="5FD407FD" wp14:editId="12DEBF7D">
            <wp:extent cx="5919470" cy="2475230"/>
            <wp:effectExtent l="0" t="0" r="5080" b="1270"/>
            <wp:docPr id="172070009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19470" cy="2475230"/>
                    </a:xfrm>
                    <a:prstGeom prst="rect">
                      <a:avLst/>
                    </a:prstGeom>
                    <a:noFill/>
                  </pic:spPr>
                </pic:pic>
              </a:graphicData>
            </a:graphic>
          </wp:inline>
        </w:drawing>
      </w:r>
    </w:p>
    <w:p w14:paraId="614E147B" w14:textId="70C7D18A" w:rsidR="00237415" w:rsidRDefault="00237415" w:rsidP="00237415">
      <w:pPr>
        <w:pStyle w:val="Caption"/>
      </w:pPr>
      <w:bookmarkStart w:id="70" w:name="_Toc217241712"/>
      <w:r>
        <w:lastRenderedPageBreak/>
        <w:t xml:space="preserve">Figure </w:t>
      </w:r>
      <w:r>
        <w:fldChar w:fldCharType="begin"/>
      </w:r>
      <w:r>
        <w:instrText xml:space="preserve"> SEQ Figure \* ARABIC </w:instrText>
      </w:r>
      <w:r>
        <w:fldChar w:fldCharType="separate"/>
      </w:r>
      <w:r>
        <w:rPr>
          <w:noProof/>
        </w:rPr>
        <w:t>30</w:t>
      </w:r>
      <w:r>
        <w:fldChar w:fldCharType="end"/>
      </w:r>
      <w:r>
        <w:t xml:space="preserve">: </w:t>
      </w:r>
      <w:r w:rsidRPr="00D33AEE">
        <w:t>Learning and Growth Perspective</w:t>
      </w:r>
      <w:bookmarkEnd w:id="70"/>
    </w:p>
    <w:p w14:paraId="73383394" w14:textId="77777777" w:rsidR="00237415" w:rsidRPr="0010199E" w:rsidRDefault="00237415" w:rsidP="00237415">
      <w:pPr>
        <w:rPr>
          <w:lang w:val="en-US"/>
        </w:rPr>
      </w:pPr>
    </w:p>
    <w:p w14:paraId="3201867D" w14:textId="77777777" w:rsidR="0010199E" w:rsidRPr="0010199E" w:rsidRDefault="0010199E" w:rsidP="00B30A52">
      <w:pPr>
        <w:pStyle w:val="Heading2"/>
        <w:rPr>
          <w:lang w:val="en-US"/>
        </w:rPr>
      </w:pPr>
      <w:bookmarkStart w:id="71" w:name="_Toc217241754"/>
      <w:r w:rsidRPr="0010199E">
        <w:rPr>
          <w:lang w:val="en-US"/>
        </w:rPr>
        <w:t>4.4 Triple Bottom Line KPIs Embedded into the Scorecard</w:t>
      </w:r>
      <w:bookmarkEnd w:id="71"/>
    </w:p>
    <w:p w14:paraId="7F9128B9" w14:textId="0DBD2E53" w:rsidR="0010199E" w:rsidRPr="0010199E" w:rsidRDefault="00985C35" w:rsidP="00985C35">
      <w:pPr>
        <w:pStyle w:val="Heading3"/>
        <w:rPr>
          <w:lang w:val="en-US"/>
        </w:rPr>
      </w:pPr>
      <w:bookmarkStart w:id="72" w:name="_Toc217241755"/>
      <w:r>
        <w:rPr>
          <w:lang w:val="en-US"/>
        </w:rPr>
        <w:t xml:space="preserve">4.4.1 </w:t>
      </w:r>
      <w:r w:rsidR="0010199E" w:rsidRPr="0010199E">
        <w:rPr>
          <w:lang w:val="en-US"/>
        </w:rPr>
        <w:t>Environmental Metrics</w:t>
      </w:r>
      <w:bookmarkEnd w:id="72"/>
    </w:p>
    <w:p w14:paraId="7ED42DB3" w14:textId="196BBDC4" w:rsidR="0010199E" w:rsidRDefault="00985C35" w:rsidP="0010199E">
      <w:pPr>
        <w:rPr>
          <w:lang w:val="en-US"/>
        </w:rPr>
      </w:pPr>
      <w:r w:rsidRPr="00985C35">
        <w:rPr>
          <w:lang w:val="en-US"/>
        </w:rPr>
        <w:t>Both the operational footprint and product responsibility should be monitored as environmental KPIs since sustainability will aid legitimacy and may influence customer preference and resilience in the long term (Jali et al., 2025; Nogueira et al., 2025). Key KPIs will consist of carbon emissions per delivery, percentage of recycled/recyclable packaging, waste diversion rate, and percentage of products that are in accordance to the B&amp;Q sustainability positioning and reporting strategy (Electrical Times, 2024; Kingfisher Plc, 2025).</w:t>
      </w:r>
    </w:p>
    <w:p w14:paraId="556661EC" w14:textId="77777777" w:rsidR="00985C35" w:rsidRPr="0010199E" w:rsidRDefault="00985C35" w:rsidP="0010199E">
      <w:pPr>
        <w:rPr>
          <w:lang w:val="en-US"/>
        </w:rPr>
      </w:pPr>
    </w:p>
    <w:p w14:paraId="2CEA2CD5" w14:textId="06545122" w:rsidR="0010199E" w:rsidRPr="0010199E" w:rsidRDefault="00985C35" w:rsidP="00985C35">
      <w:pPr>
        <w:pStyle w:val="Heading3"/>
        <w:rPr>
          <w:lang w:val="en-US"/>
        </w:rPr>
      </w:pPr>
      <w:bookmarkStart w:id="73" w:name="_Toc217241756"/>
      <w:r>
        <w:rPr>
          <w:lang w:val="en-US"/>
        </w:rPr>
        <w:t xml:space="preserve">4.4.2 </w:t>
      </w:r>
      <w:r w:rsidR="0010199E" w:rsidRPr="0010199E">
        <w:rPr>
          <w:lang w:val="en-US"/>
        </w:rPr>
        <w:t>Social and Governance Metrics</w:t>
      </w:r>
      <w:bookmarkEnd w:id="73"/>
    </w:p>
    <w:p w14:paraId="2EC6A426" w14:textId="3255618F" w:rsidR="0010199E" w:rsidRPr="0010199E" w:rsidRDefault="00211346" w:rsidP="0010199E">
      <w:pPr>
        <w:rPr>
          <w:lang w:val="en-US"/>
        </w:rPr>
      </w:pPr>
      <w:r w:rsidRPr="00211346">
        <w:rPr>
          <w:lang w:val="en-US"/>
        </w:rPr>
        <w:t>Social KPIs should include a range of indicators of local employment generation, indicators relating to diversity and inclusion, indicators of health and safety incidents, and reseller inclusion (for example, percentage of SMEs or regional vendors). Governance KPIs should track adherence with compliance on data privacy, occurrences of violations of product safety or a lack of ethical sourcing and a deviation from it to track the level of risk a growing marketplace and the need to build trust in the fresh marketplace (Heyes et al., 2023; B&amp;Q, 2025).</w:t>
      </w:r>
    </w:p>
    <w:p w14:paraId="15940532" w14:textId="4AF6BEDC" w:rsidR="0010199E" w:rsidRPr="0010199E" w:rsidRDefault="0010199E" w:rsidP="0010199E">
      <w:pPr>
        <w:rPr>
          <w:lang w:val="en-US"/>
        </w:rPr>
      </w:pPr>
    </w:p>
    <w:p w14:paraId="6A981C43" w14:textId="77777777" w:rsidR="0010199E" w:rsidRPr="0010199E" w:rsidRDefault="0010199E" w:rsidP="00211346">
      <w:pPr>
        <w:pStyle w:val="Heading2"/>
        <w:rPr>
          <w:lang w:val="en-US"/>
        </w:rPr>
      </w:pPr>
      <w:bookmarkStart w:id="74" w:name="_Toc217241757"/>
      <w:r w:rsidRPr="0010199E">
        <w:rPr>
          <w:lang w:val="en-US"/>
        </w:rPr>
        <w:t>4.5 Using the Framework to Assess Progress</w:t>
      </w:r>
      <w:bookmarkEnd w:id="74"/>
    </w:p>
    <w:p w14:paraId="68813305" w14:textId="691453BE" w:rsidR="0010199E" w:rsidRPr="0010199E" w:rsidRDefault="000435E0" w:rsidP="0010199E">
      <w:pPr>
        <w:rPr>
          <w:lang w:val="en-US"/>
        </w:rPr>
      </w:pPr>
      <w:r w:rsidRPr="000435E0">
        <w:rPr>
          <w:lang w:val="en-US"/>
        </w:rPr>
        <w:t xml:space="preserve">Progress evaluation needs to be done through stage-gate models and not an annual performance assessment. Year 1 is about the pursuit of the activities to launch the marketplace, seller quality, achieving fulfilment reliability, and getting initial customer acquisition, with the same setting assuming all operations in Years 2 to see the organization address the unit economics, repeat purchases, and product category </w:t>
      </w:r>
      <w:r w:rsidRPr="000435E0">
        <w:rPr>
          <w:lang w:val="en-US"/>
        </w:rPr>
        <w:lastRenderedPageBreak/>
        <w:t>expansion, and, ultimately, by Year 3 the organization assesses the readiness to selective physical formats under the condition of maintaining stable customer metrics and strong contribution margin (Schellenberg et al., 2017; Camilleri, 2024). This tiered measurement plan reaffirms the ability of B&amp;Q to extract value in the sizeable market base base (USD 169204m) in Australia and it also addresses execution risk in its market entry (GlobalData, 2025).</w:t>
      </w:r>
    </w:p>
    <w:p w14:paraId="30BE8C6A" w14:textId="71F5A32E" w:rsidR="0068698B" w:rsidRDefault="0068698B" w:rsidP="00480FF6">
      <w:pPr>
        <w:rPr>
          <w:lang w:val="en-US"/>
        </w:rPr>
      </w:pPr>
    </w:p>
    <w:p w14:paraId="5C750603" w14:textId="0F323133" w:rsidR="00F64FF4" w:rsidRPr="00F64FF4" w:rsidRDefault="00F64FF4" w:rsidP="00F64FF4">
      <w:pPr>
        <w:rPr>
          <w:lang w:val="en-US"/>
        </w:rPr>
      </w:pPr>
    </w:p>
    <w:p w14:paraId="0FE6183C" w14:textId="77777777" w:rsidR="00533F7A" w:rsidRDefault="00533F7A" w:rsidP="00533F7A"/>
    <w:p w14:paraId="6E686360" w14:textId="77777777" w:rsidR="00590A13" w:rsidRDefault="00590A13" w:rsidP="00533F7A"/>
    <w:p w14:paraId="1F2C8C32" w14:textId="77777777" w:rsidR="00590A13" w:rsidRDefault="00590A13" w:rsidP="00533F7A"/>
    <w:p w14:paraId="438FAD4F" w14:textId="77777777" w:rsidR="00590A13" w:rsidRDefault="00590A13" w:rsidP="00533F7A"/>
    <w:p w14:paraId="69C501E9" w14:textId="77777777" w:rsidR="00B72A81" w:rsidRDefault="00B72A81" w:rsidP="00533F7A"/>
    <w:p w14:paraId="54DE9FF3" w14:textId="77777777" w:rsidR="00B72A81" w:rsidRDefault="00B72A81" w:rsidP="00533F7A"/>
    <w:p w14:paraId="21B98E94" w14:textId="77777777" w:rsidR="00B72A81" w:rsidRDefault="00B72A81" w:rsidP="00533F7A"/>
    <w:p w14:paraId="2D88CB32" w14:textId="77777777" w:rsidR="00B72A81" w:rsidRDefault="00B72A81" w:rsidP="00533F7A"/>
    <w:p w14:paraId="582662D6" w14:textId="77777777" w:rsidR="00B72A81" w:rsidRDefault="00B72A81" w:rsidP="00533F7A"/>
    <w:p w14:paraId="2A1DFD0D" w14:textId="77777777" w:rsidR="00394307" w:rsidRDefault="00394307" w:rsidP="00533F7A"/>
    <w:p w14:paraId="156ABD2D" w14:textId="77777777" w:rsidR="00394307" w:rsidRDefault="00394307" w:rsidP="00533F7A"/>
    <w:p w14:paraId="38B1D0CB" w14:textId="77777777" w:rsidR="00394307" w:rsidRDefault="00394307" w:rsidP="00533F7A"/>
    <w:p w14:paraId="224CB89A" w14:textId="77777777" w:rsidR="00394307" w:rsidRDefault="00394307" w:rsidP="00533F7A"/>
    <w:p w14:paraId="6858A501" w14:textId="77777777" w:rsidR="00394307" w:rsidRDefault="00394307" w:rsidP="00533F7A"/>
    <w:p w14:paraId="1B8C3301" w14:textId="77777777" w:rsidR="00394307" w:rsidRDefault="00394307" w:rsidP="00533F7A"/>
    <w:p w14:paraId="3F47165F" w14:textId="77777777" w:rsidR="00394307" w:rsidRDefault="00394307" w:rsidP="00533F7A"/>
    <w:p w14:paraId="2F9584B7" w14:textId="50439FAD" w:rsidR="00D47DC7" w:rsidRPr="00F82356" w:rsidRDefault="00590A13" w:rsidP="00D47DC7">
      <w:pPr>
        <w:pStyle w:val="Heading1"/>
      </w:pPr>
      <w:bookmarkStart w:id="75" w:name="_Toc217241758"/>
      <w:r w:rsidRPr="00F05EFD">
        <w:lastRenderedPageBreak/>
        <w:t>References</w:t>
      </w:r>
      <w:bookmarkEnd w:id="75"/>
    </w:p>
    <w:p w14:paraId="3A7C665D" w14:textId="77777777" w:rsidR="00522093" w:rsidRDefault="00522093" w:rsidP="00CF13F5">
      <w:r w:rsidRPr="00522093">
        <w:t xml:space="preserve">Abderzag, F.T. (2021) </w:t>
      </w:r>
      <w:r w:rsidRPr="00522093">
        <w:rPr>
          <w:i/>
          <w:iCs/>
        </w:rPr>
        <w:t>Markets and the creation of competitive advantages in companies according to an internal marketing orientation</w:t>
      </w:r>
      <w:r w:rsidRPr="00522093">
        <w:t xml:space="preserve">. </w:t>
      </w:r>
      <w:r w:rsidRPr="00522093">
        <w:rPr>
          <w:i/>
          <w:iCs/>
        </w:rPr>
        <w:t>International Journal of Advanced and Applied Sciences</w:t>
      </w:r>
      <w:r w:rsidRPr="00522093">
        <w:t xml:space="preserve">, 8(10), pp. 93–107. </w:t>
      </w:r>
      <w:hyperlink r:id="rId43" w:history="1">
        <w:r w:rsidRPr="001B5229">
          <w:rPr>
            <w:rStyle w:val="Hyperlink"/>
          </w:rPr>
          <w:t>https://doi.org/10.21833/ijaas.2021.10.011</w:t>
        </w:r>
      </w:hyperlink>
    </w:p>
    <w:p w14:paraId="516FDA52" w14:textId="77777777" w:rsidR="00522093" w:rsidRDefault="00522093" w:rsidP="00CF13F5">
      <w:r w:rsidRPr="00522093">
        <w:t xml:space="preserve">Alliance News (2025) </w:t>
      </w:r>
      <w:r w:rsidRPr="00522093">
        <w:rPr>
          <w:i/>
          <w:iCs/>
        </w:rPr>
        <w:t>Kingfisher lifts profit view again as B&amp;Q and Screwfix sales increase</w:t>
      </w:r>
      <w:r w:rsidRPr="00522093">
        <w:t xml:space="preserve">. Available at: </w:t>
      </w:r>
      <w:hyperlink r:id="rId44" w:tgtFrame="_new" w:history="1">
        <w:r w:rsidRPr="00522093">
          <w:rPr>
            <w:rStyle w:val="Hyperlink"/>
          </w:rPr>
          <w:t>https://global.morningstar.com/en-gb/news/alliance-news/1764063100667099700/kingfisher-lifts-profit-view-again-as-bq-and-screwfix-sales-increase</w:t>
        </w:r>
      </w:hyperlink>
    </w:p>
    <w:p w14:paraId="4B176224" w14:textId="77777777" w:rsidR="00522093" w:rsidRDefault="00522093" w:rsidP="00CF13F5">
      <w:r w:rsidRPr="00522093">
        <w:t xml:space="preserve">Al-Shammari, A.F.M. (2025) </w:t>
      </w:r>
      <w:r w:rsidRPr="00522093">
        <w:rPr>
          <w:i/>
          <w:iCs/>
        </w:rPr>
        <w:t>Strategic analysis and its role in formulating appropriate future strategies</w:t>
      </w:r>
      <w:r w:rsidRPr="00522093">
        <w:t xml:space="preserve">. </w:t>
      </w:r>
      <w:r w:rsidRPr="00522093">
        <w:rPr>
          <w:i/>
          <w:iCs/>
        </w:rPr>
        <w:t>RIMBA</w:t>
      </w:r>
      <w:r w:rsidRPr="00522093">
        <w:t xml:space="preserve">, 3(3). </w:t>
      </w:r>
      <w:hyperlink r:id="rId45" w:history="1">
        <w:r w:rsidRPr="001B5229">
          <w:rPr>
            <w:rStyle w:val="Hyperlink"/>
          </w:rPr>
          <w:t>https://doi.org/10.61132/rimba.v3i3.1836</w:t>
        </w:r>
      </w:hyperlink>
    </w:p>
    <w:p w14:paraId="5B1CDD90" w14:textId="77777777" w:rsidR="00522093" w:rsidRDefault="00522093" w:rsidP="00CF13F5">
      <w:r w:rsidRPr="00522093">
        <w:t xml:space="preserve">Angcod, R.C., Bautista, J., Bulotaolo, M.B. and Sambagan, M.J.T. (2025) </w:t>
      </w:r>
      <w:r w:rsidRPr="00522093">
        <w:rPr>
          <w:i/>
          <w:iCs/>
        </w:rPr>
        <w:t>The effect of marketing strategy on the competitive advantage of selected microfinance institutions in Baungon</w:t>
      </w:r>
      <w:r w:rsidRPr="00522093">
        <w:t xml:space="preserve">. </w:t>
      </w:r>
      <w:r w:rsidRPr="00522093">
        <w:rPr>
          <w:i/>
          <w:iCs/>
        </w:rPr>
        <w:t>Research Journal in Business and Economics</w:t>
      </w:r>
      <w:r w:rsidRPr="00522093">
        <w:t xml:space="preserve">, 3(3), pp. 206–213. </w:t>
      </w:r>
      <w:hyperlink r:id="rId46" w:history="1">
        <w:r w:rsidRPr="001B5229">
          <w:rPr>
            <w:rStyle w:val="Hyperlink"/>
          </w:rPr>
          <w:t>https://doi.org/10.61424/rjbe.v3i3.575</w:t>
        </w:r>
      </w:hyperlink>
    </w:p>
    <w:p w14:paraId="7D6CB905" w14:textId="77777777" w:rsidR="00522093" w:rsidRDefault="00522093" w:rsidP="00CF13F5">
      <w:r w:rsidRPr="00522093">
        <w:t xml:space="preserve">B&amp;Q (2025) </w:t>
      </w:r>
      <w:r w:rsidRPr="00522093">
        <w:rPr>
          <w:i/>
          <w:iCs/>
        </w:rPr>
        <w:t>About us</w:t>
      </w:r>
      <w:r w:rsidRPr="00522093">
        <w:t xml:space="preserve">. Available at: </w:t>
      </w:r>
      <w:hyperlink r:id="rId47" w:tgtFrame="_new" w:history="1">
        <w:r w:rsidRPr="00522093">
          <w:rPr>
            <w:rStyle w:val="Hyperlink"/>
          </w:rPr>
          <w:t>https://www.diy.com/corporate/about</w:t>
        </w:r>
      </w:hyperlink>
    </w:p>
    <w:p w14:paraId="4F03019B" w14:textId="77777777" w:rsidR="00522093" w:rsidRDefault="00522093" w:rsidP="00CF13F5">
      <w:r w:rsidRPr="00522093">
        <w:t xml:space="preserve">B&amp;Q (2025) </w:t>
      </w:r>
      <w:r w:rsidRPr="00522093">
        <w:rPr>
          <w:i/>
          <w:iCs/>
        </w:rPr>
        <w:t>Marketplace</w:t>
      </w:r>
      <w:r w:rsidRPr="00522093">
        <w:t xml:space="preserve">. Available at: </w:t>
      </w:r>
      <w:hyperlink r:id="rId48" w:tgtFrame="_new" w:history="1">
        <w:r w:rsidRPr="00522093">
          <w:rPr>
            <w:rStyle w:val="Hyperlink"/>
          </w:rPr>
          <w:t>https://www.diy.com/corporate/marketplace</w:t>
        </w:r>
      </w:hyperlink>
    </w:p>
    <w:p w14:paraId="41617CD6" w14:textId="77777777" w:rsidR="00522093" w:rsidRDefault="00522093" w:rsidP="00CF13F5">
      <w:r w:rsidRPr="00522093">
        <w:t xml:space="preserve">Beevers, A. (2025) </w:t>
      </w:r>
      <w:r w:rsidRPr="00522093">
        <w:rPr>
          <w:i/>
          <w:iCs/>
        </w:rPr>
        <w:t>Kingfisher boosted by strong performance at B&amp;Q</w:t>
      </w:r>
      <w:r w:rsidRPr="00522093">
        <w:t xml:space="preserve">, </w:t>
      </w:r>
      <w:r w:rsidRPr="00522093">
        <w:rPr>
          <w:i/>
          <w:iCs/>
        </w:rPr>
        <w:t>The Retail Bulletin</w:t>
      </w:r>
      <w:r w:rsidRPr="00522093">
        <w:t xml:space="preserve">, 28 May. Available at: </w:t>
      </w:r>
      <w:hyperlink r:id="rId49" w:tgtFrame="_new" w:history="1">
        <w:r w:rsidRPr="00522093">
          <w:rPr>
            <w:rStyle w:val="Hyperlink"/>
          </w:rPr>
          <w:t>https://www.theretailbulletin.com/home-and-diy/kingfisher-boosted-by-strong-performance-at-bq-28-05-2025/</w:t>
        </w:r>
      </w:hyperlink>
    </w:p>
    <w:p w14:paraId="53FEFC4D" w14:textId="77777777" w:rsidR="00522093" w:rsidRDefault="00522093" w:rsidP="00CF13F5">
      <w:r w:rsidRPr="00522093">
        <w:t xml:space="preserve">Blythe, L. (2025) </w:t>
      </w:r>
      <w:r w:rsidRPr="00522093">
        <w:rPr>
          <w:i/>
          <w:iCs/>
        </w:rPr>
        <w:t>Australia’s 2025 macro environment: Key trends and impacts on your finances</w:t>
      </w:r>
      <w:r w:rsidRPr="00522093">
        <w:t xml:space="preserve">. Available at: </w:t>
      </w:r>
      <w:hyperlink r:id="rId50" w:tgtFrame="_new" w:history="1">
        <w:r w:rsidRPr="00522093">
          <w:rPr>
            <w:rStyle w:val="Hyperlink"/>
          </w:rPr>
          <w:t>https://cockatoo.com.au/australias-macro-environment-2025/</w:t>
        </w:r>
      </w:hyperlink>
    </w:p>
    <w:p w14:paraId="7821F8A6" w14:textId="77777777" w:rsidR="00522093" w:rsidRDefault="00522093" w:rsidP="00CF13F5">
      <w:r w:rsidRPr="00522093">
        <w:t xml:space="preserve">Camilleri, E. (2024) </w:t>
      </w:r>
      <w:r w:rsidRPr="00522093">
        <w:rPr>
          <w:i/>
          <w:iCs/>
        </w:rPr>
        <w:t>Key performance indicators: The complete guide to KPIs for business success</w:t>
      </w:r>
      <w:r w:rsidRPr="00522093">
        <w:t xml:space="preserve">. London: Routledge. </w:t>
      </w:r>
      <w:hyperlink r:id="rId51" w:history="1">
        <w:r w:rsidRPr="001B5229">
          <w:rPr>
            <w:rStyle w:val="Hyperlink"/>
          </w:rPr>
          <w:t>https://doi.org/10.4324/9781032685465</w:t>
        </w:r>
      </w:hyperlink>
    </w:p>
    <w:p w14:paraId="4A4D00F9" w14:textId="77777777" w:rsidR="00522093" w:rsidRDefault="00522093" w:rsidP="00CF13F5">
      <w:r w:rsidRPr="00522093">
        <w:t xml:space="preserve">ECDB (2025) </w:t>
      </w:r>
      <w:r w:rsidRPr="00522093">
        <w:rPr>
          <w:i/>
          <w:iCs/>
        </w:rPr>
        <w:t>DIY Industry in Australia</w:t>
      </w:r>
      <w:r w:rsidRPr="00522093">
        <w:t xml:space="preserve">. Available at: </w:t>
      </w:r>
      <w:hyperlink r:id="rId52" w:tgtFrame="_new" w:history="1">
        <w:r w:rsidRPr="00522093">
          <w:rPr>
            <w:rStyle w:val="Hyperlink"/>
          </w:rPr>
          <w:t>https://ecdb.com/resources/sample-data/market/au/diy</w:t>
        </w:r>
      </w:hyperlink>
    </w:p>
    <w:p w14:paraId="072B364A" w14:textId="77777777" w:rsidR="00522093" w:rsidRDefault="00522093" w:rsidP="00CF13F5">
      <w:r w:rsidRPr="00522093">
        <w:t xml:space="preserve">Electrical Times (2024) </w:t>
      </w:r>
      <w:r w:rsidRPr="00522093">
        <w:rPr>
          <w:i/>
          <w:iCs/>
        </w:rPr>
        <w:t>B&amp;Q’s Build A Life Project Report news alert</w:t>
      </w:r>
      <w:r w:rsidRPr="00522093">
        <w:t xml:space="preserve">, 14 October. Available at: </w:t>
      </w:r>
      <w:hyperlink r:id="rId53" w:tgtFrame="_new" w:history="1">
        <w:r w:rsidRPr="00522093">
          <w:rPr>
            <w:rStyle w:val="Hyperlink"/>
          </w:rPr>
          <w:t>https://www.electricaltimes.co.uk/bqs-build-a-life-project-report-news-alert/</w:t>
        </w:r>
      </w:hyperlink>
    </w:p>
    <w:p w14:paraId="1FCE6297" w14:textId="77777777" w:rsidR="00522093" w:rsidRDefault="00522093" w:rsidP="00CF13F5">
      <w:r w:rsidRPr="00522093">
        <w:lastRenderedPageBreak/>
        <w:t xml:space="preserve">Gini, K.B. and Agala, H.O. (2023) </w:t>
      </w:r>
      <w:r w:rsidRPr="00522093">
        <w:rPr>
          <w:i/>
          <w:iCs/>
        </w:rPr>
        <w:t>The impact of macro-environmental factors on business performance</w:t>
      </w:r>
      <w:r w:rsidRPr="00522093">
        <w:t xml:space="preserve">. </w:t>
      </w:r>
      <w:r w:rsidRPr="00522093">
        <w:rPr>
          <w:i/>
          <w:iCs/>
        </w:rPr>
        <w:t>International Journal of Research and Innovation in Social Science</w:t>
      </w:r>
      <w:r w:rsidRPr="00522093">
        <w:t xml:space="preserve">, VII(XI), pp. 1837–1843. </w:t>
      </w:r>
      <w:hyperlink r:id="rId54" w:history="1">
        <w:r w:rsidRPr="001B5229">
          <w:rPr>
            <w:rStyle w:val="Hyperlink"/>
          </w:rPr>
          <w:t>https://doi.org/10.47772/IJRISS.2023.7011145</w:t>
        </w:r>
      </w:hyperlink>
    </w:p>
    <w:p w14:paraId="4BA90D0D" w14:textId="77777777" w:rsidR="00522093" w:rsidRDefault="00522093" w:rsidP="00CF13F5">
      <w:r w:rsidRPr="00522093">
        <w:t xml:space="preserve">GlobalData (2025) </w:t>
      </w:r>
      <w:r w:rsidRPr="00522093">
        <w:rPr>
          <w:i/>
          <w:iCs/>
        </w:rPr>
        <w:t>B&amp;Q Ltd</w:t>
      </w:r>
      <w:r w:rsidRPr="00522093">
        <w:t xml:space="preserve">. Available at: </w:t>
      </w:r>
      <w:hyperlink r:id="rId55" w:tgtFrame="_new" w:history="1">
        <w:r w:rsidRPr="00522093">
          <w:rPr>
            <w:rStyle w:val="Hyperlink"/>
          </w:rPr>
          <w:t>https://www.globaldata.com/store/report/bq-ltd/</w:t>
        </w:r>
      </w:hyperlink>
    </w:p>
    <w:p w14:paraId="2F668F87" w14:textId="77777777" w:rsidR="00522093" w:rsidRDefault="00522093" w:rsidP="00CF13F5">
      <w:r w:rsidRPr="00522093">
        <w:t xml:space="preserve">GlobalData (2025) </w:t>
      </w:r>
      <w:r w:rsidRPr="00522093">
        <w:rPr>
          <w:i/>
          <w:iCs/>
        </w:rPr>
        <w:t>The market value of home improvement &amp; gardening products segment in Australia</w:t>
      </w:r>
      <w:r w:rsidRPr="00522093">
        <w:t xml:space="preserve">. Available at: </w:t>
      </w:r>
      <w:hyperlink r:id="rId56" w:tgtFrame="_new" w:history="1">
        <w:r w:rsidRPr="00522093">
          <w:rPr>
            <w:rStyle w:val="Hyperlink"/>
          </w:rPr>
          <w:t>https://www.globaldata.com/data-insights/retail-and-wholesale/the-market-value-of-home-improvement---gardening-products-segment-in-australia-1130132/</w:t>
        </w:r>
      </w:hyperlink>
    </w:p>
    <w:p w14:paraId="0C9D05CA" w14:textId="77777777" w:rsidR="00522093" w:rsidRDefault="00522093" w:rsidP="00CF13F5">
      <w:r w:rsidRPr="00522093">
        <w:t xml:space="preserve">Gomes, J. and Romão, M.J.B. (2025) </w:t>
      </w:r>
      <w:r w:rsidRPr="00522093">
        <w:rPr>
          <w:i/>
          <w:iCs/>
        </w:rPr>
        <w:t>Balanced scorecard promotes the strategic alignment</w:t>
      </w:r>
      <w:r w:rsidRPr="00522093">
        <w:t xml:space="preserve">. In: </w:t>
      </w:r>
      <w:r w:rsidRPr="00522093">
        <w:rPr>
          <w:i/>
          <w:iCs/>
        </w:rPr>
        <w:t>Entrepreneurial Ecosystems Driving Economic Transformation and Job Creation</w:t>
      </w:r>
      <w:r w:rsidRPr="00522093">
        <w:t xml:space="preserve">. Hershey, PA: IGI Global, pp. 281–312. </w:t>
      </w:r>
      <w:hyperlink r:id="rId57" w:history="1">
        <w:r w:rsidRPr="001B5229">
          <w:rPr>
            <w:rStyle w:val="Hyperlink"/>
          </w:rPr>
          <w:t>https://doi.org/10.4018/979-8-3693-9486-1.ch010</w:t>
        </w:r>
      </w:hyperlink>
    </w:p>
    <w:p w14:paraId="7EF3BE64" w14:textId="77777777" w:rsidR="00522093" w:rsidRDefault="00522093" w:rsidP="00CF13F5">
      <w:r w:rsidRPr="00522093">
        <w:t xml:space="preserve">Han, Z. (2023) </w:t>
      </w:r>
      <w:r w:rsidRPr="00522093">
        <w:rPr>
          <w:i/>
          <w:iCs/>
        </w:rPr>
        <w:t>The effectiveness of marketing strategies from the perspective of consumer psychology</w:t>
      </w:r>
      <w:r w:rsidRPr="00522093">
        <w:t xml:space="preserve">. </w:t>
      </w:r>
      <w:r w:rsidRPr="00522093">
        <w:rPr>
          <w:i/>
          <w:iCs/>
        </w:rPr>
        <w:t>Advances in Economics, Management and Political Sciences</w:t>
      </w:r>
      <w:r w:rsidRPr="00522093">
        <w:t xml:space="preserve">, 26(1), pp. 343–349. </w:t>
      </w:r>
      <w:hyperlink r:id="rId58" w:history="1">
        <w:r w:rsidRPr="001B5229">
          <w:rPr>
            <w:rStyle w:val="Hyperlink"/>
          </w:rPr>
          <w:t>https://doi.org/10.54254/2754-1169/26/20230594</w:t>
        </w:r>
      </w:hyperlink>
    </w:p>
    <w:p w14:paraId="67DC0261" w14:textId="77777777" w:rsidR="00522093" w:rsidRDefault="00522093" w:rsidP="00CF13F5">
      <w:r w:rsidRPr="00522093">
        <w:t xml:space="preserve">Heyes, G., Urquhart, C., Hooper, P. and Thomas, C. (2023) </w:t>
      </w:r>
      <w:r w:rsidRPr="00522093">
        <w:rPr>
          <w:i/>
          <w:iCs/>
        </w:rPr>
        <w:t>Comprehensive strategic analysis for sustainability: An aviation industry case study</w:t>
      </w:r>
      <w:r w:rsidRPr="00522093">
        <w:t xml:space="preserve">. </w:t>
      </w:r>
      <w:r w:rsidRPr="00522093">
        <w:rPr>
          <w:i/>
          <w:iCs/>
        </w:rPr>
        <w:t>Sustainability</w:t>
      </w:r>
      <w:r w:rsidRPr="00522093">
        <w:t xml:space="preserve">, 15(11), 8806. </w:t>
      </w:r>
      <w:hyperlink r:id="rId59" w:tgtFrame="_new" w:history="1">
        <w:r w:rsidRPr="00522093">
          <w:rPr>
            <w:rStyle w:val="Hyperlink"/>
          </w:rPr>
          <w:t>https://doi.org/10.3390/su15118806</w:t>
        </w:r>
      </w:hyperlink>
    </w:p>
    <w:p w14:paraId="7E542D68" w14:textId="77777777" w:rsidR="00522093" w:rsidRDefault="00522093" w:rsidP="00CF13F5">
      <w:r w:rsidRPr="00522093">
        <w:t xml:space="preserve">Hwang, J. (2024) </w:t>
      </w:r>
      <w:r w:rsidRPr="00522093">
        <w:rPr>
          <w:i/>
          <w:iCs/>
        </w:rPr>
        <w:t>Strategic alignment and performance measurement in outsourced business processes: A comprehensive analysis of key performance indicators (KPIs) and streamlining strategies</w:t>
      </w:r>
      <w:r w:rsidRPr="00522093">
        <w:t xml:space="preserve">. </w:t>
      </w:r>
      <w:r w:rsidRPr="00522093">
        <w:rPr>
          <w:i/>
          <w:iCs/>
        </w:rPr>
        <w:t>International Journal of Frontline Research in Multidisciplinary Studies</w:t>
      </w:r>
      <w:r w:rsidRPr="00522093">
        <w:t xml:space="preserve">, 4(1), pp. 063–073. </w:t>
      </w:r>
      <w:hyperlink r:id="rId60" w:history="1">
        <w:r w:rsidRPr="001B5229">
          <w:rPr>
            <w:rStyle w:val="Hyperlink"/>
          </w:rPr>
          <w:t>https://doi.org/10.56355/ijfrms.2024.4.1.0034</w:t>
        </w:r>
      </w:hyperlink>
    </w:p>
    <w:p w14:paraId="7E5EFDBE" w14:textId="77777777" w:rsidR="00522093" w:rsidRDefault="00522093" w:rsidP="00CF13F5">
      <w:r w:rsidRPr="00522093">
        <w:t xml:space="preserve">IBISWorld (2025) </w:t>
      </w:r>
      <w:r w:rsidRPr="00522093">
        <w:rPr>
          <w:i/>
          <w:iCs/>
        </w:rPr>
        <w:t>Garden Supplies Retailing in Australia – Market Research Report (2015–2030)</w:t>
      </w:r>
      <w:r w:rsidRPr="00522093">
        <w:t xml:space="preserve">. Available at: </w:t>
      </w:r>
      <w:hyperlink r:id="rId61" w:tgtFrame="_new" w:history="1">
        <w:r w:rsidRPr="00522093">
          <w:rPr>
            <w:rStyle w:val="Hyperlink"/>
          </w:rPr>
          <w:t>https://www.ibisworld.com/australia/industry/garden-supplies-retailing/425/</w:t>
        </w:r>
      </w:hyperlink>
    </w:p>
    <w:p w14:paraId="1D3951BE" w14:textId="77777777" w:rsidR="00522093" w:rsidRDefault="00522093" w:rsidP="00CF13F5">
      <w:r w:rsidRPr="00522093">
        <w:t xml:space="preserve">IBISWorld (2025) </w:t>
      </w:r>
      <w:r w:rsidRPr="00522093">
        <w:rPr>
          <w:i/>
          <w:iCs/>
        </w:rPr>
        <w:t>Hardware and Building Supplies Retailing in Australia – Market Research Report (2015–2030)</w:t>
      </w:r>
      <w:r w:rsidRPr="00522093">
        <w:t xml:space="preserve">. Available at: </w:t>
      </w:r>
      <w:hyperlink r:id="rId62" w:tgtFrame="_new" w:history="1">
        <w:r w:rsidRPr="00522093">
          <w:rPr>
            <w:rStyle w:val="Hyperlink"/>
          </w:rPr>
          <w:t>https://www.ibisworld.com/australia/industry/hardware-and-building-supplies-retailing/1877/</w:t>
        </w:r>
      </w:hyperlink>
    </w:p>
    <w:p w14:paraId="3B01B945" w14:textId="77777777" w:rsidR="00522093" w:rsidRDefault="00522093" w:rsidP="00CF13F5">
      <w:r w:rsidRPr="00522093">
        <w:t xml:space="preserve">Jali, N.P., Doorasamy, M. and Gregory, V. (2025) </w:t>
      </w:r>
      <w:r w:rsidRPr="00522093">
        <w:rPr>
          <w:i/>
          <w:iCs/>
        </w:rPr>
        <w:t>Triple bottom line’s elements, sustainability and growth of small manufacturing enterprises in an emerging economy</w:t>
      </w:r>
      <w:r w:rsidRPr="00522093">
        <w:t xml:space="preserve">. </w:t>
      </w:r>
      <w:r w:rsidRPr="00522093">
        <w:rPr>
          <w:i/>
          <w:iCs/>
        </w:rPr>
        <w:t>International Journal of Applied Research in Business and Management</w:t>
      </w:r>
      <w:r w:rsidRPr="00522093">
        <w:t xml:space="preserve">, 6(2). </w:t>
      </w:r>
      <w:hyperlink r:id="rId63" w:history="1">
        <w:r w:rsidRPr="001B5229">
          <w:rPr>
            <w:rStyle w:val="Hyperlink"/>
          </w:rPr>
          <w:t>https://doi.org/10.51137/wrp.ijarbm.2025.njtt.45825</w:t>
        </w:r>
      </w:hyperlink>
    </w:p>
    <w:p w14:paraId="4C2D5E56" w14:textId="77777777" w:rsidR="00522093" w:rsidRDefault="00522093" w:rsidP="00CF13F5">
      <w:r w:rsidRPr="00522093">
        <w:t xml:space="preserve">Kingfisher Plc (2025) </w:t>
      </w:r>
      <w:r w:rsidRPr="00522093">
        <w:rPr>
          <w:i/>
          <w:iCs/>
        </w:rPr>
        <w:t>Annual Report and Accounts 2024/25</w:t>
      </w:r>
      <w:r w:rsidRPr="00522093">
        <w:t xml:space="preserve">. Available at: </w:t>
      </w:r>
      <w:hyperlink r:id="rId64" w:tgtFrame="_new" w:history="1">
        <w:r w:rsidRPr="00522093">
          <w:rPr>
            <w:rStyle w:val="Hyperlink"/>
          </w:rPr>
          <w:t>https://www.kingfisher.com/~/media/Files/K/Kingfisher-Plc/Universal/investors/result-reports-presentation/2025/Kingfisher-Annual-Report-2024-25.pdf</w:t>
        </w:r>
      </w:hyperlink>
    </w:p>
    <w:p w14:paraId="0388F405" w14:textId="77777777" w:rsidR="00522093" w:rsidRDefault="00522093" w:rsidP="00CF13F5">
      <w:pPr>
        <w:rPr>
          <w:lang w:val="en-US"/>
        </w:rPr>
      </w:pPr>
      <w:r w:rsidRPr="00522093">
        <w:rPr>
          <w:lang w:val="en-US"/>
        </w:rPr>
        <w:t xml:space="preserve">Kravets, D. (2025) </w:t>
      </w:r>
      <w:r w:rsidRPr="00522093">
        <w:rPr>
          <w:i/>
          <w:iCs/>
          <w:lang w:val="en-US"/>
        </w:rPr>
        <w:t>Marketing in the data-driven era: Analytical tools and development perspectives</w:t>
      </w:r>
      <w:r w:rsidRPr="00522093">
        <w:rPr>
          <w:lang w:val="en-US"/>
        </w:rPr>
        <w:t xml:space="preserve">. </w:t>
      </w:r>
      <w:r w:rsidRPr="00522093">
        <w:rPr>
          <w:i/>
          <w:iCs/>
          <w:lang w:val="en-US"/>
        </w:rPr>
        <w:t>Green Blue and Digital Economy Journal</w:t>
      </w:r>
      <w:r w:rsidRPr="00522093">
        <w:rPr>
          <w:lang w:val="en-US"/>
        </w:rPr>
        <w:t xml:space="preserve">, 6(2), pp. 71–76. </w:t>
      </w:r>
      <w:hyperlink r:id="rId65" w:history="1">
        <w:r w:rsidRPr="00522093">
          <w:rPr>
            <w:rStyle w:val="Hyperlink"/>
            <w:lang w:val="en-US"/>
          </w:rPr>
          <w:t>https://doi.org/10.30525/2661-5169/2025-2-9</w:t>
        </w:r>
      </w:hyperlink>
    </w:p>
    <w:p w14:paraId="38061113" w14:textId="77777777" w:rsidR="00522093" w:rsidRDefault="00522093" w:rsidP="00CF13F5">
      <w:r w:rsidRPr="00522093">
        <w:t xml:space="preserve">Lagodiienko, V., Karyy, O., Ohiienko, M.M. and Kalaman, O. (2019) </w:t>
      </w:r>
      <w:r w:rsidRPr="00522093">
        <w:rPr>
          <w:i/>
          <w:iCs/>
        </w:rPr>
        <w:t>Choosing effective internet marketing tools in strategic management</w:t>
      </w:r>
      <w:r w:rsidRPr="00522093">
        <w:t xml:space="preserve">. </w:t>
      </w:r>
      <w:r w:rsidRPr="00522093">
        <w:rPr>
          <w:i/>
          <w:iCs/>
        </w:rPr>
        <w:t>International Journal of Recent Technology and Engineering (IJRTE)</w:t>
      </w:r>
      <w:r w:rsidRPr="00522093">
        <w:t xml:space="preserve">, 8(3), pp. 5220–5225. </w:t>
      </w:r>
      <w:hyperlink r:id="rId66" w:history="1">
        <w:r w:rsidRPr="001B5229">
          <w:rPr>
            <w:rStyle w:val="Hyperlink"/>
          </w:rPr>
          <w:t>https://doi.org/10.35940/ijrte.C5868.098319</w:t>
        </w:r>
      </w:hyperlink>
    </w:p>
    <w:p w14:paraId="5BC9D4A7" w14:textId="77777777" w:rsidR="00522093" w:rsidRDefault="00522093" w:rsidP="00CF13F5">
      <w:r w:rsidRPr="00522093">
        <w:t xml:space="preserve">Mackay, M. and Perkins, H.C. (2016) </w:t>
      </w:r>
      <w:r w:rsidRPr="00522093">
        <w:rPr>
          <w:i/>
          <w:iCs/>
        </w:rPr>
        <w:t>The globalising world of DIY house improvement: interpreting a cultural and commercial phenomenon</w:t>
      </w:r>
      <w:r w:rsidRPr="00522093">
        <w:t xml:space="preserve">. </w:t>
      </w:r>
      <w:r w:rsidRPr="00522093">
        <w:rPr>
          <w:i/>
          <w:iCs/>
        </w:rPr>
        <w:t>Housing Studies</w:t>
      </w:r>
      <w:r w:rsidRPr="00522093">
        <w:t xml:space="preserve">, 32(6), pp. 1–20. </w:t>
      </w:r>
      <w:hyperlink r:id="rId67" w:history="1">
        <w:r w:rsidRPr="001B5229">
          <w:rPr>
            <w:rStyle w:val="Hyperlink"/>
          </w:rPr>
          <w:t>https://doi.org/10.1080/02673037.2016.1234031</w:t>
        </w:r>
      </w:hyperlink>
    </w:p>
    <w:p w14:paraId="68EFE0D5" w14:textId="77777777" w:rsidR="00522093" w:rsidRDefault="00522093" w:rsidP="00CF13F5">
      <w:r w:rsidRPr="00522093">
        <w:t xml:space="preserve">MarkWideResearch (2025) </w:t>
      </w:r>
      <w:r w:rsidRPr="00522093">
        <w:rPr>
          <w:i/>
          <w:iCs/>
        </w:rPr>
        <w:t>Australia Do-It-Yourself (DIY) Home Improvement Retailing Market – Size, Share, Trends, Analysis &amp; Forecast 2025–2034</w:t>
      </w:r>
      <w:r w:rsidRPr="00522093">
        <w:t xml:space="preserve">. Available at: </w:t>
      </w:r>
      <w:hyperlink r:id="rId68" w:tgtFrame="_new" w:history="1">
        <w:r w:rsidRPr="00522093">
          <w:rPr>
            <w:rStyle w:val="Hyperlink"/>
          </w:rPr>
          <w:t>https://markwideresearch.com/australia-do-it-yourself-diy-home-improvement-retailing-market/</w:t>
        </w:r>
      </w:hyperlink>
    </w:p>
    <w:p w14:paraId="5591473C" w14:textId="77777777" w:rsidR="00522093" w:rsidRDefault="00522093" w:rsidP="00CF13F5">
      <w:r w:rsidRPr="00522093">
        <w:t xml:space="preserve">Mbabu, M. and Gulali, D. (2024) </w:t>
      </w:r>
      <w:r w:rsidRPr="00522093">
        <w:rPr>
          <w:i/>
          <w:iCs/>
        </w:rPr>
        <w:t>Strategic market assessment for international market entry: A comparative analysis of market selection criteria and entry</w:t>
      </w:r>
      <w:r w:rsidRPr="00522093">
        <w:t xml:space="preserve">. </w:t>
      </w:r>
      <w:r w:rsidRPr="00522093">
        <w:rPr>
          <w:i/>
          <w:iCs/>
        </w:rPr>
        <w:t>International Journal of Business Management, Entrepreneurship and Innovation</w:t>
      </w:r>
      <w:r w:rsidRPr="00522093">
        <w:t xml:space="preserve">, 6(2), pp. 178–185. </w:t>
      </w:r>
      <w:hyperlink r:id="rId69" w:history="1">
        <w:r w:rsidRPr="001B5229">
          <w:rPr>
            <w:rStyle w:val="Hyperlink"/>
          </w:rPr>
          <w:t>https://doi.org/10.35942/hy38dc55</w:t>
        </w:r>
      </w:hyperlink>
    </w:p>
    <w:p w14:paraId="4166AC4D" w14:textId="77777777" w:rsidR="00522093" w:rsidRDefault="00522093" w:rsidP="00CF13F5">
      <w:r w:rsidRPr="00522093">
        <w:lastRenderedPageBreak/>
        <w:t xml:space="preserve">Mishra, A. and Kautish, P. (2025) </w:t>
      </w:r>
      <w:r w:rsidRPr="00522093">
        <w:rPr>
          <w:i/>
          <w:iCs/>
        </w:rPr>
        <w:t>Strategic marketing analytics: A systematic review</w:t>
      </w:r>
      <w:r w:rsidRPr="00522093">
        <w:t xml:space="preserve">. In: </w:t>
      </w:r>
      <w:r w:rsidRPr="00522093">
        <w:rPr>
          <w:i/>
          <w:iCs/>
        </w:rPr>
        <w:t>Strategy Analytics for Business Resilience: Theories and Practices</w:t>
      </w:r>
      <w:r w:rsidRPr="00522093">
        <w:t xml:space="preserve">. Cham: Springer, pp. 201–220. </w:t>
      </w:r>
      <w:hyperlink r:id="rId70" w:history="1">
        <w:r w:rsidRPr="001B5229">
          <w:rPr>
            <w:rStyle w:val="Hyperlink"/>
          </w:rPr>
          <w:t>https://doi.org/10.1007/978-3-031-82369-5_12</w:t>
        </w:r>
      </w:hyperlink>
    </w:p>
    <w:p w14:paraId="1AECE835" w14:textId="77777777" w:rsidR="00522093" w:rsidRDefault="00522093" w:rsidP="00CF13F5">
      <w:r w:rsidRPr="00522093">
        <w:t xml:space="preserve">Nogueira, E., Gomes, S. and Lopes, J.M. (2025) </w:t>
      </w:r>
      <w:r w:rsidRPr="00522093">
        <w:rPr>
          <w:i/>
          <w:iCs/>
        </w:rPr>
        <w:t>Unveiling triple bottom line’s influence on business performance</w:t>
      </w:r>
      <w:r w:rsidRPr="00522093">
        <w:t xml:space="preserve">. </w:t>
      </w:r>
      <w:r w:rsidRPr="00522093">
        <w:rPr>
          <w:i/>
          <w:iCs/>
        </w:rPr>
        <w:t>Discover Sustainability</w:t>
      </w:r>
      <w:r w:rsidRPr="00522093">
        <w:t xml:space="preserve">, 6(1). </w:t>
      </w:r>
      <w:hyperlink r:id="rId71" w:history="1">
        <w:r w:rsidRPr="001B5229">
          <w:rPr>
            <w:rStyle w:val="Hyperlink"/>
          </w:rPr>
          <w:t>https://doi.org/10.1007/s43621-025-00804-x</w:t>
        </w:r>
      </w:hyperlink>
    </w:p>
    <w:p w14:paraId="0D94F1C1" w14:textId="77777777" w:rsidR="00522093" w:rsidRDefault="00522093" w:rsidP="00CF13F5">
      <w:r w:rsidRPr="00522093">
        <w:t xml:space="preserve">Novita, D. and Husna, N. (2020) </w:t>
      </w:r>
      <w:r w:rsidRPr="00522093">
        <w:rPr>
          <w:i/>
          <w:iCs/>
        </w:rPr>
        <w:t>Competitive advantage in the company</w:t>
      </w:r>
      <w:r w:rsidRPr="00522093">
        <w:t xml:space="preserve">. </w:t>
      </w:r>
      <w:r w:rsidRPr="00522093">
        <w:rPr>
          <w:i/>
          <w:iCs/>
        </w:rPr>
        <w:t>TECHNOBIZ: International Journal of Business</w:t>
      </w:r>
      <w:r w:rsidRPr="00522093">
        <w:t xml:space="preserve">, 3(1), p. 14. </w:t>
      </w:r>
      <w:hyperlink r:id="rId72" w:history="1">
        <w:r w:rsidRPr="001B5229">
          <w:rPr>
            <w:rStyle w:val="Hyperlink"/>
          </w:rPr>
          <w:t>https://doi.org/10.33365/tb.v3i1.643</w:t>
        </w:r>
      </w:hyperlink>
    </w:p>
    <w:p w14:paraId="260B2AF1" w14:textId="77777777" w:rsidR="00522093" w:rsidRDefault="00522093" w:rsidP="00CF13F5">
      <w:r w:rsidRPr="00522093">
        <w:t xml:space="preserve">Optimizon (2024) </w:t>
      </w:r>
      <w:r w:rsidRPr="00522093">
        <w:rPr>
          <w:i/>
          <w:iCs/>
        </w:rPr>
        <w:t>B&amp;Q Marketplace: Everything you need to know</w:t>
      </w:r>
      <w:r w:rsidRPr="00522093">
        <w:t xml:space="preserve">. Available at: </w:t>
      </w:r>
      <w:hyperlink r:id="rId73" w:tgtFrame="_new" w:history="1">
        <w:r w:rsidRPr="00522093">
          <w:rPr>
            <w:rStyle w:val="Hyperlink"/>
          </w:rPr>
          <w:t>https://www.optimizon.co.uk/amazon-knowhow/bq-marketplace-everything-you-need-to-know/</w:t>
        </w:r>
      </w:hyperlink>
    </w:p>
    <w:p w14:paraId="157B3160" w14:textId="77777777" w:rsidR="00522093" w:rsidRDefault="00522093" w:rsidP="00CF13F5">
      <w:r w:rsidRPr="00522093">
        <w:t xml:space="preserve">Rajer, N. (2023) </w:t>
      </w:r>
      <w:r w:rsidRPr="00522093">
        <w:rPr>
          <w:i/>
          <w:iCs/>
        </w:rPr>
        <w:t>New marketing models for developing a marketing strategy</w:t>
      </w:r>
      <w:r w:rsidRPr="00522093">
        <w:t xml:space="preserve">. </w:t>
      </w:r>
      <w:r w:rsidRPr="00522093">
        <w:rPr>
          <w:i/>
          <w:iCs/>
        </w:rPr>
        <w:t>International Journal of Innovation in Marketing Elements</w:t>
      </w:r>
      <w:r w:rsidRPr="00522093">
        <w:t xml:space="preserve">, 3(1), pp. 23–29. </w:t>
      </w:r>
      <w:hyperlink r:id="rId74" w:history="1">
        <w:r w:rsidRPr="001B5229">
          <w:rPr>
            <w:rStyle w:val="Hyperlink"/>
          </w:rPr>
          <w:t>https://doi.org/10.59615/ijime.3.1.23</w:t>
        </w:r>
      </w:hyperlink>
    </w:p>
    <w:p w14:paraId="3221F0D7" w14:textId="77777777" w:rsidR="00522093" w:rsidRDefault="00522093" w:rsidP="00CF13F5">
      <w:r w:rsidRPr="00522093">
        <w:t xml:space="preserve">Rosário, A.T. and Raimundo, R. (2024) </w:t>
      </w:r>
      <w:r w:rsidRPr="00522093">
        <w:rPr>
          <w:i/>
          <w:iCs/>
        </w:rPr>
        <w:t>Importance of competitive dynamics of strategic groups: Opportunities and challenges</w:t>
      </w:r>
      <w:r w:rsidRPr="00522093">
        <w:t xml:space="preserve">. </w:t>
      </w:r>
      <w:r w:rsidRPr="00522093">
        <w:rPr>
          <w:i/>
          <w:iCs/>
        </w:rPr>
        <w:t>Administrative Sciences</w:t>
      </w:r>
      <w:r w:rsidRPr="00522093">
        <w:t xml:space="preserve">, 14(7), 147. </w:t>
      </w:r>
      <w:hyperlink r:id="rId75" w:tgtFrame="_new" w:history="1">
        <w:r w:rsidRPr="00522093">
          <w:rPr>
            <w:rStyle w:val="Hyperlink"/>
          </w:rPr>
          <w:t>https://doi.org/10.3390/admsci14070147</w:t>
        </w:r>
      </w:hyperlink>
    </w:p>
    <w:p w14:paraId="5B212E16" w14:textId="77777777" w:rsidR="00522093" w:rsidRDefault="00522093" w:rsidP="00CF13F5">
      <w:r w:rsidRPr="00522093">
        <w:t xml:space="preserve">Roy, S. (2025) </w:t>
      </w:r>
      <w:r w:rsidRPr="00522093">
        <w:rPr>
          <w:i/>
          <w:iCs/>
        </w:rPr>
        <w:t>Australia home improvement services market: Size and share 2025–2033</w:t>
      </w:r>
      <w:r w:rsidRPr="00522093">
        <w:t xml:space="preserve">. Available at: </w:t>
      </w:r>
      <w:hyperlink r:id="rId76" w:tgtFrame="_new" w:history="1">
        <w:r w:rsidRPr="00522093">
          <w:rPr>
            <w:rStyle w:val="Hyperlink"/>
          </w:rPr>
          <w:t>https://vocal.media/journal/australia-home-improvement-services-market-size-and-share-2025-2033</w:t>
        </w:r>
      </w:hyperlink>
    </w:p>
    <w:p w14:paraId="22F1F4DC" w14:textId="77777777" w:rsidR="00522093" w:rsidRDefault="00522093" w:rsidP="00CF13F5">
      <w:r w:rsidRPr="00522093">
        <w:t xml:space="preserve">Saker-Clark, H. (2025) </w:t>
      </w:r>
      <w:r w:rsidRPr="00522093">
        <w:rPr>
          <w:i/>
          <w:iCs/>
        </w:rPr>
        <w:t>B&amp;Q sales surge as DIY giant capitalises on Homebase store closures</w:t>
      </w:r>
      <w:r w:rsidRPr="00522093">
        <w:t xml:space="preserve">. </w:t>
      </w:r>
      <w:r w:rsidRPr="00522093">
        <w:rPr>
          <w:i/>
          <w:iCs/>
        </w:rPr>
        <w:t>The Independent</w:t>
      </w:r>
      <w:r w:rsidRPr="00522093">
        <w:t xml:space="preserve">, 23 September. Available at: </w:t>
      </w:r>
      <w:hyperlink r:id="rId77" w:tgtFrame="_new" w:history="1">
        <w:r w:rsidRPr="00522093">
          <w:rPr>
            <w:rStyle w:val="Hyperlink"/>
          </w:rPr>
          <w:t>https://www.independent.co.uk/news/business/bq-kingfisher-screwfix-homebase-sales-b2831889.html</w:t>
        </w:r>
      </w:hyperlink>
    </w:p>
    <w:p w14:paraId="374B60DB" w14:textId="77777777" w:rsidR="00522093" w:rsidRDefault="00522093" w:rsidP="00CF13F5">
      <w:r w:rsidRPr="00522093">
        <w:t xml:space="preserve">Salam, K.N., Aslim, S., Prudence, P.H. and Marsela, I. (2025) </w:t>
      </w:r>
      <w:r w:rsidRPr="00522093">
        <w:rPr>
          <w:i/>
          <w:iCs/>
        </w:rPr>
        <w:t>Analysis of effective marketing strategies in facing tight competition in the marketplace global</w:t>
      </w:r>
      <w:r w:rsidRPr="00522093">
        <w:t xml:space="preserve">. </w:t>
      </w:r>
      <w:r w:rsidRPr="00522093">
        <w:rPr>
          <w:i/>
          <w:iCs/>
        </w:rPr>
        <w:t>PARADOKS Jurnal Ilmu Ekonomi</w:t>
      </w:r>
      <w:r w:rsidRPr="00522093">
        <w:t xml:space="preserve">, 8(2), pp. 525–539. </w:t>
      </w:r>
      <w:hyperlink r:id="rId78" w:history="1">
        <w:r w:rsidRPr="001B5229">
          <w:rPr>
            <w:rStyle w:val="Hyperlink"/>
          </w:rPr>
          <w:t>https://doi.org/10.57178/paradoks.v8i2.1154</w:t>
        </w:r>
      </w:hyperlink>
    </w:p>
    <w:p w14:paraId="61CF8F98" w14:textId="77777777" w:rsidR="00522093" w:rsidRDefault="00522093" w:rsidP="00CF13F5">
      <w:r w:rsidRPr="00522093">
        <w:lastRenderedPageBreak/>
        <w:t xml:space="preserve">Schellenberg, M., Harker, M. and Jafari, A. (2017) </w:t>
      </w:r>
      <w:r w:rsidRPr="00522093">
        <w:rPr>
          <w:i/>
          <w:iCs/>
        </w:rPr>
        <w:t>International market entry mode – a systematic literature review</w:t>
      </w:r>
      <w:r w:rsidRPr="00522093">
        <w:t xml:space="preserve">. </w:t>
      </w:r>
      <w:r w:rsidRPr="00522093">
        <w:rPr>
          <w:i/>
          <w:iCs/>
        </w:rPr>
        <w:t>Journal of Strategic Marketing</w:t>
      </w:r>
      <w:r w:rsidRPr="00522093">
        <w:t xml:space="preserve">, 26(7), pp. 1–27. </w:t>
      </w:r>
      <w:hyperlink r:id="rId79" w:history="1">
        <w:r w:rsidRPr="001B5229">
          <w:rPr>
            <w:rStyle w:val="Hyperlink"/>
          </w:rPr>
          <w:t>https://doi.org/10.1080/0965254X.2017.1339114</w:t>
        </w:r>
      </w:hyperlink>
    </w:p>
    <w:p w14:paraId="72C4927B" w14:textId="77777777" w:rsidR="00522093" w:rsidRDefault="00522093" w:rsidP="00CF13F5">
      <w:r w:rsidRPr="00522093">
        <w:t xml:space="preserve">Terziev, V.K. and Georgiev, M. (2025) </w:t>
      </w:r>
      <w:r w:rsidRPr="00522093">
        <w:rPr>
          <w:i/>
          <w:iCs/>
        </w:rPr>
        <w:t>Strategic alignment through the balanced scorecard: Integrating planning, execution, and control</w:t>
      </w:r>
      <w:r w:rsidRPr="00522093">
        <w:t xml:space="preserve">. </w:t>
      </w:r>
      <w:r w:rsidRPr="00522093">
        <w:rPr>
          <w:i/>
          <w:iCs/>
        </w:rPr>
        <w:t>SSRN Electronic Journal</w:t>
      </w:r>
      <w:r w:rsidRPr="00522093">
        <w:t xml:space="preserve">, August, pp. 266–269. </w:t>
      </w:r>
      <w:hyperlink r:id="rId80" w:history="1">
        <w:r w:rsidRPr="001B5229">
          <w:rPr>
            <w:rStyle w:val="Hyperlink"/>
          </w:rPr>
          <w:t>https://doi.org/10.2139/ssrn.5381672</w:t>
        </w:r>
      </w:hyperlink>
    </w:p>
    <w:p w14:paraId="7A3477D5" w14:textId="77777777" w:rsidR="00522093" w:rsidRDefault="00522093" w:rsidP="00CF13F5">
      <w:r w:rsidRPr="00522093">
        <w:t xml:space="preserve">Tyukhtenko, N., Churkina, I.Ye., Pavlovych, O. and Mokhnenko, A. (2024) </w:t>
      </w:r>
      <w:r w:rsidRPr="00522093">
        <w:rPr>
          <w:i/>
          <w:iCs/>
        </w:rPr>
        <w:t>Foreign market entry strategy as a key to the competitiveness of enterprises</w:t>
      </w:r>
      <w:r w:rsidRPr="00522093">
        <w:t xml:space="preserve">. </w:t>
      </w:r>
      <w:r w:rsidRPr="00522093">
        <w:rPr>
          <w:i/>
          <w:iCs/>
        </w:rPr>
        <w:t>Ekonomika APK</w:t>
      </w:r>
      <w:r w:rsidRPr="00522093">
        <w:t xml:space="preserve">, 31(5), pp. 86–98. </w:t>
      </w:r>
      <w:hyperlink r:id="rId81" w:history="1">
        <w:r w:rsidRPr="001B5229">
          <w:rPr>
            <w:rStyle w:val="Hyperlink"/>
          </w:rPr>
          <w:t>https://doi.org/10.32317/ekon.apk/5.2024.86</w:t>
        </w:r>
      </w:hyperlink>
    </w:p>
    <w:p w14:paraId="49E63006" w14:textId="77777777" w:rsidR="00522093" w:rsidRDefault="00522093" w:rsidP="00CF13F5">
      <w:r w:rsidRPr="00522093">
        <w:t xml:space="preserve">UKEssays (2018) </w:t>
      </w:r>
      <w:r w:rsidRPr="00522093">
        <w:rPr>
          <w:i/>
          <w:iCs/>
        </w:rPr>
        <w:t>Marketing analysis of B&amp;Q | SWOT</w:t>
      </w:r>
      <w:r w:rsidRPr="00522093">
        <w:t xml:space="preserve">. Available at: </w:t>
      </w:r>
      <w:hyperlink r:id="rId82" w:tgtFrame="_new" w:history="1">
        <w:r w:rsidRPr="00522093">
          <w:rPr>
            <w:rStyle w:val="Hyperlink"/>
          </w:rPr>
          <w:t>https://www.ukessays.com/essays/marketing/the-academics-in-marketing-marketing-essay.php?vref=1</w:t>
        </w:r>
      </w:hyperlink>
    </w:p>
    <w:p w14:paraId="1ECD2395" w14:textId="77777777" w:rsidR="00522093" w:rsidRDefault="00522093" w:rsidP="00CF13F5">
      <w:r w:rsidRPr="00522093">
        <w:t xml:space="preserve">Value Consulting Partners (2025) </w:t>
      </w:r>
      <w:r w:rsidRPr="00522093">
        <w:rPr>
          <w:i/>
          <w:iCs/>
        </w:rPr>
        <w:t>Australia’s business landscape 2025: A comprehensive analysis of emerging trends</w:t>
      </w:r>
      <w:r w:rsidRPr="00522093">
        <w:t xml:space="preserve">. Available at: </w:t>
      </w:r>
      <w:hyperlink r:id="rId83" w:tgtFrame="_new" w:history="1">
        <w:r w:rsidRPr="00522093">
          <w:rPr>
            <w:rStyle w:val="Hyperlink"/>
          </w:rPr>
          <w:t>https://www.valueconsultingpartners.com.au/post/australia-s-business-landscape-2025-a-comprehensive-analysis-of-emerging-trends</w:t>
        </w:r>
      </w:hyperlink>
    </w:p>
    <w:p w14:paraId="3EDAD6F5" w14:textId="77777777" w:rsidR="00522093" w:rsidRDefault="00522093" w:rsidP="00CF13F5">
      <w:r w:rsidRPr="00522093">
        <w:t xml:space="preserve">Williams, J. (2025) </w:t>
      </w:r>
      <w:r w:rsidRPr="00522093">
        <w:rPr>
          <w:i/>
          <w:iCs/>
        </w:rPr>
        <w:t>Australian retail in 2025: Key trends, challenges and opportunities</w:t>
      </w:r>
      <w:r w:rsidRPr="00522093">
        <w:t xml:space="preserve">. </w:t>
      </w:r>
      <w:r w:rsidRPr="00522093">
        <w:rPr>
          <w:i/>
          <w:iCs/>
        </w:rPr>
        <w:t>Inside Retail</w:t>
      </w:r>
      <w:r w:rsidRPr="00522093">
        <w:t xml:space="preserve">. Available at: </w:t>
      </w:r>
      <w:hyperlink r:id="rId84" w:tgtFrame="_new" w:history="1">
        <w:r w:rsidRPr="00522093">
          <w:rPr>
            <w:rStyle w:val="Hyperlink"/>
          </w:rPr>
          <w:t>https://insideretail.com.au/business/australian-retailers-can-you-keep-up-with-the-pace-of-change-in-2025-202502</w:t>
        </w:r>
      </w:hyperlink>
    </w:p>
    <w:p w14:paraId="6C7547F2" w14:textId="77777777" w:rsidR="00522093" w:rsidRDefault="00522093" w:rsidP="00CF13F5">
      <w:r w:rsidRPr="00522093">
        <w:t xml:space="preserve">Yusriani, S., Suja’i, A., Fadhil, A. and Pamungkas, C.R. (2023) </w:t>
      </w:r>
      <w:r w:rsidRPr="00522093">
        <w:rPr>
          <w:i/>
          <w:iCs/>
        </w:rPr>
        <w:t>Performance measurement knowledge: A comprehensive literature review</w:t>
      </w:r>
      <w:r w:rsidRPr="00522093">
        <w:t xml:space="preserve">. </w:t>
      </w:r>
      <w:r w:rsidRPr="00522093">
        <w:rPr>
          <w:i/>
          <w:iCs/>
        </w:rPr>
        <w:t>Proceedings of the International Seminar on Business Economics, Social Science and Technology (ISBEST)</w:t>
      </w:r>
      <w:r w:rsidRPr="00522093">
        <w:t xml:space="preserve">, 3(1). </w:t>
      </w:r>
      <w:hyperlink r:id="rId85" w:history="1">
        <w:r w:rsidRPr="001B5229">
          <w:rPr>
            <w:rStyle w:val="Hyperlink"/>
          </w:rPr>
          <w:t>https://doi.org/10.33830/isbest.v3i1.1260</w:t>
        </w:r>
      </w:hyperlink>
    </w:p>
    <w:p w14:paraId="6A561209" w14:textId="77777777" w:rsidR="00522093" w:rsidRDefault="00522093" w:rsidP="00CF13F5">
      <w:r w:rsidRPr="00522093">
        <w:t xml:space="preserve">Yuwono, M.A. and Ellitan, L. (2024) </w:t>
      </w:r>
      <w:r w:rsidRPr="00522093">
        <w:rPr>
          <w:i/>
          <w:iCs/>
        </w:rPr>
        <w:t>Comprehensive strategic analysis for determining strategic policies at PT. LMC</w:t>
      </w:r>
      <w:r w:rsidRPr="00522093">
        <w:t xml:space="preserve">. </w:t>
      </w:r>
      <w:r w:rsidRPr="00522093">
        <w:rPr>
          <w:i/>
          <w:iCs/>
        </w:rPr>
        <w:t>Journal of Management Accounting Research</w:t>
      </w:r>
      <w:r w:rsidRPr="00522093">
        <w:t xml:space="preserve">. </w:t>
      </w:r>
      <w:hyperlink r:id="rId86" w:history="1">
        <w:r w:rsidRPr="001B5229">
          <w:rPr>
            <w:rStyle w:val="Hyperlink"/>
          </w:rPr>
          <w:t>https://doi.org/10.5281/zenodo.13327314</w:t>
        </w:r>
      </w:hyperlink>
    </w:p>
    <w:p w14:paraId="0FEC3D3E" w14:textId="77777777" w:rsidR="00522093" w:rsidRPr="00522093" w:rsidRDefault="00522093" w:rsidP="00CF13F5">
      <w:pPr>
        <w:rPr>
          <w:lang w:val="en-US"/>
        </w:rPr>
      </w:pPr>
    </w:p>
    <w:p w14:paraId="71E1CAA3" w14:textId="77777777" w:rsidR="00522093" w:rsidRDefault="00522093" w:rsidP="00CF13F5"/>
    <w:sectPr w:rsidR="00522093" w:rsidSect="00F86B04">
      <w:footerReference w:type="default" r:id="rId8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B4079" w14:textId="77777777" w:rsidR="00950171" w:rsidRPr="00F05EFD" w:rsidRDefault="00950171" w:rsidP="00F86B04">
      <w:pPr>
        <w:spacing w:after="0" w:line="240" w:lineRule="auto"/>
      </w:pPr>
      <w:r w:rsidRPr="00F05EFD">
        <w:separator/>
      </w:r>
    </w:p>
  </w:endnote>
  <w:endnote w:type="continuationSeparator" w:id="0">
    <w:p w14:paraId="6D6160A2" w14:textId="77777777" w:rsidR="00950171" w:rsidRPr="00F05EFD" w:rsidRDefault="00950171" w:rsidP="00F86B04">
      <w:pPr>
        <w:spacing w:after="0" w:line="240" w:lineRule="auto"/>
      </w:pPr>
      <w:r w:rsidRPr="00F05EF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924540"/>
      <w:docPartObj>
        <w:docPartGallery w:val="Page Numbers (Bottom of Page)"/>
        <w:docPartUnique/>
      </w:docPartObj>
    </w:sdtPr>
    <w:sdtContent>
      <w:p w14:paraId="1EECBBFB" w14:textId="7AEF0B8E" w:rsidR="00F86B04" w:rsidRPr="00F05EFD" w:rsidRDefault="00F86B04">
        <w:pPr>
          <w:pStyle w:val="Footer"/>
          <w:jc w:val="center"/>
        </w:pPr>
        <w:r w:rsidRPr="00F05EFD">
          <w:fldChar w:fldCharType="begin"/>
        </w:r>
        <w:r w:rsidRPr="00F05EFD">
          <w:instrText xml:space="preserve"> PAGE   \* MERGEFORMAT </w:instrText>
        </w:r>
        <w:r w:rsidRPr="00F05EFD">
          <w:fldChar w:fldCharType="separate"/>
        </w:r>
        <w:r w:rsidRPr="00F05EFD">
          <w:t>2</w:t>
        </w:r>
        <w:r w:rsidRPr="00F05EFD">
          <w:fldChar w:fldCharType="end"/>
        </w:r>
      </w:p>
    </w:sdtContent>
  </w:sdt>
  <w:p w14:paraId="0A466536" w14:textId="77777777" w:rsidR="00F86B04" w:rsidRPr="00F05EFD" w:rsidRDefault="00F8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3D26C" w14:textId="77777777" w:rsidR="00950171" w:rsidRPr="00F05EFD" w:rsidRDefault="00950171" w:rsidP="00F86B04">
      <w:pPr>
        <w:spacing w:after="0" w:line="240" w:lineRule="auto"/>
      </w:pPr>
      <w:r w:rsidRPr="00F05EFD">
        <w:separator/>
      </w:r>
    </w:p>
  </w:footnote>
  <w:footnote w:type="continuationSeparator" w:id="0">
    <w:p w14:paraId="6A16E654" w14:textId="77777777" w:rsidR="00950171" w:rsidRPr="00F05EFD" w:rsidRDefault="00950171" w:rsidP="00F86B04">
      <w:pPr>
        <w:spacing w:after="0" w:line="240" w:lineRule="auto"/>
      </w:pPr>
      <w:r w:rsidRPr="00F05EF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A3FA3"/>
    <w:multiLevelType w:val="multilevel"/>
    <w:tmpl w:val="0EBC8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73F33"/>
    <w:multiLevelType w:val="multilevel"/>
    <w:tmpl w:val="B34C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06BBD"/>
    <w:multiLevelType w:val="multilevel"/>
    <w:tmpl w:val="09FC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DB42CC"/>
    <w:multiLevelType w:val="multilevel"/>
    <w:tmpl w:val="8CFE7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3908D1"/>
    <w:multiLevelType w:val="multilevel"/>
    <w:tmpl w:val="C100B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9D4AC9"/>
    <w:multiLevelType w:val="multilevel"/>
    <w:tmpl w:val="7B52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39787C"/>
    <w:multiLevelType w:val="multilevel"/>
    <w:tmpl w:val="F67EF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995970"/>
    <w:multiLevelType w:val="hybridMultilevel"/>
    <w:tmpl w:val="D23826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8FF0B69"/>
    <w:multiLevelType w:val="multilevel"/>
    <w:tmpl w:val="D518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AE3528"/>
    <w:multiLevelType w:val="hybridMultilevel"/>
    <w:tmpl w:val="192A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757364"/>
    <w:multiLevelType w:val="multilevel"/>
    <w:tmpl w:val="3C4A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8D1DC2"/>
    <w:multiLevelType w:val="multilevel"/>
    <w:tmpl w:val="CB10A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03321"/>
    <w:multiLevelType w:val="multilevel"/>
    <w:tmpl w:val="628A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FF5C5B"/>
    <w:multiLevelType w:val="multilevel"/>
    <w:tmpl w:val="8DEAC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A05897"/>
    <w:multiLevelType w:val="multilevel"/>
    <w:tmpl w:val="DBEC8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807890"/>
    <w:multiLevelType w:val="multilevel"/>
    <w:tmpl w:val="0FEC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91035B"/>
    <w:multiLevelType w:val="multilevel"/>
    <w:tmpl w:val="DD50C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FE2E66"/>
    <w:multiLevelType w:val="multilevel"/>
    <w:tmpl w:val="8B8A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6D4F61"/>
    <w:multiLevelType w:val="hybridMultilevel"/>
    <w:tmpl w:val="07909B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9772772">
    <w:abstractNumId w:val="5"/>
  </w:num>
  <w:num w:numId="2" w16cid:durableId="723136746">
    <w:abstractNumId w:val="9"/>
  </w:num>
  <w:num w:numId="3" w16cid:durableId="1437167490">
    <w:abstractNumId w:val="12"/>
  </w:num>
  <w:num w:numId="4" w16cid:durableId="721055327">
    <w:abstractNumId w:val="0"/>
  </w:num>
  <w:num w:numId="5" w16cid:durableId="1247615526">
    <w:abstractNumId w:val="4"/>
  </w:num>
  <w:num w:numId="6" w16cid:durableId="1788085551">
    <w:abstractNumId w:val="1"/>
  </w:num>
  <w:num w:numId="7" w16cid:durableId="1578319569">
    <w:abstractNumId w:val="3"/>
  </w:num>
  <w:num w:numId="8" w16cid:durableId="2076852741">
    <w:abstractNumId w:val="15"/>
  </w:num>
  <w:num w:numId="9" w16cid:durableId="890924627">
    <w:abstractNumId w:val="17"/>
  </w:num>
  <w:num w:numId="10" w16cid:durableId="441844359">
    <w:abstractNumId w:val="2"/>
  </w:num>
  <w:num w:numId="11" w16cid:durableId="1481340451">
    <w:abstractNumId w:val="8"/>
  </w:num>
  <w:num w:numId="12" w16cid:durableId="1454442926">
    <w:abstractNumId w:val="16"/>
  </w:num>
  <w:num w:numId="13" w16cid:durableId="958950984">
    <w:abstractNumId w:val="6"/>
  </w:num>
  <w:num w:numId="14" w16cid:durableId="1954290271">
    <w:abstractNumId w:val="11"/>
  </w:num>
  <w:num w:numId="15" w16cid:durableId="349989547">
    <w:abstractNumId w:val="14"/>
  </w:num>
  <w:num w:numId="16" w16cid:durableId="1119179042">
    <w:abstractNumId w:val="13"/>
  </w:num>
  <w:num w:numId="17" w16cid:durableId="1871070564">
    <w:abstractNumId w:val="10"/>
  </w:num>
  <w:num w:numId="18" w16cid:durableId="39522158">
    <w:abstractNumId w:val="7"/>
  </w:num>
  <w:num w:numId="19" w16cid:durableId="59783395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46D"/>
    <w:rsid w:val="000003B4"/>
    <w:rsid w:val="00000527"/>
    <w:rsid w:val="00010CAA"/>
    <w:rsid w:val="000260C3"/>
    <w:rsid w:val="000260D5"/>
    <w:rsid w:val="0003126F"/>
    <w:rsid w:val="000329EA"/>
    <w:rsid w:val="00034CBA"/>
    <w:rsid w:val="000435E0"/>
    <w:rsid w:val="000444D8"/>
    <w:rsid w:val="00044D43"/>
    <w:rsid w:val="00045511"/>
    <w:rsid w:val="00046CF0"/>
    <w:rsid w:val="0004783E"/>
    <w:rsid w:val="00047F91"/>
    <w:rsid w:val="00052DB1"/>
    <w:rsid w:val="00053757"/>
    <w:rsid w:val="00056CDE"/>
    <w:rsid w:val="000576EA"/>
    <w:rsid w:val="000579DC"/>
    <w:rsid w:val="00062D8C"/>
    <w:rsid w:val="00064D58"/>
    <w:rsid w:val="00067BA0"/>
    <w:rsid w:val="00072E7E"/>
    <w:rsid w:val="00082FB3"/>
    <w:rsid w:val="00084ABD"/>
    <w:rsid w:val="00087440"/>
    <w:rsid w:val="00095ED8"/>
    <w:rsid w:val="000A72BF"/>
    <w:rsid w:val="000B2EA0"/>
    <w:rsid w:val="000B33E5"/>
    <w:rsid w:val="000B43B8"/>
    <w:rsid w:val="000B5128"/>
    <w:rsid w:val="000B7AA3"/>
    <w:rsid w:val="000C32F9"/>
    <w:rsid w:val="000C33A4"/>
    <w:rsid w:val="000C380A"/>
    <w:rsid w:val="000C3B79"/>
    <w:rsid w:val="000C48CB"/>
    <w:rsid w:val="000C5B00"/>
    <w:rsid w:val="000C74BA"/>
    <w:rsid w:val="000C78C7"/>
    <w:rsid w:val="000D1443"/>
    <w:rsid w:val="000D576F"/>
    <w:rsid w:val="000D59A4"/>
    <w:rsid w:val="000E16BD"/>
    <w:rsid w:val="000E44FC"/>
    <w:rsid w:val="000E5B9C"/>
    <w:rsid w:val="000E7200"/>
    <w:rsid w:val="000E7EA2"/>
    <w:rsid w:val="000F5B5B"/>
    <w:rsid w:val="0010042B"/>
    <w:rsid w:val="00100A12"/>
    <w:rsid w:val="0010199E"/>
    <w:rsid w:val="0010264B"/>
    <w:rsid w:val="00104829"/>
    <w:rsid w:val="001051EC"/>
    <w:rsid w:val="0011426B"/>
    <w:rsid w:val="00117231"/>
    <w:rsid w:val="001177EE"/>
    <w:rsid w:val="001220A0"/>
    <w:rsid w:val="00124478"/>
    <w:rsid w:val="001276EF"/>
    <w:rsid w:val="00132BEC"/>
    <w:rsid w:val="001331BB"/>
    <w:rsid w:val="001353C1"/>
    <w:rsid w:val="00137FB1"/>
    <w:rsid w:val="0014293C"/>
    <w:rsid w:val="0014299B"/>
    <w:rsid w:val="00143827"/>
    <w:rsid w:val="001456A5"/>
    <w:rsid w:val="00146074"/>
    <w:rsid w:val="0014728B"/>
    <w:rsid w:val="00147E0C"/>
    <w:rsid w:val="001547DA"/>
    <w:rsid w:val="00155823"/>
    <w:rsid w:val="0016046B"/>
    <w:rsid w:val="00160544"/>
    <w:rsid w:val="001632B8"/>
    <w:rsid w:val="00165788"/>
    <w:rsid w:val="00166CCE"/>
    <w:rsid w:val="00167A04"/>
    <w:rsid w:val="00167EF3"/>
    <w:rsid w:val="001722DF"/>
    <w:rsid w:val="00175B08"/>
    <w:rsid w:val="00177B3D"/>
    <w:rsid w:val="00181256"/>
    <w:rsid w:val="001819A9"/>
    <w:rsid w:val="001827FA"/>
    <w:rsid w:val="00183899"/>
    <w:rsid w:val="00185D14"/>
    <w:rsid w:val="001870FA"/>
    <w:rsid w:val="001911AB"/>
    <w:rsid w:val="00191FA5"/>
    <w:rsid w:val="00193ED1"/>
    <w:rsid w:val="00196CB5"/>
    <w:rsid w:val="00196EB9"/>
    <w:rsid w:val="001A0ACF"/>
    <w:rsid w:val="001B22B0"/>
    <w:rsid w:val="001B50A5"/>
    <w:rsid w:val="001B5C2C"/>
    <w:rsid w:val="001C2224"/>
    <w:rsid w:val="001C52F7"/>
    <w:rsid w:val="001D06C9"/>
    <w:rsid w:val="001D1D9F"/>
    <w:rsid w:val="001D6202"/>
    <w:rsid w:val="001D78A9"/>
    <w:rsid w:val="001E2518"/>
    <w:rsid w:val="001E6555"/>
    <w:rsid w:val="001F3833"/>
    <w:rsid w:val="001F65C0"/>
    <w:rsid w:val="00200442"/>
    <w:rsid w:val="00205FA6"/>
    <w:rsid w:val="00211346"/>
    <w:rsid w:val="00213014"/>
    <w:rsid w:val="002137D9"/>
    <w:rsid w:val="00220A81"/>
    <w:rsid w:val="00220B66"/>
    <w:rsid w:val="0022246D"/>
    <w:rsid w:val="002259CB"/>
    <w:rsid w:val="00226DE7"/>
    <w:rsid w:val="0022798C"/>
    <w:rsid w:val="00227FC8"/>
    <w:rsid w:val="002306CB"/>
    <w:rsid w:val="00230E53"/>
    <w:rsid w:val="002319CC"/>
    <w:rsid w:val="00236E14"/>
    <w:rsid w:val="00237415"/>
    <w:rsid w:val="00243A24"/>
    <w:rsid w:val="00244132"/>
    <w:rsid w:val="002455BC"/>
    <w:rsid w:val="00246999"/>
    <w:rsid w:val="00246B1C"/>
    <w:rsid w:val="00250DD3"/>
    <w:rsid w:val="00264CF5"/>
    <w:rsid w:val="0026676F"/>
    <w:rsid w:val="00273E6F"/>
    <w:rsid w:val="00274879"/>
    <w:rsid w:val="002750ED"/>
    <w:rsid w:val="002800E8"/>
    <w:rsid w:val="0028144D"/>
    <w:rsid w:val="002822FC"/>
    <w:rsid w:val="00284A75"/>
    <w:rsid w:val="00285FBC"/>
    <w:rsid w:val="002861B0"/>
    <w:rsid w:val="00290C71"/>
    <w:rsid w:val="00292F26"/>
    <w:rsid w:val="002963C0"/>
    <w:rsid w:val="0029749B"/>
    <w:rsid w:val="002A12D2"/>
    <w:rsid w:val="002A14C8"/>
    <w:rsid w:val="002B1289"/>
    <w:rsid w:val="002B5DF9"/>
    <w:rsid w:val="002B6FC8"/>
    <w:rsid w:val="002B7553"/>
    <w:rsid w:val="002B79A9"/>
    <w:rsid w:val="002C2C5B"/>
    <w:rsid w:val="002C68E6"/>
    <w:rsid w:val="002D1E7C"/>
    <w:rsid w:val="002D6EE6"/>
    <w:rsid w:val="002E3D33"/>
    <w:rsid w:val="002E572F"/>
    <w:rsid w:val="002E5C57"/>
    <w:rsid w:val="002E720A"/>
    <w:rsid w:val="002F0215"/>
    <w:rsid w:val="002F2E79"/>
    <w:rsid w:val="002F44AD"/>
    <w:rsid w:val="002F75A1"/>
    <w:rsid w:val="00300C2A"/>
    <w:rsid w:val="00302EBC"/>
    <w:rsid w:val="003032A0"/>
    <w:rsid w:val="00304598"/>
    <w:rsid w:val="00305536"/>
    <w:rsid w:val="00311F5F"/>
    <w:rsid w:val="003145B3"/>
    <w:rsid w:val="00316EC0"/>
    <w:rsid w:val="00317AD6"/>
    <w:rsid w:val="003266E2"/>
    <w:rsid w:val="0033419C"/>
    <w:rsid w:val="00336736"/>
    <w:rsid w:val="00346AF2"/>
    <w:rsid w:val="00347F6E"/>
    <w:rsid w:val="00353505"/>
    <w:rsid w:val="00355A23"/>
    <w:rsid w:val="00360960"/>
    <w:rsid w:val="0036406C"/>
    <w:rsid w:val="003674BD"/>
    <w:rsid w:val="00373A15"/>
    <w:rsid w:val="00377133"/>
    <w:rsid w:val="00383C4D"/>
    <w:rsid w:val="00385357"/>
    <w:rsid w:val="003903E5"/>
    <w:rsid w:val="00393226"/>
    <w:rsid w:val="00393F74"/>
    <w:rsid w:val="00394307"/>
    <w:rsid w:val="003A03CF"/>
    <w:rsid w:val="003A66D1"/>
    <w:rsid w:val="003A69A3"/>
    <w:rsid w:val="003A6F0F"/>
    <w:rsid w:val="003B1F59"/>
    <w:rsid w:val="003B7463"/>
    <w:rsid w:val="003C0CF5"/>
    <w:rsid w:val="003C1B7D"/>
    <w:rsid w:val="003C2D7C"/>
    <w:rsid w:val="003C54B8"/>
    <w:rsid w:val="003D1DA9"/>
    <w:rsid w:val="003D1E0F"/>
    <w:rsid w:val="003D7438"/>
    <w:rsid w:val="003E0878"/>
    <w:rsid w:val="003E0A4C"/>
    <w:rsid w:val="003E0A8C"/>
    <w:rsid w:val="003E1E3F"/>
    <w:rsid w:val="003E4BCC"/>
    <w:rsid w:val="003E4F5E"/>
    <w:rsid w:val="003E6E05"/>
    <w:rsid w:val="003F2A15"/>
    <w:rsid w:val="003F3006"/>
    <w:rsid w:val="003F3225"/>
    <w:rsid w:val="00401537"/>
    <w:rsid w:val="00404007"/>
    <w:rsid w:val="004106D0"/>
    <w:rsid w:val="00410B47"/>
    <w:rsid w:val="004119B7"/>
    <w:rsid w:val="00411CCF"/>
    <w:rsid w:val="00415895"/>
    <w:rsid w:val="00420105"/>
    <w:rsid w:val="00420573"/>
    <w:rsid w:val="00420F34"/>
    <w:rsid w:val="00426F73"/>
    <w:rsid w:val="004332D6"/>
    <w:rsid w:val="00434CEE"/>
    <w:rsid w:val="00435A37"/>
    <w:rsid w:val="00435AD1"/>
    <w:rsid w:val="004365E8"/>
    <w:rsid w:val="00440A27"/>
    <w:rsid w:val="00441233"/>
    <w:rsid w:val="00445892"/>
    <w:rsid w:val="004470BF"/>
    <w:rsid w:val="004522F2"/>
    <w:rsid w:val="00452AE9"/>
    <w:rsid w:val="00455EBC"/>
    <w:rsid w:val="004562C9"/>
    <w:rsid w:val="00456952"/>
    <w:rsid w:val="00463817"/>
    <w:rsid w:val="00463AE8"/>
    <w:rsid w:val="00467741"/>
    <w:rsid w:val="00474CB4"/>
    <w:rsid w:val="004761BD"/>
    <w:rsid w:val="00476A59"/>
    <w:rsid w:val="00477394"/>
    <w:rsid w:val="00480866"/>
    <w:rsid w:val="00480FF6"/>
    <w:rsid w:val="00481301"/>
    <w:rsid w:val="0048423D"/>
    <w:rsid w:val="004912DC"/>
    <w:rsid w:val="004939D6"/>
    <w:rsid w:val="00495B07"/>
    <w:rsid w:val="004A3D81"/>
    <w:rsid w:val="004A7311"/>
    <w:rsid w:val="004B61BB"/>
    <w:rsid w:val="004C5E1A"/>
    <w:rsid w:val="004D5ED0"/>
    <w:rsid w:val="004D7B6F"/>
    <w:rsid w:val="004E4F6B"/>
    <w:rsid w:val="004F150C"/>
    <w:rsid w:val="005011D9"/>
    <w:rsid w:val="00507303"/>
    <w:rsid w:val="005130EC"/>
    <w:rsid w:val="0051353B"/>
    <w:rsid w:val="00521FB1"/>
    <w:rsid w:val="00522093"/>
    <w:rsid w:val="005244B8"/>
    <w:rsid w:val="00525F1D"/>
    <w:rsid w:val="00527176"/>
    <w:rsid w:val="005318A4"/>
    <w:rsid w:val="00533F7A"/>
    <w:rsid w:val="005370D1"/>
    <w:rsid w:val="00543A5E"/>
    <w:rsid w:val="00543AE2"/>
    <w:rsid w:val="0054580D"/>
    <w:rsid w:val="00547ABF"/>
    <w:rsid w:val="005514CB"/>
    <w:rsid w:val="00555128"/>
    <w:rsid w:val="00555E1D"/>
    <w:rsid w:val="00556BCA"/>
    <w:rsid w:val="00564F8B"/>
    <w:rsid w:val="00567295"/>
    <w:rsid w:val="005674C6"/>
    <w:rsid w:val="005704F1"/>
    <w:rsid w:val="0057093A"/>
    <w:rsid w:val="00576052"/>
    <w:rsid w:val="0058178A"/>
    <w:rsid w:val="00583FE9"/>
    <w:rsid w:val="0058521D"/>
    <w:rsid w:val="00590A13"/>
    <w:rsid w:val="0059496A"/>
    <w:rsid w:val="005971EF"/>
    <w:rsid w:val="005A052C"/>
    <w:rsid w:val="005A2D5D"/>
    <w:rsid w:val="005A73A7"/>
    <w:rsid w:val="005A73FB"/>
    <w:rsid w:val="005B179F"/>
    <w:rsid w:val="005B1B7B"/>
    <w:rsid w:val="005B2184"/>
    <w:rsid w:val="005B55E2"/>
    <w:rsid w:val="005B702F"/>
    <w:rsid w:val="005B7E70"/>
    <w:rsid w:val="005C0514"/>
    <w:rsid w:val="005C30BC"/>
    <w:rsid w:val="005C4226"/>
    <w:rsid w:val="005C4D87"/>
    <w:rsid w:val="005C5D38"/>
    <w:rsid w:val="005D2130"/>
    <w:rsid w:val="005D376A"/>
    <w:rsid w:val="005D4A13"/>
    <w:rsid w:val="005D53CD"/>
    <w:rsid w:val="005D6A65"/>
    <w:rsid w:val="005E45AE"/>
    <w:rsid w:val="005F57AF"/>
    <w:rsid w:val="0060152D"/>
    <w:rsid w:val="006029E4"/>
    <w:rsid w:val="00603794"/>
    <w:rsid w:val="00603AE7"/>
    <w:rsid w:val="00606A61"/>
    <w:rsid w:val="006108D7"/>
    <w:rsid w:val="0061367D"/>
    <w:rsid w:val="00613E26"/>
    <w:rsid w:val="00624C4F"/>
    <w:rsid w:val="0062780B"/>
    <w:rsid w:val="0063177E"/>
    <w:rsid w:val="006333A9"/>
    <w:rsid w:val="006413F6"/>
    <w:rsid w:val="006476CC"/>
    <w:rsid w:val="00651875"/>
    <w:rsid w:val="00652E8D"/>
    <w:rsid w:val="00655134"/>
    <w:rsid w:val="00661E81"/>
    <w:rsid w:val="006640F5"/>
    <w:rsid w:val="00671EFD"/>
    <w:rsid w:val="006754E8"/>
    <w:rsid w:val="00676F97"/>
    <w:rsid w:val="00681277"/>
    <w:rsid w:val="006830C1"/>
    <w:rsid w:val="006856E5"/>
    <w:rsid w:val="00685895"/>
    <w:rsid w:val="0068698B"/>
    <w:rsid w:val="00690A0E"/>
    <w:rsid w:val="006932BD"/>
    <w:rsid w:val="00695D68"/>
    <w:rsid w:val="00696009"/>
    <w:rsid w:val="006A0351"/>
    <w:rsid w:val="006A6B52"/>
    <w:rsid w:val="006B18F3"/>
    <w:rsid w:val="006B2CFA"/>
    <w:rsid w:val="006B40EC"/>
    <w:rsid w:val="006B6B8E"/>
    <w:rsid w:val="006C2780"/>
    <w:rsid w:val="006C33BF"/>
    <w:rsid w:val="006C7483"/>
    <w:rsid w:val="006D3CC9"/>
    <w:rsid w:val="006D42BD"/>
    <w:rsid w:val="006D44F4"/>
    <w:rsid w:val="006E24F5"/>
    <w:rsid w:val="006E6BF2"/>
    <w:rsid w:val="006F1720"/>
    <w:rsid w:val="006F515A"/>
    <w:rsid w:val="006F72E2"/>
    <w:rsid w:val="00703E2C"/>
    <w:rsid w:val="00707F98"/>
    <w:rsid w:val="00711545"/>
    <w:rsid w:val="0071173A"/>
    <w:rsid w:val="0071602B"/>
    <w:rsid w:val="00716417"/>
    <w:rsid w:val="00721694"/>
    <w:rsid w:val="007235AA"/>
    <w:rsid w:val="00727F85"/>
    <w:rsid w:val="00745B50"/>
    <w:rsid w:val="00745C69"/>
    <w:rsid w:val="007525CA"/>
    <w:rsid w:val="00753008"/>
    <w:rsid w:val="007543F2"/>
    <w:rsid w:val="00754988"/>
    <w:rsid w:val="00754DFE"/>
    <w:rsid w:val="00756D70"/>
    <w:rsid w:val="00766323"/>
    <w:rsid w:val="007776B7"/>
    <w:rsid w:val="00781751"/>
    <w:rsid w:val="00781AA8"/>
    <w:rsid w:val="00785269"/>
    <w:rsid w:val="0078729A"/>
    <w:rsid w:val="0079332E"/>
    <w:rsid w:val="00794A7D"/>
    <w:rsid w:val="00794DF0"/>
    <w:rsid w:val="00795285"/>
    <w:rsid w:val="007A05FF"/>
    <w:rsid w:val="007A0C39"/>
    <w:rsid w:val="007A3073"/>
    <w:rsid w:val="007A68E4"/>
    <w:rsid w:val="007C045B"/>
    <w:rsid w:val="007C280B"/>
    <w:rsid w:val="007C5348"/>
    <w:rsid w:val="007D1758"/>
    <w:rsid w:val="007E4C95"/>
    <w:rsid w:val="007F0CF2"/>
    <w:rsid w:val="007F3E25"/>
    <w:rsid w:val="007F40FA"/>
    <w:rsid w:val="007F5A78"/>
    <w:rsid w:val="00800F43"/>
    <w:rsid w:val="00807282"/>
    <w:rsid w:val="00807451"/>
    <w:rsid w:val="008148BB"/>
    <w:rsid w:val="00817DA0"/>
    <w:rsid w:val="008206FB"/>
    <w:rsid w:val="00823891"/>
    <w:rsid w:val="0083040B"/>
    <w:rsid w:val="00830BCE"/>
    <w:rsid w:val="0083373B"/>
    <w:rsid w:val="00840FA8"/>
    <w:rsid w:val="00845480"/>
    <w:rsid w:val="00845D9C"/>
    <w:rsid w:val="00846A4B"/>
    <w:rsid w:val="00852324"/>
    <w:rsid w:val="00861791"/>
    <w:rsid w:val="00863FDE"/>
    <w:rsid w:val="0087172C"/>
    <w:rsid w:val="00871C0A"/>
    <w:rsid w:val="008760DB"/>
    <w:rsid w:val="00876ECE"/>
    <w:rsid w:val="00882FA8"/>
    <w:rsid w:val="0088555C"/>
    <w:rsid w:val="00886AD5"/>
    <w:rsid w:val="00891E69"/>
    <w:rsid w:val="0089228E"/>
    <w:rsid w:val="008939EF"/>
    <w:rsid w:val="008A7806"/>
    <w:rsid w:val="008B21D8"/>
    <w:rsid w:val="008B2C1A"/>
    <w:rsid w:val="008B2C5A"/>
    <w:rsid w:val="008B6025"/>
    <w:rsid w:val="008C097E"/>
    <w:rsid w:val="008C0B02"/>
    <w:rsid w:val="008C1F13"/>
    <w:rsid w:val="008C3452"/>
    <w:rsid w:val="008C4F42"/>
    <w:rsid w:val="008E416E"/>
    <w:rsid w:val="008F0C2F"/>
    <w:rsid w:val="009006E0"/>
    <w:rsid w:val="009040BB"/>
    <w:rsid w:val="00906791"/>
    <w:rsid w:val="00912235"/>
    <w:rsid w:val="009138C7"/>
    <w:rsid w:val="0091420D"/>
    <w:rsid w:val="00917A10"/>
    <w:rsid w:val="0092122E"/>
    <w:rsid w:val="00921361"/>
    <w:rsid w:val="0092577E"/>
    <w:rsid w:val="00925C47"/>
    <w:rsid w:val="00931C69"/>
    <w:rsid w:val="009322CF"/>
    <w:rsid w:val="00933158"/>
    <w:rsid w:val="00933BB8"/>
    <w:rsid w:val="00943305"/>
    <w:rsid w:val="00945202"/>
    <w:rsid w:val="00950171"/>
    <w:rsid w:val="0095395A"/>
    <w:rsid w:val="00956A08"/>
    <w:rsid w:val="00957591"/>
    <w:rsid w:val="009620ED"/>
    <w:rsid w:val="00965DC9"/>
    <w:rsid w:val="009668DA"/>
    <w:rsid w:val="0097044A"/>
    <w:rsid w:val="00973BFF"/>
    <w:rsid w:val="00976A1A"/>
    <w:rsid w:val="00985C35"/>
    <w:rsid w:val="009863C8"/>
    <w:rsid w:val="00990FF8"/>
    <w:rsid w:val="0099389D"/>
    <w:rsid w:val="0099436E"/>
    <w:rsid w:val="00994DB0"/>
    <w:rsid w:val="00995756"/>
    <w:rsid w:val="009A134F"/>
    <w:rsid w:val="009A47FC"/>
    <w:rsid w:val="009A59B5"/>
    <w:rsid w:val="009B49A0"/>
    <w:rsid w:val="009C2E62"/>
    <w:rsid w:val="009D1C29"/>
    <w:rsid w:val="009D4D65"/>
    <w:rsid w:val="009E1D0C"/>
    <w:rsid w:val="009E27AE"/>
    <w:rsid w:val="009E3AF3"/>
    <w:rsid w:val="009E4CA8"/>
    <w:rsid w:val="009E62F8"/>
    <w:rsid w:val="009F01AC"/>
    <w:rsid w:val="00A033A3"/>
    <w:rsid w:val="00A04BC8"/>
    <w:rsid w:val="00A071F4"/>
    <w:rsid w:val="00A10CE0"/>
    <w:rsid w:val="00A12FFE"/>
    <w:rsid w:val="00A14A3D"/>
    <w:rsid w:val="00A20CAC"/>
    <w:rsid w:val="00A21042"/>
    <w:rsid w:val="00A32EA1"/>
    <w:rsid w:val="00A345C4"/>
    <w:rsid w:val="00A40908"/>
    <w:rsid w:val="00A41BC5"/>
    <w:rsid w:val="00A4224D"/>
    <w:rsid w:val="00A46C76"/>
    <w:rsid w:val="00A50BA6"/>
    <w:rsid w:val="00A54B8D"/>
    <w:rsid w:val="00A55194"/>
    <w:rsid w:val="00A56564"/>
    <w:rsid w:val="00A60CB2"/>
    <w:rsid w:val="00A60CE6"/>
    <w:rsid w:val="00A63988"/>
    <w:rsid w:val="00A70000"/>
    <w:rsid w:val="00A8294F"/>
    <w:rsid w:val="00A92C3F"/>
    <w:rsid w:val="00A9397F"/>
    <w:rsid w:val="00AA27DC"/>
    <w:rsid w:val="00AA7833"/>
    <w:rsid w:val="00AB34B9"/>
    <w:rsid w:val="00AB554F"/>
    <w:rsid w:val="00AB6A64"/>
    <w:rsid w:val="00AB7AAD"/>
    <w:rsid w:val="00AC11D3"/>
    <w:rsid w:val="00AC1E58"/>
    <w:rsid w:val="00AC2F6F"/>
    <w:rsid w:val="00AC5D77"/>
    <w:rsid w:val="00AC647F"/>
    <w:rsid w:val="00AD0631"/>
    <w:rsid w:val="00AD2170"/>
    <w:rsid w:val="00AD6426"/>
    <w:rsid w:val="00AD679A"/>
    <w:rsid w:val="00AD738F"/>
    <w:rsid w:val="00AD76F5"/>
    <w:rsid w:val="00AD7DB8"/>
    <w:rsid w:val="00AE4A2C"/>
    <w:rsid w:val="00AF2664"/>
    <w:rsid w:val="00AF7CA0"/>
    <w:rsid w:val="00B00641"/>
    <w:rsid w:val="00B0146C"/>
    <w:rsid w:val="00B03B67"/>
    <w:rsid w:val="00B04723"/>
    <w:rsid w:val="00B05D4C"/>
    <w:rsid w:val="00B110CA"/>
    <w:rsid w:val="00B15C87"/>
    <w:rsid w:val="00B167CD"/>
    <w:rsid w:val="00B16B51"/>
    <w:rsid w:val="00B2160B"/>
    <w:rsid w:val="00B25C21"/>
    <w:rsid w:val="00B25C31"/>
    <w:rsid w:val="00B26240"/>
    <w:rsid w:val="00B30A52"/>
    <w:rsid w:val="00B3154E"/>
    <w:rsid w:val="00B31661"/>
    <w:rsid w:val="00B35A53"/>
    <w:rsid w:val="00B35C53"/>
    <w:rsid w:val="00B37EC0"/>
    <w:rsid w:val="00B4379D"/>
    <w:rsid w:val="00B44859"/>
    <w:rsid w:val="00B47F40"/>
    <w:rsid w:val="00B53BDC"/>
    <w:rsid w:val="00B55696"/>
    <w:rsid w:val="00B57223"/>
    <w:rsid w:val="00B57550"/>
    <w:rsid w:val="00B62C3E"/>
    <w:rsid w:val="00B65960"/>
    <w:rsid w:val="00B65F0F"/>
    <w:rsid w:val="00B666B1"/>
    <w:rsid w:val="00B67751"/>
    <w:rsid w:val="00B7030D"/>
    <w:rsid w:val="00B72A81"/>
    <w:rsid w:val="00B744C2"/>
    <w:rsid w:val="00B753E2"/>
    <w:rsid w:val="00B76A83"/>
    <w:rsid w:val="00B77C8A"/>
    <w:rsid w:val="00B77DD3"/>
    <w:rsid w:val="00B82008"/>
    <w:rsid w:val="00B83759"/>
    <w:rsid w:val="00B83E78"/>
    <w:rsid w:val="00B867F3"/>
    <w:rsid w:val="00B9000F"/>
    <w:rsid w:val="00B907C2"/>
    <w:rsid w:val="00B91039"/>
    <w:rsid w:val="00B92444"/>
    <w:rsid w:val="00BA14AE"/>
    <w:rsid w:val="00BA3F87"/>
    <w:rsid w:val="00BA5D72"/>
    <w:rsid w:val="00BA6D59"/>
    <w:rsid w:val="00BA70B7"/>
    <w:rsid w:val="00BB0FBD"/>
    <w:rsid w:val="00BB5D12"/>
    <w:rsid w:val="00BC75C7"/>
    <w:rsid w:val="00BD5087"/>
    <w:rsid w:val="00BD5B65"/>
    <w:rsid w:val="00BD6F35"/>
    <w:rsid w:val="00BE5902"/>
    <w:rsid w:val="00BF1054"/>
    <w:rsid w:val="00BF2BE8"/>
    <w:rsid w:val="00BF2E95"/>
    <w:rsid w:val="00BF67DD"/>
    <w:rsid w:val="00C011B0"/>
    <w:rsid w:val="00C01D6F"/>
    <w:rsid w:val="00C06DF3"/>
    <w:rsid w:val="00C10483"/>
    <w:rsid w:val="00C120E1"/>
    <w:rsid w:val="00C14A73"/>
    <w:rsid w:val="00C1619D"/>
    <w:rsid w:val="00C164C4"/>
    <w:rsid w:val="00C169D8"/>
    <w:rsid w:val="00C202F8"/>
    <w:rsid w:val="00C222D3"/>
    <w:rsid w:val="00C22634"/>
    <w:rsid w:val="00C24C77"/>
    <w:rsid w:val="00C25E8C"/>
    <w:rsid w:val="00C311E8"/>
    <w:rsid w:val="00C33D9E"/>
    <w:rsid w:val="00C418FB"/>
    <w:rsid w:val="00C43B51"/>
    <w:rsid w:val="00C473EB"/>
    <w:rsid w:val="00C50642"/>
    <w:rsid w:val="00C57621"/>
    <w:rsid w:val="00C63E01"/>
    <w:rsid w:val="00C651DB"/>
    <w:rsid w:val="00C67AE4"/>
    <w:rsid w:val="00C74B65"/>
    <w:rsid w:val="00C76DE4"/>
    <w:rsid w:val="00C84E5A"/>
    <w:rsid w:val="00C86BCD"/>
    <w:rsid w:val="00C873A4"/>
    <w:rsid w:val="00C8746D"/>
    <w:rsid w:val="00C93779"/>
    <w:rsid w:val="00C974B6"/>
    <w:rsid w:val="00CA3040"/>
    <w:rsid w:val="00CA35CC"/>
    <w:rsid w:val="00CA607C"/>
    <w:rsid w:val="00CA7B21"/>
    <w:rsid w:val="00CB57FF"/>
    <w:rsid w:val="00CC1523"/>
    <w:rsid w:val="00CC31E6"/>
    <w:rsid w:val="00CC34FD"/>
    <w:rsid w:val="00CC3677"/>
    <w:rsid w:val="00CC49FF"/>
    <w:rsid w:val="00CC5878"/>
    <w:rsid w:val="00CD3672"/>
    <w:rsid w:val="00CD3970"/>
    <w:rsid w:val="00CD672A"/>
    <w:rsid w:val="00CD6BEA"/>
    <w:rsid w:val="00CE7360"/>
    <w:rsid w:val="00CF13F5"/>
    <w:rsid w:val="00CF1717"/>
    <w:rsid w:val="00CF184F"/>
    <w:rsid w:val="00CF1918"/>
    <w:rsid w:val="00CF2AFD"/>
    <w:rsid w:val="00CF3862"/>
    <w:rsid w:val="00D0207F"/>
    <w:rsid w:val="00D10F9E"/>
    <w:rsid w:val="00D119FD"/>
    <w:rsid w:val="00D14F00"/>
    <w:rsid w:val="00D154C4"/>
    <w:rsid w:val="00D21888"/>
    <w:rsid w:val="00D236BE"/>
    <w:rsid w:val="00D25583"/>
    <w:rsid w:val="00D26737"/>
    <w:rsid w:val="00D26B26"/>
    <w:rsid w:val="00D27BB4"/>
    <w:rsid w:val="00D31C96"/>
    <w:rsid w:val="00D342AB"/>
    <w:rsid w:val="00D3453F"/>
    <w:rsid w:val="00D376F8"/>
    <w:rsid w:val="00D41B32"/>
    <w:rsid w:val="00D4312C"/>
    <w:rsid w:val="00D45511"/>
    <w:rsid w:val="00D45C81"/>
    <w:rsid w:val="00D46853"/>
    <w:rsid w:val="00D47DC7"/>
    <w:rsid w:val="00D52323"/>
    <w:rsid w:val="00D5385F"/>
    <w:rsid w:val="00D56D78"/>
    <w:rsid w:val="00D60EC1"/>
    <w:rsid w:val="00D64057"/>
    <w:rsid w:val="00D66B6E"/>
    <w:rsid w:val="00D80383"/>
    <w:rsid w:val="00D81383"/>
    <w:rsid w:val="00D81741"/>
    <w:rsid w:val="00D840FD"/>
    <w:rsid w:val="00D9187A"/>
    <w:rsid w:val="00D92F8A"/>
    <w:rsid w:val="00D94E97"/>
    <w:rsid w:val="00D94F45"/>
    <w:rsid w:val="00D959D9"/>
    <w:rsid w:val="00D9641F"/>
    <w:rsid w:val="00D96BA6"/>
    <w:rsid w:val="00DA344F"/>
    <w:rsid w:val="00DA659D"/>
    <w:rsid w:val="00DA7C3F"/>
    <w:rsid w:val="00DB5C2D"/>
    <w:rsid w:val="00DC2BD6"/>
    <w:rsid w:val="00DC5846"/>
    <w:rsid w:val="00DC6273"/>
    <w:rsid w:val="00DC6F23"/>
    <w:rsid w:val="00DC7838"/>
    <w:rsid w:val="00DD1C40"/>
    <w:rsid w:val="00E05541"/>
    <w:rsid w:val="00E07396"/>
    <w:rsid w:val="00E17BC6"/>
    <w:rsid w:val="00E204F4"/>
    <w:rsid w:val="00E23A54"/>
    <w:rsid w:val="00E241E0"/>
    <w:rsid w:val="00E30782"/>
    <w:rsid w:val="00E36E1F"/>
    <w:rsid w:val="00E40583"/>
    <w:rsid w:val="00E420F5"/>
    <w:rsid w:val="00E43534"/>
    <w:rsid w:val="00E463A5"/>
    <w:rsid w:val="00E472A9"/>
    <w:rsid w:val="00E52942"/>
    <w:rsid w:val="00E5427E"/>
    <w:rsid w:val="00E55166"/>
    <w:rsid w:val="00E56249"/>
    <w:rsid w:val="00E57201"/>
    <w:rsid w:val="00E57738"/>
    <w:rsid w:val="00E63872"/>
    <w:rsid w:val="00E65D34"/>
    <w:rsid w:val="00E66613"/>
    <w:rsid w:val="00E7270E"/>
    <w:rsid w:val="00E756FC"/>
    <w:rsid w:val="00E902EB"/>
    <w:rsid w:val="00E95E2D"/>
    <w:rsid w:val="00E97943"/>
    <w:rsid w:val="00EA1D13"/>
    <w:rsid w:val="00EA495E"/>
    <w:rsid w:val="00EA742D"/>
    <w:rsid w:val="00EA75F1"/>
    <w:rsid w:val="00EB0A09"/>
    <w:rsid w:val="00EB151B"/>
    <w:rsid w:val="00EB1842"/>
    <w:rsid w:val="00EB1DFA"/>
    <w:rsid w:val="00EB716F"/>
    <w:rsid w:val="00EC0A3D"/>
    <w:rsid w:val="00EC674A"/>
    <w:rsid w:val="00ED26EF"/>
    <w:rsid w:val="00ED2AA4"/>
    <w:rsid w:val="00ED2BC1"/>
    <w:rsid w:val="00ED3959"/>
    <w:rsid w:val="00ED39F6"/>
    <w:rsid w:val="00ED5224"/>
    <w:rsid w:val="00ED5328"/>
    <w:rsid w:val="00ED6142"/>
    <w:rsid w:val="00EE2108"/>
    <w:rsid w:val="00EE2C80"/>
    <w:rsid w:val="00EE4386"/>
    <w:rsid w:val="00EE4D5D"/>
    <w:rsid w:val="00EE6980"/>
    <w:rsid w:val="00EF11F4"/>
    <w:rsid w:val="00EF1DDD"/>
    <w:rsid w:val="00EF4380"/>
    <w:rsid w:val="00F00D3F"/>
    <w:rsid w:val="00F01830"/>
    <w:rsid w:val="00F04949"/>
    <w:rsid w:val="00F04A03"/>
    <w:rsid w:val="00F05036"/>
    <w:rsid w:val="00F05EFD"/>
    <w:rsid w:val="00F129DF"/>
    <w:rsid w:val="00F14180"/>
    <w:rsid w:val="00F24C00"/>
    <w:rsid w:val="00F276BC"/>
    <w:rsid w:val="00F30371"/>
    <w:rsid w:val="00F31620"/>
    <w:rsid w:val="00F4222B"/>
    <w:rsid w:val="00F44585"/>
    <w:rsid w:val="00F44623"/>
    <w:rsid w:val="00F503B3"/>
    <w:rsid w:val="00F5186A"/>
    <w:rsid w:val="00F51F37"/>
    <w:rsid w:val="00F53F82"/>
    <w:rsid w:val="00F61747"/>
    <w:rsid w:val="00F63BC8"/>
    <w:rsid w:val="00F64B40"/>
    <w:rsid w:val="00F64FF4"/>
    <w:rsid w:val="00F65826"/>
    <w:rsid w:val="00F65AC0"/>
    <w:rsid w:val="00F66B7C"/>
    <w:rsid w:val="00F72AD1"/>
    <w:rsid w:val="00F74085"/>
    <w:rsid w:val="00F817D3"/>
    <w:rsid w:val="00F81B0C"/>
    <w:rsid w:val="00F82356"/>
    <w:rsid w:val="00F82AF3"/>
    <w:rsid w:val="00F86A60"/>
    <w:rsid w:val="00F86B04"/>
    <w:rsid w:val="00F90F50"/>
    <w:rsid w:val="00F93551"/>
    <w:rsid w:val="00F93F85"/>
    <w:rsid w:val="00F94CC1"/>
    <w:rsid w:val="00F953F4"/>
    <w:rsid w:val="00FA3001"/>
    <w:rsid w:val="00FA57CA"/>
    <w:rsid w:val="00FA69AF"/>
    <w:rsid w:val="00FB12B2"/>
    <w:rsid w:val="00FB468B"/>
    <w:rsid w:val="00FC425E"/>
    <w:rsid w:val="00FC60E8"/>
    <w:rsid w:val="00FD33A2"/>
    <w:rsid w:val="00FD5653"/>
    <w:rsid w:val="00FD768F"/>
    <w:rsid w:val="00FE3A95"/>
    <w:rsid w:val="00FE50BB"/>
    <w:rsid w:val="00FF0781"/>
    <w:rsid w:val="00FF19EB"/>
    <w:rsid w:val="00FF2EEB"/>
    <w:rsid w:val="00FF4277"/>
    <w:rsid w:val="00FF5B8E"/>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545D"/>
  <w15:chartTrackingRefBased/>
  <w15:docId w15:val="{5B83951E-353C-4362-AAA7-2A96169EC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074"/>
    <w:pPr>
      <w:spacing w:line="360" w:lineRule="auto"/>
      <w:jc w:val="both"/>
    </w:pPr>
    <w:rPr>
      <w:rFonts w:ascii="Arial" w:hAnsi="Arial"/>
      <w:lang w:val="en-GB"/>
    </w:rPr>
  </w:style>
  <w:style w:type="paragraph" w:styleId="Heading1">
    <w:name w:val="heading 1"/>
    <w:basedOn w:val="Normal"/>
    <w:next w:val="Normal"/>
    <w:link w:val="Heading1Char"/>
    <w:uiPriority w:val="9"/>
    <w:qFormat/>
    <w:rsid w:val="00146074"/>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12FF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ED5224"/>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ED5224"/>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224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2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074"/>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A12FFE"/>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ED5224"/>
    <w:rPr>
      <w:rFonts w:ascii="Arial" w:eastAsiaTheme="majorEastAsia" w:hAnsi="Arial" w:cstheme="majorBidi"/>
      <w:b/>
      <w:color w:val="000000" w:themeColor="text1"/>
      <w:sz w:val="28"/>
      <w:szCs w:val="28"/>
      <w:lang w:val="en-GB"/>
    </w:rPr>
  </w:style>
  <w:style w:type="character" w:customStyle="1" w:styleId="Heading4Char">
    <w:name w:val="Heading 4 Char"/>
    <w:basedOn w:val="DefaultParagraphFont"/>
    <w:link w:val="Heading4"/>
    <w:uiPriority w:val="9"/>
    <w:rsid w:val="00ED5224"/>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2224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2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46D"/>
    <w:rPr>
      <w:rFonts w:eastAsiaTheme="majorEastAsia" w:cstheme="majorBidi"/>
      <w:color w:val="272727" w:themeColor="text1" w:themeTint="D8"/>
    </w:rPr>
  </w:style>
  <w:style w:type="paragraph" w:styleId="Title">
    <w:name w:val="Title"/>
    <w:basedOn w:val="Normal"/>
    <w:next w:val="Normal"/>
    <w:link w:val="TitleChar"/>
    <w:uiPriority w:val="10"/>
    <w:qFormat/>
    <w:rsid w:val="00222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46D"/>
    <w:pPr>
      <w:spacing w:before="160"/>
      <w:jc w:val="center"/>
    </w:pPr>
    <w:rPr>
      <w:i/>
      <w:iCs/>
      <w:color w:val="404040" w:themeColor="text1" w:themeTint="BF"/>
    </w:rPr>
  </w:style>
  <w:style w:type="character" w:customStyle="1" w:styleId="QuoteChar">
    <w:name w:val="Quote Char"/>
    <w:basedOn w:val="DefaultParagraphFont"/>
    <w:link w:val="Quote"/>
    <w:uiPriority w:val="29"/>
    <w:rsid w:val="0022246D"/>
    <w:rPr>
      <w:i/>
      <w:iCs/>
      <w:color w:val="404040" w:themeColor="text1" w:themeTint="BF"/>
    </w:rPr>
  </w:style>
  <w:style w:type="paragraph" w:styleId="ListParagraph">
    <w:name w:val="List Paragraph"/>
    <w:basedOn w:val="Normal"/>
    <w:uiPriority w:val="34"/>
    <w:qFormat/>
    <w:rsid w:val="0022246D"/>
    <w:pPr>
      <w:ind w:left="720"/>
      <w:contextualSpacing/>
    </w:pPr>
  </w:style>
  <w:style w:type="character" w:styleId="IntenseEmphasis">
    <w:name w:val="Intense Emphasis"/>
    <w:basedOn w:val="DefaultParagraphFont"/>
    <w:uiPriority w:val="21"/>
    <w:qFormat/>
    <w:rsid w:val="0022246D"/>
    <w:rPr>
      <w:i/>
      <w:iCs/>
      <w:color w:val="2F5496" w:themeColor="accent1" w:themeShade="BF"/>
    </w:rPr>
  </w:style>
  <w:style w:type="paragraph" w:styleId="IntenseQuote">
    <w:name w:val="Intense Quote"/>
    <w:basedOn w:val="Normal"/>
    <w:next w:val="Normal"/>
    <w:link w:val="IntenseQuoteChar"/>
    <w:uiPriority w:val="30"/>
    <w:qFormat/>
    <w:rsid w:val="002224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246D"/>
    <w:rPr>
      <w:i/>
      <w:iCs/>
      <w:color w:val="2F5496" w:themeColor="accent1" w:themeShade="BF"/>
    </w:rPr>
  </w:style>
  <w:style w:type="character" w:styleId="IntenseReference">
    <w:name w:val="Intense Reference"/>
    <w:basedOn w:val="DefaultParagraphFont"/>
    <w:uiPriority w:val="32"/>
    <w:qFormat/>
    <w:rsid w:val="0022246D"/>
    <w:rPr>
      <w:b/>
      <w:bCs/>
      <w:smallCaps/>
      <w:color w:val="2F5496" w:themeColor="accent1" w:themeShade="BF"/>
      <w:spacing w:val="5"/>
    </w:rPr>
  </w:style>
  <w:style w:type="paragraph" w:styleId="Header">
    <w:name w:val="header"/>
    <w:basedOn w:val="Normal"/>
    <w:link w:val="HeaderChar"/>
    <w:uiPriority w:val="99"/>
    <w:unhideWhenUsed/>
    <w:rsid w:val="00F86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B04"/>
    <w:rPr>
      <w:rFonts w:ascii="Arial" w:hAnsi="Arial"/>
      <w:lang w:val="en-GB"/>
    </w:rPr>
  </w:style>
  <w:style w:type="paragraph" w:styleId="Footer">
    <w:name w:val="footer"/>
    <w:basedOn w:val="Normal"/>
    <w:link w:val="FooterChar"/>
    <w:uiPriority w:val="99"/>
    <w:unhideWhenUsed/>
    <w:rsid w:val="00F86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B04"/>
    <w:rPr>
      <w:rFonts w:ascii="Arial" w:hAnsi="Arial"/>
      <w:lang w:val="en-GB"/>
    </w:rPr>
  </w:style>
  <w:style w:type="character" w:styleId="Hyperlink">
    <w:name w:val="Hyperlink"/>
    <w:basedOn w:val="DefaultParagraphFont"/>
    <w:uiPriority w:val="99"/>
    <w:unhideWhenUsed/>
    <w:rsid w:val="009E3AF3"/>
    <w:rPr>
      <w:color w:val="0563C1" w:themeColor="hyperlink"/>
      <w:u w:val="single"/>
    </w:rPr>
  </w:style>
  <w:style w:type="character" w:styleId="UnresolvedMention">
    <w:name w:val="Unresolved Mention"/>
    <w:basedOn w:val="DefaultParagraphFont"/>
    <w:uiPriority w:val="99"/>
    <w:semiHidden/>
    <w:unhideWhenUsed/>
    <w:rsid w:val="009E3AF3"/>
    <w:rPr>
      <w:color w:val="605E5C"/>
      <w:shd w:val="clear" w:color="auto" w:fill="E1DFDD"/>
    </w:rPr>
  </w:style>
  <w:style w:type="paragraph" w:styleId="Caption">
    <w:name w:val="caption"/>
    <w:basedOn w:val="Normal"/>
    <w:next w:val="Normal"/>
    <w:uiPriority w:val="35"/>
    <w:unhideWhenUsed/>
    <w:qFormat/>
    <w:rsid w:val="0003126F"/>
    <w:pPr>
      <w:spacing w:after="200" w:line="240" w:lineRule="auto"/>
    </w:pPr>
    <w:rPr>
      <w:iCs/>
      <w:color w:val="000000" w:themeColor="text1"/>
      <w:szCs w:val="18"/>
    </w:rPr>
  </w:style>
  <w:style w:type="table" w:styleId="TableGrid">
    <w:name w:val="Table Grid"/>
    <w:basedOn w:val="TableNormal"/>
    <w:uiPriority w:val="39"/>
    <w:rsid w:val="00C120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ED2AA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2E3D3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2E3D3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1177E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ED5224"/>
    <w:rPr>
      <w:rFonts w:ascii="Times New Roman" w:hAnsi="Times New Roman" w:cs="Times New Roman"/>
    </w:rPr>
  </w:style>
  <w:style w:type="table" w:styleId="GridTable4-Accent2">
    <w:name w:val="Grid Table 4 Accent 2"/>
    <w:basedOn w:val="TableNormal"/>
    <w:uiPriority w:val="49"/>
    <w:rsid w:val="007F40F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B753E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1">
    <w:name w:val="toc 1"/>
    <w:basedOn w:val="Normal"/>
    <w:next w:val="Normal"/>
    <w:autoRedefine/>
    <w:uiPriority w:val="39"/>
    <w:unhideWhenUsed/>
    <w:rsid w:val="00167EF3"/>
    <w:pPr>
      <w:spacing w:after="100"/>
    </w:pPr>
  </w:style>
  <w:style w:type="paragraph" w:styleId="TOC2">
    <w:name w:val="toc 2"/>
    <w:basedOn w:val="Normal"/>
    <w:next w:val="Normal"/>
    <w:autoRedefine/>
    <w:uiPriority w:val="39"/>
    <w:unhideWhenUsed/>
    <w:rsid w:val="00167EF3"/>
    <w:pPr>
      <w:spacing w:after="100"/>
      <w:ind w:left="240"/>
    </w:pPr>
  </w:style>
  <w:style w:type="paragraph" w:styleId="TOC3">
    <w:name w:val="toc 3"/>
    <w:basedOn w:val="Normal"/>
    <w:next w:val="Normal"/>
    <w:autoRedefine/>
    <w:uiPriority w:val="39"/>
    <w:unhideWhenUsed/>
    <w:rsid w:val="00167EF3"/>
    <w:pPr>
      <w:spacing w:after="100"/>
      <w:ind w:left="480"/>
    </w:pPr>
  </w:style>
  <w:style w:type="paragraph" w:styleId="TableofFigures">
    <w:name w:val="table of figures"/>
    <w:basedOn w:val="Normal"/>
    <w:next w:val="Normal"/>
    <w:uiPriority w:val="99"/>
    <w:unhideWhenUsed/>
    <w:rsid w:val="00167EF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248749">
      <w:bodyDiv w:val="1"/>
      <w:marLeft w:val="0"/>
      <w:marRight w:val="0"/>
      <w:marTop w:val="0"/>
      <w:marBottom w:val="0"/>
      <w:divBdr>
        <w:top w:val="none" w:sz="0" w:space="0" w:color="auto"/>
        <w:left w:val="none" w:sz="0" w:space="0" w:color="auto"/>
        <w:bottom w:val="none" w:sz="0" w:space="0" w:color="auto"/>
        <w:right w:val="none" w:sz="0" w:space="0" w:color="auto"/>
      </w:divBdr>
    </w:div>
    <w:div w:id="557015829">
      <w:marLeft w:val="0"/>
      <w:marRight w:val="0"/>
      <w:marTop w:val="0"/>
      <w:marBottom w:val="0"/>
      <w:divBdr>
        <w:top w:val="none" w:sz="0" w:space="0" w:color="auto"/>
        <w:left w:val="none" w:sz="0" w:space="0" w:color="auto"/>
        <w:bottom w:val="none" w:sz="0" w:space="0" w:color="auto"/>
        <w:right w:val="none" w:sz="0" w:space="0" w:color="auto"/>
      </w:divBdr>
    </w:div>
    <w:div w:id="622271882">
      <w:bodyDiv w:val="1"/>
      <w:marLeft w:val="0"/>
      <w:marRight w:val="0"/>
      <w:marTop w:val="0"/>
      <w:marBottom w:val="0"/>
      <w:divBdr>
        <w:top w:val="none" w:sz="0" w:space="0" w:color="auto"/>
        <w:left w:val="none" w:sz="0" w:space="0" w:color="auto"/>
        <w:bottom w:val="none" w:sz="0" w:space="0" w:color="auto"/>
        <w:right w:val="none" w:sz="0" w:space="0" w:color="auto"/>
      </w:divBdr>
      <w:divsChild>
        <w:div w:id="1221406100">
          <w:marLeft w:val="0"/>
          <w:marRight w:val="0"/>
          <w:marTop w:val="0"/>
          <w:marBottom w:val="0"/>
          <w:divBdr>
            <w:top w:val="none" w:sz="0" w:space="0" w:color="auto"/>
            <w:left w:val="none" w:sz="0" w:space="0" w:color="auto"/>
            <w:bottom w:val="none" w:sz="0" w:space="0" w:color="auto"/>
            <w:right w:val="none" w:sz="0" w:space="0" w:color="auto"/>
          </w:divBdr>
        </w:div>
      </w:divsChild>
    </w:div>
    <w:div w:id="786579074">
      <w:bodyDiv w:val="1"/>
      <w:marLeft w:val="0"/>
      <w:marRight w:val="0"/>
      <w:marTop w:val="0"/>
      <w:marBottom w:val="0"/>
      <w:divBdr>
        <w:top w:val="none" w:sz="0" w:space="0" w:color="auto"/>
        <w:left w:val="none" w:sz="0" w:space="0" w:color="auto"/>
        <w:bottom w:val="none" w:sz="0" w:space="0" w:color="auto"/>
        <w:right w:val="none" w:sz="0" w:space="0" w:color="auto"/>
      </w:divBdr>
    </w:div>
    <w:div w:id="926689756">
      <w:bodyDiv w:val="1"/>
      <w:marLeft w:val="0"/>
      <w:marRight w:val="0"/>
      <w:marTop w:val="0"/>
      <w:marBottom w:val="0"/>
      <w:divBdr>
        <w:top w:val="none" w:sz="0" w:space="0" w:color="auto"/>
        <w:left w:val="none" w:sz="0" w:space="0" w:color="auto"/>
        <w:bottom w:val="none" w:sz="0" w:space="0" w:color="auto"/>
        <w:right w:val="none" w:sz="0" w:space="0" w:color="auto"/>
      </w:divBdr>
    </w:div>
    <w:div w:id="1076443257">
      <w:bodyDiv w:val="1"/>
      <w:marLeft w:val="0"/>
      <w:marRight w:val="0"/>
      <w:marTop w:val="0"/>
      <w:marBottom w:val="0"/>
      <w:divBdr>
        <w:top w:val="none" w:sz="0" w:space="0" w:color="auto"/>
        <w:left w:val="none" w:sz="0" w:space="0" w:color="auto"/>
        <w:bottom w:val="none" w:sz="0" w:space="0" w:color="auto"/>
        <w:right w:val="none" w:sz="0" w:space="0" w:color="auto"/>
      </w:divBdr>
    </w:div>
    <w:div w:id="1095906163">
      <w:marLeft w:val="0"/>
      <w:marRight w:val="0"/>
      <w:marTop w:val="0"/>
      <w:marBottom w:val="0"/>
      <w:divBdr>
        <w:top w:val="none" w:sz="0" w:space="0" w:color="auto"/>
        <w:left w:val="none" w:sz="0" w:space="0" w:color="auto"/>
        <w:bottom w:val="none" w:sz="0" w:space="0" w:color="auto"/>
        <w:right w:val="none" w:sz="0" w:space="0" w:color="auto"/>
      </w:divBdr>
    </w:div>
    <w:div w:id="1123114290">
      <w:marLeft w:val="0"/>
      <w:marRight w:val="0"/>
      <w:marTop w:val="0"/>
      <w:marBottom w:val="0"/>
      <w:divBdr>
        <w:top w:val="none" w:sz="0" w:space="0" w:color="auto"/>
        <w:left w:val="none" w:sz="0" w:space="0" w:color="auto"/>
        <w:bottom w:val="none" w:sz="0" w:space="0" w:color="auto"/>
        <w:right w:val="none" w:sz="0" w:space="0" w:color="auto"/>
      </w:divBdr>
    </w:div>
    <w:div w:id="142515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21" Type="http://schemas.microsoft.com/office/2007/relationships/hdphoto" Target="media/hdphoto2.wdp"/><Relationship Id="rId42" Type="http://schemas.openxmlformats.org/officeDocument/2006/relationships/image" Target="media/image32.png"/><Relationship Id="rId47" Type="http://schemas.openxmlformats.org/officeDocument/2006/relationships/hyperlink" Target="https://www.diy.com/corporate/about?utm_source=chatgpt.com" TargetMode="External"/><Relationship Id="rId63" Type="http://schemas.openxmlformats.org/officeDocument/2006/relationships/hyperlink" Target="https://doi.org/10.51137/wrp.ijarbm.2025.njtt.45825" TargetMode="External"/><Relationship Id="rId68" Type="http://schemas.openxmlformats.org/officeDocument/2006/relationships/hyperlink" Target="https://markwideresearch.com/australia-do-it-yourself-diy-home-improvement-retailing-market/?utm_source=chatgpt.com" TargetMode="External"/><Relationship Id="rId84" Type="http://schemas.openxmlformats.org/officeDocument/2006/relationships/hyperlink" Target="https://insideretail.com.au/business/australian-retailers-can-you-keep-up-with-the-pace-of-change-in-2025-202502?utm_source=chatgpt.com" TargetMode="External"/><Relationship Id="rId89"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hyperlink" Target="https://www.electricaltimes.co.uk/bqs-build-a-life-project-report-news-alert/" TargetMode="External"/><Relationship Id="rId58" Type="http://schemas.openxmlformats.org/officeDocument/2006/relationships/hyperlink" Target="https://doi.org/10.54254/2754-1169/26/20230594" TargetMode="External"/><Relationship Id="rId74" Type="http://schemas.openxmlformats.org/officeDocument/2006/relationships/hyperlink" Target="https://doi.org/10.59615/ijime.3.1.23" TargetMode="External"/><Relationship Id="rId79" Type="http://schemas.openxmlformats.org/officeDocument/2006/relationships/hyperlink" Target="https://doi.org/10.1080/0965254X.2017.1339114" TargetMode="External"/><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doi.org/10.21833/ijaas.2021.10.011" TargetMode="External"/><Relationship Id="rId48" Type="http://schemas.openxmlformats.org/officeDocument/2006/relationships/hyperlink" Target="https://www.diy.com/corporate/marketplace?utm_source=chatgpt.com" TargetMode="External"/><Relationship Id="rId56" Type="http://schemas.openxmlformats.org/officeDocument/2006/relationships/hyperlink" Target="https://www.globaldata.com/data-insights/retail-and-wholesale/the-market-value-of-home-improvement---gardening-products-segment-in-australia-1130132/?utm_source=chatgpt.com" TargetMode="External"/><Relationship Id="rId64" Type="http://schemas.openxmlformats.org/officeDocument/2006/relationships/hyperlink" Target="https://www.kingfisher.com/~/media/Files/K/Kingfisher-Plc/Universal/investors/result-reports-presentation/2025/Kingfisher-Annual-Report-2024-25.pdf?utm_source=chatgpt.com" TargetMode="External"/><Relationship Id="rId69" Type="http://schemas.openxmlformats.org/officeDocument/2006/relationships/hyperlink" Target="https://doi.org/10.35942/hy38dc55" TargetMode="External"/><Relationship Id="rId77" Type="http://schemas.openxmlformats.org/officeDocument/2006/relationships/hyperlink" Target="https://www.independent.co.uk/news/business/bq-kingfisher-screwfix-homebase-sales-b2831889.html" TargetMode="External"/><Relationship Id="rId8" Type="http://schemas.openxmlformats.org/officeDocument/2006/relationships/image" Target="media/image1.png"/><Relationship Id="rId51" Type="http://schemas.openxmlformats.org/officeDocument/2006/relationships/hyperlink" Target="https://doi.org/10.4324/9781032685465" TargetMode="External"/><Relationship Id="rId72" Type="http://schemas.openxmlformats.org/officeDocument/2006/relationships/hyperlink" Target="https://doi.org/10.33365/tb.v3i1.643" TargetMode="External"/><Relationship Id="rId80" Type="http://schemas.openxmlformats.org/officeDocument/2006/relationships/hyperlink" Target="https://doi.org/10.2139/ssrn.5381672" TargetMode="External"/><Relationship Id="rId85" Type="http://schemas.openxmlformats.org/officeDocument/2006/relationships/hyperlink" Target="https://doi.org/10.33830/isbest.v3i1.126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microsoft.com/office/2007/relationships/hdphoto" Target="media/hdphoto3.wdp"/><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doi.org/10.61424/rjbe.v3i3.575" TargetMode="External"/><Relationship Id="rId59" Type="http://schemas.openxmlformats.org/officeDocument/2006/relationships/hyperlink" Target="https://doi.org/10.3390/su15118806" TargetMode="External"/><Relationship Id="rId67" Type="http://schemas.openxmlformats.org/officeDocument/2006/relationships/hyperlink" Target="https://doi.org/10.1080/02673037.2016.1234031" TargetMode="External"/><Relationship Id="rId20" Type="http://schemas.openxmlformats.org/officeDocument/2006/relationships/image" Target="media/image12.png"/><Relationship Id="rId41" Type="http://schemas.openxmlformats.org/officeDocument/2006/relationships/image" Target="media/image31.png"/><Relationship Id="rId54" Type="http://schemas.openxmlformats.org/officeDocument/2006/relationships/hyperlink" Target="https://doi.org/10.47772/IJRISS.2023.7011145" TargetMode="External"/><Relationship Id="rId62" Type="http://schemas.openxmlformats.org/officeDocument/2006/relationships/hyperlink" Target="https://www.ibisworld.com/australia/industry/hardware-and-building-supplies-retailing/1877/?utm_source=chatgpt.com" TargetMode="External"/><Relationship Id="rId70" Type="http://schemas.openxmlformats.org/officeDocument/2006/relationships/hyperlink" Target="https://doi.org/10.1007/978-3-031-82369-5_12" TargetMode="External"/><Relationship Id="rId75" Type="http://schemas.openxmlformats.org/officeDocument/2006/relationships/hyperlink" Target="https://doi.org/10.3390/admsci14070147" TargetMode="External"/><Relationship Id="rId83" Type="http://schemas.openxmlformats.org/officeDocument/2006/relationships/hyperlink" Target="https://www.valueconsultingpartners.com.au/post/australia-s-business-landscape-2025-a-comprehensive-analysis-of-emerging-trends"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www.theretailbulletin.com/home-and-diy/kingfisher-boosted-by-strong-performance-at-bq-28-05-2025/?utm_source=chatgpt.com" TargetMode="External"/><Relationship Id="rId57" Type="http://schemas.openxmlformats.org/officeDocument/2006/relationships/hyperlink" Target="https://doi.org/10.4018/979-8-3693-9486-1.ch010" TargetMode="External"/><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hyperlink" Target="https://global.morningstar.com/en-gb/news/alliance-news/1764063100667099700/kingfisher-lifts-profit-view-again-as-bq-and-screwfix-sales-increase" TargetMode="External"/><Relationship Id="rId52" Type="http://schemas.openxmlformats.org/officeDocument/2006/relationships/hyperlink" Target="https://ecdb.com/resources/sample-data/market/au/diy?utm_source=chatgpt.com" TargetMode="External"/><Relationship Id="rId60" Type="http://schemas.openxmlformats.org/officeDocument/2006/relationships/hyperlink" Target="https://doi.org/10.56355/ijfrms.2024.4.1.0034" TargetMode="External"/><Relationship Id="rId65" Type="http://schemas.openxmlformats.org/officeDocument/2006/relationships/hyperlink" Target="https://doi.org/10.30525/2661-5169/2025-2-9" TargetMode="External"/><Relationship Id="rId73" Type="http://schemas.openxmlformats.org/officeDocument/2006/relationships/hyperlink" Target="https://www.optimizon.co.uk/amazon-knowhow/bq-marketplace-everything-you-need-to-know/?utm_source=chatgpt.com" TargetMode="External"/><Relationship Id="rId78" Type="http://schemas.openxmlformats.org/officeDocument/2006/relationships/hyperlink" Target="https://doi.org/10.57178/paradoks.v8i2.1154" TargetMode="External"/><Relationship Id="rId81" Type="http://schemas.openxmlformats.org/officeDocument/2006/relationships/hyperlink" Target="https://doi.org/10.32317/ekon.apk/5.2024.86" TargetMode="External"/><Relationship Id="rId86" Type="http://schemas.openxmlformats.org/officeDocument/2006/relationships/hyperlink" Target="https://doi.org/10.5281/zenodo.1332731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microsoft.com/office/2007/relationships/hdphoto" Target="media/hdphoto1.wdp"/><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hyperlink" Target="https://cockatoo.com.au/australias-macro-environment-2025/" TargetMode="External"/><Relationship Id="rId55" Type="http://schemas.openxmlformats.org/officeDocument/2006/relationships/hyperlink" Target="https://www.globaldata.com/store/report/bq-ltd/?utm_source=chatgpt.com" TargetMode="External"/><Relationship Id="rId76" Type="http://schemas.openxmlformats.org/officeDocument/2006/relationships/hyperlink" Target="https://vocal.media/journal/australia-home-improvement-services-market-size-and-share-2025-2033" TargetMode="External"/><Relationship Id="rId7" Type="http://schemas.openxmlformats.org/officeDocument/2006/relationships/endnotes" Target="endnotes.xml"/><Relationship Id="rId71" Type="http://schemas.openxmlformats.org/officeDocument/2006/relationships/hyperlink" Target="https://doi.org/10.1007/s43621-025-00804-x" TargetMode="External"/><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5.png"/><Relationship Id="rId40" Type="http://schemas.openxmlformats.org/officeDocument/2006/relationships/image" Target="media/image30.png"/><Relationship Id="rId45" Type="http://schemas.openxmlformats.org/officeDocument/2006/relationships/hyperlink" Target="https://doi.org/10.61132/rimba.v3i3.1836" TargetMode="External"/><Relationship Id="rId66" Type="http://schemas.openxmlformats.org/officeDocument/2006/relationships/hyperlink" Target="https://doi.org/10.35940/ijrte.C5868.098319" TargetMode="External"/><Relationship Id="rId87" Type="http://schemas.openxmlformats.org/officeDocument/2006/relationships/footer" Target="footer1.xml"/><Relationship Id="rId61" Type="http://schemas.openxmlformats.org/officeDocument/2006/relationships/hyperlink" Target="https://www.ibisworld.com/australia/industry/garden-supplies-retailing/425/?utm_source=chatgpt.com" TargetMode="External"/><Relationship Id="rId82" Type="http://schemas.openxmlformats.org/officeDocument/2006/relationships/hyperlink" Target="https://www.ukessays.com/essays/marketing/the-academics-in-marketing-marketing-essay.php?vref=1" TargetMode="External"/><Relationship Id="rId19"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E7D45-65E3-403A-8527-56575EA16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44</Pages>
  <Words>8655</Words>
  <Characters>49337</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sutariya fenil</cp:lastModifiedBy>
  <cp:revision>971</cp:revision>
  <dcterms:created xsi:type="dcterms:W3CDTF">2025-10-21T11:43:00Z</dcterms:created>
  <dcterms:modified xsi:type="dcterms:W3CDTF">2025-12-21T18:27:00Z</dcterms:modified>
</cp:coreProperties>
</file>