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FA990" w14:textId="6E7CFB1F" w:rsidR="00A01857" w:rsidRDefault="00F3702E" w:rsidP="00F3702E">
      <w:pPr>
        <w:jc w:val="center"/>
        <w:rPr>
          <w:b/>
          <w:bCs/>
          <w:sz w:val="36"/>
          <w:szCs w:val="36"/>
        </w:rPr>
      </w:pPr>
      <w:r w:rsidRPr="00F3702E">
        <w:rPr>
          <w:b/>
          <w:bCs/>
          <w:sz w:val="36"/>
          <w:szCs w:val="36"/>
        </w:rPr>
        <w:t>Internationa</w:t>
      </w:r>
      <w:r>
        <w:rPr>
          <w:b/>
          <w:bCs/>
          <w:sz w:val="36"/>
          <w:szCs w:val="36"/>
        </w:rPr>
        <w:t>l</w:t>
      </w:r>
      <w:r w:rsidRPr="00F3702E">
        <w:rPr>
          <w:b/>
          <w:bCs/>
          <w:sz w:val="36"/>
          <w:szCs w:val="36"/>
        </w:rPr>
        <w:t xml:space="preserve"> Financial Management</w:t>
      </w:r>
    </w:p>
    <w:p w14:paraId="4BBABDE9" w14:textId="561471FA" w:rsidR="00F3702E" w:rsidRDefault="00F3702E" w:rsidP="00F3702E">
      <w:pPr>
        <w:jc w:val="center"/>
        <w:rPr>
          <w:b/>
          <w:bCs/>
          <w:sz w:val="36"/>
          <w:szCs w:val="36"/>
        </w:rPr>
      </w:pPr>
    </w:p>
    <w:p w14:paraId="696577F5" w14:textId="74B7E0AC" w:rsidR="00F3702E" w:rsidRDefault="00F3702E" w:rsidP="00F3702E">
      <w:pPr>
        <w:jc w:val="center"/>
        <w:rPr>
          <w:b/>
          <w:bCs/>
          <w:sz w:val="36"/>
          <w:szCs w:val="36"/>
        </w:rPr>
      </w:pPr>
    </w:p>
    <w:p w14:paraId="4D330B30" w14:textId="3A410F13" w:rsidR="00F3702E" w:rsidRDefault="00F3702E" w:rsidP="00F3702E">
      <w:pPr>
        <w:jc w:val="center"/>
        <w:rPr>
          <w:b/>
          <w:bCs/>
          <w:sz w:val="36"/>
          <w:szCs w:val="36"/>
        </w:rPr>
      </w:pPr>
    </w:p>
    <w:p w14:paraId="6CEC0F2F" w14:textId="370F82A0" w:rsidR="00F3702E" w:rsidRDefault="00F3702E" w:rsidP="00F3702E">
      <w:pPr>
        <w:jc w:val="center"/>
        <w:rPr>
          <w:b/>
          <w:bCs/>
          <w:sz w:val="36"/>
          <w:szCs w:val="36"/>
        </w:rPr>
      </w:pPr>
    </w:p>
    <w:p w14:paraId="6912F409" w14:textId="1728FB27" w:rsidR="00F3702E" w:rsidRDefault="00F3702E" w:rsidP="00F3702E">
      <w:pPr>
        <w:jc w:val="center"/>
        <w:rPr>
          <w:b/>
          <w:bCs/>
          <w:sz w:val="36"/>
          <w:szCs w:val="36"/>
        </w:rPr>
      </w:pPr>
    </w:p>
    <w:p w14:paraId="1A37C0A4" w14:textId="67E61344" w:rsidR="00F3702E" w:rsidRDefault="00F3702E" w:rsidP="00F3702E">
      <w:pPr>
        <w:jc w:val="center"/>
        <w:rPr>
          <w:b/>
          <w:bCs/>
          <w:sz w:val="36"/>
          <w:szCs w:val="36"/>
        </w:rPr>
      </w:pPr>
    </w:p>
    <w:p w14:paraId="007E00AF" w14:textId="7CECD90A" w:rsidR="00F3702E" w:rsidRDefault="00F3702E" w:rsidP="00F3702E">
      <w:pPr>
        <w:jc w:val="center"/>
        <w:rPr>
          <w:b/>
          <w:bCs/>
          <w:sz w:val="36"/>
          <w:szCs w:val="36"/>
        </w:rPr>
      </w:pPr>
    </w:p>
    <w:p w14:paraId="254F5FED" w14:textId="711FDFE3" w:rsidR="00F3702E" w:rsidRDefault="00F3702E" w:rsidP="00F3702E">
      <w:pPr>
        <w:jc w:val="center"/>
        <w:rPr>
          <w:b/>
          <w:bCs/>
          <w:sz w:val="36"/>
          <w:szCs w:val="36"/>
        </w:rPr>
      </w:pPr>
    </w:p>
    <w:p w14:paraId="6EDCEAAB" w14:textId="2C238ED8" w:rsidR="00F3702E" w:rsidRDefault="00F3702E" w:rsidP="00F3702E">
      <w:pPr>
        <w:jc w:val="center"/>
        <w:rPr>
          <w:b/>
          <w:bCs/>
          <w:sz w:val="36"/>
          <w:szCs w:val="36"/>
        </w:rPr>
      </w:pPr>
    </w:p>
    <w:p w14:paraId="6B2BBD86" w14:textId="08129B58" w:rsidR="00F3702E" w:rsidRDefault="00F3702E" w:rsidP="00F3702E">
      <w:pPr>
        <w:jc w:val="center"/>
        <w:rPr>
          <w:b/>
          <w:bCs/>
          <w:sz w:val="36"/>
          <w:szCs w:val="36"/>
        </w:rPr>
      </w:pPr>
    </w:p>
    <w:p w14:paraId="4CDE348B" w14:textId="03928D78" w:rsidR="00F3702E" w:rsidRDefault="00F3702E" w:rsidP="00F3702E">
      <w:pPr>
        <w:jc w:val="center"/>
        <w:rPr>
          <w:b/>
          <w:bCs/>
          <w:sz w:val="36"/>
          <w:szCs w:val="36"/>
        </w:rPr>
      </w:pPr>
    </w:p>
    <w:p w14:paraId="5D434E0D" w14:textId="77777777" w:rsidR="00F3702E" w:rsidRDefault="00F3702E" w:rsidP="00F3702E">
      <w:pPr>
        <w:jc w:val="center"/>
        <w:rPr>
          <w:sz w:val="36"/>
          <w:szCs w:val="36"/>
        </w:rPr>
      </w:pPr>
      <w:proofErr w:type="spellStart"/>
      <w:proofErr w:type="gramStart"/>
      <w:r>
        <w:rPr>
          <w:b/>
          <w:bCs/>
          <w:sz w:val="36"/>
          <w:szCs w:val="36"/>
        </w:rPr>
        <w:t>Student:</w:t>
      </w:r>
      <w:r>
        <w:rPr>
          <w:sz w:val="36"/>
          <w:szCs w:val="36"/>
        </w:rPr>
        <w:t>Presian</w:t>
      </w:r>
      <w:proofErr w:type="spellEnd"/>
      <w:proofErr w:type="gramEnd"/>
      <w:r>
        <w:rPr>
          <w:sz w:val="36"/>
          <w:szCs w:val="36"/>
        </w:rPr>
        <w:t xml:space="preserve"> </w:t>
      </w:r>
      <w:proofErr w:type="spellStart"/>
      <w:r>
        <w:rPr>
          <w:sz w:val="36"/>
          <w:szCs w:val="36"/>
        </w:rPr>
        <w:t>Mladenov</w:t>
      </w:r>
      <w:proofErr w:type="spellEnd"/>
      <w:r>
        <w:rPr>
          <w:sz w:val="36"/>
          <w:szCs w:val="36"/>
        </w:rPr>
        <w:t xml:space="preserve">      </w:t>
      </w:r>
      <w:r>
        <w:rPr>
          <w:b/>
          <w:bCs/>
          <w:sz w:val="36"/>
          <w:szCs w:val="36"/>
        </w:rPr>
        <w:t xml:space="preserve">Module: </w:t>
      </w:r>
      <w:proofErr w:type="spellStart"/>
      <w:r>
        <w:rPr>
          <w:sz w:val="36"/>
          <w:szCs w:val="36"/>
        </w:rPr>
        <w:t>Internationa</w:t>
      </w:r>
      <w:proofErr w:type="spellEnd"/>
      <w:r>
        <w:rPr>
          <w:sz w:val="36"/>
          <w:szCs w:val="36"/>
        </w:rPr>
        <w:t xml:space="preserve"> Financial       </w:t>
      </w:r>
    </w:p>
    <w:p w14:paraId="2D8CF97B" w14:textId="0F9A84B5" w:rsidR="00F3702E" w:rsidRPr="00F3702E" w:rsidRDefault="00F3702E" w:rsidP="00F3702E">
      <w:pPr>
        <w:jc w:val="center"/>
        <w:rPr>
          <w:sz w:val="36"/>
          <w:szCs w:val="36"/>
        </w:rPr>
      </w:pPr>
      <w:r>
        <w:rPr>
          <w:sz w:val="36"/>
          <w:szCs w:val="36"/>
        </w:rPr>
        <w:t xml:space="preserve">                                                                   Management LCBB6002</w:t>
      </w:r>
    </w:p>
    <w:p w14:paraId="6E97A010" w14:textId="55700156" w:rsidR="00F3702E" w:rsidRDefault="00F3702E" w:rsidP="00F3702E">
      <w:pPr>
        <w:jc w:val="center"/>
        <w:rPr>
          <w:sz w:val="36"/>
          <w:szCs w:val="36"/>
        </w:rPr>
      </w:pPr>
      <w:r>
        <w:rPr>
          <w:b/>
          <w:bCs/>
          <w:sz w:val="36"/>
          <w:szCs w:val="36"/>
        </w:rPr>
        <w:t>StudentID:</w:t>
      </w:r>
      <w:r>
        <w:rPr>
          <w:sz w:val="36"/>
          <w:szCs w:val="36"/>
        </w:rPr>
        <w:t xml:space="preserve">2014071   </w:t>
      </w:r>
      <w:r>
        <w:rPr>
          <w:b/>
          <w:bCs/>
          <w:sz w:val="36"/>
          <w:szCs w:val="36"/>
        </w:rPr>
        <w:t xml:space="preserve">Lecturer: </w:t>
      </w:r>
      <w:r>
        <w:rPr>
          <w:sz w:val="36"/>
          <w:szCs w:val="36"/>
        </w:rPr>
        <w:t xml:space="preserve">Taye Timothy </w:t>
      </w:r>
      <w:proofErr w:type="spellStart"/>
      <w:r>
        <w:rPr>
          <w:sz w:val="36"/>
          <w:szCs w:val="36"/>
        </w:rPr>
        <w:t>Osadiya</w:t>
      </w:r>
      <w:proofErr w:type="spellEnd"/>
    </w:p>
    <w:p w14:paraId="44F01762" w14:textId="49BDEDF5" w:rsidR="00F3702E" w:rsidRDefault="00F3702E" w:rsidP="00F3702E">
      <w:pPr>
        <w:jc w:val="center"/>
        <w:rPr>
          <w:sz w:val="36"/>
          <w:szCs w:val="36"/>
        </w:rPr>
      </w:pPr>
    </w:p>
    <w:p w14:paraId="165EA44D" w14:textId="47D1DEB6" w:rsidR="00F3702E" w:rsidRDefault="00F3702E" w:rsidP="00F3702E">
      <w:pPr>
        <w:jc w:val="center"/>
        <w:rPr>
          <w:sz w:val="36"/>
          <w:szCs w:val="36"/>
        </w:rPr>
      </w:pPr>
    </w:p>
    <w:p w14:paraId="5959C38F" w14:textId="63B01DD0" w:rsidR="00F3702E" w:rsidRDefault="00F3702E" w:rsidP="00F3702E">
      <w:pPr>
        <w:jc w:val="center"/>
        <w:rPr>
          <w:sz w:val="36"/>
          <w:szCs w:val="36"/>
        </w:rPr>
      </w:pPr>
    </w:p>
    <w:p w14:paraId="76749EBC" w14:textId="72FA7AE5" w:rsidR="00F3702E" w:rsidRDefault="00F3702E" w:rsidP="00F3702E">
      <w:pPr>
        <w:jc w:val="center"/>
        <w:rPr>
          <w:sz w:val="36"/>
          <w:szCs w:val="36"/>
        </w:rPr>
      </w:pPr>
    </w:p>
    <w:p w14:paraId="0E4992EA" w14:textId="3795C7E4" w:rsidR="00F3702E" w:rsidRDefault="00F3702E" w:rsidP="00F3702E">
      <w:pPr>
        <w:jc w:val="center"/>
        <w:rPr>
          <w:sz w:val="36"/>
          <w:szCs w:val="36"/>
        </w:rPr>
      </w:pPr>
    </w:p>
    <w:p w14:paraId="0822481A" w14:textId="2634D1DB" w:rsidR="00F3702E" w:rsidRDefault="00F3702E" w:rsidP="00F3702E">
      <w:pPr>
        <w:jc w:val="center"/>
        <w:rPr>
          <w:sz w:val="36"/>
          <w:szCs w:val="36"/>
        </w:rPr>
      </w:pPr>
    </w:p>
    <w:p w14:paraId="5363922D" w14:textId="2DEBBD76" w:rsidR="00F3702E" w:rsidRDefault="00F3702E" w:rsidP="00F3702E">
      <w:pPr>
        <w:jc w:val="center"/>
        <w:rPr>
          <w:sz w:val="36"/>
          <w:szCs w:val="36"/>
        </w:rPr>
      </w:pPr>
    </w:p>
    <w:p w14:paraId="47D02E09" w14:textId="1882E4C4" w:rsidR="00F3702E" w:rsidRDefault="00F3702E" w:rsidP="00F3702E">
      <w:pPr>
        <w:jc w:val="center"/>
        <w:rPr>
          <w:sz w:val="36"/>
          <w:szCs w:val="36"/>
        </w:rPr>
      </w:pPr>
    </w:p>
    <w:p w14:paraId="708EF058" w14:textId="36A74233" w:rsidR="00F3702E" w:rsidRDefault="00F3702E" w:rsidP="00F3702E">
      <w:pPr>
        <w:jc w:val="center"/>
        <w:rPr>
          <w:sz w:val="36"/>
          <w:szCs w:val="36"/>
        </w:rPr>
      </w:pPr>
    </w:p>
    <w:p w14:paraId="49A37D76" w14:textId="2010F707" w:rsidR="00F3702E" w:rsidRDefault="00F3702E" w:rsidP="00F3702E">
      <w:pPr>
        <w:jc w:val="center"/>
        <w:rPr>
          <w:sz w:val="36"/>
          <w:szCs w:val="36"/>
        </w:rPr>
      </w:pPr>
    </w:p>
    <w:p w14:paraId="45E1953E" w14:textId="7A275339" w:rsidR="00F3702E" w:rsidRDefault="00F3702E" w:rsidP="00F3702E">
      <w:pPr>
        <w:jc w:val="center"/>
        <w:rPr>
          <w:sz w:val="36"/>
          <w:szCs w:val="36"/>
        </w:rPr>
      </w:pPr>
    </w:p>
    <w:p w14:paraId="51B09A88" w14:textId="7F2531BD" w:rsidR="00F3702E" w:rsidRDefault="00F3702E" w:rsidP="00F3702E">
      <w:pPr>
        <w:jc w:val="center"/>
        <w:rPr>
          <w:sz w:val="36"/>
          <w:szCs w:val="36"/>
        </w:rPr>
      </w:pPr>
    </w:p>
    <w:p w14:paraId="50F213CC" w14:textId="71EE67ED" w:rsidR="00F3702E" w:rsidRDefault="00F3702E" w:rsidP="00F3702E">
      <w:pPr>
        <w:jc w:val="center"/>
        <w:rPr>
          <w:sz w:val="36"/>
          <w:szCs w:val="36"/>
        </w:rPr>
      </w:pPr>
    </w:p>
    <w:p w14:paraId="6215E1BC" w14:textId="7C81E633" w:rsidR="00F3702E" w:rsidRDefault="00F3702E" w:rsidP="00F3702E">
      <w:pPr>
        <w:jc w:val="center"/>
        <w:rPr>
          <w:sz w:val="36"/>
          <w:szCs w:val="36"/>
        </w:rPr>
      </w:pPr>
    </w:p>
    <w:p w14:paraId="1E692ADD" w14:textId="439E2F56" w:rsidR="00F3702E" w:rsidRDefault="00F3702E" w:rsidP="00F3702E">
      <w:pPr>
        <w:jc w:val="center"/>
        <w:rPr>
          <w:sz w:val="36"/>
          <w:szCs w:val="36"/>
        </w:rPr>
      </w:pPr>
    </w:p>
    <w:p w14:paraId="07888AFC" w14:textId="1C488971" w:rsidR="00F3702E" w:rsidRDefault="00F3702E" w:rsidP="00F3702E">
      <w:pPr>
        <w:rPr>
          <w:sz w:val="36"/>
          <w:szCs w:val="36"/>
        </w:rPr>
      </w:pPr>
    </w:p>
    <w:p w14:paraId="25CD67C1" w14:textId="4EC9FADC" w:rsidR="00F3702E" w:rsidRDefault="00F3702E" w:rsidP="00F3702E">
      <w:pPr>
        <w:rPr>
          <w:b/>
          <w:bCs/>
          <w:sz w:val="36"/>
          <w:szCs w:val="36"/>
        </w:rPr>
      </w:pPr>
      <w:r>
        <w:rPr>
          <w:b/>
          <w:bCs/>
          <w:sz w:val="36"/>
          <w:szCs w:val="36"/>
        </w:rPr>
        <w:lastRenderedPageBreak/>
        <w:t>Introduction</w:t>
      </w:r>
    </w:p>
    <w:p w14:paraId="35A9BBE4" w14:textId="4B99D7DE" w:rsidR="00A147DB" w:rsidRDefault="00A147DB" w:rsidP="00F3702E">
      <w:pPr>
        <w:rPr>
          <w:b/>
          <w:bCs/>
          <w:sz w:val="36"/>
          <w:szCs w:val="36"/>
        </w:rPr>
      </w:pPr>
    </w:p>
    <w:p w14:paraId="67FB48C5" w14:textId="77777777" w:rsidR="00A147DB" w:rsidRDefault="00A147DB" w:rsidP="00F3702E">
      <w:pPr>
        <w:rPr>
          <w:b/>
          <w:bCs/>
          <w:sz w:val="36"/>
          <w:szCs w:val="36"/>
        </w:rPr>
      </w:pPr>
    </w:p>
    <w:p w14:paraId="5C979E57" w14:textId="4BEE4C65" w:rsidR="00F3702E" w:rsidRDefault="00F3702E" w:rsidP="00F3702E">
      <w:pPr>
        <w:rPr>
          <w:color w:val="000000" w:themeColor="text1"/>
          <w:sz w:val="28"/>
          <w:szCs w:val="28"/>
        </w:rPr>
      </w:pPr>
      <w:r>
        <w:rPr>
          <w:sz w:val="28"/>
          <w:szCs w:val="28"/>
        </w:rPr>
        <w:tab/>
        <w:t xml:space="preserve">There is an increasing relevance of international financial management in every company, especially in </w:t>
      </w:r>
      <w:proofErr w:type="gramStart"/>
      <w:r>
        <w:rPr>
          <w:sz w:val="28"/>
          <w:szCs w:val="28"/>
        </w:rPr>
        <w:t>a</w:t>
      </w:r>
      <w:proofErr w:type="gramEnd"/>
      <w:r>
        <w:rPr>
          <w:sz w:val="28"/>
          <w:szCs w:val="28"/>
        </w:rPr>
        <w:t xml:space="preserve"> MNC. The importance of international financial management in a MNC has increased mainly because of globalisatio</w:t>
      </w:r>
      <w:r>
        <w:rPr>
          <w:color w:val="000000" w:themeColor="text1"/>
          <w:sz w:val="28"/>
          <w:szCs w:val="28"/>
        </w:rPr>
        <w:t xml:space="preserve">n, rapid changes in changes in currency values, increasing foreign investments and transactions and several such factors. Glaxo-Smith-Kline PLC, otherwise also known as GSK Plc, is currently one of the most popular and well-known bio-pharmaceutical companies all over the world, which began in 1715 at the Plough Court Pharmacy </w:t>
      </w:r>
      <w:proofErr w:type="gramStart"/>
      <w:r>
        <w:rPr>
          <w:color w:val="000000" w:themeColor="text1"/>
          <w:sz w:val="28"/>
          <w:szCs w:val="28"/>
        </w:rPr>
        <w:t>( GSK</w:t>
      </w:r>
      <w:proofErr w:type="gramEnd"/>
      <w:r>
        <w:rPr>
          <w:color w:val="000000" w:themeColor="text1"/>
          <w:sz w:val="28"/>
          <w:szCs w:val="28"/>
        </w:rPr>
        <w:t xml:space="preserve">, 2022). The organisation employs over more than 70 000 people worldwide with a portfolio of more than 60 vaccines and specialty medicines in its pipeline </w:t>
      </w:r>
      <w:proofErr w:type="gramStart"/>
      <w:r>
        <w:rPr>
          <w:color w:val="000000" w:themeColor="text1"/>
          <w:sz w:val="28"/>
          <w:szCs w:val="28"/>
        </w:rPr>
        <w:t>( GSK</w:t>
      </w:r>
      <w:proofErr w:type="gramEnd"/>
      <w:r>
        <w:rPr>
          <w:color w:val="000000" w:themeColor="text1"/>
          <w:sz w:val="28"/>
          <w:szCs w:val="28"/>
        </w:rPr>
        <w:t xml:space="preserve">, 2022). In this study, there is going to be a detailed evaluation of how international financial management </w:t>
      </w:r>
      <w:proofErr w:type="gramStart"/>
      <w:r>
        <w:rPr>
          <w:color w:val="000000" w:themeColor="text1"/>
          <w:sz w:val="28"/>
          <w:szCs w:val="28"/>
        </w:rPr>
        <w:t xml:space="preserve">is </w:t>
      </w:r>
      <w:r w:rsidR="00A147DB">
        <w:rPr>
          <w:color w:val="000000" w:themeColor="text1"/>
          <w:sz w:val="28"/>
          <w:szCs w:val="28"/>
        </w:rPr>
        <w:t xml:space="preserve"> ascertained</w:t>
      </w:r>
      <w:proofErr w:type="gramEnd"/>
      <w:r w:rsidR="00A147DB">
        <w:rPr>
          <w:color w:val="000000" w:themeColor="text1"/>
          <w:sz w:val="28"/>
          <w:szCs w:val="28"/>
        </w:rPr>
        <w:t xml:space="preserve"> in GSK Plc. TO conduct this discussion, the management of various challenges faced by the company in the international markets will be discussed. Conversely, the theory of efficient market hypothesis will be discussed around the company’s operations </w:t>
      </w:r>
      <w:proofErr w:type="gramStart"/>
      <w:r w:rsidR="00A147DB">
        <w:rPr>
          <w:color w:val="000000" w:themeColor="text1"/>
          <w:sz w:val="28"/>
          <w:szCs w:val="28"/>
        </w:rPr>
        <w:t>similarly ,</w:t>
      </w:r>
      <w:proofErr w:type="gramEnd"/>
      <w:r w:rsidR="00A147DB">
        <w:rPr>
          <w:color w:val="000000" w:themeColor="text1"/>
          <w:sz w:val="28"/>
          <w:szCs w:val="28"/>
        </w:rPr>
        <w:t xml:space="preserve"> the dividend distribution policy of the company will be evaluated along with analysing its project appraisal methods.</w:t>
      </w:r>
    </w:p>
    <w:p w14:paraId="0FF5917E" w14:textId="5ADB373C" w:rsidR="00A147DB" w:rsidRDefault="00A147DB" w:rsidP="00F3702E">
      <w:pPr>
        <w:rPr>
          <w:color w:val="000000" w:themeColor="text1"/>
          <w:sz w:val="28"/>
          <w:szCs w:val="28"/>
        </w:rPr>
      </w:pPr>
    </w:p>
    <w:p w14:paraId="26E2D5EF" w14:textId="67360332" w:rsidR="00A147DB" w:rsidRDefault="00A147DB" w:rsidP="00F3702E">
      <w:pPr>
        <w:rPr>
          <w:color w:val="000000" w:themeColor="text1"/>
          <w:sz w:val="28"/>
          <w:szCs w:val="28"/>
        </w:rPr>
      </w:pPr>
    </w:p>
    <w:p w14:paraId="1E25790C" w14:textId="0C7AA031" w:rsidR="00A147DB" w:rsidRDefault="00A147DB" w:rsidP="00F3702E">
      <w:pPr>
        <w:rPr>
          <w:rFonts w:ascii="Times New Roman" w:eastAsia="Times New Roman" w:hAnsi="Times New Roman" w:cs="Times New Roman"/>
          <w:b/>
          <w:bCs/>
          <w:color w:val="000000" w:themeColor="text1"/>
          <w:sz w:val="36"/>
          <w:szCs w:val="36"/>
          <w:lang w:eastAsia="en-GB"/>
        </w:rPr>
      </w:pPr>
      <w:r>
        <w:rPr>
          <w:rFonts w:ascii="Times New Roman" w:eastAsia="Times New Roman" w:hAnsi="Times New Roman" w:cs="Times New Roman"/>
          <w:b/>
          <w:bCs/>
          <w:color w:val="000000" w:themeColor="text1"/>
          <w:sz w:val="36"/>
          <w:szCs w:val="36"/>
          <w:lang w:eastAsia="en-GB"/>
        </w:rPr>
        <w:t>Discussions</w:t>
      </w:r>
    </w:p>
    <w:p w14:paraId="71585AFF" w14:textId="20ECDAF5" w:rsidR="00A147DB" w:rsidRDefault="00A147DB" w:rsidP="00A147DB">
      <w:pPr>
        <w:jc w:val="both"/>
      </w:pPr>
    </w:p>
    <w:p w14:paraId="3998BA74" w14:textId="3335B8A0" w:rsidR="00A147DB" w:rsidRDefault="00A147DB" w:rsidP="00A147DB">
      <w:pPr>
        <w:jc w:val="both"/>
      </w:pPr>
    </w:p>
    <w:p w14:paraId="2EF8ACB7" w14:textId="1506B31D" w:rsidR="00A147DB" w:rsidRPr="00A147DB" w:rsidRDefault="00A147DB" w:rsidP="00A147DB">
      <w:pPr>
        <w:jc w:val="both"/>
      </w:pPr>
      <w:r>
        <w:tab/>
      </w:r>
    </w:p>
    <w:p w14:paraId="01EAE7C3" w14:textId="78C6F712"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The management of the financial performance, financial position and overall finances in a business organisation is quite a difficult and challenging task. This challenge is higher for any MNC since they operate in several international markets and the risks and factors in these markets are different from the domestic market. As defined by Madura (2020), international financial management is indicated as a process or a strategy through which multinational organisations maximise the wealth of their shareholders while making efficient financial and investment decisions. Several reasons reflect the significance of international financial management in a business organisation. A key reason for this includes the attainment of effectiveness in the acquirement, allocation and management of funds in business organisations.</w:t>
      </w:r>
    </w:p>
    <w:p w14:paraId="040173D1" w14:textId="77777777" w:rsidR="00A147DB" w:rsidRPr="00A147DB" w:rsidRDefault="00A147DB" w:rsidP="00A147DB">
      <w:pPr>
        <w:ind w:firstLine="720"/>
        <w:jc w:val="both"/>
        <w:rPr>
          <w:rFonts w:ascii="Times New Roman" w:hAnsi="Times New Roman" w:cs="Times New Roman"/>
          <w:sz w:val="28"/>
          <w:szCs w:val="28"/>
        </w:rPr>
      </w:pPr>
    </w:p>
    <w:p w14:paraId="04027E34" w14:textId="77777777"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 xml:space="preserve">However, in international financial management, there is a range of challenges that a business organisation encounters. Foreign exchange risk is one of the key challenges associated with international financial management in </w:t>
      </w:r>
      <w:r w:rsidRPr="00A147DB">
        <w:rPr>
          <w:rFonts w:ascii="Times New Roman" w:hAnsi="Times New Roman" w:cs="Times New Roman"/>
          <w:sz w:val="28"/>
          <w:szCs w:val="28"/>
        </w:rPr>
        <w:lastRenderedPageBreak/>
        <w:t xml:space="preserve">business organisations. According to </w:t>
      </w:r>
      <w:proofErr w:type="spellStart"/>
      <w:r w:rsidRPr="00A147DB">
        <w:rPr>
          <w:rFonts w:ascii="Times New Roman" w:hAnsi="Times New Roman" w:cs="Times New Roman"/>
          <w:sz w:val="28"/>
          <w:szCs w:val="28"/>
        </w:rPr>
        <w:t>Skabeeva</w:t>
      </w:r>
      <w:proofErr w:type="spellEnd"/>
      <w:r w:rsidRPr="00A147DB">
        <w:rPr>
          <w:rFonts w:ascii="Times New Roman" w:hAnsi="Times New Roman" w:cs="Times New Roman"/>
          <w:sz w:val="28"/>
          <w:szCs w:val="28"/>
        </w:rPr>
        <w:t xml:space="preserve"> et al. (2022), the fluctuations occurring in the value of the currency of a country, which possess the capacity of turning its profitable contracts into losses, is called foreign exchange risk.</w:t>
      </w:r>
    </w:p>
    <w:p w14:paraId="4FC2D23E" w14:textId="46C4B938"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 xml:space="preserve"> </w:t>
      </w:r>
    </w:p>
    <w:p w14:paraId="2BC9E840" w14:textId="686F9F1A"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 xml:space="preserve">However, in GSK Plc, all foreign exchange risks are managed by the medium of the working capital management theory. As disclosed by the company, all its foreign exchange risks are reduced through matching its internal trading transactions centrally while managing each of its individual inter-company terms of payment. The company manages all its cash surpluses and the borrowing requirements of its subsidiaries centrally through the usage of forward contracts. This in turn hedges future repayments back into the original currency. Such type of cash surpluses </w:t>
      </w:r>
      <w:proofErr w:type="gramStart"/>
      <w:r w:rsidRPr="00A147DB">
        <w:rPr>
          <w:rFonts w:ascii="Times New Roman" w:hAnsi="Times New Roman" w:cs="Times New Roman"/>
          <w:sz w:val="28"/>
          <w:szCs w:val="28"/>
        </w:rPr>
        <w:t>lead</w:t>
      </w:r>
      <w:proofErr w:type="gramEnd"/>
      <w:r w:rsidRPr="00A147DB">
        <w:rPr>
          <w:rFonts w:ascii="Times New Roman" w:hAnsi="Times New Roman" w:cs="Times New Roman"/>
          <w:sz w:val="28"/>
          <w:szCs w:val="28"/>
        </w:rPr>
        <w:t xml:space="preserve"> to an increase in the net current assets of GSK Plc, thereby helping the company in maintaining a good and high working capital. Hence, good working capital management is a major element that the company uses in international financial management.</w:t>
      </w:r>
    </w:p>
    <w:p w14:paraId="1D3797CB" w14:textId="77777777" w:rsidR="00A147DB" w:rsidRPr="00A147DB" w:rsidRDefault="00A147DB" w:rsidP="00A147DB">
      <w:pPr>
        <w:ind w:firstLine="720"/>
        <w:jc w:val="both"/>
        <w:rPr>
          <w:rFonts w:ascii="Times New Roman" w:hAnsi="Times New Roman" w:cs="Times New Roman"/>
          <w:sz w:val="28"/>
          <w:szCs w:val="28"/>
        </w:rPr>
      </w:pPr>
    </w:p>
    <w:p w14:paraId="5FDD67AD" w14:textId="4BDF538E"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 xml:space="preserve">However, </w:t>
      </w:r>
      <w:proofErr w:type="gramStart"/>
      <w:r w:rsidRPr="00A147DB">
        <w:rPr>
          <w:rFonts w:ascii="Times New Roman" w:hAnsi="Times New Roman" w:cs="Times New Roman"/>
          <w:sz w:val="28"/>
          <w:szCs w:val="28"/>
        </w:rPr>
        <w:t>similar to</w:t>
      </w:r>
      <w:proofErr w:type="gramEnd"/>
      <w:r w:rsidRPr="00A147DB">
        <w:rPr>
          <w:rFonts w:ascii="Times New Roman" w:hAnsi="Times New Roman" w:cs="Times New Roman"/>
          <w:sz w:val="28"/>
          <w:szCs w:val="28"/>
        </w:rPr>
        <w:t xml:space="preserve"> all other MNCs, the agency problem is also a foremost challenge for GSK Plc. This challenge not only affects the company’s operations and its decisions but also poses effects on its international financial management. </w:t>
      </w:r>
    </w:p>
    <w:p w14:paraId="519551CA" w14:textId="77777777" w:rsidR="00A147DB" w:rsidRDefault="00A147DB" w:rsidP="00A147DB">
      <w:pPr>
        <w:jc w:val="both"/>
        <w:rPr>
          <w:rFonts w:ascii="Times New Roman" w:hAnsi="Times New Roman" w:cs="Times New Roman"/>
          <w:sz w:val="28"/>
          <w:szCs w:val="28"/>
        </w:rPr>
      </w:pPr>
    </w:p>
    <w:p w14:paraId="7BDFB2DE" w14:textId="6EB030BC"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As defined by Mitnick (2019), the agency problem arises in a business organisation whenever there are conflicts existent between the objectives of its shareholders and the interests of its management. However, the agency theory however assists GSK Plc in managing and tackling this challenge in an efficient manner. In this organisation, a specific concentration of ownership and control exists in the hands of its shareholders. However, the fiduciary responsibilities, charges and duties remain in the hands of the organisation’s board of directors. This leads to the attainment of a stable balance between the objectives of the shareholders of the company and the interest of its directors and management. Such a balance ensures that the financial decision-making of the organisation is strong and effective. This in turn leads GSK Plc towards the improvement of international financial management.</w:t>
      </w:r>
    </w:p>
    <w:p w14:paraId="784A7DB3" w14:textId="77777777" w:rsidR="00A147DB" w:rsidRPr="00A147DB" w:rsidRDefault="00A147DB" w:rsidP="00A147DB">
      <w:pPr>
        <w:ind w:firstLine="720"/>
        <w:jc w:val="both"/>
        <w:rPr>
          <w:rFonts w:ascii="Times New Roman" w:hAnsi="Times New Roman" w:cs="Times New Roman"/>
          <w:sz w:val="28"/>
          <w:szCs w:val="28"/>
        </w:rPr>
      </w:pPr>
    </w:p>
    <w:p w14:paraId="4FDDFAC4" w14:textId="5CC54153"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According to KANAKRIYAH (2020), the dividend distribution policy of a company plays an important role in its international financial management. This is because the dividend distribution policy of a company is an indicator of the prudency in its financial management activities and strategies. The term dividend refers to the amount of compensation or reward that is provided to the shareholders of a company in the form of cash or share and sometimes even scrip. In the context of GSK Plc, the presence of a strong policy dividend distribution policy can be noticed over the past five years in a consistent manner.</w:t>
      </w:r>
    </w:p>
    <w:p w14:paraId="1667EC64" w14:textId="77777777" w:rsidR="00A147DB" w:rsidRPr="00A147DB" w:rsidRDefault="00A147DB" w:rsidP="00A147DB">
      <w:pPr>
        <w:ind w:firstLine="720"/>
        <w:jc w:val="both"/>
        <w:rPr>
          <w:rFonts w:ascii="Times New Roman" w:hAnsi="Times New Roman" w:cs="Times New Roman"/>
          <w:sz w:val="28"/>
          <w:szCs w:val="28"/>
        </w:rPr>
      </w:pPr>
    </w:p>
    <w:p w14:paraId="11E9FE75" w14:textId="2BE466A3"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lastRenderedPageBreak/>
        <w:t xml:space="preserve">The dividends disclosed by the company shows that the company has paid out dividends worth 80 pence in a consistent manner over the years 2017, 2018, 2019, 2020 and 2021 (GSK, 2021). There has not been any change in the dividends of the company even during the financial turmoil caused by the Covid-19 pandemic in the years 2020 and 2021. Such dividend </w:t>
      </w:r>
      <w:proofErr w:type="spellStart"/>
      <w:r w:rsidRPr="00A147DB">
        <w:rPr>
          <w:rFonts w:ascii="Times New Roman" w:hAnsi="Times New Roman" w:cs="Times New Roman"/>
          <w:sz w:val="28"/>
          <w:szCs w:val="28"/>
        </w:rPr>
        <w:t>payout</w:t>
      </w:r>
      <w:proofErr w:type="spellEnd"/>
      <w:r w:rsidRPr="00A147DB">
        <w:rPr>
          <w:rFonts w:ascii="Times New Roman" w:hAnsi="Times New Roman" w:cs="Times New Roman"/>
          <w:sz w:val="28"/>
          <w:szCs w:val="28"/>
        </w:rPr>
        <w:t xml:space="preserve"> reflects that GSK Plc adopts a regular dividend policy. The regular dividend policy is a dividend distribution policy under which a company pays out dividends during every year without fail and same dividends are paid every year despite losses (</w:t>
      </w:r>
      <w:proofErr w:type="spellStart"/>
      <w:r w:rsidRPr="00A147DB">
        <w:rPr>
          <w:rFonts w:ascii="Times New Roman" w:hAnsi="Times New Roman" w:cs="Times New Roman"/>
          <w:sz w:val="28"/>
          <w:szCs w:val="28"/>
        </w:rPr>
        <w:t>Endiana</w:t>
      </w:r>
      <w:proofErr w:type="spellEnd"/>
      <w:r w:rsidRPr="00A147DB">
        <w:rPr>
          <w:rFonts w:ascii="Times New Roman" w:hAnsi="Times New Roman" w:cs="Times New Roman"/>
          <w:sz w:val="28"/>
          <w:szCs w:val="28"/>
        </w:rPr>
        <w:t xml:space="preserve"> and </w:t>
      </w:r>
      <w:proofErr w:type="spellStart"/>
      <w:r w:rsidRPr="00A147DB">
        <w:rPr>
          <w:rFonts w:ascii="Times New Roman" w:hAnsi="Times New Roman" w:cs="Times New Roman"/>
          <w:sz w:val="28"/>
          <w:szCs w:val="28"/>
        </w:rPr>
        <w:t>Hartini</w:t>
      </w:r>
      <w:proofErr w:type="spellEnd"/>
      <w:r w:rsidRPr="00A147DB">
        <w:rPr>
          <w:rFonts w:ascii="Times New Roman" w:hAnsi="Times New Roman" w:cs="Times New Roman"/>
          <w:sz w:val="28"/>
          <w:szCs w:val="28"/>
        </w:rPr>
        <w:t>, 2019). Such a dividend distribution policy is adopted in companies that possess a steady cash flow and has stable earnings. Hence, a strong dividend distribution policy can thus be identified in GSK Plc, thereby indicating that its dividend distribution policy is important to accomplish strong international financial management.</w:t>
      </w:r>
    </w:p>
    <w:p w14:paraId="7442386E" w14:textId="77777777" w:rsidR="00A147DB" w:rsidRPr="00A147DB" w:rsidRDefault="00A147DB" w:rsidP="00A147DB">
      <w:pPr>
        <w:ind w:firstLine="720"/>
        <w:jc w:val="both"/>
        <w:rPr>
          <w:rFonts w:ascii="Times New Roman" w:hAnsi="Times New Roman" w:cs="Times New Roman"/>
          <w:sz w:val="28"/>
          <w:szCs w:val="28"/>
        </w:rPr>
      </w:pPr>
    </w:p>
    <w:p w14:paraId="58D38C65" w14:textId="2B7BBD29"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 xml:space="preserve">In the context of international financial management, another important concept is the concept of efficient market hypothesis. According to </w:t>
      </w:r>
      <w:proofErr w:type="spellStart"/>
      <w:r w:rsidRPr="00A147DB">
        <w:rPr>
          <w:rFonts w:ascii="Times New Roman" w:hAnsi="Times New Roman" w:cs="Times New Roman"/>
          <w:sz w:val="28"/>
          <w:szCs w:val="28"/>
        </w:rPr>
        <w:t>Ehiedu</w:t>
      </w:r>
      <w:proofErr w:type="spellEnd"/>
      <w:r w:rsidRPr="00A147DB">
        <w:rPr>
          <w:rFonts w:ascii="Times New Roman" w:hAnsi="Times New Roman" w:cs="Times New Roman"/>
          <w:sz w:val="28"/>
          <w:szCs w:val="28"/>
        </w:rPr>
        <w:t xml:space="preserve"> and Obi (2022), efficient market hypothesis (EMH) is an investment theory that states that the prices of a company’s financial instruments </w:t>
      </w:r>
      <w:proofErr w:type="gramStart"/>
      <w:r w:rsidRPr="00A147DB">
        <w:rPr>
          <w:rFonts w:ascii="Times New Roman" w:hAnsi="Times New Roman" w:cs="Times New Roman"/>
          <w:sz w:val="28"/>
          <w:szCs w:val="28"/>
        </w:rPr>
        <w:t>turns</w:t>
      </w:r>
      <w:proofErr w:type="gramEnd"/>
      <w:r w:rsidRPr="00A147DB">
        <w:rPr>
          <w:rFonts w:ascii="Times New Roman" w:hAnsi="Times New Roman" w:cs="Times New Roman"/>
          <w:sz w:val="28"/>
          <w:szCs w:val="28"/>
        </w:rPr>
        <w:t xml:space="preserve"> out being a reflector of all its market information available. Hence, the theory states that the current share prices of a company </w:t>
      </w:r>
      <w:proofErr w:type="gramStart"/>
      <w:r w:rsidRPr="00A147DB">
        <w:rPr>
          <w:rFonts w:ascii="Times New Roman" w:hAnsi="Times New Roman" w:cs="Times New Roman"/>
          <w:sz w:val="28"/>
          <w:szCs w:val="28"/>
        </w:rPr>
        <w:t>indicates</w:t>
      </w:r>
      <w:proofErr w:type="gramEnd"/>
      <w:r w:rsidRPr="00A147DB">
        <w:rPr>
          <w:rFonts w:ascii="Times New Roman" w:hAnsi="Times New Roman" w:cs="Times New Roman"/>
          <w:sz w:val="28"/>
          <w:szCs w:val="28"/>
        </w:rPr>
        <w:t xml:space="preserve"> all the existing information about its share prices, thereby making them valued fairly as they are presently valued. However, as per this theory, there are two different types of strategies that a company can adopt as a part of EMH in its operations.</w:t>
      </w:r>
    </w:p>
    <w:p w14:paraId="4514A8A2" w14:textId="77777777" w:rsidR="00A147DB" w:rsidRPr="00A147DB" w:rsidRDefault="00A147DB" w:rsidP="00A147DB">
      <w:pPr>
        <w:ind w:firstLine="720"/>
        <w:jc w:val="both"/>
        <w:rPr>
          <w:rFonts w:ascii="Times New Roman" w:hAnsi="Times New Roman" w:cs="Times New Roman"/>
          <w:sz w:val="28"/>
          <w:szCs w:val="28"/>
        </w:rPr>
      </w:pPr>
    </w:p>
    <w:p w14:paraId="46BDD9E1" w14:textId="4496276B" w:rsid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 xml:space="preserve">These two strategies include active management and passive management. In the context of GSK Plc, the active management strategy is adopted for managing efficient markets. The key reason due to which the passive management strategy is adopted for managing efficient markets is the fact that GSK Plc is a huge company and has a huge portfolio. Due to such a huge portfolio present in the company, there is almost a regular purchase and sale transactions made in its context. Hence, </w:t>
      </w:r>
      <w:proofErr w:type="gramStart"/>
      <w:r w:rsidRPr="00A147DB">
        <w:rPr>
          <w:rFonts w:ascii="Times New Roman" w:hAnsi="Times New Roman" w:cs="Times New Roman"/>
          <w:sz w:val="28"/>
          <w:szCs w:val="28"/>
        </w:rPr>
        <w:t>in spite of</w:t>
      </w:r>
      <w:proofErr w:type="gramEnd"/>
      <w:r w:rsidRPr="00A147DB">
        <w:rPr>
          <w:rFonts w:ascii="Times New Roman" w:hAnsi="Times New Roman" w:cs="Times New Roman"/>
          <w:sz w:val="28"/>
          <w:szCs w:val="28"/>
        </w:rPr>
        <w:t xml:space="preserve"> the passive management strategy being less costly, the company’s management and boards adopts the active management strategy.</w:t>
      </w:r>
    </w:p>
    <w:p w14:paraId="4F73022C" w14:textId="77777777" w:rsidR="00A147DB" w:rsidRPr="00A147DB" w:rsidRDefault="00A147DB" w:rsidP="00A147DB">
      <w:pPr>
        <w:ind w:firstLine="720"/>
        <w:jc w:val="both"/>
        <w:rPr>
          <w:rFonts w:ascii="Times New Roman" w:hAnsi="Times New Roman" w:cs="Times New Roman"/>
          <w:sz w:val="28"/>
          <w:szCs w:val="28"/>
        </w:rPr>
      </w:pPr>
    </w:p>
    <w:p w14:paraId="7C5C68BF" w14:textId="77777777" w:rsidR="00A147DB" w:rsidRPr="00A147DB" w:rsidRDefault="00A147DB" w:rsidP="00A147DB">
      <w:pPr>
        <w:ind w:firstLine="720"/>
        <w:jc w:val="both"/>
        <w:rPr>
          <w:rFonts w:ascii="Times New Roman" w:hAnsi="Times New Roman" w:cs="Times New Roman"/>
          <w:sz w:val="28"/>
          <w:szCs w:val="28"/>
        </w:rPr>
      </w:pPr>
      <w:r w:rsidRPr="00A147DB">
        <w:rPr>
          <w:rFonts w:ascii="Times New Roman" w:hAnsi="Times New Roman" w:cs="Times New Roman"/>
          <w:sz w:val="28"/>
          <w:szCs w:val="28"/>
        </w:rPr>
        <w:t xml:space="preserve">In international financial management of a company, another important factor is investment decisions. The importance of investment decisions is present in international financial management since investment decisions involve high costs and all investment decisions are affected because of factors such as currency exchange risks. In MNCs, investment decisions are also affected because of frequently changing currency controls and unstable market value. According to </w:t>
      </w:r>
      <w:proofErr w:type="spellStart"/>
      <w:r w:rsidRPr="00A147DB">
        <w:rPr>
          <w:rFonts w:ascii="Times New Roman" w:hAnsi="Times New Roman" w:cs="Times New Roman"/>
          <w:sz w:val="28"/>
          <w:szCs w:val="28"/>
        </w:rPr>
        <w:t>Volden</w:t>
      </w:r>
      <w:proofErr w:type="spellEnd"/>
      <w:r w:rsidRPr="00A147DB">
        <w:rPr>
          <w:rFonts w:ascii="Times New Roman" w:hAnsi="Times New Roman" w:cs="Times New Roman"/>
          <w:sz w:val="28"/>
          <w:szCs w:val="28"/>
        </w:rPr>
        <w:t xml:space="preserve"> (2019), a variety of project appraisal methods are used in business organisations for making their investment decisions. In GSK Plc, scenario </w:t>
      </w:r>
      <w:r w:rsidRPr="00A147DB">
        <w:rPr>
          <w:rFonts w:ascii="Times New Roman" w:hAnsi="Times New Roman" w:cs="Times New Roman"/>
          <w:sz w:val="28"/>
          <w:szCs w:val="28"/>
        </w:rPr>
        <w:lastRenderedPageBreak/>
        <w:t>planning as well as net present value is used for making the investment decisions of the company.</w:t>
      </w:r>
    </w:p>
    <w:p w14:paraId="1AB7FB9D" w14:textId="77777777" w:rsidR="00A147DB" w:rsidRDefault="00A147DB" w:rsidP="00A147DB">
      <w:pPr>
        <w:ind w:firstLine="720"/>
        <w:rPr>
          <w:rFonts w:ascii="Times New Roman" w:hAnsi="Times New Roman" w:cs="Times New Roman"/>
          <w:sz w:val="28"/>
          <w:szCs w:val="28"/>
        </w:rPr>
      </w:pPr>
      <w:r w:rsidRPr="00A147DB">
        <w:rPr>
          <w:rFonts w:ascii="Times New Roman" w:hAnsi="Times New Roman" w:cs="Times New Roman"/>
          <w:sz w:val="28"/>
          <w:szCs w:val="28"/>
        </w:rPr>
        <w:t>As stated by Miller et al. (2022), scenario planning is a method used in project appraisal that helps in measuring the sensitivity of the returns of a company’s investment relative to the changes in initial assumptions. In GSK Plc, the usage of this project appraisal method is essential to analyse the opportunities, risks and uncertainties present in the investments of a company. However, the net present value method assists in the calculation of the probable profits that a company can be earning from its projects based on the future cash inflows and outflows from these projects (</w:t>
      </w:r>
      <w:proofErr w:type="spellStart"/>
      <w:r w:rsidRPr="00A147DB">
        <w:rPr>
          <w:rFonts w:ascii="Times New Roman" w:hAnsi="Times New Roman" w:cs="Times New Roman"/>
          <w:sz w:val="28"/>
          <w:szCs w:val="28"/>
        </w:rPr>
        <w:t>Peymankar</w:t>
      </w:r>
      <w:proofErr w:type="spellEnd"/>
      <w:r w:rsidRPr="00A147DB">
        <w:rPr>
          <w:rFonts w:ascii="Times New Roman" w:hAnsi="Times New Roman" w:cs="Times New Roman"/>
          <w:sz w:val="28"/>
          <w:szCs w:val="28"/>
        </w:rPr>
        <w:t xml:space="preserve"> et al., 2021). GSK Plc applies the net present value method to determine the average profits that can be earned in the company from its individual projects by considering its cost of capital. Based on the findings of both these methods, investment decisions are made in the company. Hence, these are the key aspects related to the investment decisions made in GSK Plc.</w:t>
      </w:r>
    </w:p>
    <w:p w14:paraId="6CC52B75" w14:textId="77777777" w:rsidR="00A147DB" w:rsidRDefault="00A147DB" w:rsidP="00A147DB">
      <w:pPr>
        <w:ind w:firstLine="720"/>
        <w:rPr>
          <w:rFonts w:ascii="Times New Roman" w:hAnsi="Times New Roman" w:cs="Times New Roman"/>
          <w:sz w:val="28"/>
          <w:szCs w:val="28"/>
        </w:rPr>
      </w:pPr>
    </w:p>
    <w:p w14:paraId="0645A73D" w14:textId="77777777" w:rsidR="00A147DB" w:rsidRDefault="00A147DB" w:rsidP="00A147DB">
      <w:pPr>
        <w:ind w:firstLine="720"/>
        <w:rPr>
          <w:rFonts w:ascii="Times New Roman" w:hAnsi="Times New Roman" w:cs="Times New Roman"/>
          <w:sz w:val="28"/>
          <w:szCs w:val="28"/>
        </w:rPr>
      </w:pPr>
    </w:p>
    <w:p w14:paraId="5FD95773" w14:textId="77777777" w:rsidR="00A147DB" w:rsidRDefault="00A147DB" w:rsidP="00A147DB">
      <w:pPr>
        <w:rPr>
          <w:rFonts w:ascii="Times New Roman" w:hAnsi="Times New Roman" w:cs="Times New Roman"/>
          <w:b/>
          <w:bCs/>
          <w:sz w:val="36"/>
          <w:szCs w:val="36"/>
        </w:rPr>
      </w:pPr>
    </w:p>
    <w:p w14:paraId="245D0DA7" w14:textId="3EE8C495" w:rsidR="00A147DB" w:rsidRDefault="00A147DB" w:rsidP="00A147DB">
      <w:pPr>
        <w:rPr>
          <w:rFonts w:ascii="Times New Roman" w:hAnsi="Times New Roman" w:cs="Times New Roman"/>
          <w:b/>
          <w:bCs/>
          <w:sz w:val="36"/>
          <w:szCs w:val="36"/>
        </w:rPr>
      </w:pPr>
      <w:r>
        <w:rPr>
          <w:rFonts w:ascii="Times New Roman" w:hAnsi="Times New Roman" w:cs="Times New Roman"/>
          <w:b/>
          <w:bCs/>
          <w:sz w:val="36"/>
          <w:szCs w:val="36"/>
        </w:rPr>
        <w:t>Conclusion</w:t>
      </w:r>
    </w:p>
    <w:p w14:paraId="02CA6D36" w14:textId="2ACC655E" w:rsidR="00A147DB" w:rsidRDefault="00A147DB" w:rsidP="00A147DB">
      <w:pPr>
        <w:rPr>
          <w:rFonts w:ascii="Times New Roman" w:hAnsi="Times New Roman" w:cs="Times New Roman"/>
          <w:b/>
          <w:bCs/>
          <w:sz w:val="36"/>
          <w:szCs w:val="36"/>
        </w:rPr>
      </w:pPr>
    </w:p>
    <w:p w14:paraId="7E599C31" w14:textId="77777777" w:rsidR="00A147DB" w:rsidRDefault="00A147DB" w:rsidP="00A147DB">
      <w:pPr>
        <w:rPr>
          <w:rFonts w:ascii="Times New Roman" w:hAnsi="Times New Roman" w:cs="Times New Roman"/>
          <w:b/>
          <w:bCs/>
          <w:sz w:val="36"/>
          <w:szCs w:val="36"/>
        </w:rPr>
      </w:pPr>
    </w:p>
    <w:p w14:paraId="178E466E" w14:textId="5191E2BB" w:rsidR="00A147DB" w:rsidRDefault="00A147DB" w:rsidP="00A147DB">
      <w:pPr>
        <w:rPr>
          <w:rFonts w:ascii="Times New Roman" w:hAnsi="Times New Roman" w:cs="Times New Roman"/>
          <w:sz w:val="28"/>
          <w:szCs w:val="28"/>
        </w:rPr>
      </w:pPr>
      <w:r>
        <w:tab/>
      </w:r>
      <w:r w:rsidRPr="00A147DB">
        <w:rPr>
          <w:rFonts w:ascii="Times New Roman" w:hAnsi="Times New Roman" w:cs="Times New Roman"/>
          <w:sz w:val="28"/>
          <w:szCs w:val="28"/>
        </w:rPr>
        <w:t xml:space="preserve">Hence, the study helped in concluding that </w:t>
      </w:r>
      <w:proofErr w:type="gramStart"/>
      <w:r w:rsidRPr="00A147DB">
        <w:rPr>
          <w:rFonts w:ascii="Times New Roman" w:hAnsi="Times New Roman" w:cs="Times New Roman"/>
          <w:sz w:val="28"/>
          <w:szCs w:val="28"/>
        </w:rPr>
        <w:t>similar to</w:t>
      </w:r>
      <w:proofErr w:type="gramEnd"/>
      <w:r w:rsidRPr="00A147DB">
        <w:rPr>
          <w:rFonts w:ascii="Times New Roman" w:hAnsi="Times New Roman" w:cs="Times New Roman"/>
          <w:sz w:val="28"/>
          <w:szCs w:val="28"/>
        </w:rPr>
        <w:t xml:space="preserve"> GSK Plc, international financial management is important in a range of organisations, specifically large MNCs. Foreign exchange risks and agency problems could be identified as the two key challenges of GSK Plc in international markets. The company could be identified to follow a regular dividend policy, which is a part of its international financial management strategy. Besides this, the efficient hypothesis theory helped in identifying that the organisation adopts an active management strategy instead of a passive management strategy even though active management is a costly strategy. Besides this, net present value and scenario planning could be recognised as the two major project appraisal techniques, which are adopted in GSK Plc.</w:t>
      </w:r>
    </w:p>
    <w:p w14:paraId="64B40802" w14:textId="69A41A07" w:rsidR="00A147DB" w:rsidRDefault="00A147DB" w:rsidP="00A147DB">
      <w:pPr>
        <w:rPr>
          <w:rFonts w:ascii="Times New Roman" w:hAnsi="Times New Roman" w:cs="Times New Roman"/>
          <w:sz w:val="28"/>
          <w:szCs w:val="28"/>
        </w:rPr>
      </w:pPr>
    </w:p>
    <w:p w14:paraId="57876E8F" w14:textId="01A952FF" w:rsidR="00A147DB" w:rsidRDefault="00A147DB" w:rsidP="00A147DB">
      <w:pPr>
        <w:rPr>
          <w:rFonts w:ascii="Times New Roman" w:hAnsi="Times New Roman" w:cs="Times New Roman"/>
          <w:sz w:val="28"/>
          <w:szCs w:val="28"/>
        </w:rPr>
      </w:pPr>
    </w:p>
    <w:p w14:paraId="57E1BB74" w14:textId="09E1418A" w:rsidR="00A147DB" w:rsidRDefault="00A147DB" w:rsidP="00A147DB">
      <w:pPr>
        <w:rPr>
          <w:rFonts w:ascii="Times New Roman" w:hAnsi="Times New Roman" w:cs="Times New Roman"/>
          <w:sz w:val="28"/>
          <w:szCs w:val="28"/>
        </w:rPr>
      </w:pPr>
    </w:p>
    <w:p w14:paraId="219BF565" w14:textId="7721E83F" w:rsidR="00A147DB" w:rsidRDefault="00A147DB" w:rsidP="00A147DB">
      <w:pPr>
        <w:rPr>
          <w:rFonts w:ascii="Times New Roman" w:hAnsi="Times New Roman" w:cs="Times New Roman"/>
          <w:sz w:val="28"/>
          <w:szCs w:val="28"/>
        </w:rPr>
      </w:pPr>
    </w:p>
    <w:p w14:paraId="6AD7C0CE" w14:textId="720C8BDB" w:rsidR="00A147DB" w:rsidRDefault="00A147DB" w:rsidP="00A147DB">
      <w:pPr>
        <w:rPr>
          <w:rFonts w:ascii="Times New Roman" w:hAnsi="Times New Roman" w:cs="Times New Roman"/>
          <w:sz w:val="28"/>
          <w:szCs w:val="28"/>
        </w:rPr>
      </w:pPr>
    </w:p>
    <w:p w14:paraId="665E357C" w14:textId="4736C9A9" w:rsidR="00A147DB" w:rsidRDefault="00A147DB" w:rsidP="00A147DB">
      <w:pPr>
        <w:rPr>
          <w:rFonts w:ascii="Times New Roman" w:hAnsi="Times New Roman" w:cs="Times New Roman"/>
          <w:sz w:val="28"/>
          <w:szCs w:val="28"/>
        </w:rPr>
      </w:pPr>
    </w:p>
    <w:p w14:paraId="1BE33CA7" w14:textId="779A877D" w:rsidR="00A147DB" w:rsidRDefault="00A147DB" w:rsidP="00A147DB">
      <w:pPr>
        <w:rPr>
          <w:rFonts w:ascii="Times New Roman" w:hAnsi="Times New Roman" w:cs="Times New Roman"/>
          <w:sz w:val="28"/>
          <w:szCs w:val="28"/>
        </w:rPr>
      </w:pPr>
    </w:p>
    <w:p w14:paraId="7E4CC8C8" w14:textId="62BFA2F4" w:rsidR="00A147DB" w:rsidRDefault="00A147DB" w:rsidP="00A147DB">
      <w:pPr>
        <w:rPr>
          <w:rFonts w:ascii="Times New Roman" w:hAnsi="Times New Roman" w:cs="Times New Roman"/>
          <w:sz w:val="28"/>
          <w:szCs w:val="28"/>
        </w:rPr>
      </w:pPr>
    </w:p>
    <w:p w14:paraId="6CDB660C" w14:textId="37E6BA6B" w:rsidR="00A147DB" w:rsidRDefault="00A147DB" w:rsidP="00A147DB">
      <w:pPr>
        <w:rPr>
          <w:rFonts w:ascii="Times New Roman" w:hAnsi="Times New Roman" w:cs="Times New Roman"/>
          <w:sz w:val="28"/>
          <w:szCs w:val="28"/>
        </w:rPr>
      </w:pPr>
    </w:p>
    <w:p w14:paraId="298A6F9E" w14:textId="77777777" w:rsidR="00A147DB" w:rsidRPr="00A147DB" w:rsidRDefault="00A147DB" w:rsidP="00A147DB">
      <w:pPr>
        <w:rPr>
          <w:rFonts w:ascii="Times New Roman" w:eastAsia="Times New Roman" w:hAnsi="Times New Roman" w:cs="Times New Roman"/>
          <w:color w:val="000000" w:themeColor="text1"/>
          <w:sz w:val="28"/>
          <w:szCs w:val="28"/>
          <w:lang w:eastAsia="en-GB"/>
        </w:rPr>
      </w:pPr>
    </w:p>
    <w:p w14:paraId="28A25CA5" w14:textId="601A298C" w:rsidR="00A147DB" w:rsidRDefault="00A147DB" w:rsidP="00A147DB">
      <w:pPr>
        <w:jc w:val="center"/>
        <w:rPr>
          <w:rFonts w:ascii="Times New Roman" w:eastAsia="Times New Roman" w:hAnsi="Times New Roman" w:cs="Times New Roman"/>
          <w:b/>
          <w:bCs/>
          <w:color w:val="000000" w:themeColor="text1"/>
          <w:sz w:val="40"/>
          <w:szCs w:val="40"/>
          <w:lang w:eastAsia="en-GB"/>
        </w:rPr>
      </w:pPr>
      <w:r>
        <w:rPr>
          <w:rFonts w:ascii="Times New Roman" w:eastAsia="Times New Roman" w:hAnsi="Times New Roman" w:cs="Times New Roman"/>
          <w:b/>
          <w:bCs/>
          <w:color w:val="000000" w:themeColor="text1"/>
          <w:sz w:val="40"/>
          <w:szCs w:val="40"/>
          <w:lang w:eastAsia="en-GB"/>
        </w:rPr>
        <w:lastRenderedPageBreak/>
        <w:t>REFERENCES</w:t>
      </w:r>
    </w:p>
    <w:p w14:paraId="66B8D1AC" w14:textId="5B50B050" w:rsidR="00A147DB" w:rsidRDefault="00A147DB" w:rsidP="00A147DB">
      <w:pPr>
        <w:jc w:val="center"/>
        <w:rPr>
          <w:rFonts w:ascii="Times New Roman" w:eastAsia="Times New Roman" w:hAnsi="Times New Roman" w:cs="Times New Roman"/>
          <w:b/>
          <w:bCs/>
          <w:color w:val="000000" w:themeColor="text1"/>
          <w:sz w:val="40"/>
          <w:szCs w:val="40"/>
          <w:lang w:eastAsia="en-GB"/>
        </w:rPr>
      </w:pPr>
    </w:p>
    <w:p w14:paraId="3AC9F4FB" w14:textId="273D793F" w:rsidR="00A147DB" w:rsidRPr="00A147DB" w:rsidRDefault="00A147DB" w:rsidP="00A147DB">
      <w:pPr>
        <w:jc w:val="both"/>
        <w:rPr>
          <w:sz w:val="28"/>
          <w:szCs w:val="28"/>
        </w:rPr>
      </w:pPr>
      <w:proofErr w:type="spellStart"/>
      <w:r w:rsidRPr="00A147DB">
        <w:rPr>
          <w:sz w:val="28"/>
          <w:szCs w:val="28"/>
        </w:rPr>
        <w:t>Ehiedu</w:t>
      </w:r>
      <w:proofErr w:type="spellEnd"/>
      <w:r w:rsidRPr="00A147DB">
        <w:rPr>
          <w:sz w:val="28"/>
          <w:szCs w:val="28"/>
        </w:rPr>
        <w:t xml:space="preserve">, V.C. and Obi, K.C. (2022) Efficient market hypothesis (EMH) and the Nigerian stock exchange </w:t>
      </w:r>
      <w:proofErr w:type="gramStart"/>
      <w:r w:rsidRPr="00A147DB">
        <w:rPr>
          <w:sz w:val="28"/>
          <w:szCs w:val="28"/>
        </w:rPr>
        <w:t>in the midst of</w:t>
      </w:r>
      <w:proofErr w:type="gramEnd"/>
      <w:r w:rsidRPr="00A147DB">
        <w:rPr>
          <w:sz w:val="28"/>
          <w:szCs w:val="28"/>
        </w:rPr>
        <w:t xml:space="preserve"> global financial crises. </w:t>
      </w:r>
      <w:r w:rsidRPr="00A147DB">
        <w:rPr>
          <w:i/>
          <w:iCs/>
          <w:sz w:val="28"/>
          <w:szCs w:val="28"/>
        </w:rPr>
        <w:t>International Journal of Academic Management Science Research (IJAMSR)</w:t>
      </w:r>
      <w:r w:rsidRPr="00A147DB">
        <w:rPr>
          <w:sz w:val="28"/>
          <w:szCs w:val="28"/>
        </w:rPr>
        <w:t>, </w:t>
      </w:r>
      <w:r w:rsidRPr="00A147DB">
        <w:rPr>
          <w:i/>
          <w:iCs/>
          <w:sz w:val="28"/>
          <w:szCs w:val="28"/>
        </w:rPr>
        <w:t>6</w:t>
      </w:r>
      <w:r w:rsidRPr="00A147DB">
        <w:rPr>
          <w:sz w:val="28"/>
          <w:szCs w:val="28"/>
        </w:rPr>
        <w:t>(8), pp.263-273.</w:t>
      </w:r>
    </w:p>
    <w:p w14:paraId="7C612366" w14:textId="77777777" w:rsidR="00A147DB" w:rsidRPr="00A147DB" w:rsidRDefault="00A147DB" w:rsidP="00A147DB">
      <w:pPr>
        <w:jc w:val="both"/>
        <w:rPr>
          <w:sz w:val="28"/>
          <w:szCs w:val="28"/>
        </w:rPr>
      </w:pPr>
    </w:p>
    <w:p w14:paraId="70C824E9" w14:textId="35980521" w:rsidR="00A147DB" w:rsidRPr="00A147DB" w:rsidRDefault="00A147DB" w:rsidP="00A147DB">
      <w:pPr>
        <w:jc w:val="both"/>
        <w:rPr>
          <w:sz w:val="28"/>
          <w:szCs w:val="28"/>
        </w:rPr>
      </w:pPr>
      <w:proofErr w:type="spellStart"/>
      <w:r w:rsidRPr="00A147DB">
        <w:rPr>
          <w:sz w:val="28"/>
          <w:szCs w:val="28"/>
        </w:rPr>
        <w:t>Endiana</w:t>
      </w:r>
      <w:proofErr w:type="spellEnd"/>
      <w:r w:rsidRPr="00A147DB">
        <w:rPr>
          <w:sz w:val="28"/>
          <w:szCs w:val="28"/>
        </w:rPr>
        <w:t xml:space="preserve">, I.D.M. and </w:t>
      </w:r>
      <w:proofErr w:type="spellStart"/>
      <w:r w:rsidRPr="00A147DB">
        <w:rPr>
          <w:sz w:val="28"/>
          <w:szCs w:val="28"/>
        </w:rPr>
        <w:t>Hartini</w:t>
      </w:r>
      <w:proofErr w:type="spellEnd"/>
      <w:r w:rsidRPr="00A147DB">
        <w:rPr>
          <w:sz w:val="28"/>
          <w:szCs w:val="28"/>
        </w:rPr>
        <w:t xml:space="preserve">, M.L.S. (2019) Determinants Insider Ownership </w:t>
      </w:r>
      <w:proofErr w:type="gramStart"/>
      <w:r w:rsidRPr="00A147DB">
        <w:rPr>
          <w:sz w:val="28"/>
          <w:szCs w:val="28"/>
        </w:rPr>
        <w:t>In</w:t>
      </w:r>
      <w:proofErr w:type="gramEnd"/>
      <w:r w:rsidRPr="00A147DB">
        <w:rPr>
          <w:sz w:val="28"/>
          <w:szCs w:val="28"/>
        </w:rPr>
        <w:t xml:space="preserve"> Capital Structure To Initiation Of Dividend Policy In Initial Public Offering. </w:t>
      </w:r>
      <w:r w:rsidRPr="00A147DB">
        <w:rPr>
          <w:i/>
          <w:iCs/>
          <w:sz w:val="28"/>
          <w:szCs w:val="28"/>
        </w:rPr>
        <w:t xml:space="preserve">International Journal </w:t>
      </w:r>
      <w:proofErr w:type="gramStart"/>
      <w:r w:rsidRPr="00A147DB">
        <w:rPr>
          <w:i/>
          <w:iCs/>
          <w:sz w:val="28"/>
          <w:szCs w:val="28"/>
        </w:rPr>
        <w:t>Of</w:t>
      </w:r>
      <w:proofErr w:type="gramEnd"/>
      <w:r w:rsidRPr="00A147DB">
        <w:rPr>
          <w:i/>
          <w:iCs/>
          <w:sz w:val="28"/>
          <w:szCs w:val="28"/>
        </w:rPr>
        <w:t xml:space="preserve"> Sustainability, Education, And Global Creative Economic (IJSEGCE)</w:t>
      </w:r>
      <w:r w:rsidRPr="00A147DB">
        <w:rPr>
          <w:sz w:val="28"/>
          <w:szCs w:val="28"/>
        </w:rPr>
        <w:t>, </w:t>
      </w:r>
      <w:r w:rsidRPr="00A147DB">
        <w:rPr>
          <w:i/>
          <w:iCs/>
          <w:sz w:val="28"/>
          <w:szCs w:val="28"/>
        </w:rPr>
        <w:t>2</w:t>
      </w:r>
      <w:r w:rsidRPr="00A147DB">
        <w:rPr>
          <w:sz w:val="28"/>
          <w:szCs w:val="28"/>
        </w:rPr>
        <w:t>(2), pp.60-64.</w:t>
      </w:r>
    </w:p>
    <w:p w14:paraId="24098D3F" w14:textId="77777777" w:rsidR="00A147DB" w:rsidRPr="00A147DB" w:rsidRDefault="00A147DB" w:rsidP="00A147DB">
      <w:pPr>
        <w:jc w:val="both"/>
        <w:rPr>
          <w:sz w:val="28"/>
          <w:szCs w:val="28"/>
        </w:rPr>
      </w:pPr>
    </w:p>
    <w:p w14:paraId="493CF5C8" w14:textId="1D7C5D97" w:rsidR="00A147DB" w:rsidRPr="00A147DB" w:rsidRDefault="00A147DB" w:rsidP="00A147DB">
      <w:pPr>
        <w:jc w:val="both"/>
        <w:rPr>
          <w:sz w:val="28"/>
          <w:szCs w:val="28"/>
        </w:rPr>
      </w:pPr>
      <w:r w:rsidRPr="00A147DB">
        <w:rPr>
          <w:sz w:val="28"/>
          <w:szCs w:val="28"/>
        </w:rPr>
        <w:t xml:space="preserve">GSK. (2021) </w:t>
      </w:r>
      <w:r w:rsidRPr="00A147DB">
        <w:rPr>
          <w:i/>
          <w:iCs/>
          <w:sz w:val="28"/>
          <w:szCs w:val="28"/>
        </w:rPr>
        <w:t>Annual report 2021</w:t>
      </w:r>
      <w:r w:rsidRPr="00A147DB">
        <w:rPr>
          <w:sz w:val="28"/>
          <w:szCs w:val="28"/>
        </w:rPr>
        <w:t xml:space="preserve">, </w:t>
      </w:r>
      <w:r w:rsidRPr="00A147DB">
        <w:rPr>
          <w:i/>
          <w:iCs/>
          <w:sz w:val="28"/>
          <w:szCs w:val="28"/>
        </w:rPr>
        <w:t>GSK</w:t>
      </w:r>
      <w:r w:rsidRPr="00A147DB">
        <w:rPr>
          <w:sz w:val="28"/>
          <w:szCs w:val="28"/>
        </w:rPr>
        <w:t xml:space="preserve">. Available at: https://www.gsk.com/en-gb/investors/financial-reports/annual-report-2021/ (Accessed: January 12, 2023). </w:t>
      </w:r>
    </w:p>
    <w:p w14:paraId="471F2A12" w14:textId="77777777" w:rsidR="00A147DB" w:rsidRPr="00A147DB" w:rsidRDefault="00A147DB" w:rsidP="00A147DB">
      <w:pPr>
        <w:jc w:val="both"/>
        <w:rPr>
          <w:sz w:val="28"/>
          <w:szCs w:val="28"/>
        </w:rPr>
      </w:pPr>
    </w:p>
    <w:p w14:paraId="42ADCC4D" w14:textId="119DC192" w:rsidR="00A147DB" w:rsidRPr="00A147DB" w:rsidRDefault="00A147DB" w:rsidP="00A147DB">
      <w:pPr>
        <w:jc w:val="both"/>
        <w:rPr>
          <w:sz w:val="28"/>
          <w:szCs w:val="28"/>
        </w:rPr>
      </w:pPr>
      <w:r w:rsidRPr="00A147DB">
        <w:rPr>
          <w:sz w:val="28"/>
          <w:szCs w:val="28"/>
        </w:rPr>
        <w:t xml:space="preserve">GSK. (2022) </w:t>
      </w:r>
      <w:r w:rsidRPr="00A147DB">
        <w:rPr>
          <w:i/>
          <w:iCs/>
          <w:sz w:val="28"/>
          <w:szCs w:val="28"/>
        </w:rPr>
        <w:t>History and heritage</w:t>
      </w:r>
      <w:r w:rsidRPr="00A147DB">
        <w:rPr>
          <w:sz w:val="28"/>
          <w:szCs w:val="28"/>
        </w:rPr>
        <w:t xml:space="preserve">, </w:t>
      </w:r>
      <w:r w:rsidRPr="00A147DB">
        <w:rPr>
          <w:i/>
          <w:iCs/>
          <w:sz w:val="28"/>
          <w:szCs w:val="28"/>
        </w:rPr>
        <w:t>GSK</w:t>
      </w:r>
      <w:r w:rsidRPr="00A147DB">
        <w:rPr>
          <w:sz w:val="28"/>
          <w:szCs w:val="28"/>
        </w:rPr>
        <w:t xml:space="preserve">. Available at: https://www.gsk.com/en-gb/company/history-and-heritage/ (Accessed: January 12, 2023). </w:t>
      </w:r>
    </w:p>
    <w:p w14:paraId="6C17A706" w14:textId="77777777" w:rsidR="00A147DB" w:rsidRPr="00A147DB" w:rsidRDefault="00A147DB" w:rsidP="00A147DB">
      <w:pPr>
        <w:jc w:val="both"/>
        <w:rPr>
          <w:sz w:val="28"/>
          <w:szCs w:val="28"/>
        </w:rPr>
      </w:pPr>
    </w:p>
    <w:p w14:paraId="20838D3A" w14:textId="626F78BB" w:rsidR="00A147DB" w:rsidRPr="00A147DB" w:rsidRDefault="00A147DB" w:rsidP="00A147DB">
      <w:pPr>
        <w:jc w:val="both"/>
        <w:rPr>
          <w:sz w:val="28"/>
          <w:szCs w:val="28"/>
        </w:rPr>
      </w:pPr>
      <w:r w:rsidRPr="00A147DB">
        <w:rPr>
          <w:sz w:val="28"/>
          <w:szCs w:val="28"/>
        </w:rPr>
        <w:t xml:space="preserve">GSK. (2022) </w:t>
      </w:r>
      <w:r w:rsidRPr="00A147DB">
        <w:rPr>
          <w:i/>
          <w:iCs/>
          <w:sz w:val="28"/>
          <w:szCs w:val="28"/>
        </w:rPr>
        <w:t>Purpose, strategy and culture</w:t>
      </w:r>
      <w:r w:rsidRPr="00A147DB">
        <w:rPr>
          <w:sz w:val="28"/>
          <w:szCs w:val="28"/>
        </w:rPr>
        <w:t xml:space="preserve">, </w:t>
      </w:r>
      <w:r w:rsidRPr="00A147DB">
        <w:rPr>
          <w:i/>
          <w:iCs/>
          <w:sz w:val="28"/>
          <w:szCs w:val="28"/>
        </w:rPr>
        <w:t>GSK</w:t>
      </w:r>
      <w:r w:rsidRPr="00A147DB">
        <w:rPr>
          <w:sz w:val="28"/>
          <w:szCs w:val="28"/>
        </w:rPr>
        <w:t xml:space="preserve">. Available at: https://www.gsk.com/en-gb/company/purpose-strategy-and-culture/ (Accessed: January 12, 2023). </w:t>
      </w:r>
    </w:p>
    <w:p w14:paraId="697778F8" w14:textId="77777777" w:rsidR="00A147DB" w:rsidRPr="00A147DB" w:rsidRDefault="00A147DB" w:rsidP="00A147DB">
      <w:pPr>
        <w:jc w:val="both"/>
        <w:rPr>
          <w:sz w:val="28"/>
          <w:szCs w:val="28"/>
        </w:rPr>
      </w:pPr>
    </w:p>
    <w:p w14:paraId="71CDA915" w14:textId="2768B689" w:rsidR="00A147DB" w:rsidRPr="00A147DB" w:rsidRDefault="00A147DB" w:rsidP="00A147DB">
      <w:pPr>
        <w:jc w:val="both"/>
        <w:rPr>
          <w:sz w:val="28"/>
          <w:szCs w:val="28"/>
        </w:rPr>
      </w:pPr>
      <w:r w:rsidRPr="00A147DB">
        <w:rPr>
          <w:sz w:val="28"/>
          <w:szCs w:val="28"/>
        </w:rPr>
        <w:t>KANAKRIYAH, R. (2020) Dividend policy and companies' financial performance. </w:t>
      </w:r>
      <w:r w:rsidRPr="00A147DB">
        <w:rPr>
          <w:i/>
          <w:iCs/>
          <w:sz w:val="28"/>
          <w:szCs w:val="28"/>
        </w:rPr>
        <w:t>The Journal of Asian Finance, Economics and Business</w:t>
      </w:r>
      <w:r w:rsidRPr="00A147DB">
        <w:rPr>
          <w:sz w:val="28"/>
          <w:szCs w:val="28"/>
        </w:rPr>
        <w:t>, </w:t>
      </w:r>
      <w:r w:rsidRPr="00A147DB">
        <w:rPr>
          <w:i/>
          <w:iCs/>
          <w:sz w:val="28"/>
          <w:szCs w:val="28"/>
        </w:rPr>
        <w:t>7</w:t>
      </w:r>
      <w:r w:rsidRPr="00A147DB">
        <w:rPr>
          <w:sz w:val="28"/>
          <w:szCs w:val="28"/>
        </w:rPr>
        <w:t>(10), pp.531-541.</w:t>
      </w:r>
    </w:p>
    <w:p w14:paraId="772F6395" w14:textId="77777777" w:rsidR="00A147DB" w:rsidRPr="00A147DB" w:rsidRDefault="00A147DB" w:rsidP="00A147DB">
      <w:pPr>
        <w:jc w:val="both"/>
        <w:rPr>
          <w:sz w:val="28"/>
          <w:szCs w:val="28"/>
        </w:rPr>
      </w:pPr>
    </w:p>
    <w:p w14:paraId="79DC819D" w14:textId="700C45B5" w:rsidR="00A147DB" w:rsidRPr="00A147DB" w:rsidRDefault="00A147DB" w:rsidP="00A147DB">
      <w:pPr>
        <w:jc w:val="both"/>
        <w:rPr>
          <w:sz w:val="28"/>
          <w:szCs w:val="28"/>
        </w:rPr>
      </w:pPr>
      <w:r w:rsidRPr="00A147DB">
        <w:rPr>
          <w:sz w:val="28"/>
          <w:szCs w:val="28"/>
        </w:rPr>
        <w:t>Madura, J. (2020) </w:t>
      </w:r>
      <w:r w:rsidRPr="00A147DB">
        <w:rPr>
          <w:i/>
          <w:iCs/>
          <w:sz w:val="28"/>
          <w:szCs w:val="28"/>
        </w:rPr>
        <w:t>International financial management</w:t>
      </w:r>
      <w:r w:rsidRPr="00A147DB">
        <w:rPr>
          <w:sz w:val="28"/>
          <w:szCs w:val="28"/>
        </w:rPr>
        <w:t>. Cengage Learning.</w:t>
      </w:r>
    </w:p>
    <w:p w14:paraId="21DB3741" w14:textId="77777777" w:rsidR="00A147DB" w:rsidRPr="00A147DB" w:rsidRDefault="00A147DB" w:rsidP="00A147DB">
      <w:pPr>
        <w:jc w:val="both"/>
        <w:rPr>
          <w:sz w:val="28"/>
          <w:szCs w:val="28"/>
        </w:rPr>
      </w:pPr>
    </w:p>
    <w:p w14:paraId="1B654EF6" w14:textId="71E36DE2" w:rsidR="00A147DB" w:rsidRPr="00A147DB" w:rsidRDefault="00A147DB" w:rsidP="00A147DB">
      <w:pPr>
        <w:jc w:val="both"/>
        <w:rPr>
          <w:sz w:val="28"/>
          <w:szCs w:val="28"/>
        </w:rPr>
      </w:pPr>
      <w:r w:rsidRPr="00A147DB">
        <w:rPr>
          <w:sz w:val="28"/>
          <w:szCs w:val="28"/>
        </w:rPr>
        <w:t xml:space="preserve">Miller, J.S., Flynn, D.F., </w:t>
      </w:r>
      <w:proofErr w:type="spellStart"/>
      <w:r w:rsidRPr="00A147DB">
        <w:rPr>
          <w:sz w:val="28"/>
          <w:szCs w:val="28"/>
        </w:rPr>
        <w:t>Englin</w:t>
      </w:r>
      <w:proofErr w:type="spellEnd"/>
      <w:r w:rsidRPr="00A147DB">
        <w:rPr>
          <w:sz w:val="28"/>
          <w:szCs w:val="28"/>
        </w:rPr>
        <w:t xml:space="preserve">, E., Raw, J., Adel, S.H. and </w:t>
      </w:r>
      <w:proofErr w:type="spellStart"/>
      <w:r w:rsidRPr="00A147DB">
        <w:rPr>
          <w:sz w:val="28"/>
          <w:szCs w:val="28"/>
        </w:rPr>
        <w:t>Dougald</w:t>
      </w:r>
      <w:proofErr w:type="spellEnd"/>
      <w:r w:rsidRPr="00A147DB">
        <w:rPr>
          <w:sz w:val="28"/>
          <w:szCs w:val="28"/>
        </w:rPr>
        <w:t>, L.E. (2022) </w:t>
      </w:r>
      <w:r w:rsidRPr="00A147DB">
        <w:rPr>
          <w:i/>
          <w:iCs/>
          <w:sz w:val="28"/>
          <w:szCs w:val="28"/>
        </w:rPr>
        <w:t xml:space="preserve">Feasibility of Adapting </w:t>
      </w:r>
      <w:proofErr w:type="spellStart"/>
      <w:r w:rsidRPr="00A147DB">
        <w:rPr>
          <w:i/>
          <w:iCs/>
          <w:sz w:val="28"/>
          <w:szCs w:val="28"/>
        </w:rPr>
        <w:t>VisionEval</w:t>
      </w:r>
      <w:proofErr w:type="spellEnd"/>
      <w:r w:rsidRPr="00A147DB">
        <w:rPr>
          <w:i/>
          <w:iCs/>
          <w:sz w:val="28"/>
          <w:szCs w:val="28"/>
        </w:rPr>
        <w:t xml:space="preserve"> for Scenario Planning</w:t>
      </w:r>
      <w:r w:rsidRPr="00A147DB">
        <w:rPr>
          <w:sz w:val="28"/>
          <w:szCs w:val="28"/>
        </w:rPr>
        <w:t> (No. FHWA/VTRC 22-R21). Virginia Transportation Research Council (VTRC).</w:t>
      </w:r>
    </w:p>
    <w:p w14:paraId="3CFB7CED" w14:textId="77777777" w:rsidR="00A147DB" w:rsidRPr="00A147DB" w:rsidRDefault="00A147DB" w:rsidP="00A147DB">
      <w:pPr>
        <w:jc w:val="both"/>
        <w:rPr>
          <w:sz w:val="28"/>
          <w:szCs w:val="28"/>
        </w:rPr>
      </w:pPr>
    </w:p>
    <w:p w14:paraId="1892EEA3" w14:textId="16F45376" w:rsidR="00A147DB" w:rsidRPr="00A147DB" w:rsidRDefault="00A147DB" w:rsidP="00A147DB">
      <w:pPr>
        <w:jc w:val="both"/>
        <w:rPr>
          <w:sz w:val="28"/>
          <w:szCs w:val="28"/>
        </w:rPr>
      </w:pPr>
      <w:r w:rsidRPr="00A147DB">
        <w:rPr>
          <w:sz w:val="28"/>
          <w:szCs w:val="28"/>
        </w:rPr>
        <w:t>Mitnick, B.M. (2019) Origin of the theory of agency: an account by one of the theory's originators. </w:t>
      </w:r>
      <w:r w:rsidRPr="00A147DB">
        <w:rPr>
          <w:i/>
          <w:iCs/>
          <w:sz w:val="28"/>
          <w:szCs w:val="28"/>
        </w:rPr>
        <w:t>Available at SSRN 1020378</w:t>
      </w:r>
      <w:r w:rsidRPr="00A147DB">
        <w:rPr>
          <w:sz w:val="28"/>
          <w:szCs w:val="28"/>
        </w:rPr>
        <w:t>.</w:t>
      </w:r>
    </w:p>
    <w:p w14:paraId="363294A8" w14:textId="77777777" w:rsidR="00A147DB" w:rsidRPr="00A147DB" w:rsidRDefault="00A147DB" w:rsidP="00A147DB">
      <w:pPr>
        <w:jc w:val="both"/>
        <w:rPr>
          <w:sz w:val="28"/>
          <w:szCs w:val="28"/>
        </w:rPr>
      </w:pPr>
    </w:p>
    <w:p w14:paraId="57D9B0B1" w14:textId="4D7DD31D" w:rsidR="00A147DB" w:rsidRPr="00A147DB" w:rsidRDefault="00A147DB" w:rsidP="00A147DB">
      <w:pPr>
        <w:jc w:val="both"/>
        <w:rPr>
          <w:sz w:val="28"/>
          <w:szCs w:val="28"/>
        </w:rPr>
      </w:pPr>
      <w:proofErr w:type="spellStart"/>
      <w:r w:rsidRPr="00A147DB">
        <w:rPr>
          <w:sz w:val="28"/>
          <w:szCs w:val="28"/>
        </w:rPr>
        <w:t>Peymankar</w:t>
      </w:r>
      <w:proofErr w:type="spellEnd"/>
      <w:r w:rsidRPr="00A147DB">
        <w:rPr>
          <w:sz w:val="28"/>
          <w:szCs w:val="28"/>
        </w:rPr>
        <w:t xml:space="preserve">, M., </w:t>
      </w:r>
      <w:proofErr w:type="spellStart"/>
      <w:r w:rsidRPr="00A147DB">
        <w:rPr>
          <w:sz w:val="28"/>
          <w:szCs w:val="28"/>
        </w:rPr>
        <w:t>Davari</w:t>
      </w:r>
      <w:proofErr w:type="spellEnd"/>
      <w:r w:rsidRPr="00A147DB">
        <w:rPr>
          <w:sz w:val="28"/>
          <w:szCs w:val="28"/>
        </w:rPr>
        <w:t xml:space="preserve">, M. and </w:t>
      </w:r>
      <w:proofErr w:type="spellStart"/>
      <w:r w:rsidRPr="00A147DB">
        <w:rPr>
          <w:sz w:val="28"/>
          <w:szCs w:val="28"/>
        </w:rPr>
        <w:t>Ranjbar</w:t>
      </w:r>
      <w:proofErr w:type="spellEnd"/>
      <w:r w:rsidRPr="00A147DB">
        <w:rPr>
          <w:sz w:val="28"/>
          <w:szCs w:val="28"/>
        </w:rPr>
        <w:t>, M. (2021) Maximizing the expected net present value in a project with uncertain cash flows. </w:t>
      </w:r>
      <w:r w:rsidRPr="00A147DB">
        <w:rPr>
          <w:i/>
          <w:iCs/>
          <w:sz w:val="28"/>
          <w:szCs w:val="28"/>
        </w:rPr>
        <w:t>European Journal of Operational Research</w:t>
      </w:r>
      <w:r w:rsidRPr="00A147DB">
        <w:rPr>
          <w:sz w:val="28"/>
          <w:szCs w:val="28"/>
        </w:rPr>
        <w:t>, </w:t>
      </w:r>
      <w:r w:rsidRPr="00A147DB">
        <w:rPr>
          <w:i/>
          <w:iCs/>
          <w:sz w:val="28"/>
          <w:szCs w:val="28"/>
        </w:rPr>
        <w:t>294</w:t>
      </w:r>
      <w:r w:rsidRPr="00A147DB">
        <w:rPr>
          <w:sz w:val="28"/>
          <w:szCs w:val="28"/>
        </w:rPr>
        <w:t>(2), pp.442-452.</w:t>
      </w:r>
    </w:p>
    <w:p w14:paraId="6F18D075" w14:textId="77777777" w:rsidR="00A147DB" w:rsidRPr="00A147DB" w:rsidRDefault="00A147DB" w:rsidP="00A147DB">
      <w:pPr>
        <w:jc w:val="both"/>
        <w:rPr>
          <w:sz w:val="28"/>
          <w:szCs w:val="28"/>
        </w:rPr>
      </w:pPr>
    </w:p>
    <w:p w14:paraId="555C4918" w14:textId="2601F8F0" w:rsidR="00A147DB" w:rsidRPr="00A147DB" w:rsidRDefault="00A147DB" w:rsidP="00A147DB">
      <w:pPr>
        <w:jc w:val="both"/>
        <w:rPr>
          <w:sz w:val="28"/>
          <w:szCs w:val="28"/>
        </w:rPr>
      </w:pPr>
      <w:proofErr w:type="spellStart"/>
      <w:r w:rsidRPr="00A147DB">
        <w:rPr>
          <w:sz w:val="28"/>
          <w:szCs w:val="28"/>
        </w:rPr>
        <w:lastRenderedPageBreak/>
        <w:t>Skabeeva</w:t>
      </w:r>
      <w:proofErr w:type="spellEnd"/>
      <w:r w:rsidRPr="00A147DB">
        <w:rPr>
          <w:sz w:val="28"/>
          <w:szCs w:val="28"/>
        </w:rPr>
        <w:t xml:space="preserve">, L., </w:t>
      </w:r>
      <w:proofErr w:type="spellStart"/>
      <w:r w:rsidRPr="00A147DB">
        <w:rPr>
          <w:sz w:val="28"/>
          <w:szCs w:val="28"/>
        </w:rPr>
        <w:t>Shaliapina</w:t>
      </w:r>
      <w:proofErr w:type="spellEnd"/>
      <w:r w:rsidRPr="00A147DB">
        <w:rPr>
          <w:sz w:val="28"/>
          <w:szCs w:val="28"/>
        </w:rPr>
        <w:t xml:space="preserve">, M., </w:t>
      </w:r>
      <w:proofErr w:type="spellStart"/>
      <w:r w:rsidRPr="00A147DB">
        <w:rPr>
          <w:sz w:val="28"/>
          <w:szCs w:val="28"/>
        </w:rPr>
        <w:t>Panova</w:t>
      </w:r>
      <w:proofErr w:type="spellEnd"/>
      <w:r w:rsidRPr="00A147DB">
        <w:rPr>
          <w:sz w:val="28"/>
          <w:szCs w:val="28"/>
        </w:rPr>
        <w:t xml:space="preserve">, N., </w:t>
      </w:r>
      <w:proofErr w:type="spellStart"/>
      <w:r w:rsidRPr="00A147DB">
        <w:rPr>
          <w:sz w:val="28"/>
          <w:szCs w:val="28"/>
        </w:rPr>
        <w:t>Nikolskaya</w:t>
      </w:r>
      <w:proofErr w:type="spellEnd"/>
      <w:r w:rsidRPr="00A147DB">
        <w:rPr>
          <w:sz w:val="28"/>
          <w:szCs w:val="28"/>
        </w:rPr>
        <w:t xml:space="preserve">, E. and </w:t>
      </w:r>
      <w:proofErr w:type="spellStart"/>
      <w:r w:rsidRPr="00A147DB">
        <w:rPr>
          <w:sz w:val="28"/>
          <w:szCs w:val="28"/>
        </w:rPr>
        <w:t>Lebedeva</w:t>
      </w:r>
      <w:proofErr w:type="spellEnd"/>
      <w:r w:rsidRPr="00A147DB">
        <w:rPr>
          <w:sz w:val="28"/>
          <w:szCs w:val="28"/>
        </w:rPr>
        <w:t>, O. (2022) Improvement of Foreign Exchange Risk Management in Tourism and Hospitality Industry Enterprises. </w:t>
      </w:r>
      <w:r w:rsidRPr="00A147DB">
        <w:rPr>
          <w:i/>
          <w:iCs/>
          <w:sz w:val="28"/>
          <w:szCs w:val="28"/>
        </w:rPr>
        <w:t xml:space="preserve">Anais </w:t>
      </w:r>
      <w:proofErr w:type="spellStart"/>
      <w:r w:rsidRPr="00A147DB">
        <w:rPr>
          <w:i/>
          <w:iCs/>
          <w:sz w:val="28"/>
          <w:szCs w:val="28"/>
        </w:rPr>
        <w:t>Brasileiros</w:t>
      </w:r>
      <w:proofErr w:type="spellEnd"/>
      <w:r w:rsidRPr="00A147DB">
        <w:rPr>
          <w:i/>
          <w:iCs/>
          <w:sz w:val="28"/>
          <w:szCs w:val="28"/>
        </w:rPr>
        <w:t xml:space="preserve"> de </w:t>
      </w:r>
      <w:proofErr w:type="spellStart"/>
      <w:r w:rsidRPr="00A147DB">
        <w:rPr>
          <w:i/>
          <w:iCs/>
          <w:sz w:val="28"/>
          <w:szCs w:val="28"/>
        </w:rPr>
        <w:t>Estudos</w:t>
      </w:r>
      <w:proofErr w:type="spellEnd"/>
      <w:r w:rsidRPr="00A147DB">
        <w:rPr>
          <w:i/>
          <w:iCs/>
          <w:sz w:val="28"/>
          <w:szCs w:val="28"/>
        </w:rPr>
        <w:t xml:space="preserve"> </w:t>
      </w:r>
      <w:proofErr w:type="spellStart"/>
      <w:r w:rsidRPr="00A147DB">
        <w:rPr>
          <w:i/>
          <w:iCs/>
          <w:sz w:val="28"/>
          <w:szCs w:val="28"/>
        </w:rPr>
        <w:t>Turísticos</w:t>
      </w:r>
      <w:proofErr w:type="spellEnd"/>
      <w:r w:rsidRPr="00A147DB">
        <w:rPr>
          <w:sz w:val="28"/>
          <w:szCs w:val="28"/>
        </w:rPr>
        <w:t>.</w:t>
      </w:r>
    </w:p>
    <w:p w14:paraId="34B7E056" w14:textId="77777777" w:rsidR="00A147DB" w:rsidRPr="00A147DB" w:rsidRDefault="00A147DB" w:rsidP="00A147DB">
      <w:pPr>
        <w:jc w:val="both"/>
        <w:rPr>
          <w:sz w:val="28"/>
          <w:szCs w:val="28"/>
        </w:rPr>
      </w:pPr>
    </w:p>
    <w:p w14:paraId="506D12E8" w14:textId="77777777" w:rsidR="00A147DB" w:rsidRPr="00A147DB" w:rsidRDefault="00A147DB" w:rsidP="00A147DB">
      <w:pPr>
        <w:jc w:val="both"/>
        <w:rPr>
          <w:sz w:val="28"/>
          <w:szCs w:val="28"/>
        </w:rPr>
      </w:pPr>
      <w:proofErr w:type="spellStart"/>
      <w:r w:rsidRPr="00A147DB">
        <w:rPr>
          <w:sz w:val="28"/>
          <w:szCs w:val="28"/>
        </w:rPr>
        <w:t>Volden</w:t>
      </w:r>
      <w:proofErr w:type="spellEnd"/>
      <w:r w:rsidRPr="00A147DB">
        <w:rPr>
          <w:sz w:val="28"/>
          <w:szCs w:val="28"/>
        </w:rPr>
        <w:t>, G.H. (2019) Assessing public projects' value for money: An empirical study of the usefulness of cost–benefit analyses in decision-making. </w:t>
      </w:r>
      <w:r w:rsidRPr="00A147DB">
        <w:rPr>
          <w:i/>
          <w:iCs/>
          <w:sz w:val="28"/>
          <w:szCs w:val="28"/>
        </w:rPr>
        <w:t>International Journal of Project Management</w:t>
      </w:r>
      <w:r w:rsidRPr="00A147DB">
        <w:rPr>
          <w:sz w:val="28"/>
          <w:szCs w:val="28"/>
        </w:rPr>
        <w:t>, </w:t>
      </w:r>
      <w:r w:rsidRPr="00A147DB">
        <w:rPr>
          <w:i/>
          <w:iCs/>
          <w:sz w:val="28"/>
          <w:szCs w:val="28"/>
        </w:rPr>
        <w:t>37</w:t>
      </w:r>
      <w:r w:rsidRPr="00A147DB">
        <w:rPr>
          <w:sz w:val="28"/>
          <w:szCs w:val="28"/>
        </w:rPr>
        <w:t>(4), pp.549-564.</w:t>
      </w:r>
    </w:p>
    <w:p w14:paraId="037B2B6C" w14:textId="77777777" w:rsidR="00A147DB" w:rsidRDefault="00A147DB" w:rsidP="00A147DB">
      <w:pPr>
        <w:jc w:val="both"/>
      </w:pPr>
    </w:p>
    <w:p w14:paraId="4188DE6E" w14:textId="77777777" w:rsidR="00A147DB" w:rsidRPr="00A147DB" w:rsidRDefault="00A147DB" w:rsidP="00A147DB">
      <w:pPr>
        <w:rPr>
          <w:rFonts w:ascii="Times New Roman" w:eastAsia="Times New Roman" w:hAnsi="Times New Roman" w:cs="Times New Roman"/>
          <w:b/>
          <w:bCs/>
          <w:color w:val="000000" w:themeColor="text1"/>
          <w:sz w:val="40"/>
          <w:szCs w:val="40"/>
          <w:lang w:eastAsia="en-GB"/>
        </w:rPr>
      </w:pPr>
    </w:p>
    <w:p w14:paraId="7445F61F" w14:textId="3AFFE87E" w:rsidR="00A147DB" w:rsidRDefault="00A147DB" w:rsidP="00F3702E">
      <w:pPr>
        <w:rPr>
          <w:rFonts w:ascii="Times New Roman" w:eastAsia="Times New Roman" w:hAnsi="Times New Roman" w:cs="Times New Roman"/>
          <w:color w:val="000000" w:themeColor="text1"/>
          <w:sz w:val="28"/>
          <w:szCs w:val="28"/>
          <w:lang w:eastAsia="en-GB"/>
        </w:rPr>
      </w:pPr>
    </w:p>
    <w:p w14:paraId="0686EC8A" w14:textId="012D178B" w:rsidR="00A147DB" w:rsidRDefault="00A147DB" w:rsidP="00F3702E">
      <w:pPr>
        <w:rPr>
          <w:rFonts w:ascii="Times New Roman" w:eastAsia="Times New Roman" w:hAnsi="Times New Roman" w:cs="Times New Roman"/>
          <w:color w:val="000000" w:themeColor="text1"/>
          <w:sz w:val="28"/>
          <w:szCs w:val="28"/>
          <w:lang w:eastAsia="en-GB"/>
        </w:rPr>
      </w:pPr>
    </w:p>
    <w:p w14:paraId="39ECE5D2" w14:textId="50397737" w:rsidR="00A147DB" w:rsidRDefault="00A147DB" w:rsidP="00F3702E">
      <w:pPr>
        <w:rPr>
          <w:rFonts w:ascii="Times New Roman" w:eastAsia="Times New Roman" w:hAnsi="Times New Roman" w:cs="Times New Roman"/>
          <w:color w:val="000000" w:themeColor="text1"/>
          <w:sz w:val="28"/>
          <w:szCs w:val="28"/>
          <w:lang w:eastAsia="en-GB"/>
        </w:rPr>
      </w:pPr>
    </w:p>
    <w:p w14:paraId="479F5AB0" w14:textId="77777777" w:rsidR="00A147DB" w:rsidRPr="00A147DB" w:rsidRDefault="00A147DB" w:rsidP="00F3702E">
      <w:pPr>
        <w:rPr>
          <w:rFonts w:ascii="Times New Roman" w:eastAsia="Times New Roman" w:hAnsi="Times New Roman" w:cs="Times New Roman"/>
          <w:color w:val="000000" w:themeColor="text1"/>
          <w:sz w:val="28"/>
          <w:szCs w:val="28"/>
          <w:lang w:eastAsia="en-GB"/>
        </w:rPr>
      </w:pPr>
    </w:p>
    <w:sectPr w:rsidR="00A147DB" w:rsidRPr="00A147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2E"/>
    <w:rsid w:val="00006991"/>
    <w:rsid w:val="000274B8"/>
    <w:rsid w:val="009B7D02"/>
    <w:rsid w:val="00A01857"/>
    <w:rsid w:val="00A147DB"/>
    <w:rsid w:val="00F37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DBCF4A"/>
  <w15:chartTrackingRefBased/>
  <w15:docId w15:val="{077B200E-E833-394D-9FCB-99F95CDA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44869">
      <w:bodyDiv w:val="1"/>
      <w:marLeft w:val="0"/>
      <w:marRight w:val="0"/>
      <w:marTop w:val="0"/>
      <w:marBottom w:val="0"/>
      <w:divBdr>
        <w:top w:val="none" w:sz="0" w:space="0" w:color="auto"/>
        <w:left w:val="none" w:sz="0" w:space="0" w:color="auto"/>
        <w:bottom w:val="none" w:sz="0" w:space="0" w:color="auto"/>
        <w:right w:val="none" w:sz="0" w:space="0" w:color="auto"/>
      </w:divBdr>
      <w:divsChild>
        <w:div w:id="1919056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1838</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Presian Mladenov (2014071)</dc:creator>
  <cp:keywords/>
  <dc:description/>
  <cp:lastModifiedBy>Presian Mladenov (2014071)</cp:lastModifiedBy>
  <cp:revision>1</cp:revision>
  <dcterms:created xsi:type="dcterms:W3CDTF">2023-01-12T20:59:00Z</dcterms:created>
  <dcterms:modified xsi:type="dcterms:W3CDTF">2023-01-12T21:23:00Z</dcterms:modified>
</cp:coreProperties>
</file>