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1CBC" w:rsidRPr="00AB422B" w:rsidRDefault="000E1CBC" w:rsidP="000E1CBC">
      <w:pPr>
        <w:pStyle w:val="Title"/>
        <w:rPr>
          <w:color w:val="auto"/>
        </w:rPr>
      </w:pPr>
      <w:r w:rsidRPr="000E1CBC">
        <w:rPr>
          <w:noProof/>
          <w:color w:val="auto"/>
          <w:lang w:val="en-IN" w:eastAsia="en-IN"/>
        </w:rPr>
        <w:drawing>
          <wp:inline distT="0" distB="0" distL="0" distR="0">
            <wp:extent cx="2137557" cy="2006930"/>
            <wp:effectExtent l="19050" t="0" r="0" b="0"/>
            <wp:docPr id="23" name="Picture 0"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5"/>
                    <a:stretch>
                      <a:fillRect/>
                    </a:stretch>
                  </pic:blipFill>
                  <pic:spPr>
                    <a:xfrm>
                      <a:off x="0" y="0"/>
                      <a:ext cx="2143125" cy="2012157"/>
                    </a:xfrm>
                    <a:prstGeom prst="rect">
                      <a:avLst/>
                    </a:prstGeom>
                  </pic:spPr>
                </pic:pic>
              </a:graphicData>
            </a:graphic>
          </wp:inline>
        </w:drawing>
      </w:r>
    </w:p>
    <w:p w:rsidR="000E1CBC" w:rsidRPr="000E1CBC" w:rsidRDefault="000E1CBC" w:rsidP="000E1CBC">
      <w:pPr>
        <w:spacing w:line="360" w:lineRule="auto"/>
        <w:jc w:val="both"/>
        <w:rPr>
          <w:rFonts w:ascii="Times New Roman" w:hAnsi="Times New Roman" w:cs="Times New Roman"/>
          <w:b/>
          <w:sz w:val="40"/>
          <w:szCs w:val="40"/>
        </w:rPr>
      </w:pPr>
      <w:r>
        <w:rPr>
          <w:rFonts w:ascii="Times New Roman" w:hAnsi="Times New Roman" w:cs="Times New Roman"/>
          <w:sz w:val="24"/>
          <w:szCs w:val="24"/>
        </w:rPr>
        <w:t xml:space="preserve">                           </w:t>
      </w:r>
      <w:r w:rsidRPr="00AB422B">
        <w:rPr>
          <w:rFonts w:ascii="Times New Roman" w:hAnsi="Times New Roman" w:cs="Times New Roman"/>
          <w:sz w:val="24"/>
          <w:szCs w:val="24"/>
        </w:rPr>
        <w:t xml:space="preserve"> </w:t>
      </w:r>
      <w:r w:rsidRPr="000E1CBC">
        <w:rPr>
          <w:rFonts w:ascii="Times New Roman" w:hAnsi="Times New Roman" w:cs="Times New Roman"/>
          <w:b/>
          <w:sz w:val="44"/>
          <w:szCs w:val="40"/>
        </w:rPr>
        <w:t>FINANCIAL MANAGEMENT</w:t>
      </w:r>
    </w:p>
    <w:p w:rsidR="000E1CBC" w:rsidRDefault="000E1CBC" w:rsidP="000E1CBC"/>
    <w:tbl>
      <w:tblPr>
        <w:tblStyle w:val="TableGrid"/>
        <w:tblpPr w:leftFromText="180" w:rightFromText="180" w:vertAnchor="text" w:horzAnchor="margin" w:tblpY="61"/>
        <w:tblW w:w="0" w:type="auto"/>
        <w:tblLook w:val="04A0"/>
      </w:tblPr>
      <w:tblGrid>
        <w:gridCol w:w="4788"/>
        <w:gridCol w:w="4788"/>
      </w:tblGrid>
      <w:tr w:rsidR="000E1CBC" w:rsidRPr="00E77C99" w:rsidTr="00F42DD2">
        <w:trPr>
          <w:trHeight w:val="657"/>
        </w:trPr>
        <w:tc>
          <w:tcPr>
            <w:tcW w:w="4788" w:type="dxa"/>
          </w:tcPr>
          <w:p w:rsidR="000E1CBC" w:rsidRPr="00E77C99" w:rsidRDefault="000E1CBC" w:rsidP="00F42DD2">
            <w:pPr>
              <w:rPr>
                <w:rFonts w:asciiTheme="majorHAnsi" w:eastAsiaTheme="majorEastAsia" w:hAnsiTheme="majorHAnsi" w:cstheme="majorBidi"/>
                <w:b/>
                <w:bCs/>
                <w:color w:val="C00000"/>
                <w:sz w:val="36"/>
                <w:szCs w:val="36"/>
              </w:rPr>
            </w:pPr>
            <w:r w:rsidRPr="00E77C99">
              <w:rPr>
                <w:rFonts w:asciiTheme="majorHAnsi" w:eastAsiaTheme="majorEastAsia" w:hAnsiTheme="majorHAnsi" w:cstheme="majorBidi"/>
                <w:b/>
                <w:bCs/>
                <w:color w:val="C00000"/>
                <w:sz w:val="36"/>
                <w:szCs w:val="36"/>
              </w:rPr>
              <w:t>NAME</w:t>
            </w:r>
          </w:p>
        </w:tc>
        <w:tc>
          <w:tcPr>
            <w:tcW w:w="4788" w:type="dxa"/>
          </w:tcPr>
          <w:p w:rsidR="000E1CBC" w:rsidRPr="00E77C99" w:rsidRDefault="000E1CBC" w:rsidP="00F42DD2">
            <w:pPr>
              <w:rPr>
                <w:rFonts w:asciiTheme="majorHAnsi" w:eastAsiaTheme="majorEastAsia" w:hAnsiTheme="majorHAnsi" w:cstheme="majorBidi"/>
                <w:b/>
                <w:bCs/>
                <w:color w:val="C00000"/>
                <w:sz w:val="24"/>
                <w:szCs w:val="24"/>
              </w:rPr>
            </w:pPr>
          </w:p>
          <w:p w:rsidR="000E1CBC" w:rsidRPr="00E77C99" w:rsidRDefault="000E1CBC" w:rsidP="00F42DD2">
            <w:pPr>
              <w:rPr>
                <w:rFonts w:asciiTheme="majorHAnsi" w:eastAsiaTheme="majorEastAsia" w:hAnsiTheme="majorHAnsi" w:cstheme="majorBidi"/>
                <w:b/>
                <w:bCs/>
                <w:color w:val="C00000"/>
                <w:sz w:val="24"/>
                <w:szCs w:val="24"/>
              </w:rPr>
            </w:pPr>
            <w:r w:rsidRPr="00E77C99">
              <w:rPr>
                <w:rFonts w:asciiTheme="majorHAnsi" w:eastAsiaTheme="majorEastAsia" w:hAnsiTheme="majorHAnsi" w:cstheme="majorBidi"/>
                <w:b/>
                <w:bCs/>
                <w:color w:val="C00000"/>
                <w:sz w:val="24"/>
                <w:szCs w:val="24"/>
              </w:rPr>
              <w:t>DHRUVKUMAR  RAMESHKUMAR SHAH</w:t>
            </w:r>
          </w:p>
        </w:tc>
      </w:tr>
      <w:tr w:rsidR="000E1CBC" w:rsidRPr="00E77C99" w:rsidTr="00F42DD2">
        <w:trPr>
          <w:trHeight w:val="657"/>
        </w:trPr>
        <w:tc>
          <w:tcPr>
            <w:tcW w:w="4788" w:type="dxa"/>
          </w:tcPr>
          <w:p w:rsidR="000E1CBC" w:rsidRPr="00E77C99" w:rsidRDefault="000E1CBC" w:rsidP="00F42DD2">
            <w:pPr>
              <w:rPr>
                <w:rFonts w:asciiTheme="majorHAnsi" w:eastAsiaTheme="majorEastAsia" w:hAnsiTheme="majorHAnsi" w:cstheme="majorBidi"/>
                <w:b/>
                <w:bCs/>
                <w:color w:val="C00000"/>
                <w:sz w:val="36"/>
                <w:szCs w:val="36"/>
              </w:rPr>
            </w:pPr>
            <w:r w:rsidRPr="00E77C99">
              <w:rPr>
                <w:rFonts w:asciiTheme="majorHAnsi" w:eastAsiaTheme="majorEastAsia" w:hAnsiTheme="majorHAnsi" w:cstheme="majorBidi"/>
                <w:b/>
                <w:bCs/>
                <w:color w:val="C00000"/>
                <w:sz w:val="36"/>
                <w:szCs w:val="36"/>
              </w:rPr>
              <w:t>STUDENT ID</w:t>
            </w:r>
          </w:p>
        </w:tc>
        <w:tc>
          <w:tcPr>
            <w:tcW w:w="4788" w:type="dxa"/>
          </w:tcPr>
          <w:p w:rsidR="000E1CBC" w:rsidRPr="00E77C99" w:rsidRDefault="000E1CBC" w:rsidP="00F42DD2">
            <w:pPr>
              <w:rPr>
                <w:rFonts w:asciiTheme="majorHAnsi" w:eastAsiaTheme="majorEastAsia" w:hAnsiTheme="majorHAnsi" w:cstheme="majorBidi"/>
                <w:b/>
                <w:bCs/>
                <w:color w:val="C00000"/>
                <w:sz w:val="28"/>
                <w:szCs w:val="28"/>
              </w:rPr>
            </w:pPr>
            <w:r w:rsidRPr="00E77C99">
              <w:rPr>
                <w:rFonts w:asciiTheme="majorHAnsi" w:eastAsiaTheme="majorEastAsia" w:hAnsiTheme="majorHAnsi" w:cstheme="majorBidi"/>
                <w:b/>
                <w:bCs/>
                <w:color w:val="C00000"/>
                <w:sz w:val="28"/>
                <w:szCs w:val="28"/>
              </w:rPr>
              <w:t>1704816</w:t>
            </w:r>
          </w:p>
        </w:tc>
      </w:tr>
      <w:tr w:rsidR="000E1CBC" w:rsidRPr="00E77C99" w:rsidTr="00F42DD2">
        <w:trPr>
          <w:trHeight w:val="657"/>
        </w:trPr>
        <w:tc>
          <w:tcPr>
            <w:tcW w:w="4788" w:type="dxa"/>
          </w:tcPr>
          <w:p w:rsidR="000E1CBC" w:rsidRPr="00E77C99" w:rsidRDefault="000E1CBC" w:rsidP="00F42DD2">
            <w:pPr>
              <w:rPr>
                <w:rFonts w:asciiTheme="majorHAnsi" w:eastAsiaTheme="majorEastAsia" w:hAnsiTheme="majorHAnsi" w:cstheme="majorBidi"/>
                <w:b/>
                <w:bCs/>
                <w:color w:val="C00000"/>
                <w:sz w:val="36"/>
                <w:szCs w:val="36"/>
              </w:rPr>
            </w:pPr>
            <w:r w:rsidRPr="00E77C99">
              <w:rPr>
                <w:rFonts w:asciiTheme="majorHAnsi" w:eastAsiaTheme="majorEastAsia" w:hAnsiTheme="majorHAnsi" w:cstheme="majorBidi"/>
                <w:b/>
                <w:bCs/>
                <w:color w:val="C00000"/>
                <w:sz w:val="36"/>
                <w:szCs w:val="36"/>
              </w:rPr>
              <w:t>COURSE NAME</w:t>
            </w:r>
          </w:p>
        </w:tc>
        <w:tc>
          <w:tcPr>
            <w:tcW w:w="4788" w:type="dxa"/>
          </w:tcPr>
          <w:p w:rsidR="000E1CBC" w:rsidRPr="00E77C99" w:rsidRDefault="000E1CBC" w:rsidP="00F42DD2">
            <w:pPr>
              <w:rPr>
                <w:rFonts w:asciiTheme="majorHAnsi" w:eastAsiaTheme="majorEastAsia" w:hAnsiTheme="majorHAnsi" w:cstheme="majorBidi"/>
                <w:b/>
                <w:bCs/>
                <w:color w:val="C00000"/>
                <w:sz w:val="28"/>
                <w:szCs w:val="28"/>
              </w:rPr>
            </w:pPr>
            <w:r w:rsidRPr="00E77C99">
              <w:rPr>
                <w:rFonts w:asciiTheme="majorHAnsi" w:eastAsiaTheme="majorEastAsia" w:hAnsiTheme="majorHAnsi" w:cstheme="majorBidi"/>
                <w:b/>
                <w:bCs/>
                <w:color w:val="C00000"/>
                <w:sz w:val="28"/>
                <w:szCs w:val="28"/>
              </w:rPr>
              <w:t>FINANCIAL  MANAGEMENT</w:t>
            </w:r>
          </w:p>
        </w:tc>
      </w:tr>
      <w:tr w:rsidR="000E1CBC" w:rsidRPr="00E77C99" w:rsidTr="00F42DD2">
        <w:trPr>
          <w:trHeight w:val="657"/>
        </w:trPr>
        <w:tc>
          <w:tcPr>
            <w:tcW w:w="4788" w:type="dxa"/>
          </w:tcPr>
          <w:p w:rsidR="000E1CBC" w:rsidRPr="00E77C99" w:rsidRDefault="000E1CBC" w:rsidP="00F42DD2">
            <w:pPr>
              <w:rPr>
                <w:rFonts w:asciiTheme="majorHAnsi" w:eastAsiaTheme="majorEastAsia" w:hAnsiTheme="majorHAnsi" w:cstheme="majorBidi"/>
                <w:b/>
                <w:bCs/>
                <w:color w:val="C00000"/>
                <w:sz w:val="36"/>
                <w:szCs w:val="36"/>
              </w:rPr>
            </w:pPr>
            <w:r w:rsidRPr="00E77C99">
              <w:rPr>
                <w:rFonts w:asciiTheme="majorHAnsi" w:eastAsiaTheme="majorEastAsia" w:hAnsiTheme="majorHAnsi" w:cstheme="majorBidi"/>
                <w:b/>
                <w:bCs/>
                <w:color w:val="C00000"/>
                <w:sz w:val="36"/>
                <w:szCs w:val="36"/>
              </w:rPr>
              <w:t>MODULE CODE</w:t>
            </w:r>
          </w:p>
        </w:tc>
        <w:tc>
          <w:tcPr>
            <w:tcW w:w="4788" w:type="dxa"/>
          </w:tcPr>
          <w:p w:rsidR="000E1CBC" w:rsidRPr="00E77C99" w:rsidRDefault="000E1CBC" w:rsidP="00F42DD2">
            <w:pPr>
              <w:rPr>
                <w:rFonts w:asciiTheme="majorHAnsi" w:eastAsiaTheme="majorEastAsia" w:hAnsiTheme="majorHAnsi" w:cstheme="majorBidi"/>
                <w:b/>
                <w:bCs/>
                <w:color w:val="C00000"/>
                <w:sz w:val="28"/>
                <w:szCs w:val="28"/>
              </w:rPr>
            </w:pPr>
            <w:r w:rsidRPr="00E77C99">
              <w:rPr>
                <w:rFonts w:asciiTheme="majorHAnsi" w:eastAsiaTheme="majorEastAsia" w:hAnsiTheme="majorHAnsi" w:cstheme="majorBidi"/>
                <w:b/>
                <w:bCs/>
                <w:color w:val="C00000"/>
                <w:sz w:val="28"/>
                <w:szCs w:val="28"/>
              </w:rPr>
              <w:t>SBMA7100_LON</w:t>
            </w:r>
          </w:p>
        </w:tc>
      </w:tr>
      <w:tr w:rsidR="000E1CBC" w:rsidRPr="00E77C99" w:rsidTr="00F42DD2">
        <w:trPr>
          <w:trHeight w:val="657"/>
        </w:trPr>
        <w:tc>
          <w:tcPr>
            <w:tcW w:w="4788" w:type="dxa"/>
          </w:tcPr>
          <w:p w:rsidR="000E1CBC" w:rsidRPr="00E77C99" w:rsidRDefault="000E1CBC" w:rsidP="00F42DD2">
            <w:pPr>
              <w:rPr>
                <w:rFonts w:asciiTheme="majorHAnsi" w:eastAsiaTheme="majorEastAsia" w:hAnsiTheme="majorHAnsi" w:cstheme="majorBidi"/>
                <w:b/>
                <w:bCs/>
                <w:color w:val="C00000"/>
                <w:sz w:val="36"/>
                <w:szCs w:val="36"/>
              </w:rPr>
            </w:pPr>
            <w:r w:rsidRPr="00E77C99">
              <w:rPr>
                <w:rFonts w:asciiTheme="majorHAnsi" w:eastAsiaTheme="majorEastAsia" w:hAnsiTheme="majorHAnsi" w:cstheme="majorBidi"/>
                <w:b/>
                <w:bCs/>
                <w:color w:val="C00000"/>
                <w:sz w:val="36"/>
                <w:szCs w:val="36"/>
              </w:rPr>
              <w:t>TUITOR NAME</w:t>
            </w:r>
          </w:p>
        </w:tc>
        <w:tc>
          <w:tcPr>
            <w:tcW w:w="4788" w:type="dxa"/>
          </w:tcPr>
          <w:p w:rsidR="000E1CBC" w:rsidRPr="00E77C99" w:rsidRDefault="000E1CBC" w:rsidP="00F42DD2">
            <w:pPr>
              <w:rPr>
                <w:rFonts w:asciiTheme="majorHAnsi" w:eastAsiaTheme="majorEastAsia" w:hAnsiTheme="majorHAnsi" w:cstheme="majorBidi"/>
                <w:b/>
                <w:bCs/>
                <w:color w:val="C00000"/>
                <w:sz w:val="28"/>
                <w:szCs w:val="28"/>
              </w:rPr>
            </w:pPr>
            <w:r w:rsidRPr="00E77C99">
              <w:rPr>
                <w:rFonts w:asciiTheme="majorHAnsi" w:eastAsiaTheme="majorEastAsia" w:hAnsiTheme="majorHAnsi" w:cstheme="majorBidi"/>
                <w:b/>
                <w:bCs/>
                <w:color w:val="C00000"/>
                <w:sz w:val="28"/>
                <w:szCs w:val="28"/>
              </w:rPr>
              <w:t>JIA MIAO</w:t>
            </w:r>
          </w:p>
        </w:tc>
      </w:tr>
      <w:tr w:rsidR="000E1CBC" w:rsidRPr="00E77C99" w:rsidTr="00F42DD2">
        <w:trPr>
          <w:trHeight w:val="657"/>
        </w:trPr>
        <w:tc>
          <w:tcPr>
            <w:tcW w:w="4788" w:type="dxa"/>
          </w:tcPr>
          <w:p w:rsidR="000E1CBC" w:rsidRPr="00E77C99" w:rsidRDefault="000E1CBC" w:rsidP="00F42DD2">
            <w:pPr>
              <w:rPr>
                <w:rFonts w:asciiTheme="majorHAnsi" w:eastAsiaTheme="majorEastAsia" w:hAnsiTheme="majorHAnsi" w:cstheme="majorBidi"/>
                <w:b/>
                <w:bCs/>
                <w:color w:val="C00000"/>
                <w:sz w:val="36"/>
                <w:szCs w:val="36"/>
              </w:rPr>
            </w:pPr>
            <w:r w:rsidRPr="00E77C99">
              <w:rPr>
                <w:rFonts w:asciiTheme="majorHAnsi" w:eastAsiaTheme="majorEastAsia" w:hAnsiTheme="majorHAnsi" w:cstheme="majorBidi"/>
                <w:b/>
                <w:bCs/>
                <w:color w:val="C00000"/>
                <w:sz w:val="36"/>
                <w:szCs w:val="36"/>
              </w:rPr>
              <w:t>SEM/YEAR</w:t>
            </w:r>
          </w:p>
        </w:tc>
        <w:tc>
          <w:tcPr>
            <w:tcW w:w="4788" w:type="dxa"/>
          </w:tcPr>
          <w:p w:rsidR="000E1CBC" w:rsidRPr="00E77C99" w:rsidRDefault="000E1CBC" w:rsidP="00F42DD2">
            <w:pPr>
              <w:rPr>
                <w:rFonts w:asciiTheme="majorHAnsi" w:eastAsiaTheme="majorEastAsia" w:hAnsiTheme="majorHAnsi" w:cstheme="majorBidi"/>
                <w:b/>
                <w:bCs/>
                <w:color w:val="C00000"/>
                <w:sz w:val="28"/>
                <w:szCs w:val="28"/>
              </w:rPr>
            </w:pPr>
            <w:r w:rsidRPr="00E77C99">
              <w:rPr>
                <w:rFonts w:asciiTheme="majorHAnsi" w:eastAsiaTheme="majorEastAsia" w:hAnsiTheme="majorHAnsi" w:cstheme="majorBidi"/>
                <w:b/>
                <w:bCs/>
                <w:color w:val="C00000"/>
                <w:sz w:val="28"/>
                <w:szCs w:val="28"/>
              </w:rPr>
              <w:t>OCT/2017</w:t>
            </w:r>
          </w:p>
        </w:tc>
      </w:tr>
    </w:tbl>
    <w:p w:rsidR="000E1CBC" w:rsidRPr="00E77C99" w:rsidRDefault="000E1CBC" w:rsidP="000E1CBC">
      <w:pPr>
        <w:rPr>
          <w:color w:val="C00000"/>
        </w:rPr>
      </w:pPr>
    </w:p>
    <w:p w:rsidR="000E1CBC" w:rsidRPr="00E77C99" w:rsidRDefault="000E1CBC" w:rsidP="000E1CBC">
      <w:pPr>
        <w:rPr>
          <w:rFonts w:asciiTheme="majorHAnsi" w:eastAsiaTheme="majorEastAsia" w:hAnsiTheme="majorHAnsi" w:cstheme="majorBidi"/>
          <w:b/>
          <w:bCs/>
          <w:color w:val="C00000"/>
          <w:sz w:val="28"/>
          <w:szCs w:val="28"/>
        </w:rPr>
      </w:pPr>
    </w:p>
    <w:tbl>
      <w:tblPr>
        <w:tblStyle w:val="TableGrid"/>
        <w:tblW w:w="0" w:type="auto"/>
        <w:tblLook w:val="04A0"/>
      </w:tblPr>
      <w:tblGrid>
        <w:gridCol w:w="9576"/>
      </w:tblGrid>
      <w:tr w:rsidR="000E1CBC" w:rsidRPr="00E77C99" w:rsidTr="00F42DD2">
        <w:tc>
          <w:tcPr>
            <w:tcW w:w="9576" w:type="dxa"/>
          </w:tcPr>
          <w:p w:rsidR="000E1CBC" w:rsidRPr="00E77C99" w:rsidRDefault="000E1CBC" w:rsidP="00F42DD2">
            <w:pPr>
              <w:jc w:val="center"/>
              <w:rPr>
                <w:rFonts w:asciiTheme="majorHAnsi" w:eastAsiaTheme="majorEastAsia" w:hAnsiTheme="majorHAnsi" w:cstheme="majorBidi"/>
                <w:b/>
                <w:bCs/>
                <w:color w:val="C00000"/>
                <w:sz w:val="72"/>
                <w:szCs w:val="72"/>
              </w:rPr>
            </w:pPr>
            <w:r w:rsidRPr="00E77C99">
              <w:rPr>
                <w:rFonts w:asciiTheme="majorHAnsi" w:eastAsiaTheme="majorEastAsia" w:hAnsiTheme="majorHAnsi" w:cstheme="majorBidi"/>
                <w:b/>
                <w:bCs/>
                <w:color w:val="C00000"/>
                <w:sz w:val="72"/>
                <w:szCs w:val="72"/>
              </w:rPr>
              <w:t>ASSIGNMENT -01</w:t>
            </w:r>
          </w:p>
        </w:tc>
      </w:tr>
    </w:tbl>
    <w:p w:rsidR="000E1CBC" w:rsidRPr="00E77C99" w:rsidRDefault="000E1CBC" w:rsidP="000E1CBC">
      <w:pPr>
        <w:rPr>
          <w:rFonts w:asciiTheme="majorHAnsi" w:eastAsiaTheme="majorEastAsia" w:hAnsiTheme="majorHAnsi" w:cstheme="majorBidi"/>
          <w:b/>
          <w:bCs/>
          <w:color w:val="C00000"/>
          <w:sz w:val="72"/>
          <w:szCs w:val="72"/>
        </w:rPr>
      </w:pPr>
    </w:p>
    <w:tbl>
      <w:tblPr>
        <w:tblStyle w:val="TableGrid"/>
        <w:tblW w:w="0" w:type="auto"/>
        <w:tblLook w:val="04A0"/>
      </w:tblPr>
      <w:tblGrid>
        <w:gridCol w:w="4788"/>
        <w:gridCol w:w="4788"/>
      </w:tblGrid>
      <w:tr w:rsidR="000E1CBC" w:rsidRPr="00E77C99" w:rsidTr="00F42DD2">
        <w:trPr>
          <w:trHeight w:val="328"/>
        </w:trPr>
        <w:tc>
          <w:tcPr>
            <w:tcW w:w="4788" w:type="dxa"/>
          </w:tcPr>
          <w:p w:rsidR="000E1CBC" w:rsidRPr="00E77C99" w:rsidRDefault="000E1CBC" w:rsidP="00F42DD2">
            <w:pPr>
              <w:rPr>
                <w:rFonts w:asciiTheme="majorHAnsi" w:eastAsiaTheme="majorEastAsia" w:hAnsiTheme="majorHAnsi" w:cstheme="majorBidi"/>
                <w:b/>
                <w:bCs/>
                <w:color w:val="C00000"/>
                <w:sz w:val="28"/>
                <w:szCs w:val="28"/>
              </w:rPr>
            </w:pPr>
            <w:r w:rsidRPr="00E77C99">
              <w:rPr>
                <w:rFonts w:asciiTheme="majorHAnsi" w:eastAsiaTheme="majorEastAsia" w:hAnsiTheme="majorHAnsi" w:cstheme="majorBidi"/>
                <w:b/>
                <w:bCs/>
                <w:color w:val="C00000"/>
                <w:sz w:val="28"/>
                <w:szCs w:val="28"/>
              </w:rPr>
              <w:t>SUBMISSION DATE</w:t>
            </w:r>
          </w:p>
        </w:tc>
        <w:tc>
          <w:tcPr>
            <w:tcW w:w="4788" w:type="dxa"/>
          </w:tcPr>
          <w:p w:rsidR="000E1CBC" w:rsidRPr="00E77C99" w:rsidRDefault="000E1CBC" w:rsidP="00F42DD2">
            <w:pPr>
              <w:rPr>
                <w:rFonts w:asciiTheme="majorHAnsi" w:eastAsiaTheme="majorEastAsia" w:hAnsiTheme="majorHAnsi" w:cstheme="majorBidi"/>
                <w:b/>
                <w:bCs/>
                <w:color w:val="C00000"/>
                <w:sz w:val="28"/>
                <w:szCs w:val="28"/>
              </w:rPr>
            </w:pPr>
            <w:r w:rsidRPr="00E77C99">
              <w:rPr>
                <w:rFonts w:asciiTheme="majorHAnsi" w:eastAsiaTheme="majorEastAsia" w:hAnsiTheme="majorHAnsi" w:cstheme="majorBidi"/>
                <w:b/>
                <w:bCs/>
                <w:color w:val="C00000"/>
                <w:sz w:val="28"/>
                <w:szCs w:val="28"/>
              </w:rPr>
              <w:t>23/11/2017</w:t>
            </w:r>
          </w:p>
        </w:tc>
      </w:tr>
      <w:tr w:rsidR="000E1CBC" w:rsidRPr="00E77C99" w:rsidTr="00F42DD2">
        <w:trPr>
          <w:trHeight w:val="329"/>
        </w:trPr>
        <w:tc>
          <w:tcPr>
            <w:tcW w:w="4788" w:type="dxa"/>
          </w:tcPr>
          <w:p w:rsidR="000E1CBC" w:rsidRPr="00E77C99" w:rsidRDefault="000E1CBC" w:rsidP="00F42DD2">
            <w:pPr>
              <w:rPr>
                <w:rFonts w:asciiTheme="majorHAnsi" w:eastAsiaTheme="majorEastAsia" w:hAnsiTheme="majorHAnsi" w:cstheme="majorBidi"/>
                <w:b/>
                <w:bCs/>
                <w:color w:val="C00000"/>
                <w:sz w:val="28"/>
                <w:szCs w:val="28"/>
              </w:rPr>
            </w:pPr>
            <w:r w:rsidRPr="00E77C99">
              <w:rPr>
                <w:rFonts w:asciiTheme="majorHAnsi" w:eastAsiaTheme="majorEastAsia" w:hAnsiTheme="majorHAnsi" w:cstheme="majorBidi"/>
                <w:b/>
                <w:bCs/>
                <w:color w:val="C00000"/>
                <w:sz w:val="28"/>
                <w:szCs w:val="28"/>
              </w:rPr>
              <w:t>DUE DATE</w:t>
            </w:r>
          </w:p>
        </w:tc>
        <w:tc>
          <w:tcPr>
            <w:tcW w:w="4788" w:type="dxa"/>
          </w:tcPr>
          <w:p w:rsidR="000E1CBC" w:rsidRPr="00E77C99" w:rsidRDefault="000E1CBC" w:rsidP="00F42DD2">
            <w:pPr>
              <w:rPr>
                <w:rFonts w:asciiTheme="majorHAnsi" w:eastAsiaTheme="majorEastAsia" w:hAnsiTheme="majorHAnsi" w:cstheme="majorBidi"/>
                <w:b/>
                <w:bCs/>
                <w:color w:val="C00000"/>
                <w:sz w:val="28"/>
                <w:szCs w:val="28"/>
              </w:rPr>
            </w:pPr>
            <w:r w:rsidRPr="00E77C99">
              <w:rPr>
                <w:rFonts w:asciiTheme="majorHAnsi" w:eastAsiaTheme="majorEastAsia" w:hAnsiTheme="majorHAnsi" w:cstheme="majorBidi"/>
                <w:b/>
                <w:bCs/>
                <w:color w:val="C00000"/>
                <w:sz w:val="28"/>
                <w:szCs w:val="28"/>
              </w:rPr>
              <w:t>09/01/2018</w:t>
            </w:r>
          </w:p>
        </w:tc>
      </w:tr>
    </w:tbl>
    <w:p w:rsidR="00D27735" w:rsidRPr="00AB422B" w:rsidRDefault="00D27735">
      <w:pPr>
        <w:rPr>
          <w:rFonts w:ascii="Times New Roman" w:hAnsi="Times New Roman" w:cs="Times New Roman"/>
          <w:sz w:val="24"/>
          <w:szCs w:val="24"/>
        </w:rPr>
      </w:pPr>
    </w:p>
    <w:sdt>
      <w:sdtPr>
        <w:rPr>
          <w:rFonts w:asciiTheme="minorHAnsi" w:eastAsiaTheme="minorEastAsia" w:hAnsiTheme="minorHAnsi" w:cstheme="minorBidi"/>
          <w:b w:val="0"/>
          <w:bCs w:val="0"/>
          <w:color w:val="auto"/>
          <w:sz w:val="22"/>
          <w:szCs w:val="22"/>
        </w:rPr>
        <w:id w:val="15784829"/>
        <w:docPartObj>
          <w:docPartGallery w:val="Table of Contents"/>
          <w:docPartUnique/>
        </w:docPartObj>
      </w:sdtPr>
      <w:sdtContent>
        <w:p w:rsidR="003C0A8E" w:rsidRPr="00AB422B" w:rsidRDefault="003C0A8E">
          <w:pPr>
            <w:pStyle w:val="TOCHeading"/>
            <w:rPr>
              <w:color w:val="auto"/>
            </w:rPr>
          </w:pPr>
          <w:r w:rsidRPr="00AB422B">
            <w:rPr>
              <w:color w:val="auto"/>
            </w:rPr>
            <w:t>Table of Contents</w:t>
          </w:r>
        </w:p>
        <w:p w:rsidR="00AB422B" w:rsidRPr="00AB422B" w:rsidRDefault="00597808">
          <w:pPr>
            <w:pStyle w:val="TOC1"/>
            <w:tabs>
              <w:tab w:val="right" w:leader="dot" w:pos="9350"/>
            </w:tabs>
            <w:rPr>
              <w:noProof/>
            </w:rPr>
          </w:pPr>
          <w:r w:rsidRPr="00AB422B">
            <w:fldChar w:fldCharType="begin"/>
          </w:r>
          <w:r w:rsidR="003C0A8E" w:rsidRPr="00AB422B">
            <w:instrText xml:space="preserve"> TOC \o "1-3" \h \z \u </w:instrText>
          </w:r>
          <w:r w:rsidRPr="00AB422B">
            <w:fldChar w:fldCharType="separate"/>
          </w:r>
          <w:hyperlink w:anchor="_Toc502257256" w:history="1">
            <w:r w:rsidR="00AB422B" w:rsidRPr="00AB422B">
              <w:rPr>
                <w:rStyle w:val="Hyperlink"/>
                <w:noProof/>
                <w:color w:val="auto"/>
              </w:rPr>
              <w:t>Part 1</w:t>
            </w:r>
            <w:r w:rsidR="00AB422B" w:rsidRPr="00AB422B">
              <w:rPr>
                <w:noProof/>
                <w:webHidden/>
              </w:rPr>
              <w:tab/>
            </w:r>
            <w:r w:rsidRPr="00AB422B">
              <w:rPr>
                <w:noProof/>
                <w:webHidden/>
              </w:rPr>
              <w:fldChar w:fldCharType="begin"/>
            </w:r>
            <w:r w:rsidR="00AB422B" w:rsidRPr="00AB422B">
              <w:rPr>
                <w:noProof/>
                <w:webHidden/>
              </w:rPr>
              <w:instrText xml:space="preserve"> PAGEREF _Toc502257256 \h </w:instrText>
            </w:r>
            <w:r w:rsidRPr="00AB422B">
              <w:rPr>
                <w:noProof/>
                <w:webHidden/>
              </w:rPr>
            </w:r>
            <w:r w:rsidRPr="00AB422B">
              <w:rPr>
                <w:noProof/>
                <w:webHidden/>
              </w:rPr>
              <w:fldChar w:fldCharType="separate"/>
            </w:r>
            <w:r w:rsidR="00AB422B" w:rsidRPr="00AB422B">
              <w:rPr>
                <w:noProof/>
                <w:webHidden/>
              </w:rPr>
              <w:t>4</w:t>
            </w:r>
            <w:r w:rsidRPr="00AB422B">
              <w:rPr>
                <w:noProof/>
                <w:webHidden/>
              </w:rPr>
              <w:fldChar w:fldCharType="end"/>
            </w:r>
          </w:hyperlink>
        </w:p>
        <w:p w:rsidR="00AB422B" w:rsidRPr="00AB422B" w:rsidRDefault="00597808">
          <w:pPr>
            <w:pStyle w:val="TOC2"/>
            <w:tabs>
              <w:tab w:val="right" w:leader="dot" w:pos="9350"/>
            </w:tabs>
            <w:rPr>
              <w:noProof/>
            </w:rPr>
          </w:pPr>
          <w:hyperlink w:anchor="_Toc502257257" w:history="1">
            <w:r w:rsidR="00AB422B" w:rsidRPr="00AB422B">
              <w:rPr>
                <w:rStyle w:val="Hyperlink"/>
                <w:noProof/>
                <w:color w:val="auto"/>
              </w:rPr>
              <w:t>Introduction</w:t>
            </w:r>
            <w:r w:rsidR="00AB422B" w:rsidRPr="00AB422B">
              <w:rPr>
                <w:noProof/>
                <w:webHidden/>
              </w:rPr>
              <w:tab/>
            </w:r>
            <w:r w:rsidRPr="00AB422B">
              <w:rPr>
                <w:noProof/>
                <w:webHidden/>
              </w:rPr>
              <w:fldChar w:fldCharType="begin"/>
            </w:r>
            <w:r w:rsidR="00AB422B" w:rsidRPr="00AB422B">
              <w:rPr>
                <w:noProof/>
                <w:webHidden/>
              </w:rPr>
              <w:instrText xml:space="preserve"> PAGEREF _Toc502257257 \h </w:instrText>
            </w:r>
            <w:r w:rsidRPr="00AB422B">
              <w:rPr>
                <w:noProof/>
                <w:webHidden/>
              </w:rPr>
            </w:r>
            <w:r w:rsidRPr="00AB422B">
              <w:rPr>
                <w:noProof/>
                <w:webHidden/>
              </w:rPr>
              <w:fldChar w:fldCharType="separate"/>
            </w:r>
            <w:r w:rsidR="00AB422B" w:rsidRPr="00AB422B">
              <w:rPr>
                <w:noProof/>
                <w:webHidden/>
              </w:rPr>
              <w:t>4</w:t>
            </w:r>
            <w:r w:rsidRPr="00AB422B">
              <w:rPr>
                <w:noProof/>
                <w:webHidden/>
              </w:rPr>
              <w:fldChar w:fldCharType="end"/>
            </w:r>
          </w:hyperlink>
        </w:p>
        <w:p w:rsidR="00AB422B" w:rsidRPr="00AB422B" w:rsidRDefault="00597808">
          <w:pPr>
            <w:pStyle w:val="TOC2"/>
            <w:tabs>
              <w:tab w:val="right" w:leader="dot" w:pos="9350"/>
            </w:tabs>
            <w:rPr>
              <w:noProof/>
            </w:rPr>
          </w:pPr>
          <w:hyperlink w:anchor="_Toc502257258" w:history="1">
            <w:r w:rsidR="00AB422B" w:rsidRPr="00AB422B">
              <w:rPr>
                <w:rStyle w:val="Hyperlink"/>
                <w:noProof/>
                <w:color w:val="auto"/>
              </w:rPr>
              <w:t>1.1 profile analysis of Tesco Plc</w:t>
            </w:r>
            <w:r w:rsidR="00AB422B" w:rsidRPr="00AB422B">
              <w:rPr>
                <w:noProof/>
                <w:webHidden/>
              </w:rPr>
              <w:tab/>
            </w:r>
            <w:r w:rsidRPr="00AB422B">
              <w:rPr>
                <w:noProof/>
                <w:webHidden/>
              </w:rPr>
              <w:fldChar w:fldCharType="begin"/>
            </w:r>
            <w:r w:rsidR="00AB422B" w:rsidRPr="00AB422B">
              <w:rPr>
                <w:noProof/>
                <w:webHidden/>
              </w:rPr>
              <w:instrText xml:space="preserve"> PAGEREF _Toc502257258 \h </w:instrText>
            </w:r>
            <w:r w:rsidRPr="00AB422B">
              <w:rPr>
                <w:noProof/>
                <w:webHidden/>
              </w:rPr>
            </w:r>
            <w:r w:rsidRPr="00AB422B">
              <w:rPr>
                <w:noProof/>
                <w:webHidden/>
              </w:rPr>
              <w:fldChar w:fldCharType="separate"/>
            </w:r>
            <w:r w:rsidR="00AB422B" w:rsidRPr="00AB422B">
              <w:rPr>
                <w:noProof/>
                <w:webHidden/>
              </w:rPr>
              <w:t>5</w:t>
            </w:r>
            <w:r w:rsidRPr="00AB422B">
              <w:rPr>
                <w:noProof/>
                <w:webHidden/>
              </w:rPr>
              <w:fldChar w:fldCharType="end"/>
            </w:r>
          </w:hyperlink>
        </w:p>
        <w:p w:rsidR="00AB422B" w:rsidRPr="00AB422B" w:rsidRDefault="00597808">
          <w:pPr>
            <w:pStyle w:val="TOC1"/>
            <w:tabs>
              <w:tab w:val="right" w:leader="dot" w:pos="9350"/>
            </w:tabs>
            <w:rPr>
              <w:noProof/>
            </w:rPr>
          </w:pPr>
          <w:hyperlink w:anchor="_Toc502257259" w:history="1">
            <w:r w:rsidR="00AB422B" w:rsidRPr="00AB422B">
              <w:rPr>
                <w:rStyle w:val="Hyperlink"/>
                <w:noProof/>
                <w:color w:val="auto"/>
              </w:rPr>
              <w:t>Part 2</w:t>
            </w:r>
            <w:r w:rsidR="00AB422B" w:rsidRPr="00AB422B">
              <w:rPr>
                <w:noProof/>
                <w:webHidden/>
              </w:rPr>
              <w:tab/>
            </w:r>
            <w:r w:rsidRPr="00AB422B">
              <w:rPr>
                <w:noProof/>
                <w:webHidden/>
              </w:rPr>
              <w:fldChar w:fldCharType="begin"/>
            </w:r>
            <w:r w:rsidR="00AB422B" w:rsidRPr="00AB422B">
              <w:rPr>
                <w:noProof/>
                <w:webHidden/>
              </w:rPr>
              <w:instrText xml:space="preserve"> PAGEREF _Toc502257259 \h </w:instrText>
            </w:r>
            <w:r w:rsidRPr="00AB422B">
              <w:rPr>
                <w:noProof/>
                <w:webHidden/>
              </w:rPr>
            </w:r>
            <w:r w:rsidRPr="00AB422B">
              <w:rPr>
                <w:noProof/>
                <w:webHidden/>
              </w:rPr>
              <w:fldChar w:fldCharType="separate"/>
            </w:r>
            <w:r w:rsidR="00AB422B" w:rsidRPr="00AB422B">
              <w:rPr>
                <w:noProof/>
                <w:webHidden/>
              </w:rPr>
              <w:t>8</w:t>
            </w:r>
            <w:r w:rsidRPr="00AB422B">
              <w:rPr>
                <w:noProof/>
                <w:webHidden/>
              </w:rPr>
              <w:fldChar w:fldCharType="end"/>
            </w:r>
          </w:hyperlink>
        </w:p>
        <w:p w:rsidR="00AB422B" w:rsidRPr="00AB422B" w:rsidRDefault="00597808">
          <w:pPr>
            <w:pStyle w:val="TOC2"/>
            <w:tabs>
              <w:tab w:val="right" w:leader="dot" w:pos="9350"/>
            </w:tabs>
            <w:rPr>
              <w:noProof/>
            </w:rPr>
          </w:pPr>
          <w:hyperlink w:anchor="_Toc502257260" w:history="1">
            <w:r w:rsidR="00AB422B" w:rsidRPr="00AB422B">
              <w:rPr>
                <w:rStyle w:val="Hyperlink"/>
                <w:noProof/>
                <w:color w:val="auto"/>
              </w:rPr>
              <w:t>2.1 Calculation of key financial performance measures of Tesco for the last five years</w:t>
            </w:r>
            <w:r w:rsidR="00AB422B" w:rsidRPr="00AB422B">
              <w:rPr>
                <w:noProof/>
                <w:webHidden/>
              </w:rPr>
              <w:tab/>
            </w:r>
            <w:r w:rsidRPr="00AB422B">
              <w:rPr>
                <w:noProof/>
                <w:webHidden/>
              </w:rPr>
              <w:fldChar w:fldCharType="begin"/>
            </w:r>
            <w:r w:rsidR="00AB422B" w:rsidRPr="00AB422B">
              <w:rPr>
                <w:noProof/>
                <w:webHidden/>
              </w:rPr>
              <w:instrText xml:space="preserve"> PAGEREF _Toc502257260 \h </w:instrText>
            </w:r>
            <w:r w:rsidRPr="00AB422B">
              <w:rPr>
                <w:noProof/>
                <w:webHidden/>
              </w:rPr>
            </w:r>
            <w:r w:rsidRPr="00AB422B">
              <w:rPr>
                <w:noProof/>
                <w:webHidden/>
              </w:rPr>
              <w:fldChar w:fldCharType="separate"/>
            </w:r>
            <w:r w:rsidR="00AB422B" w:rsidRPr="00AB422B">
              <w:rPr>
                <w:noProof/>
                <w:webHidden/>
              </w:rPr>
              <w:t>8</w:t>
            </w:r>
            <w:r w:rsidRPr="00AB422B">
              <w:rPr>
                <w:noProof/>
                <w:webHidden/>
              </w:rPr>
              <w:fldChar w:fldCharType="end"/>
            </w:r>
          </w:hyperlink>
        </w:p>
        <w:p w:rsidR="00AB422B" w:rsidRPr="00AB422B" w:rsidRDefault="00597808">
          <w:pPr>
            <w:pStyle w:val="TOC3"/>
            <w:tabs>
              <w:tab w:val="right" w:leader="dot" w:pos="9350"/>
            </w:tabs>
            <w:rPr>
              <w:noProof/>
            </w:rPr>
          </w:pPr>
          <w:hyperlink w:anchor="_Toc502257261" w:history="1">
            <w:r w:rsidR="00AB422B" w:rsidRPr="00AB422B">
              <w:rPr>
                <w:rStyle w:val="Hyperlink"/>
                <w:noProof/>
                <w:color w:val="auto"/>
              </w:rPr>
              <w:t>2.2 Analysis of ratios</w:t>
            </w:r>
            <w:r w:rsidR="00AB422B" w:rsidRPr="00AB422B">
              <w:rPr>
                <w:noProof/>
                <w:webHidden/>
              </w:rPr>
              <w:tab/>
            </w:r>
            <w:r w:rsidRPr="00AB422B">
              <w:rPr>
                <w:noProof/>
                <w:webHidden/>
              </w:rPr>
              <w:fldChar w:fldCharType="begin"/>
            </w:r>
            <w:r w:rsidR="00AB422B" w:rsidRPr="00AB422B">
              <w:rPr>
                <w:noProof/>
                <w:webHidden/>
              </w:rPr>
              <w:instrText xml:space="preserve"> PAGEREF _Toc502257261 \h </w:instrText>
            </w:r>
            <w:r w:rsidRPr="00AB422B">
              <w:rPr>
                <w:noProof/>
                <w:webHidden/>
              </w:rPr>
            </w:r>
            <w:r w:rsidRPr="00AB422B">
              <w:rPr>
                <w:noProof/>
                <w:webHidden/>
              </w:rPr>
              <w:fldChar w:fldCharType="separate"/>
            </w:r>
            <w:r w:rsidR="00AB422B" w:rsidRPr="00AB422B">
              <w:rPr>
                <w:noProof/>
                <w:webHidden/>
              </w:rPr>
              <w:t>9</w:t>
            </w:r>
            <w:r w:rsidRPr="00AB422B">
              <w:rPr>
                <w:noProof/>
                <w:webHidden/>
              </w:rPr>
              <w:fldChar w:fldCharType="end"/>
            </w:r>
          </w:hyperlink>
        </w:p>
        <w:p w:rsidR="00AB422B" w:rsidRPr="00AB422B" w:rsidRDefault="00597808">
          <w:pPr>
            <w:pStyle w:val="TOC3"/>
            <w:tabs>
              <w:tab w:val="right" w:leader="dot" w:pos="9350"/>
            </w:tabs>
            <w:rPr>
              <w:noProof/>
            </w:rPr>
          </w:pPr>
          <w:hyperlink w:anchor="_Toc502257262" w:history="1">
            <w:r w:rsidR="00AB422B" w:rsidRPr="00AB422B">
              <w:rPr>
                <w:rStyle w:val="Hyperlink"/>
                <w:noProof/>
                <w:color w:val="auto"/>
              </w:rPr>
              <w:t>Possible explanation of changes of profitability ratios</w:t>
            </w:r>
            <w:r w:rsidR="00AB422B" w:rsidRPr="00AB422B">
              <w:rPr>
                <w:noProof/>
                <w:webHidden/>
              </w:rPr>
              <w:tab/>
            </w:r>
            <w:r w:rsidRPr="00AB422B">
              <w:rPr>
                <w:noProof/>
                <w:webHidden/>
              </w:rPr>
              <w:fldChar w:fldCharType="begin"/>
            </w:r>
            <w:r w:rsidR="00AB422B" w:rsidRPr="00AB422B">
              <w:rPr>
                <w:noProof/>
                <w:webHidden/>
              </w:rPr>
              <w:instrText xml:space="preserve"> PAGEREF _Toc502257262 \h </w:instrText>
            </w:r>
            <w:r w:rsidRPr="00AB422B">
              <w:rPr>
                <w:noProof/>
                <w:webHidden/>
              </w:rPr>
            </w:r>
            <w:r w:rsidRPr="00AB422B">
              <w:rPr>
                <w:noProof/>
                <w:webHidden/>
              </w:rPr>
              <w:fldChar w:fldCharType="separate"/>
            </w:r>
            <w:r w:rsidR="00AB422B" w:rsidRPr="00AB422B">
              <w:rPr>
                <w:noProof/>
                <w:webHidden/>
              </w:rPr>
              <w:t>12</w:t>
            </w:r>
            <w:r w:rsidRPr="00AB422B">
              <w:rPr>
                <w:noProof/>
                <w:webHidden/>
              </w:rPr>
              <w:fldChar w:fldCharType="end"/>
            </w:r>
          </w:hyperlink>
        </w:p>
        <w:p w:rsidR="00AB422B" w:rsidRPr="00AB422B" w:rsidRDefault="00597808">
          <w:pPr>
            <w:pStyle w:val="TOC3"/>
            <w:tabs>
              <w:tab w:val="right" w:leader="dot" w:pos="9350"/>
            </w:tabs>
            <w:rPr>
              <w:noProof/>
            </w:rPr>
          </w:pPr>
          <w:hyperlink w:anchor="_Toc502257263" w:history="1">
            <w:r w:rsidR="00AB422B" w:rsidRPr="00AB422B">
              <w:rPr>
                <w:rStyle w:val="Hyperlink"/>
                <w:noProof/>
                <w:color w:val="auto"/>
              </w:rPr>
              <w:t>2.2.2 Liquidity ratios</w:t>
            </w:r>
            <w:r w:rsidR="00AB422B" w:rsidRPr="00AB422B">
              <w:rPr>
                <w:noProof/>
                <w:webHidden/>
              </w:rPr>
              <w:tab/>
            </w:r>
            <w:r w:rsidRPr="00AB422B">
              <w:rPr>
                <w:noProof/>
                <w:webHidden/>
              </w:rPr>
              <w:fldChar w:fldCharType="begin"/>
            </w:r>
            <w:r w:rsidR="00AB422B" w:rsidRPr="00AB422B">
              <w:rPr>
                <w:noProof/>
                <w:webHidden/>
              </w:rPr>
              <w:instrText xml:space="preserve"> PAGEREF _Toc502257263 \h </w:instrText>
            </w:r>
            <w:r w:rsidRPr="00AB422B">
              <w:rPr>
                <w:noProof/>
                <w:webHidden/>
              </w:rPr>
            </w:r>
            <w:r w:rsidRPr="00AB422B">
              <w:rPr>
                <w:noProof/>
                <w:webHidden/>
              </w:rPr>
              <w:fldChar w:fldCharType="separate"/>
            </w:r>
            <w:r w:rsidR="00AB422B" w:rsidRPr="00AB422B">
              <w:rPr>
                <w:noProof/>
                <w:webHidden/>
              </w:rPr>
              <w:t>13</w:t>
            </w:r>
            <w:r w:rsidRPr="00AB422B">
              <w:rPr>
                <w:noProof/>
                <w:webHidden/>
              </w:rPr>
              <w:fldChar w:fldCharType="end"/>
            </w:r>
          </w:hyperlink>
        </w:p>
        <w:p w:rsidR="00AB422B" w:rsidRPr="00AB422B" w:rsidRDefault="00597808">
          <w:pPr>
            <w:pStyle w:val="TOC3"/>
            <w:tabs>
              <w:tab w:val="right" w:leader="dot" w:pos="9350"/>
            </w:tabs>
            <w:rPr>
              <w:noProof/>
            </w:rPr>
          </w:pPr>
          <w:hyperlink w:anchor="_Toc502257264" w:history="1">
            <w:r w:rsidR="00AB422B" w:rsidRPr="00AB422B">
              <w:rPr>
                <w:rStyle w:val="Hyperlink"/>
                <w:noProof/>
                <w:color w:val="auto"/>
              </w:rPr>
              <w:t>Possible explanation of changes of current ratios</w:t>
            </w:r>
            <w:r w:rsidR="00AB422B" w:rsidRPr="00AB422B">
              <w:rPr>
                <w:noProof/>
                <w:webHidden/>
              </w:rPr>
              <w:tab/>
            </w:r>
            <w:r w:rsidRPr="00AB422B">
              <w:rPr>
                <w:noProof/>
                <w:webHidden/>
              </w:rPr>
              <w:fldChar w:fldCharType="begin"/>
            </w:r>
            <w:r w:rsidR="00AB422B" w:rsidRPr="00AB422B">
              <w:rPr>
                <w:noProof/>
                <w:webHidden/>
              </w:rPr>
              <w:instrText xml:space="preserve"> PAGEREF _Toc502257264 \h </w:instrText>
            </w:r>
            <w:r w:rsidRPr="00AB422B">
              <w:rPr>
                <w:noProof/>
                <w:webHidden/>
              </w:rPr>
            </w:r>
            <w:r w:rsidRPr="00AB422B">
              <w:rPr>
                <w:noProof/>
                <w:webHidden/>
              </w:rPr>
              <w:fldChar w:fldCharType="separate"/>
            </w:r>
            <w:r w:rsidR="00AB422B" w:rsidRPr="00AB422B">
              <w:rPr>
                <w:noProof/>
                <w:webHidden/>
              </w:rPr>
              <w:t>14</w:t>
            </w:r>
            <w:r w:rsidRPr="00AB422B">
              <w:rPr>
                <w:noProof/>
                <w:webHidden/>
              </w:rPr>
              <w:fldChar w:fldCharType="end"/>
            </w:r>
          </w:hyperlink>
        </w:p>
        <w:p w:rsidR="00AB422B" w:rsidRPr="00AB422B" w:rsidRDefault="00597808">
          <w:pPr>
            <w:pStyle w:val="TOC3"/>
            <w:tabs>
              <w:tab w:val="right" w:leader="dot" w:pos="9350"/>
            </w:tabs>
            <w:rPr>
              <w:noProof/>
            </w:rPr>
          </w:pPr>
          <w:hyperlink w:anchor="_Toc502257265" w:history="1">
            <w:r w:rsidR="00AB422B" w:rsidRPr="00AB422B">
              <w:rPr>
                <w:rStyle w:val="Hyperlink"/>
                <w:noProof/>
                <w:color w:val="auto"/>
              </w:rPr>
              <w:t>2.2.3 Efficiency ratios</w:t>
            </w:r>
            <w:r w:rsidR="00AB422B" w:rsidRPr="00AB422B">
              <w:rPr>
                <w:noProof/>
                <w:webHidden/>
              </w:rPr>
              <w:tab/>
            </w:r>
            <w:r w:rsidRPr="00AB422B">
              <w:rPr>
                <w:noProof/>
                <w:webHidden/>
              </w:rPr>
              <w:fldChar w:fldCharType="begin"/>
            </w:r>
            <w:r w:rsidR="00AB422B" w:rsidRPr="00AB422B">
              <w:rPr>
                <w:noProof/>
                <w:webHidden/>
              </w:rPr>
              <w:instrText xml:space="preserve"> PAGEREF _Toc502257265 \h </w:instrText>
            </w:r>
            <w:r w:rsidRPr="00AB422B">
              <w:rPr>
                <w:noProof/>
                <w:webHidden/>
              </w:rPr>
            </w:r>
            <w:r w:rsidRPr="00AB422B">
              <w:rPr>
                <w:noProof/>
                <w:webHidden/>
              </w:rPr>
              <w:fldChar w:fldCharType="separate"/>
            </w:r>
            <w:r w:rsidR="00AB422B" w:rsidRPr="00AB422B">
              <w:rPr>
                <w:noProof/>
                <w:webHidden/>
              </w:rPr>
              <w:t>15</w:t>
            </w:r>
            <w:r w:rsidRPr="00AB422B">
              <w:rPr>
                <w:noProof/>
                <w:webHidden/>
              </w:rPr>
              <w:fldChar w:fldCharType="end"/>
            </w:r>
          </w:hyperlink>
        </w:p>
        <w:p w:rsidR="00AB422B" w:rsidRPr="00AB422B" w:rsidRDefault="00597808">
          <w:pPr>
            <w:pStyle w:val="TOC3"/>
            <w:tabs>
              <w:tab w:val="right" w:leader="dot" w:pos="9350"/>
            </w:tabs>
            <w:rPr>
              <w:noProof/>
            </w:rPr>
          </w:pPr>
          <w:hyperlink w:anchor="_Toc502257266" w:history="1">
            <w:r w:rsidR="00AB422B" w:rsidRPr="00AB422B">
              <w:rPr>
                <w:rStyle w:val="Hyperlink"/>
                <w:noProof/>
                <w:color w:val="auto"/>
              </w:rPr>
              <w:t>Possible explanation of changes of current ratios</w:t>
            </w:r>
            <w:r w:rsidR="00AB422B" w:rsidRPr="00AB422B">
              <w:rPr>
                <w:noProof/>
                <w:webHidden/>
              </w:rPr>
              <w:tab/>
            </w:r>
            <w:r w:rsidRPr="00AB422B">
              <w:rPr>
                <w:noProof/>
                <w:webHidden/>
              </w:rPr>
              <w:fldChar w:fldCharType="begin"/>
            </w:r>
            <w:r w:rsidR="00AB422B" w:rsidRPr="00AB422B">
              <w:rPr>
                <w:noProof/>
                <w:webHidden/>
              </w:rPr>
              <w:instrText xml:space="preserve"> PAGEREF _Toc502257266 \h </w:instrText>
            </w:r>
            <w:r w:rsidRPr="00AB422B">
              <w:rPr>
                <w:noProof/>
                <w:webHidden/>
              </w:rPr>
            </w:r>
            <w:r w:rsidRPr="00AB422B">
              <w:rPr>
                <w:noProof/>
                <w:webHidden/>
              </w:rPr>
              <w:fldChar w:fldCharType="separate"/>
            </w:r>
            <w:r w:rsidR="00AB422B" w:rsidRPr="00AB422B">
              <w:rPr>
                <w:noProof/>
                <w:webHidden/>
              </w:rPr>
              <w:t>16</w:t>
            </w:r>
            <w:r w:rsidRPr="00AB422B">
              <w:rPr>
                <w:noProof/>
                <w:webHidden/>
              </w:rPr>
              <w:fldChar w:fldCharType="end"/>
            </w:r>
          </w:hyperlink>
        </w:p>
        <w:p w:rsidR="00AB422B" w:rsidRPr="00AB422B" w:rsidRDefault="00597808">
          <w:pPr>
            <w:pStyle w:val="TOC3"/>
            <w:tabs>
              <w:tab w:val="right" w:leader="dot" w:pos="9350"/>
            </w:tabs>
            <w:rPr>
              <w:noProof/>
            </w:rPr>
          </w:pPr>
          <w:hyperlink w:anchor="_Toc502257267" w:history="1">
            <w:r w:rsidR="00AB422B" w:rsidRPr="00AB422B">
              <w:rPr>
                <w:rStyle w:val="Hyperlink"/>
                <w:rFonts w:ascii="Times New Roman" w:hAnsi="Times New Roman" w:cs="Times New Roman"/>
                <w:noProof/>
                <w:color w:val="auto"/>
              </w:rPr>
              <w:t xml:space="preserve">2.2.4 </w:t>
            </w:r>
            <w:r w:rsidR="00AB422B" w:rsidRPr="00AB422B">
              <w:rPr>
                <w:rStyle w:val="Hyperlink"/>
                <w:noProof/>
                <w:color w:val="auto"/>
              </w:rPr>
              <w:t>Gearing ratios</w:t>
            </w:r>
            <w:r w:rsidR="00AB422B" w:rsidRPr="00AB422B">
              <w:rPr>
                <w:noProof/>
                <w:webHidden/>
              </w:rPr>
              <w:tab/>
            </w:r>
            <w:r w:rsidRPr="00AB422B">
              <w:rPr>
                <w:noProof/>
                <w:webHidden/>
              </w:rPr>
              <w:fldChar w:fldCharType="begin"/>
            </w:r>
            <w:r w:rsidR="00AB422B" w:rsidRPr="00AB422B">
              <w:rPr>
                <w:noProof/>
                <w:webHidden/>
              </w:rPr>
              <w:instrText xml:space="preserve"> PAGEREF _Toc502257267 \h </w:instrText>
            </w:r>
            <w:r w:rsidRPr="00AB422B">
              <w:rPr>
                <w:noProof/>
                <w:webHidden/>
              </w:rPr>
            </w:r>
            <w:r w:rsidRPr="00AB422B">
              <w:rPr>
                <w:noProof/>
                <w:webHidden/>
              </w:rPr>
              <w:fldChar w:fldCharType="separate"/>
            </w:r>
            <w:r w:rsidR="00AB422B" w:rsidRPr="00AB422B">
              <w:rPr>
                <w:noProof/>
                <w:webHidden/>
              </w:rPr>
              <w:t>17</w:t>
            </w:r>
            <w:r w:rsidRPr="00AB422B">
              <w:rPr>
                <w:noProof/>
                <w:webHidden/>
              </w:rPr>
              <w:fldChar w:fldCharType="end"/>
            </w:r>
          </w:hyperlink>
        </w:p>
        <w:p w:rsidR="00AB422B" w:rsidRPr="00AB422B" w:rsidRDefault="00597808">
          <w:pPr>
            <w:pStyle w:val="TOC3"/>
            <w:tabs>
              <w:tab w:val="right" w:leader="dot" w:pos="9350"/>
            </w:tabs>
            <w:rPr>
              <w:noProof/>
            </w:rPr>
          </w:pPr>
          <w:hyperlink w:anchor="_Toc502257268" w:history="1">
            <w:r w:rsidR="00AB422B" w:rsidRPr="00AB422B">
              <w:rPr>
                <w:rStyle w:val="Hyperlink"/>
                <w:noProof/>
                <w:color w:val="auto"/>
              </w:rPr>
              <w:t>Possible explanation of changes of gearing ratios</w:t>
            </w:r>
            <w:r w:rsidR="00AB422B" w:rsidRPr="00AB422B">
              <w:rPr>
                <w:noProof/>
                <w:webHidden/>
              </w:rPr>
              <w:tab/>
            </w:r>
            <w:r w:rsidRPr="00AB422B">
              <w:rPr>
                <w:noProof/>
                <w:webHidden/>
              </w:rPr>
              <w:fldChar w:fldCharType="begin"/>
            </w:r>
            <w:r w:rsidR="00AB422B" w:rsidRPr="00AB422B">
              <w:rPr>
                <w:noProof/>
                <w:webHidden/>
              </w:rPr>
              <w:instrText xml:space="preserve"> PAGEREF _Toc502257268 \h </w:instrText>
            </w:r>
            <w:r w:rsidRPr="00AB422B">
              <w:rPr>
                <w:noProof/>
                <w:webHidden/>
              </w:rPr>
            </w:r>
            <w:r w:rsidRPr="00AB422B">
              <w:rPr>
                <w:noProof/>
                <w:webHidden/>
              </w:rPr>
              <w:fldChar w:fldCharType="separate"/>
            </w:r>
            <w:r w:rsidR="00AB422B" w:rsidRPr="00AB422B">
              <w:rPr>
                <w:noProof/>
                <w:webHidden/>
              </w:rPr>
              <w:t>18</w:t>
            </w:r>
            <w:r w:rsidRPr="00AB422B">
              <w:rPr>
                <w:noProof/>
                <w:webHidden/>
              </w:rPr>
              <w:fldChar w:fldCharType="end"/>
            </w:r>
          </w:hyperlink>
        </w:p>
        <w:p w:rsidR="00AB422B" w:rsidRPr="00AB422B" w:rsidRDefault="00597808">
          <w:pPr>
            <w:pStyle w:val="TOC1"/>
            <w:tabs>
              <w:tab w:val="right" w:leader="dot" w:pos="9350"/>
            </w:tabs>
            <w:rPr>
              <w:noProof/>
            </w:rPr>
          </w:pPr>
          <w:hyperlink w:anchor="_Toc502257269" w:history="1">
            <w:r w:rsidR="00AB422B" w:rsidRPr="00AB422B">
              <w:rPr>
                <w:rStyle w:val="Hyperlink"/>
                <w:noProof/>
                <w:color w:val="auto"/>
              </w:rPr>
              <w:t>3Comparison of Tesco performance against Sainsbury’s</w:t>
            </w:r>
            <w:r w:rsidR="00AB422B" w:rsidRPr="00AB422B">
              <w:rPr>
                <w:noProof/>
                <w:webHidden/>
              </w:rPr>
              <w:tab/>
            </w:r>
            <w:r w:rsidRPr="00AB422B">
              <w:rPr>
                <w:noProof/>
                <w:webHidden/>
              </w:rPr>
              <w:fldChar w:fldCharType="begin"/>
            </w:r>
            <w:r w:rsidR="00AB422B" w:rsidRPr="00AB422B">
              <w:rPr>
                <w:noProof/>
                <w:webHidden/>
              </w:rPr>
              <w:instrText xml:space="preserve"> PAGEREF _Toc502257269 \h </w:instrText>
            </w:r>
            <w:r w:rsidRPr="00AB422B">
              <w:rPr>
                <w:noProof/>
                <w:webHidden/>
              </w:rPr>
            </w:r>
            <w:r w:rsidRPr="00AB422B">
              <w:rPr>
                <w:noProof/>
                <w:webHidden/>
              </w:rPr>
              <w:fldChar w:fldCharType="separate"/>
            </w:r>
            <w:r w:rsidR="00AB422B" w:rsidRPr="00AB422B">
              <w:rPr>
                <w:noProof/>
                <w:webHidden/>
              </w:rPr>
              <w:t>18</w:t>
            </w:r>
            <w:r w:rsidRPr="00AB422B">
              <w:rPr>
                <w:noProof/>
                <w:webHidden/>
              </w:rPr>
              <w:fldChar w:fldCharType="end"/>
            </w:r>
          </w:hyperlink>
        </w:p>
        <w:p w:rsidR="00AB422B" w:rsidRPr="00AB422B" w:rsidRDefault="00597808">
          <w:pPr>
            <w:pStyle w:val="TOC2"/>
            <w:tabs>
              <w:tab w:val="right" w:leader="dot" w:pos="9350"/>
            </w:tabs>
            <w:rPr>
              <w:noProof/>
            </w:rPr>
          </w:pPr>
          <w:hyperlink w:anchor="_Toc502257270" w:history="1">
            <w:r w:rsidR="00AB422B" w:rsidRPr="00AB422B">
              <w:rPr>
                <w:rStyle w:val="Hyperlink"/>
                <w:noProof/>
                <w:color w:val="auto"/>
              </w:rPr>
              <w:t>3.1 Profitability ratios</w:t>
            </w:r>
            <w:r w:rsidR="00AB422B" w:rsidRPr="00AB422B">
              <w:rPr>
                <w:noProof/>
                <w:webHidden/>
              </w:rPr>
              <w:tab/>
            </w:r>
            <w:r w:rsidRPr="00AB422B">
              <w:rPr>
                <w:noProof/>
                <w:webHidden/>
              </w:rPr>
              <w:fldChar w:fldCharType="begin"/>
            </w:r>
            <w:r w:rsidR="00AB422B" w:rsidRPr="00AB422B">
              <w:rPr>
                <w:noProof/>
                <w:webHidden/>
              </w:rPr>
              <w:instrText xml:space="preserve"> PAGEREF _Toc502257270 \h </w:instrText>
            </w:r>
            <w:r w:rsidRPr="00AB422B">
              <w:rPr>
                <w:noProof/>
                <w:webHidden/>
              </w:rPr>
            </w:r>
            <w:r w:rsidRPr="00AB422B">
              <w:rPr>
                <w:noProof/>
                <w:webHidden/>
              </w:rPr>
              <w:fldChar w:fldCharType="separate"/>
            </w:r>
            <w:r w:rsidR="00AB422B" w:rsidRPr="00AB422B">
              <w:rPr>
                <w:noProof/>
                <w:webHidden/>
              </w:rPr>
              <w:t>20</w:t>
            </w:r>
            <w:r w:rsidRPr="00AB422B">
              <w:rPr>
                <w:noProof/>
                <w:webHidden/>
              </w:rPr>
              <w:fldChar w:fldCharType="end"/>
            </w:r>
          </w:hyperlink>
        </w:p>
        <w:p w:rsidR="00AB422B" w:rsidRPr="00AB422B" w:rsidRDefault="00597808">
          <w:pPr>
            <w:pStyle w:val="TOC2"/>
            <w:tabs>
              <w:tab w:val="right" w:leader="dot" w:pos="9350"/>
            </w:tabs>
            <w:rPr>
              <w:noProof/>
            </w:rPr>
          </w:pPr>
          <w:hyperlink w:anchor="_Toc502257271" w:history="1">
            <w:r w:rsidR="00AB422B" w:rsidRPr="00AB422B">
              <w:rPr>
                <w:rStyle w:val="Hyperlink"/>
                <w:noProof/>
                <w:color w:val="auto"/>
              </w:rPr>
              <w:t>3.2 Liquidity ratios</w:t>
            </w:r>
            <w:r w:rsidR="00AB422B" w:rsidRPr="00AB422B">
              <w:rPr>
                <w:noProof/>
                <w:webHidden/>
              </w:rPr>
              <w:tab/>
            </w:r>
            <w:r w:rsidRPr="00AB422B">
              <w:rPr>
                <w:noProof/>
                <w:webHidden/>
              </w:rPr>
              <w:fldChar w:fldCharType="begin"/>
            </w:r>
            <w:r w:rsidR="00AB422B" w:rsidRPr="00AB422B">
              <w:rPr>
                <w:noProof/>
                <w:webHidden/>
              </w:rPr>
              <w:instrText xml:space="preserve"> PAGEREF _Toc502257271 \h </w:instrText>
            </w:r>
            <w:r w:rsidRPr="00AB422B">
              <w:rPr>
                <w:noProof/>
                <w:webHidden/>
              </w:rPr>
            </w:r>
            <w:r w:rsidRPr="00AB422B">
              <w:rPr>
                <w:noProof/>
                <w:webHidden/>
              </w:rPr>
              <w:fldChar w:fldCharType="separate"/>
            </w:r>
            <w:r w:rsidR="00AB422B" w:rsidRPr="00AB422B">
              <w:rPr>
                <w:noProof/>
                <w:webHidden/>
              </w:rPr>
              <w:t>22</w:t>
            </w:r>
            <w:r w:rsidRPr="00AB422B">
              <w:rPr>
                <w:noProof/>
                <w:webHidden/>
              </w:rPr>
              <w:fldChar w:fldCharType="end"/>
            </w:r>
          </w:hyperlink>
        </w:p>
        <w:p w:rsidR="00AB422B" w:rsidRPr="00AB422B" w:rsidRDefault="00597808">
          <w:pPr>
            <w:pStyle w:val="TOC2"/>
            <w:tabs>
              <w:tab w:val="right" w:leader="dot" w:pos="9350"/>
            </w:tabs>
            <w:rPr>
              <w:noProof/>
            </w:rPr>
          </w:pPr>
          <w:hyperlink w:anchor="_Toc502257272" w:history="1">
            <w:r w:rsidR="00AB422B" w:rsidRPr="00AB422B">
              <w:rPr>
                <w:rStyle w:val="Hyperlink"/>
                <w:noProof/>
                <w:color w:val="auto"/>
              </w:rPr>
              <w:t>3.3 Efficiency ratios</w:t>
            </w:r>
            <w:r w:rsidR="00AB422B" w:rsidRPr="00AB422B">
              <w:rPr>
                <w:noProof/>
                <w:webHidden/>
              </w:rPr>
              <w:tab/>
            </w:r>
            <w:r w:rsidRPr="00AB422B">
              <w:rPr>
                <w:noProof/>
                <w:webHidden/>
              </w:rPr>
              <w:fldChar w:fldCharType="begin"/>
            </w:r>
            <w:r w:rsidR="00AB422B" w:rsidRPr="00AB422B">
              <w:rPr>
                <w:noProof/>
                <w:webHidden/>
              </w:rPr>
              <w:instrText xml:space="preserve"> PAGEREF _Toc502257272 \h </w:instrText>
            </w:r>
            <w:r w:rsidRPr="00AB422B">
              <w:rPr>
                <w:noProof/>
                <w:webHidden/>
              </w:rPr>
            </w:r>
            <w:r w:rsidRPr="00AB422B">
              <w:rPr>
                <w:noProof/>
                <w:webHidden/>
              </w:rPr>
              <w:fldChar w:fldCharType="separate"/>
            </w:r>
            <w:r w:rsidR="00AB422B" w:rsidRPr="00AB422B">
              <w:rPr>
                <w:noProof/>
                <w:webHidden/>
              </w:rPr>
              <w:t>23</w:t>
            </w:r>
            <w:r w:rsidRPr="00AB422B">
              <w:rPr>
                <w:noProof/>
                <w:webHidden/>
              </w:rPr>
              <w:fldChar w:fldCharType="end"/>
            </w:r>
          </w:hyperlink>
        </w:p>
        <w:p w:rsidR="00AB422B" w:rsidRPr="00AB422B" w:rsidRDefault="00597808">
          <w:pPr>
            <w:pStyle w:val="TOC2"/>
            <w:tabs>
              <w:tab w:val="right" w:leader="dot" w:pos="9350"/>
            </w:tabs>
            <w:rPr>
              <w:noProof/>
            </w:rPr>
          </w:pPr>
          <w:hyperlink w:anchor="_Toc502257273" w:history="1">
            <w:r w:rsidR="00AB422B" w:rsidRPr="00AB422B">
              <w:rPr>
                <w:rStyle w:val="Hyperlink"/>
                <w:noProof/>
                <w:color w:val="auto"/>
              </w:rPr>
              <w:t>3.4 Gearing ratios</w:t>
            </w:r>
            <w:r w:rsidR="00AB422B" w:rsidRPr="00AB422B">
              <w:rPr>
                <w:noProof/>
                <w:webHidden/>
              </w:rPr>
              <w:tab/>
            </w:r>
            <w:r w:rsidRPr="00AB422B">
              <w:rPr>
                <w:noProof/>
                <w:webHidden/>
              </w:rPr>
              <w:fldChar w:fldCharType="begin"/>
            </w:r>
            <w:r w:rsidR="00AB422B" w:rsidRPr="00AB422B">
              <w:rPr>
                <w:noProof/>
                <w:webHidden/>
              </w:rPr>
              <w:instrText xml:space="preserve"> PAGEREF _Toc502257273 \h </w:instrText>
            </w:r>
            <w:r w:rsidRPr="00AB422B">
              <w:rPr>
                <w:noProof/>
                <w:webHidden/>
              </w:rPr>
            </w:r>
            <w:r w:rsidRPr="00AB422B">
              <w:rPr>
                <w:noProof/>
                <w:webHidden/>
              </w:rPr>
              <w:fldChar w:fldCharType="separate"/>
            </w:r>
            <w:r w:rsidR="00AB422B" w:rsidRPr="00AB422B">
              <w:rPr>
                <w:noProof/>
                <w:webHidden/>
              </w:rPr>
              <w:t>24</w:t>
            </w:r>
            <w:r w:rsidRPr="00AB422B">
              <w:rPr>
                <w:noProof/>
                <w:webHidden/>
              </w:rPr>
              <w:fldChar w:fldCharType="end"/>
            </w:r>
          </w:hyperlink>
        </w:p>
        <w:p w:rsidR="00AB422B" w:rsidRPr="00AB422B" w:rsidRDefault="00597808">
          <w:pPr>
            <w:pStyle w:val="TOC1"/>
            <w:tabs>
              <w:tab w:val="right" w:leader="dot" w:pos="9350"/>
            </w:tabs>
            <w:rPr>
              <w:noProof/>
            </w:rPr>
          </w:pPr>
          <w:hyperlink w:anchor="_Toc502257274" w:history="1">
            <w:r w:rsidR="00AB422B" w:rsidRPr="00AB422B">
              <w:rPr>
                <w:rStyle w:val="Hyperlink"/>
                <w:noProof/>
                <w:color w:val="auto"/>
              </w:rPr>
              <w:t>4 Future performances against its competitors</w:t>
            </w:r>
            <w:r w:rsidR="00AB422B" w:rsidRPr="00AB422B">
              <w:rPr>
                <w:noProof/>
                <w:webHidden/>
              </w:rPr>
              <w:tab/>
            </w:r>
            <w:r w:rsidRPr="00AB422B">
              <w:rPr>
                <w:noProof/>
                <w:webHidden/>
              </w:rPr>
              <w:fldChar w:fldCharType="begin"/>
            </w:r>
            <w:r w:rsidR="00AB422B" w:rsidRPr="00AB422B">
              <w:rPr>
                <w:noProof/>
                <w:webHidden/>
              </w:rPr>
              <w:instrText xml:space="preserve"> PAGEREF _Toc502257274 \h </w:instrText>
            </w:r>
            <w:r w:rsidRPr="00AB422B">
              <w:rPr>
                <w:noProof/>
                <w:webHidden/>
              </w:rPr>
            </w:r>
            <w:r w:rsidRPr="00AB422B">
              <w:rPr>
                <w:noProof/>
                <w:webHidden/>
              </w:rPr>
              <w:fldChar w:fldCharType="separate"/>
            </w:r>
            <w:r w:rsidR="00AB422B" w:rsidRPr="00AB422B">
              <w:rPr>
                <w:noProof/>
                <w:webHidden/>
              </w:rPr>
              <w:t>24</w:t>
            </w:r>
            <w:r w:rsidRPr="00AB422B">
              <w:rPr>
                <w:noProof/>
                <w:webHidden/>
              </w:rPr>
              <w:fldChar w:fldCharType="end"/>
            </w:r>
          </w:hyperlink>
        </w:p>
        <w:p w:rsidR="00AB422B" w:rsidRPr="00AB422B" w:rsidRDefault="00597808">
          <w:pPr>
            <w:pStyle w:val="TOC1"/>
            <w:tabs>
              <w:tab w:val="right" w:leader="dot" w:pos="9350"/>
            </w:tabs>
            <w:rPr>
              <w:noProof/>
            </w:rPr>
          </w:pPr>
          <w:hyperlink w:anchor="_Toc502257275" w:history="1">
            <w:r w:rsidR="00AB422B" w:rsidRPr="00AB422B">
              <w:rPr>
                <w:rStyle w:val="Hyperlink"/>
                <w:noProof/>
                <w:color w:val="auto"/>
              </w:rPr>
              <w:t>5 Benefits and disadvantage of ratios analysis</w:t>
            </w:r>
            <w:r w:rsidR="00AB422B" w:rsidRPr="00AB422B">
              <w:rPr>
                <w:noProof/>
                <w:webHidden/>
              </w:rPr>
              <w:tab/>
            </w:r>
            <w:r w:rsidRPr="00AB422B">
              <w:rPr>
                <w:noProof/>
                <w:webHidden/>
              </w:rPr>
              <w:fldChar w:fldCharType="begin"/>
            </w:r>
            <w:r w:rsidR="00AB422B" w:rsidRPr="00AB422B">
              <w:rPr>
                <w:noProof/>
                <w:webHidden/>
              </w:rPr>
              <w:instrText xml:space="preserve"> PAGEREF _Toc502257275 \h </w:instrText>
            </w:r>
            <w:r w:rsidRPr="00AB422B">
              <w:rPr>
                <w:noProof/>
                <w:webHidden/>
              </w:rPr>
            </w:r>
            <w:r w:rsidRPr="00AB422B">
              <w:rPr>
                <w:noProof/>
                <w:webHidden/>
              </w:rPr>
              <w:fldChar w:fldCharType="separate"/>
            </w:r>
            <w:r w:rsidR="00AB422B" w:rsidRPr="00AB422B">
              <w:rPr>
                <w:noProof/>
                <w:webHidden/>
              </w:rPr>
              <w:t>26</w:t>
            </w:r>
            <w:r w:rsidRPr="00AB422B">
              <w:rPr>
                <w:noProof/>
                <w:webHidden/>
              </w:rPr>
              <w:fldChar w:fldCharType="end"/>
            </w:r>
          </w:hyperlink>
        </w:p>
        <w:p w:rsidR="00AB422B" w:rsidRPr="00AB422B" w:rsidRDefault="00597808">
          <w:pPr>
            <w:pStyle w:val="TOC1"/>
            <w:tabs>
              <w:tab w:val="right" w:leader="dot" w:pos="9350"/>
            </w:tabs>
            <w:rPr>
              <w:noProof/>
            </w:rPr>
          </w:pPr>
          <w:hyperlink w:anchor="_Toc502257276" w:history="1">
            <w:r w:rsidR="00AB422B" w:rsidRPr="00AB422B">
              <w:rPr>
                <w:rStyle w:val="Hyperlink"/>
                <w:rFonts w:eastAsia="Times New Roman"/>
                <w:noProof/>
                <w:color w:val="auto"/>
              </w:rPr>
              <w:t>References</w:t>
            </w:r>
            <w:r w:rsidR="00AB422B" w:rsidRPr="00AB422B">
              <w:rPr>
                <w:noProof/>
                <w:webHidden/>
              </w:rPr>
              <w:tab/>
            </w:r>
            <w:r w:rsidRPr="00AB422B">
              <w:rPr>
                <w:noProof/>
                <w:webHidden/>
              </w:rPr>
              <w:fldChar w:fldCharType="begin"/>
            </w:r>
            <w:r w:rsidR="00AB422B" w:rsidRPr="00AB422B">
              <w:rPr>
                <w:noProof/>
                <w:webHidden/>
              </w:rPr>
              <w:instrText xml:space="preserve"> PAGEREF _Toc502257276 \h </w:instrText>
            </w:r>
            <w:r w:rsidRPr="00AB422B">
              <w:rPr>
                <w:noProof/>
                <w:webHidden/>
              </w:rPr>
            </w:r>
            <w:r w:rsidRPr="00AB422B">
              <w:rPr>
                <w:noProof/>
                <w:webHidden/>
              </w:rPr>
              <w:fldChar w:fldCharType="separate"/>
            </w:r>
            <w:r w:rsidR="00AB422B" w:rsidRPr="00AB422B">
              <w:rPr>
                <w:noProof/>
                <w:webHidden/>
              </w:rPr>
              <w:t>28</w:t>
            </w:r>
            <w:r w:rsidRPr="00AB422B">
              <w:rPr>
                <w:noProof/>
                <w:webHidden/>
              </w:rPr>
              <w:fldChar w:fldCharType="end"/>
            </w:r>
          </w:hyperlink>
        </w:p>
        <w:p w:rsidR="00AB422B" w:rsidRPr="00AB422B" w:rsidRDefault="00597808">
          <w:pPr>
            <w:pStyle w:val="TOC1"/>
            <w:tabs>
              <w:tab w:val="right" w:leader="dot" w:pos="9350"/>
            </w:tabs>
            <w:rPr>
              <w:noProof/>
            </w:rPr>
          </w:pPr>
          <w:hyperlink w:anchor="_Toc502257277" w:history="1">
            <w:r w:rsidR="00AB422B" w:rsidRPr="00AB422B">
              <w:rPr>
                <w:rStyle w:val="Hyperlink"/>
                <w:noProof/>
                <w:color w:val="auto"/>
              </w:rPr>
              <w:t>Appendix</w:t>
            </w:r>
            <w:r w:rsidR="00AB422B" w:rsidRPr="00AB422B">
              <w:rPr>
                <w:noProof/>
                <w:webHidden/>
              </w:rPr>
              <w:tab/>
            </w:r>
            <w:r w:rsidRPr="00AB422B">
              <w:rPr>
                <w:noProof/>
                <w:webHidden/>
              </w:rPr>
              <w:fldChar w:fldCharType="begin"/>
            </w:r>
            <w:r w:rsidR="00AB422B" w:rsidRPr="00AB422B">
              <w:rPr>
                <w:noProof/>
                <w:webHidden/>
              </w:rPr>
              <w:instrText xml:space="preserve"> PAGEREF _Toc502257277 \h </w:instrText>
            </w:r>
            <w:r w:rsidRPr="00AB422B">
              <w:rPr>
                <w:noProof/>
                <w:webHidden/>
              </w:rPr>
            </w:r>
            <w:r w:rsidRPr="00AB422B">
              <w:rPr>
                <w:noProof/>
                <w:webHidden/>
              </w:rPr>
              <w:fldChar w:fldCharType="separate"/>
            </w:r>
            <w:r w:rsidR="00AB422B" w:rsidRPr="00AB422B">
              <w:rPr>
                <w:noProof/>
                <w:webHidden/>
              </w:rPr>
              <w:t>30</w:t>
            </w:r>
            <w:r w:rsidRPr="00AB422B">
              <w:rPr>
                <w:noProof/>
                <w:webHidden/>
              </w:rPr>
              <w:fldChar w:fldCharType="end"/>
            </w:r>
          </w:hyperlink>
        </w:p>
        <w:p w:rsidR="00AB422B" w:rsidRPr="00AB422B" w:rsidRDefault="00597808">
          <w:pPr>
            <w:pStyle w:val="TOC2"/>
            <w:tabs>
              <w:tab w:val="right" w:leader="dot" w:pos="9350"/>
            </w:tabs>
            <w:rPr>
              <w:noProof/>
            </w:rPr>
          </w:pPr>
          <w:hyperlink w:anchor="_Toc502257278" w:history="1">
            <w:r w:rsidR="00AB422B" w:rsidRPr="00AB422B">
              <w:rPr>
                <w:rStyle w:val="Hyperlink"/>
                <w:rFonts w:eastAsia="Times New Roman"/>
                <w:noProof/>
                <w:color w:val="auto"/>
              </w:rPr>
              <w:t>Tesco plc ratios analysis for a period of five years from 2102 to 2016</w:t>
            </w:r>
            <w:r w:rsidR="00AB422B" w:rsidRPr="00AB422B">
              <w:rPr>
                <w:noProof/>
                <w:webHidden/>
              </w:rPr>
              <w:tab/>
            </w:r>
            <w:r w:rsidRPr="00AB422B">
              <w:rPr>
                <w:noProof/>
                <w:webHidden/>
              </w:rPr>
              <w:fldChar w:fldCharType="begin"/>
            </w:r>
            <w:r w:rsidR="00AB422B" w:rsidRPr="00AB422B">
              <w:rPr>
                <w:noProof/>
                <w:webHidden/>
              </w:rPr>
              <w:instrText xml:space="preserve"> PAGEREF _Toc502257278 \h </w:instrText>
            </w:r>
            <w:r w:rsidRPr="00AB422B">
              <w:rPr>
                <w:noProof/>
                <w:webHidden/>
              </w:rPr>
            </w:r>
            <w:r w:rsidRPr="00AB422B">
              <w:rPr>
                <w:noProof/>
                <w:webHidden/>
              </w:rPr>
              <w:fldChar w:fldCharType="separate"/>
            </w:r>
            <w:r w:rsidR="00AB422B" w:rsidRPr="00AB422B">
              <w:rPr>
                <w:noProof/>
                <w:webHidden/>
              </w:rPr>
              <w:t>30</w:t>
            </w:r>
            <w:r w:rsidRPr="00AB422B">
              <w:rPr>
                <w:noProof/>
                <w:webHidden/>
              </w:rPr>
              <w:fldChar w:fldCharType="end"/>
            </w:r>
          </w:hyperlink>
        </w:p>
        <w:p w:rsidR="00AB422B" w:rsidRPr="00AB422B" w:rsidRDefault="00597808">
          <w:pPr>
            <w:pStyle w:val="TOC2"/>
            <w:tabs>
              <w:tab w:val="right" w:leader="dot" w:pos="9350"/>
            </w:tabs>
            <w:rPr>
              <w:noProof/>
            </w:rPr>
          </w:pPr>
          <w:hyperlink w:anchor="_Toc502257279" w:history="1">
            <w:r w:rsidR="00AB422B" w:rsidRPr="00AB422B">
              <w:rPr>
                <w:rStyle w:val="Hyperlink"/>
                <w:noProof/>
                <w:color w:val="auto"/>
              </w:rPr>
              <w:t>SAINSBURY PLC ratios</w:t>
            </w:r>
            <w:r w:rsidR="00AB422B" w:rsidRPr="00AB422B">
              <w:rPr>
                <w:rStyle w:val="Hyperlink"/>
                <w:rFonts w:eastAsia="Times New Roman"/>
                <w:noProof/>
                <w:color w:val="auto"/>
              </w:rPr>
              <w:t xml:space="preserve"> analysis for a period of five years from 2102 to 2016</w:t>
            </w:r>
            <w:r w:rsidR="00AB422B" w:rsidRPr="00AB422B">
              <w:rPr>
                <w:noProof/>
                <w:webHidden/>
              </w:rPr>
              <w:tab/>
            </w:r>
            <w:r w:rsidRPr="00AB422B">
              <w:rPr>
                <w:noProof/>
                <w:webHidden/>
              </w:rPr>
              <w:fldChar w:fldCharType="begin"/>
            </w:r>
            <w:r w:rsidR="00AB422B" w:rsidRPr="00AB422B">
              <w:rPr>
                <w:noProof/>
                <w:webHidden/>
              </w:rPr>
              <w:instrText xml:space="preserve"> PAGEREF _Toc502257279 \h </w:instrText>
            </w:r>
            <w:r w:rsidRPr="00AB422B">
              <w:rPr>
                <w:noProof/>
                <w:webHidden/>
              </w:rPr>
            </w:r>
            <w:r w:rsidRPr="00AB422B">
              <w:rPr>
                <w:noProof/>
                <w:webHidden/>
              </w:rPr>
              <w:fldChar w:fldCharType="separate"/>
            </w:r>
            <w:r w:rsidR="00AB422B" w:rsidRPr="00AB422B">
              <w:rPr>
                <w:noProof/>
                <w:webHidden/>
              </w:rPr>
              <w:t>32</w:t>
            </w:r>
            <w:r w:rsidRPr="00AB422B">
              <w:rPr>
                <w:noProof/>
                <w:webHidden/>
              </w:rPr>
              <w:fldChar w:fldCharType="end"/>
            </w:r>
          </w:hyperlink>
        </w:p>
        <w:p w:rsidR="00AB422B" w:rsidRPr="00AB422B" w:rsidRDefault="00597808">
          <w:pPr>
            <w:pStyle w:val="TOC1"/>
            <w:tabs>
              <w:tab w:val="right" w:leader="dot" w:pos="9350"/>
            </w:tabs>
            <w:rPr>
              <w:noProof/>
            </w:rPr>
          </w:pPr>
          <w:hyperlink w:anchor="_Toc502257280" w:history="1">
            <w:r w:rsidR="00AB422B" w:rsidRPr="00AB422B">
              <w:rPr>
                <w:rStyle w:val="Hyperlink"/>
                <w:noProof/>
                <w:color w:val="auto"/>
              </w:rPr>
              <w:t>Lists of figures</w:t>
            </w:r>
            <w:r w:rsidR="00AB422B" w:rsidRPr="00AB422B">
              <w:rPr>
                <w:noProof/>
                <w:webHidden/>
              </w:rPr>
              <w:tab/>
            </w:r>
            <w:r w:rsidRPr="00AB422B">
              <w:rPr>
                <w:noProof/>
                <w:webHidden/>
              </w:rPr>
              <w:fldChar w:fldCharType="begin"/>
            </w:r>
            <w:r w:rsidR="00AB422B" w:rsidRPr="00AB422B">
              <w:rPr>
                <w:noProof/>
                <w:webHidden/>
              </w:rPr>
              <w:instrText xml:space="preserve"> PAGEREF _Toc502257280 \h </w:instrText>
            </w:r>
            <w:r w:rsidRPr="00AB422B">
              <w:rPr>
                <w:noProof/>
                <w:webHidden/>
              </w:rPr>
            </w:r>
            <w:r w:rsidRPr="00AB422B">
              <w:rPr>
                <w:noProof/>
                <w:webHidden/>
              </w:rPr>
              <w:fldChar w:fldCharType="separate"/>
            </w:r>
            <w:r w:rsidR="00AB422B" w:rsidRPr="00AB422B">
              <w:rPr>
                <w:noProof/>
                <w:webHidden/>
              </w:rPr>
              <w:t>36</w:t>
            </w:r>
            <w:r w:rsidRPr="00AB422B">
              <w:rPr>
                <w:noProof/>
                <w:webHidden/>
              </w:rPr>
              <w:fldChar w:fldCharType="end"/>
            </w:r>
          </w:hyperlink>
        </w:p>
        <w:p w:rsidR="00AB422B" w:rsidRPr="00AB422B" w:rsidRDefault="00597808">
          <w:pPr>
            <w:pStyle w:val="TOC3"/>
            <w:tabs>
              <w:tab w:val="right" w:leader="dot" w:pos="9350"/>
            </w:tabs>
            <w:rPr>
              <w:noProof/>
            </w:rPr>
          </w:pPr>
          <w:hyperlink w:anchor="_Toc502257281" w:history="1">
            <w:r w:rsidR="00AB422B" w:rsidRPr="00AB422B">
              <w:rPr>
                <w:rStyle w:val="Hyperlink"/>
                <w:noProof/>
                <w:color w:val="auto"/>
              </w:rPr>
              <w:t>Fig 1.1: Tesco plc stores</w:t>
            </w:r>
            <w:r w:rsidR="00AB422B" w:rsidRPr="00AB422B">
              <w:rPr>
                <w:noProof/>
                <w:webHidden/>
              </w:rPr>
              <w:tab/>
            </w:r>
            <w:r w:rsidRPr="00AB422B">
              <w:rPr>
                <w:noProof/>
                <w:webHidden/>
              </w:rPr>
              <w:fldChar w:fldCharType="begin"/>
            </w:r>
            <w:r w:rsidR="00AB422B" w:rsidRPr="00AB422B">
              <w:rPr>
                <w:noProof/>
                <w:webHidden/>
              </w:rPr>
              <w:instrText xml:space="preserve"> PAGEREF _Toc502257281 \h </w:instrText>
            </w:r>
            <w:r w:rsidRPr="00AB422B">
              <w:rPr>
                <w:noProof/>
                <w:webHidden/>
              </w:rPr>
            </w:r>
            <w:r w:rsidRPr="00AB422B">
              <w:rPr>
                <w:noProof/>
                <w:webHidden/>
              </w:rPr>
              <w:fldChar w:fldCharType="separate"/>
            </w:r>
            <w:r w:rsidR="00AB422B" w:rsidRPr="00AB422B">
              <w:rPr>
                <w:noProof/>
                <w:webHidden/>
              </w:rPr>
              <w:t>36</w:t>
            </w:r>
            <w:r w:rsidRPr="00AB422B">
              <w:rPr>
                <w:noProof/>
                <w:webHidden/>
              </w:rPr>
              <w:fldChar w:fldCharType="end"/>
            </w:r>
          </w:hyperlink>
        </w:p>
        <w:p w:rsidR="00AB422B" w:rsidRPr="00AB422B" w:rsidRDefault="00597808">
          <w:pPr>
            <w:pStyle w:val="TOC3"/>
            <w:tabs>
              <w:tab w:val="right" w:leader="dot" w:pos="9350"/>
            </w:tabs>
            <w:rPr>
              <w:noProof/>
            </w:rPr>
          </w:pPr>
          <w:hyperlink w:anchor="_Toc502257282" w:history="1">
            <w:r w:rsidR="00AB422B" w:rsidRPr="00AB422B">
              <w:rPr>
                <w:rStyle w:val="Hyperlink"/>
                <w:noProof/>
                <w:color w:val="auto"/>
              </w:rPr>
              <w:t>Fig 1.2: Tesco plc stores</w:t>
            </w:r>
            <w:r w:rsidR="00AB422B" w:rsidRPr="00AB422B">
              <w:rPr>
                <w:noProof/>
                <w:webHidden/>
              </w:rPr>
              <w:tab/>
            </w:r>
            <w:r w:rsidRPr="00AB422B">
              <w:rPr>
                <w:noProof/>
                <w:webHidden/>
              </w:rPr>
              <w:fldChar w:fldCharType="begin"/>
            </w:r>
            <w:r w:rsidR="00AB422B" w:rsidRPr="00AB422B">
              <w:rPr>
                <w:noProof/>
                <w:webHidden/>
              </w:rPr>
              <w:instrText xml:space="preserve"> PAGEREF _Toc502257282 \h </w:instrText>
            </w:r>
            <w:r w:rsidRPr="00AB422B">
              <w:rPr>
                <w:noProof/>
                <w:webHidden/>
              </w:rPr>
            </w:r>
            <w:r w:rsidRPr="00AB422B">
              <w:rPr>
                <w:noProof/>
                <w:webHidden/>
              </w:rPr>
              <w:fldChar w:fldCharType="separate"/>
            </w:r>
            <w:r w:rsidR="00AB422B" w:rsidRPr="00AB422B">
              <w:rPr>
                <w:noProof/>
                <w:webHidden/>
              </w:rPr>
              <w:t>36</w:t>
            </w:r>
            <w:r w:rsidRPr="00AB422B">
              <w:rPr>
                <w:noProof/>
                <w:webHidden/>
              </w:rPr>
              <w:fldChar w:fldCharType="end"/>
            </w:r>
          </w:hyperlink>
        </w:p>
        <w:p w:rsidR="00AB422B" w:rsidRPr="00AB422B" w:rsidRDefault="00597808">
          <w:pPr>
            <w:pStyle w:val="TOC3"/>
            <w:tabs>
              <w:tab w:val="right" w:leader="dot" w:pos="9350"/>
            </w:tabs>
            <w:rPr>
              <w:noProof/>
            </w:rPr>
          </w:pPr>
          <w:hyperlink w:anchor="_Toc502257283" w:history="1">
            <w:r w:rsidR="00AB422B" w:rsidRPr="00AB422B">
              <w:rPr>
                <w:rStyle w:val="Hyperlink"/>
                <w:noProof/>
                <w:color w:val="auto"/>
              </w:rPr>
              <w:t>Fig1.3. Sales performance</w:t>
            </w:r>
            <w:r w:rsidR="00AB422B" w:rsidRPr="00AB422B">
              <w:rPr>
                <w:noProof/>
                <w:webHidden/>
              </w:rPr>
              <w:tab/>
            </w:r>
            <w:r w:rsidRPr="00AB422B">
              <w:rPr>
                <w:noProof/>
                <w:webHidden/>
              </w:rPr>
              <w:fldChar w:fldCharType="begin"/>
            </w:r>
            <w:r w:rsidR="00AB422B" w:rsidRPr="00AB422B">
              <w:rPr>
                <w:noProof/>
                <w:webHidden/>
              </w:rPr>
              <w:instrText xml:space="preserve"> PAGEREF _Toc502257283 \h </w:instrText>
            </w:r>
            <w:r w:rsidRPr="00AB422B">
              <w:rPr>
                <w:noProof/>
                <w:webHidden/>
              </w:rPr>
            </w:r>
            <w:r w:rsidRPr="00AB422B">
              <w:rPr>
                <w:noProof/>
                <w:webHidden/>
              </w:rPr>
              <w:fldChar w:fldCharType="separate"/>
            </w:r>
            <w:r w:rsidR="00AB422B" w:rsidRPr="00AB422B">
              <w:rPr>
                <w:noProof/>
                <w:webHidden/>
              </w:rPr>
              <w:t>36</w:t>
            </w:r>
            <w:r w:rsidRPr="00AB422B">
              <w:rPr>
                <w:noProof/>
                <w:webHidden/>
              </w:rPr>
              <w:fldChar w:fldCharType="end"/>
            </w:r>
          </w:hyperlink>
        </w:p>
        <w:p w:rsidR="00AB422B" w:rsidRPr="00AB422B" w:rsidRDefault="00597808">
          <w:pPr>
            <w:pStyle w:val="TOC3"/>
            <w:tabs>
              <w:tab w:val="right" w:leader="dot" w:pos="9350"/>
            </w:tabs>
            <w:rPr>
              <w:noProof/>
            </w:rPr>
          </w:pPr>
          <w:hyperlink w:anchor="_Toc502257284" w:history="1">
            <w:r w:rsidR="00AB422B" w:rsidRPr="00AB422B">
              <w:rPr>
                <w:rStyle w:val="Hyperlink"/>
                <w:noProof/>
                <w:color w:val="auto"/>
              </w:rPr>
              <w:t>Fig 1.4: profits performance</w:t>
            </w:r>
            <w:r w:rsidR="00AB422B" w:rsidRPr="00AB422B">
              <w:rPr>
                <w:noProof/>
                <w:webHidden/>
              </w:rPr>
              <w:tab/>
            </w:r>
            <w:r w:rsidRPr="00AB422B">
              <w:rPr>
                <w:noProof/>
                <w:webHidden/>
              </w:rPr>
              <w:fldChar w:fldCharType="begin"/>
            </w:r>
            <w:r w:rsidR="00AB422B" w:rsidRPr="00AB422B">
              <w:rPr>
                <w:noProof/>
                <w:webHidden/>
              </w:rPr>
              <w:instrText xml:space="preserve"> PAGEREF _Toc502257284 \h </w:instrText>
            </w:r>
            <w:r w:rsidRPr="00AB422B">
              <w:rPr>
                <w:noProof/>
                <w:webHidden/>
              </w:rPr>
            </w:r>
            <w:r w:rsidRPr="00AB422B">
              <w:rPr>
                <w:noProof/>
                <w:webHidden/>
              </w:rPr>
              <w:fldChar w:fldCharType="separate"/>
            </w:r>
            <w:r w:rsidR="00AB422B" w:rsidRPr="00AB422B">
              <w:rPr>
                <w:noProof/>
                <w:webHidden/>
              </w:rPr>
              <w:t>36</w:t>
            </w:r>
            <w:r w:rsidRPr="00AB422B">
              <w:rPr>
                <w:noProof/>
                <w:webHidden/>
              </w:rPr>
              <w:fldChar w:fldCharType="end"/>
            </w:r>
          </w:hyperlink>
        </w:p>
        <w:p w:rsidR="00AB422B" w:rsidRPr="00AB422B" w:rsidRDefault="00597808">
          <w:pPr>
            <w:pStyle w:val="TOC3"/>
            <w:tabs>
              <w:tab w:val="right" w:leader="dot" w:pos="9350"/>
            </w:tabs>
            <w:rPr>
              <w:noProof/>
            </w:rPr>
          </w:pPr>
          <w:hyperlink w:anchor="_Toc502257285" w:history="1">
            <w:r w:rsidR="00AB422B" w:rsidRPr="00AB422B">
              <w:rPr>
                <w:rStyle w:val="Hyperlink"/>
                <w:noProof/>
                <w:color w:val="auto"/>
              </w:rPr>
              <w:t>Fig 1.5: cash flow performance</w:t>
            </w:r>
            <w:r w:rsidR="00AB422B" w:rsidRPr="00AB422B">
              <w:rPr>
                <w:noProof/>
                <w:webHidden/>
              </w:rPr>
              <w:tab/>
            </w:r>
            <w:r w:rsidRPr="00AB422B">
              <w:rPr>
                <w:noProof/>
                <w:webHidden/>
              </w:rPr>
              <w:fldChar w:fldCharType="begin"/>
            </w:r>
            <w:r w:rsidR="00AB422B" w:rsidRPr="00AB422B">
              <w:rPr>
                <w:noProof/>
                <w:webHidden/>
              </w:rPr>
              <w:instrText xml:space="preserve"> PAGEREF _Toc502257285 \h </w:instrText>
            </w:r>
            <w:r w:rsidRPr="00AB422B">
              <w:rPr>
                <w:noProof/>
                <w:webHidden/>
              </w:rPr>
            </w:r>
            <w:r w:rsidRPr="00AB422B">
              <w:rPr>
                <w:noProof/>
                <w:webHidden/>
              </w:rPr>
              <w:fldChar w:fldCharType="separate"/>
            </w:r>
            <w:r w:rsidR="00AB422B" w:rsidRPr="00AB422B">
              <w:rPr>
                <w:noProof/>
                <w:webHidden/>
              </w:rPr>
              <w:t>36</w:t>
            </w:r>
            <w:r w:rsidRPr="00AB422B">
              <w:rPr>
                <w:noProof/>
                <w:webHidden/>
              </w:rPr>
              <w:fldChar w:fldCharType="end"/>
            </w:r>
          </w:hyperlink>
        </w:p>
        <w:p w:rsidR="00AB422B" w:rsidRPr="00AB422B" w:rsidRDefault="00597808">
          <w:pPr>
            <w:pStyle w:val="TOC3"/>
            <w:tabs>
              <w:tab w:val="right" w:leader="dot" w:pos="9350"/>
            </w:tabs>
            <w:rPr>
              <w:noProof/>
            </w:rPr>
          </w:pPr>
          <w:hyperlink w:anchor="_Toc502257286" w:history="1">
            <w:r w:rsidR="00AB422B" w:rsidRPr="00AB422B">
              <w:rPr>
                <w:rStyle w:val="Hyperlink"/>
                <w:i/>
                <w:noProof/>
                <w:color w:val="auto"/>
              </w:rPr>
              <w:t>Fig2.1: profatilbity ratios</w:t>
            </w:r>
            <w:r w:rsidR="00AB422B" w:rsidRPr="00AB422B">
              <w:rPr>
                <w:noProof/>
                <w:webHidden/>
              </w:rPr>
              <w:tab/>
            </w:r>
            <w:r w:rsidRPr="00AB422B">
              <w:rPr>
                <w:noProof/>
                <w:webHidden/>
              </w:rPr>
              <w:fldChar w:fldCharType="begin"/>
            </w:r>
            <w:r w:rsidR="00AB422B" w:rsidRPr="00AB422B">
              <w:rPr>
                <w:noProof/>
                <w:webHidden/>
              </w:rPr>
              <w:instrText xml:space="preserve"> PAGEREF _Toc502257286 \h </w:instrText>
            </w:r>
            <w:r w:rsidRPr="00AB422B">
              <w:rPr>
                <w:noProof/>
                <w:webHidden/>
              </w:rPr>
            </w:r>
            <w:r w:rsidRPr="00AB422B">
              <w:rPr>
                <w:noProof/>
                <w:webHidden/>
              </w:rPr>
              <w:fldChar w:fldCharType="separate"/>
            </w:r>
            <w:r w:rsidR="00AB422B" w:rsidRPr="00AB422B">
              <w:rPr>
                <w:noProof/>
                <w:webHidden/>
              </w:rPr>
              <w:t>36</w:t>
            </w:r>
            <w:r w:rsidRPr="00AB422B">
              <w:rPr>
                <w:noProof/>
                <w:webHidden/>
              </w:rPr>
              <w:fldChar w:fldCharType="end"/>
            </w:r>
          </w:hyperlink>
        </w:p>
        <w:p w:rsidR="00AB422B" w:rsidRPr="00AB422B" w:rsidRDefault="00597808">
          <w:pPr>
            <w:pStyle w:val="TOC3"/>
            <w:tabs>
              <w:tab w:val="right" w:leader="dot" w:pos="9350"/>
            </w:tabs>
            <w:rPr>
              <w:noProof/>
            </w:rPr>
          </w:pPr>
          <w:hyperlink w:anchor="_Toc502257287" w:history="1">
            <w:r w:rsidR="00AB422B" w:rsidRPr="00AB422B">
              <w:rPr>
                <w:rStyle w:val="Hyperlink"/>
                <w:noProof/>
                <w:color w:val="auto"/>
              </w:rPr>
              <w:t>Fig2.2: liquidity ratios</w:t>
            </w:r>
            <w:r w:rsidR="00AB422B" w:rsidRPr="00AB422B">
              <w:rPr>
                <w:noProof/>
                <w:webHidden/>
              </w:rPr>
              <w:tab/>
            </w:r>
            <w:r w:rsidRPr="00AB422B">
              <w:rPr>
                <w:noProof/>
                <w:webHidden/>
              </w:rPr>
              <w:fldChar w:fldCharType="begin"/>
            </w:r>
            <w:r w:rsidR="00AB422B" w:rsidRPr="00AB422B">
              <w:rPr>
                <w:noProof/>
                <w:webHidden/>
              </w:rPr>
              <w:instrText xml:space="preserve"> PAGEREF _Toc502257287 \h </w:instrText>
            </w:r>
            <w:r w:rsidRPr="00AB422B">
              <w:rPr>
                <w:noProof/>
                <w:webHidden/>
              </w:rPr>
            </w:r>
            <w:r w:rsidRPr="00AB422B">
              <w:rPr>
                <w:noProof/>
                <w:webHidden/>
              </w:rPr>
              <w:fldChar w:fldCharType="separate"/>
            </w:r>
            <w:r w:rsidR="00AB422B" w:rsidRPr="00AB422B">
              <w:rPr>
                <w:noProof/>
                <w:webHidden/>
              </w:rPr>
              <w:t>36</w:t>
            </w:r>
            <w:r w:rsidRPr="00AB422B">
              <w:rPr>
                <w:noProof/>
                <w:webHidden/>
              </w:rPr>
              <w:fldChar w:fldCharType="end"/>
            </w:r>
          </w:hyperlink>
        </w:p>
        <w:p w:rsidR="00AB422B" w:rsidRPr="00AB422B" w:rsidRDefault="00597808">
          <w:pPr>
            <w:pStyle w:val="TOC3"/>
            <w:tabs>
              <w:tab w:val="right" w:leader="dot" w:pos="9350"/>
            </w:tabs>
            <w:rPr>
              <w:noProof/>
            </w:rPr>
          </w:pPr>
          <w:hyperlink w:anchor="_Toc502257288" w:history="1">
            <w:r w:rsidR="00AB422B" w:rsidRPr="00AB422B">
              <w:rPr>
                <w:rStyle w:val="Hyperlink"/>
                <w:noProof/>
                <w:color w:val="auto"/>
              </w:rPr>
              <w:t>Fig2.3: Efficiency ratios</w:t>
            </w:r>
            <w:r w:rsidR="00AB422B" w:rsidRPr="00AB422B">
              <w:rPr>
                <w:noProof/>
                <w:webHidden/>
              </w:rPr>
              <w:tab/>
            </w:r>
            <w:r w:rsidRPr="00AB422B">
              <w:rPr>
                <w:noProof/>
                <w:webHidden/>
              </w:rPr>
              <w:fldChar w:fldCharType="begin"/>
            </w:r>
            <w:r w:rsidR="00AB422B" w:rsidRPr="00AB422B">
              <w:rPr>
                <w:noProof/>
                <w:webHidden/>
              </w:rPr>
              <w:instrText xml:space="preserve"> PAGEREF _Toc502257288 \h </w:instrText>
            </w:r>
            <w:r w:rsidRPr="00AB422B">
              <w:rPr>
                <w:noProof/>
                <w:webHidden/>
              </w:rPr>
            </w:r>
            <w:r w:rsidRPr="00AB422B">
              <w:rPr>
                <w:noProof/>
                <w:webHidden/>
              </w:rPr>
              <w:fldChar w:fldCharType="separate"/>
            </w:r>
            <w:r w:rsidR="00AB422B" w:rsidRPr="00AB422B">
              <w:rPr>
                <w:noProof/>
                <w:webHidden/>
              </w:rPr>
              <w:t>36</w:t>
            </w:r>
            <w:r w:rsidRPr="00AB422B">
              <w:rPr>
                <w:noProof/>
                <w:webHidden/>
              </w:rPr>
              <w:fldChar w:fldCharType="end"/>
            </w:r>
          </w:hyperlink>
        </w:p>
        <w:p w:rsidR="00AB422B" w:rsidRPr="00AB422B" w:rsidRDefault="00597808">
          <w:pPr>
            <w:pStyle w:val="TOC3"/>
            <w:tabs>
              <w:tab w:val="right" w:leader="dot" w:pos="9350"/>
            </w:tabs>
            <w:rPr>
              <w:noProof/>
            </w:rPr>
          </w:pPr>
          <w:hyperlink w:anchor="_Toc502257289" w:history="1">
            <w:r w:rsidR="00AB422B" w:rsidRPr="00AB422B">
              <w:rPr>
                <w:rStyle w:val="Hyperlink"/>
                <w:noProof/>
                <w:color w:val="auto"/>
              </w:rPr>
              <w:t>Fig2.4 gearing ratios</w:t>
            </w:r>
            <w:r w:rsidR="00AB422B" w:rsidRPr="00AB422B">
              <w:rPr>
                <w:noProof/>
                <w:webHidden/>
              </w:rPr>
              <w:tab/>
            </w:r>
            <w:r w:rsidRPr="00AB422B">
              <w:rPr>
                <w:noProof/>
                <w:webHidden/>
              </w:rPr>
              <w:fldChar w:fldCharType="begin"/>
            </w:r>
            <w:r w:rsidR="00AB422B" w:rsidRPr="00AB422B">
              <w:rPr>
                <w:noProof/>
                <w:webHidden/>
              </w:rPr>
              <w:instrText xml:space="preserve"> PAGEREF _Toc502257289 \h </w:instrText>
            </w:r>
            <w:r w:rsidRPr="00AB422B">
              <w:rPr>
                <w:noProof/>
                <w:webHidden/>
              </w:rPr>
            </w:r>
            <w:r w:rsidRPr="00AB422B">
              <w:rPr>
                <w:noProof/>
                <w:webHidden/>
              </w:rPr>
              <w:fldChar w:fldCharType="separate"/>
            </w:r>
            <w:r w:rsidR="00AB422B" w:rsidRPr="00AB422B">
              <w:rPr>
                <w:noProof/>
                <w:webHidden/>
              </w:rPr>
              <w:t>36</w:t>
            </w:r>
            <w:r w:rsidRPr="00AB422B">
              <w:rPr>
                <w:noProof/>
                <w:webHidden/>
              </w:rPr>
              <w:fldChar w:fldCharType="end"/>
            </w:r>
          </w:hyperlink>
        </w:p>
        <w:p w:rsidR="00AB422B" w:rsidRPr="00AB422B" w:rsidRDefault="00597808">
          <w:pPr>
            <w:pStyle w:val="TOC3"/>
            <w:tabs>
              <w:tab w:val="right" w:leader="dot" w:pos="9350"/>
            </w:tabs>
            <w:rPr>
              <w:noProof/>
            </w:rPr>
          </w:pPr>
          <w:hyperlink w:anchor="_Toc502257290" w:history="1">
            <w:r w:rsidR="00AB422B" w:rsidRPr="00AB422B">
              <w:rPr>
                <w:rStyle w:val="Hyperlink"/>
                <w:noProof/>
                <w:color w:val="auto"/>
              </w:rPr>
              <w:t>Fig3.1 profitability ratios of Tesco plc and Sainsbury plc</w:t>
            </w:r>
            <w:r w:rsidR="00AB422B" w:rsidRPr="00AB422B">
              <w:rPr>
                <w:noProof/>
                <w:webHidden/>
              </w:rPr>
              <w:tab/>
            </w:r>
            <w:r w:rsidRPr="00AB422B">
              <w:rPr>
                <w:noProof/>
                <w:webHidden/>
              </w:rPr>
              <w:fldChar w:fldCharType="begin"/>
            </w:r>
            <w:r w:rsidR="00AB422B" w:rsidRPr="00AB422B">
              <w:rPr>
                <w:noProof/>
                <w:webHidden/>
              </w:rPr>
              <w:instrText xml:space="preserve"> PAGEREF _Toc502257290 \h </w:instrText>
            </w:r>
            <w:r w:rsidRPr="00AB422B">
              <w:rPr>
                <w:noProof/>
                <w:webHidden/>
              </w:rPr>
            </w:r>
            <w:r w:rsidRPr="00AB422B">
              <w:rPr>
                <w:noProof/>
                <w:webHidden/>
              </w:rPr>
              <w:fldChar w:fldCharType="separate"/>
            </w:r>
            <w:r w:rsidR="00AB422B" w:rsidRPr="00AB422B">
              <w:rPr>
                <w:noProof/>
                <w:webHidden/>
              </w:rPr>
              <w:t>36</w:t>
            </w:r>
            <w:r w:rsidRPr="00AB422B">
              <w:rPr>
                <w:noProof/>
                <w:webHidden/>
              </w:rPr>
              <w:fldChar w:fldCharType="end"/>
            </w:r>
          </w:hyperlink>
        </w:p>
        <w:p w:rsidR="00AB422B" w:rsidRPr="00AB422B" w:rsidRDefault="00597808">
          <w:pPr>
            <w:pStyle w:val="TOC3"/>
            <w:tabs>
              <w:tab w:val="right" w:leader="dot" w:pos="9350"/>
            </w:tabs>
            <w:rPr>
              <w:noProof/>
            </w:rPr>
          </w:pPr>
          <w:hyperlink w:anchor="_Toc502257291" w:history="1">
            <w:r w:rsidR="00AB422B" w:rsidRPr="00AB422B">
              <w:rPr>
                <w:rStyle w:val="Hyperlink"/>
                <w:noProof/>
                <w:color w:val="auto"/>
              </w:rPr>
              <w:t>Fig3.2 liquidity ratios of Tesco plc and Sainsbury plc</w:t>
            </w:r>
            <w:r w:rsidR="00AB422B" w:rsidRPr="00AB422B">
              <w:rPr>
                <w:noProof/>
                <w:webHidden/>
              </w:rPr>
              <w:tab/>
            </w:r>
            <w:r w:rsidRPr="00AB422B">
              <w:rPr>
                <w:noProof/>
                <w:webHidden/>
              </w:rPr>
              <w:fldChar w:fldCharType="begin"/>
            </w:r>
            <w:r w:rsidR="00AB422B" w:rsidRPr="00AB422B">
              <w:rPr>
                <w:noProof/>
                <w:webHidden/>
              </w:rPr>
              <w:instrText xml:space="preserve"> PAGEREF _Toc502257291 \h </w:instrText>
            </w:r>
            <w:r w:rsidRPr="00AB422B">
              <w:rPr>
                <w:noProof/>
                <w:webHidden/>
              </w:rPr>
            </w:r>
            <w:r w:rsidRPr="00AB422B">
              <w:rPr>
                <w:noProof/>
                <w:webHidden/>
              </w:rPr>
              <w:fldChar w:fldCharType="separate"/>
            </w:r>
            <w:r w:rsidR="00AB422B" w:rsidRPr="00AB422B">
              <w:rPr>
                <w:noProof/>
                <w:webHidden/>
              </w:rPr>
              <w:t>36</w:t>
            </w:r>
            <w:r w:rsidRPr="00AB422B">
              <w:rPr>
                <w:noProof/>
                <w:webHidden/>
              </w:rPr>
              <w:fldChar w:fldCharType="end"/>
            </w:r>
          </w:hyperlink>
        </w:p>
        <w:p w:rsidR="00AB422B" w:rsidRPr="00AB422B" w:rsidRDefault="00597808">
          <w:pPr>
            <w:pStyle w:val="TOC3"/>
            <w:tabs>
              <w:tab w:val="right" w:leader="dot" w:pos="9350"/>
            </w:tabs>
            <w:rPr>
              <w:noProof/>
            </w:rPr>
          </w:pPr>
          <w:hyperlink w:anchor="_Toc502257292" w:history="1">
            <w:r w:rsidR="00AB422B" w:rsidRPr="00AB422B">
              <w:rPr>
                <w:rStyle w:val="Hyperlink"/>
                <w:noProof/>
                <w:color w:val="auto"/>
              </w:rPr>
              <w:t>Fig3.3 Efficiency ratios of Tesco plc and Sainsbury plc</w:t>
            </w:r>
            <w:r w:rsidR="00AB422B" w:rsidRPr="00AB422B">
              <w:rPr>
                <w:noProof/>
                <w:webHidden/>
              </w:rPr>
              <w:tab/>
            </w:r>
            <w:r w:rsidRPr="00AB422B">
              <w:rPr>
                <w:noProof/>
                <w:webHidden/>
              </w:rPr>
              <w:fldChar w:fldCharType="begin"/>
            </w:r>
            <w:r w:rsidR="00AB422B" w:rsidRPr="00AB422B">
              <w:rPr>
                <w:noProof/>
                <w:webHidden/>
              </w:rPr>
              <w:instrText xml:space="preserve"> PAGEREF _Toc502257292 \h </w:instrText>
            </w:r>
            <w:r w:rsidRPr="00AB422B">
              <w:rPr>
                <w:noProof/>
                <w:webHidden/>
              </w:rPr>
            </w:r>
            <w:r w:rsidRPr="00AB422B">
              <w:rPr>
                <w:noProof/>
                <w:webHidden/>
              </w:rPr>
              <w:fldChar w:fldCharType="separate"/>
            </w:r>
            <w:r w:rsidR="00AB422B" w:rsidRPr="00AB422B">
              <w:rPr>
                <w:noProof/>
                <w:webHidden/>
              </w:rPr>
              <w:t>36</w:t>
            </w:r>
            <w:r w:rsidRPr="00AB422B">
              <w:rPr>
                <w:noProof/>
                <w:webHidden/>
              </w:rPr>
              <w:fldChar w:fldCharType="end"/>
            </w:r>
          </w:hyperlink>
        </w:p>
        <w:p w:rsidR="00AB422B" w:rsidRPr="00AB422B" w:rsidRDefault="00597808">
          <w:pPr>
            <w:pStyle w:val="TOC3"/>
            <w:tabs>
              <w:tab w:val="right" w:leader="dot" w:pos="9350"/>
            </w:tabs>
            <w:rPr>
              <w:noProof/>
            </w:rPr>
          </w:pPr>
          <w:hyperlink w:anchor="_Toc502257293" w:history="1">
            <w:r w:rsidR="00AB422B" w:rsidRPr="00AB422B">
              <w:rPr>
                <w:rStyle w:val="Hyperlink"/>
                <w:noProof/>
                <w:color w:val="auto"/>
              </w:rPr>
              <w:t>Fig3.4 Gearing ratios of Tesco plc and Sainsbury plc</w:t>
            </w:r>
            <w:r w:rsidR="00AB422B" w:rsidRPr="00AB422B">
              <w:rPr>
                <w:noProof/>
                <w:webHidden/>
              </w:rPr>
              <w:tab/>
            </w:r>
            <w:r w:rsidRPr="00AB422B">
              <w:rPr>
                <w:noProof/>
                <w:webHidden/>
              </w:rPr>
              <w:fldChar w:fldCharType="begin"/>
            </w:r>
            <w:r w:rsidR="00AB422B" w:rsidRPr="00AB422B">
              <w:rPr>
                <w:noProof/>
                <w:webHidden/>
              </w:rPr>
              <w:instrText xml:space="preserve"> PAGEREF _Toc502257293 \h </w:instrText>
            </w:r>
            <w:r w:rsidRPr="00AB422B">
              <w:rPr>
                <w:noProof/>
                <w:webHidden/>
              </w:rPr>
            </w:r>
            <w:r w:rsidRPr="00AB422B">
              <w:rPr>
                <w:noProof/>
                <w:webHidden/>
              </w:rPr>
              <w:fldChar w:fldCharType="separate"/>
            </w:r>
            <w:r w:rsidR="00AB422B" w:rsidRPr="00AB422B">
              <w:rPr>
                <w:noProof/>
                <w:webHidden/>
              </w:rPr>
              <w:t>36</w:t>
            </w:r>
            <w:r w:rsidRPr="00AB422B">
              <w:rPr>
                <w:noProof/>
                <w:webHidden/>
              </w:rPr>
              <w:fldChar w:fldCharType="end"/>
            </w:r>
          </w:hyperlink>
        </w:p>
        <w:p w:rsidR="003C0A8E" w:rsidRPr="00AB422B" w:rsidRDefault="00597808">
          <w:r w:rsidRPr="00AB422B">
            <w:fldChar w:fldCharType="end"/>
          </w:r>
          <w:r w:rsidR="00D23265" w:rsidRPr="00AB422B">
            <w:t xml:space="preserve"> </w:t>
          </w:r>
        </w:p>
      </w:sdtContent>
    </w:sdt>
    <w:p w:rsidR="003C0A8E" w:rsidRPr="00AB422B" w:rsidRDefault="003C0A8E">
      <w:pPr>
        <w:rPr>
          <w:rFonts w:ascii="Times New Roman" w:hAnsi="Times New Roman" w:cs="Times New Roman"/>
          <w:sz w:val="24"/>
          <w:szCs w:val="24"/>
        </w:rPr>
      </w:pPr>
      <w:r w:rsidRPr="00AB422B">
        <w:rPr>
          <w:rFonts w:ascii="Times New Roman" w:hAnsi="Times New Roman" w:cs="Times New Roman"/>
          <w:sz w:val="24"/>
          <w:szCs w:val="24"/>
        </w:rPr>
        <w:br w:type="page"/>
      </w:r>
    </w:p>
    <w:p w:rsidR="006142E5" w:rsidRPr="00AB422B" w:rsidRDefault="006142E5" w:rsidP="006142E5">
      <w:pPr>
        <w:spacing w:line="360" w:lineRule="auto"/>
        <w:jc w:val="both"/>
        <w:rPr>
          <w:rFonts w:ascii="Times New Roman" w:hAnsi="Times New Roman" w:cs="Times New Roman"/>
          <w:sz w:val="24"/>
          <w:szCs w:val="24"/>
        </w:rPr>
      </w:pPr>
    </w:p>
    <w:p w:rsidR="006142E5" w:rsidRPr="00AB422B" w:rsidRDefault="006142E5" w:rsidP="00A95A5B">
      <w:pPr>
        <w:pStyle w:val="Heading1"/>
        <w:rPr>
          <w:color w:val="auto"/>
        </w:rPr>
      </w:pPr>
      <w:bookmarkStart w:id="0" w:name="_Toc502257256"/>
      <w:r w:rsidRPr="00AB422B">
        <w:rPr>
          <w:color w:val="auto"/>
        </w:rPr>
        <w:t>Part 1</w:t>
      </w:r>
      <w:bookmarkEnd w:id="0"/>
    </w:p>
    <w:p w:rsidR="006142E5" w:rsidRPr="00AB422B" w:rsidRDefault="006142E5" w:rsidP="00A95A5B">
      <w:pPr>
        <w:pStyle w:val="Heading2"/>
        <w:rPr>
          <w:color w:val="auto"/>
        </w:rPr>
      </w:pPr>
      <w:bookmarkStart w:id="1" w:name="_Toc502257257"/>
      <w:r w:rsidRPr="00AB422B">
        <w:rPr>
          <w:color w:val="auto"/>
        </w:rPr>
        <w:t>Introduction</w:t>
      </w:r>
      <w:bookmarkEnd w:id="1"/>
      <w:r w:rsidRPr="00AB422B">
        <w:rPr>
          <w:color w:val="auto"/>
        </w:rPr>
        <w:t xml:space="preserve"> </w:t>
      </w:r>
    </w:p>
    <w:p w:rsidR="00D41799" w:rsidRPr="00AB422B" w:rsidRDefault="00D41799"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The evaluation of the financial statement of the company is critically important for the assessment of the organization’s entire performance </w:t>
      </w:r>
      <w:r w:rsidR="00E43F3F" w:rsidRPr="00AB422B">
        <w:rPr>
          <w:rFonts w:ascii="Times New Roman" w:hAnsi="Times New Roman" w:cs="Times New Roman"/>
          <w:sz w:val="24"/>
          <w:szCs w:val="24"/>
        </w:rPr>
        <w:t xml:space="preserve">and finally </w:t>
      </w:r>
      <w:r w:rsidR="00C26FCA" w:rsidRPr="00AB422B">
        <w:rPr>
          <w:rFonts w:ascii="Times New Roman" w:hAnsi="Times New Roman" w:cs="Times New Roman"/>
          <w:sz w:val="24"/>
          <w:szCs w:val="24"/>
        </w:rPr>
        <w:t>the management to undertake better investment decisions</w:t>
      </w:r>
      <w:r w:rsidR="00E43F3F" w:rsidRPr="00AB422B">
        <w:rPr>
          <w:rFonts w:ascii="Times New Roman" w:hAnsi="Times New Roman" w:cs="Times New Roman"/>
          <w:sz w:val="24"/>
          <w:szCs w:val="24"/>
        </w:rPr>
        <w:t>. There are several financial tools and techniques that are utilized for establishing relevant analysis of the organization’s financial information</w:t>
      </w:r>
      <w:r w:rsidR="00D03403" w:rsidRPr="00AB422B">
        <w:t xml:space="preserve"> (</w:t>
      </w:r>
      <w:proofErr w:type="spellStart"/>
      <w:r w:rsidR="00D03403" w:rsidRPr="00AB422B">
        <w:rPr>
          <w:rFonts w:ascii="Times New Roman" w:hAnsi="Times New Roman" w:cs="Times New Roman"/>
          <w:sz w:val="24"/>
          <w:szCs w:val="24"/>
        </w:rPr>
        <w:t>Gitman</w:t>
      </w:r>
      <w:proofErr w:type="spellEnd"/>
      <w:r w:rsidR="00D03403" w:rsidRPr="00AB422B">
        <w:rPr>
          <w:rFonts w:ascii="Times New Roman" w:hAnsi="Times New Roman" w:cs="Times New Roman"/>
          <w:sz w:val="24"/>
          <w:szCs w:val="24"/>
        </w:rPr>
        <w:t>, 2006)</w:t>
      </w:r>
      <w:r w:rsidR="00E43F3F" w:rsidRPr="00AB422B">
        <w:rPr>
          <w:rFonts w:ascii="Times New Roman" w:hAnsi="Times New Roman" w:cs="Times New Roman"/>
          <w:sz w:val="24"/>
          <w:szCs w:val="24"/>
        </w:rPr>
        <w:t>. Among them one of the vital financial tools and techniques that are widely utilized in analyzing the financial information is ratios analysis techniques</w:t>
      </w:r>
      <w:r w:rsidR="00EE5CA2" w:rsidRPr="00AB422B">
        <w:rPr>
          <w:rFonts w:ascii="Times New Roman" w:hAnsi="Times New Roman" w:cs="Times New Roman"/>
          <w:sz w:val="24"/>
          <w:szCs w:val="24"/>
        </w:rPr>
        <w:t xml:space="preserve">, </w:t>
      </w:r>
      <w:r w:rsidR="006F7256" w:rsidRPr="00AB422B">
        <w:rPr>
          <w:rFonts w:ascii="Times New Roman" w:hAnsi="Times New Roman" w:cs="Times New Roman"/>
          <w:sz w:val="24"/>
          <w:szCs w:val="24"/>
        </w:rPr>
        <w:t xml:space="preserve">this ratio analysis technique not only aids the organization in the evaluation of the organizational performance but also provides room for the comparative analysis of their business performance with respect to their market competitors.          </w:t>
      </w:r>
    </w:p>
    <w:p w:rsidR="006F7256" w:rsidRPr="00AB422B" w:rsidRDefault="006F7256" w:rsidP="006F7256">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The objective of the present report is to evaluate and assess the financial performance of Tesco Plc. using financial ratios, which is mainly going to aid all the potential investors who are yearning to invest their capital within the organization. The present analysis would emphasize on the organization’s liquidity positions, current profitability positions, gearing positions and efficiency positions. Moreover, these financial ratios would be analyzed and interpreted to find out the financial health of the organization.</w:t>
      </w:r>
    </w:p>
    <w:p w:rsidR="006F7256" w:rsidRPr="00AB422B" w:rsidRDefault="006F7256" w:rsidP="006F7256">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The report also emphasized on the comparison of two UK based organization; Tesco plc and Sainsbury’s plc with the help of the findings obtained from the ratio analysis for both of these organizations over a period of five years. </w:t>
      </w:r>
    </w:p>
    <w:p w:rsidR="00103EBF" w:rsidRPr="00AB422B" w:rsidRDefault="00C413BD"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       </w:t>
      </w:r>
      <w:r w:rsidR="00D41799" w:rsidRPr="00AB422B">
        <w:rPr>
          <w:rFonts w:ascii="Times New Roman" w:hAnsi="Times New Roman" w:cs="Times New Roman"/>
          <w:sz w:val="24"/>
          <w:szCs w:val="24"/>
        </w:rPr>
        <w:t xml:space="preserve"> </w:t>
      </w:r>
      <w:r w:rsidR="00CB4CA5" w:rsidRPr="00AB422B">
        <w:rPr>
          <w:rFonts w:ascii="Times New Roman" w:hAnsi="Times New Roman" w:cs="Times New Roman"/>
          <w:sz w:val="24"/>
          <w:szCs w:val="24"/>
        </w:rPr>
        <w:t xml:space="preserve">  </w:t>
      </w:r>
    </w:p>
    <w:p w:rsidR="006142E5" w:rsidRPr="00AB422B" w:rsidRDefault="007B5EF8" w:rsidP="00A95A5B">
      <w:pPr>
        <w:pStyle w:val="Heading2"/>
        <w:rPr>
          <w:color w:val="auto"/>
        </w:rPr>
      </w:pPr>
      <w:bookmarkStart w:id="2" w:name="_Toc502257258"/>
      <w:r w:rsidRPr="00AB422B">
        <w:rPr>
          <w:color w:val="auto"/>
        </w:rPr>
        <w:lastRenderedPageBreak/>
        <w:t>1.</w:t>
      </w:r>
      <w:r w:rsidR="007A51A5" w:rsidRPr="00AB422B">
        <w:rPr>
          <w:color w:val="auto"/>
        </w:rPr>
        <w:t>1</w:t>
      </w:r>
      <w:r w:rsidRPr="00AB422B">
        <w:rPr>
          <w:color w:val="auto"/>
        </w:rPr>
        <w:t xml:space="preserve"> profile analysis of Tesco Plc</w:t>
      </w:r>
      <w:bookmarkEnd w:id="2"/>
      <w:r w:rsidR="006142E5" w:rsidRPr="00AB422B">
        <w:rPr>
          <w:color w:val="auto"/>
        </w:rPr>
        <w:t xml:space="preserve"> </w:t>
      </w:r>
    </w:p>
    <w:p w:rsidR="008C6CAC" w:rsidRPr="00AB422B" w:rsidRDefault="007B5EF8" w:rsidP="008C6CAC">
      <w:pPr>
        <w:keepNext/>
        <w:spacing w:line="360" w:lineRule="auto"/>
        <w:jc w:val="both"/>
      </w:pPr>
      <w:r w:rsidRPr="00AB422B">
        <w:rPr>
          <w:rFonts w:ascii="Times New Roman" w:hAnsi="Times New Roman" w:cs="Times New Roman"/>
          <w:b/>
          <w:noProof/>
          <w:sz w:val="24"/>
          <w:szCs w:val="24"/>
          <w:lang w:val="en-IN" w:eastAsia="en-IN"/>
        </w:rPr>
        <w:drawing>
          <wp:inline distT="0" distB="0" distL="0" distR="0">
            <wp:extent cx="5977713" cy="2562447"/>
            <wp:effectExtent l="19050" t="0" r="3987"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982220" cy="2564379"/>
                    </a:xfrm>
                    <a:prstGeom prst="rect">
                      <a:avLst/>
                    </a:prstGeom>
                    <a:noFill/>
                    <a:ln w="9525">
                      <a:noFill/>
                      <a:miter lim="800000"/>
                      <a:headEnd/>
                      <a:tailEnd/>
                    </a:ln>
                  </pic:spPr>
                </pic:pic>
              </a:graphicData>
            </a:graphic>
          </wp:inline>
        </w:drawing>
      </w:r>
    </w:p>
    <w:p w:rsidR="008C6CAC" w:rsidRPr="00AB422B" w:rsidRDefault="008C6CAC" w:rsidP="006142E5">
      <w:pPr>
        <w:spacing w:line="360" w:lineRule="auto"/>
        <w:jc w:val="both"/>
        <w:rPr>
          <w:rFonts w:ascii="Times New Roman" w:hAnsi="Times New Roman" w:cs="Times New Roman"/>
          <w:b/>
          <w:sz w:val="24"/>
          <w:szCs w:val="24"/>
        </w:rPr>
      </w:pPr>
    </w:p>
    <w:p w:rsidR="00D91EE3" w:rsidRPr="00AB422B" w:rsidRDefault="00D91EE3" w:rsidP="006142E5">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 xml:space="preserve">Fig </w:t>
      </w:r>
      <w:r w:rsidR="0094259A" w:rsidRPr="00AB422B">
        <w:rPr>
          <w:rFonts w:ascii="Times New Roman" w:hAnsi="Times New Roman" w:cs="Times New Roman"/>
          <w:b/>
          <w:sz w:val="24"/>
          <w:szCs w:val="24"/>
        </w:rPr>
        <w:t>1.</w:t>
      </w:r>
      <w:r w:rsidRPr="00AB422B">
        <w:rPr>
          <w:rFonts w:ascii="Times New Roman" w:hAnsi="Times New Roman" w:cs="Times New Roman"/>
          <w:b/>
          <w:sz w:val="24"/>
          <w:szCs w:val="24"/>
        </w:rPr>
        <w:t xml:space="preserve">1: Tesco plc stores </w:t>
      </w:r>
    </w:p>
    <w:p w:rsidR="00D91EE3" w:rsidRPr="00AB422B" w:rsidRDefault="005960A7" w:rsidP="005960A7">
      <w:pPr>
        <w:spacing w:line="360" w:lineRule="auto"/>
        <w:jc w:val="center"/>
        <w:rPr>
          <w:rFonts w:ascii="Times New Roman" w:hAnsi="Times New Roman" w:cs="Times New Roman"/>
          <w:b/>
          <w:sz w:val="24"/>
          <w:szCs w:val="24"/>
        </w:rPr>
      </w:pPr>
      <w:r w:rsidRPr="00AB422B">
        <w:rPr>
          <w:rFonts w:ascii="Times New Roman" w:hAnsi="Times New Roman" w:cs="Times New Roman"/>
          <w:b/>
          <w:sz w:val="24"/>
          <w:szCs w:val="24"/>
        </w:rPr>
        <w:t>Sources [</w:t>
      </w:r>
      <w:r w:rsidR="00D91EE3" w:rsidRPr="00AB422B">
        <w:rPr>
          <w:rFonts w:ascii="Times New Roman" w:hAnsi="Times New Roman" w:cs="Times New Roman"/>
          <w:b/>
          <w:sz w:val="24"/>
          <w:szCs w:val="24"/>
        </w:rPr>
        <w:t>ww</w:t>
      </w:r>
      <w:r w:rsidRPr="00AB422B">
        <w:rPr>
          <w:rFonts w:ascii="Times New Roman" w:hAnsi="Times New Roman" w:cs="Times New Roman"/>
          <w:b/>
          <w:sz w:val="24"/>
          <w:szCs w:val="24"/>
        </w:rPr>
        <w:t>w</w:t>
      </w:r>
      <w:r w:rsidR="00D91EE3" w:rsidRPr="00AB422B">
        <w:rPr>
          <w:rFonts w:ascii="Times New Roman" w:hAnsi="Times New Roman" w:cs="Times New Roman"/>
          <w:b/>
          <w:sz w:val="24"/>
          <w:szCs w:val="24"/>
        </w:rPr>
        <w:t>.tescoplc.com</w:t>
      </w:r>
      <w:r w:rsidRPr="00AB422B">
        <w:rPr>
          <w:rFonts w:ascii="Times New Roman" w:hAnsi="Times New Roman" w:cs="Times New Roman"/>
          <w:b/>
          <w:sz w:val="24"/>
          <w:szCs w:val="24"/>
        </w:rPr>
        <w:t>]</w:t>
      </w:r>
    </w:p>
    <w:p w:rsidR="006F7256" w:rsidRPr="00AB422B" w:rsidRDefault="006F7256" w:rsidP="006F7256">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Tesco plc is a leading international retail organization which is operating in many countries around the globe. Retailing is a highly competitive business sector that is characterized by the brand recognitions, low margins, economics of scales and inventory management. Tesco plc is mainly focused on the foods products and daily groceries. Tesco has high levels of customer loyalty and a strong brand name in the UK and they have been utilizing their brand power to expand their services into the banking sector with promising outcomes. Aggressive development has been pursued globally with better results being expected from the Asian markets due to its fragmented nature</w:t>
      </w:r>
      <w:r w:rsidRPr="00AB422B">
        <w:t xml:space="preserve"> (</w:t>
      </w:r>
      <w:proofErr w:type="spellStart"/>
      <w:r w:rsidRPr="00AB422B">
        <w:rPr>
          <w:rFonts w:ascii="Times New Roman" w:hAnsi="Times New Roman" w:cs="Times New Roman"/>
          <w:sz w:val="24"/>
          <w:szCs w:val="24"/>
        </w:rPr>
        <w:t>tescoplc</w:t>
      </w:r>
      <w:proofErr w:type="spellEnd"/>
      <w:r w:rsidRPr="00AB422B">
        <w:rPr>
          <w:rFonts w:ascii="Times New Roman" w:hAnsi="Times New Roman" w:cs="Times New Roman"/>
          <w:sz w:val="24"/>
          <w:szCs w:val="24"/>
        </w:rPr>
        <w:t xml:space="preserve">, 2017). The organization is facing stiff competition in the Chinese market. The organization Tesco is also focusing to achieve a foothold in the competitive western US grocery market by expanding their distribution network as well as scale and expensively undercutting its market competitors. </w:t>
      </w:r>
    </w:p>
    <w:p w:rsidR="00292450" w:rsidRPr="00AB422B" w:rsidRDefault="00F62380" w:rsidP="00F62380">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Tesco Plc. is a British multinational general and grocery merchandise retailer which has their headquarters at Hertfordshire, </w:t>
      </w:r>
      <w:proofErr w:type="spellStart"/>
      <w:r w:rsidRPr="00AB422B">
        <w:rPr>
          <w:rFonts w:ascii="Times New Roman" w:hAnsi="Times New Roman" w:cs="Times New Roman"/>
          <w:sz w:val="24"/>
          <w:szCs w:val="24"/>
        </w:rPr>
        <w:t>Wekwyn</w:t>
      </w:r>
      <w:proofErr w:type="spellEnd"/>
      <w:r w:rsidRPr="00AB422B">
        <w:rPr>
          <w:rFonts w:ascii="Times New Roman" w:hAnsi="Times New Roman" w:cs="Times New Roman"/>
          <w:sz w:val="24"/>
          <w:szCs w:val="24"/>
        </w:rPr>
        <w:t xml:space="preserve"> Garden city, England, UK. The organization Tesco plc is the ninth largest retailer organization in the world in terms of revenues and third largest retailer in terms of profits.  The organization has more than 6500 stores worldwide and they have their </w:t>
      </w:r>
      <w:r w:rsidRPr="00AB422B">
        <w:rPr>
          <w:rFonts w:ascii="Times New Roman" w:hAnsi="Times New Roman" w:cs="Times New Roman"/>
          <w:sz w:val="24"/>
          <w:szCs w:val="24"/>
        </w:rPr>
        <w:lastRenderedPageBreak/>
        <w:t>presence in approximately twelve countries across Europe and Asia. At the end of FY2017, the organization earned £55917 million in terms of revenues and £1280 million in terms of operating income</w:t>
      </w:r>
      <w:r w:rsidRPr="00AB422B">
        <w:t xml:space="preserve"> (</w:t>
      </w:r>
      <w:proofErr w:type="spellStart"/>
      <w:r w:rsidR="00D03403" w:rsidRPr="00AB422B">
        <w:rPr>
          <w:rFonts w:ascii="Times New Roman" w:hAnsi="Times New Roman" w:cs="Times New Roman"/>
          <w:sz w:val="24"/>
          <w:szCs w:val="24"/>
        </w:rPr>
        <w:t>tescoplc</w:t>
      </w:r>
      <w:proofErr w:type="spellEnd"/>
      <w:r w:rsidR="00D03403" w:rsidRPr="00AB422B">
        <w:rPr>
          <w:rFonts w:ascii="Times New Roman" w:hAnsi="Times New Roman" w:cs="Times New Roman"/>
          <w:sz w:val="24"/>
          <w:szCs w:val="24"/>
        </w:rPr>
        <w:t>, 2017).</w:t>
      </w:r>
    </w:p>
    <w:p w:rsidR="00292450" w:rsidRPr="00AB422B" w:rsidRDefault="00292450" w:rsidP="006142E5">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 xml:space="preserve">Organization history </w:t>
      </w:r>
    </w:p>
    <w:p w:rsidR="002855A0" w:rsidRPr="00AB422B" w:rsidRDefault="00292450"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 </w:t>
      </w:r>
      <w:r w:rsidR="00F62380" w:rsidRPr="00AB422B">
        <w:rPr>
          <w:rFonts w:ascii="Times New Roman" w:hAnsi="Times New Roman" w:cs="Times New Roman"/>
          <w:sz w:val="24"/>
          <w:szCs w:val="24"/>
        </w:rPr>
        <w:t xml:space="preserve">Tesco plc was founded in the year of 1919 by jack Cohen and its headquarters established in east London. The organization has diverse range of services and products such as financial services, groceries, consumer’s goods and telecoms. Tesco name came first in the year of 1924 after Cohen purchased a shipment of tea and combine those two with first two letter of his surname and after that the first organization stored opened in the year 1931. With better services and performance the organizations rapidly increased their presence in UK and in 1939 Cohen opened more than 100 stores in UK. In the early years of 1990s, the organization Tesco had diversified geographically into many areas such as clothing, electronics, telecoms, internet services and financial services. The organization is listed on LSE (London stock exchange) and it had approximately £18.1 billion market capitalization as of 22 April 2015 and the organization became the twenty eight largest organizations in UK having an initial listing on LSE.           </w:t>
      </w:r>
    </w:p>
    <w:p w:rsidR="00CE2CB7" w:rsidRPr="00AB422B" w:rsidRDefault="00CE2CB7" w:rsidP="006142E5">
      <w:pPr>
        <w:spacing w:line="360" w:lineRule="auto"/>
        <w:jc w:val="both"/>
        <w:rPr>
          <w:rFonts w:ascii="Times New Roman" w:hAnsi="Times New Roman" w:cs="Times New Roman"/>
          <w:sz w:val="24"/>
          <w:szCs w:val="24"/>
        </w:rPr>
      </w:pPr>
      <w:r w:rsidRPr="00AB422B">
        <w:rPr>
          <w:rFonts w:ascii="Times New Roman" w:hAnsi="Times New Roman" w:cs="Times New Roman"/>
          <w:noProof/>
          <w:sz w:val="24"/>
          <w:szCs w:val="24"/>
          <w:lang w:val="en-IN" w:eastAsia="en-IN"/>
        </w:rPr>
        <w:drawing>
          <wp:inline distT="0" distB="0" distL="0" distR="0">
            <wp:extent cx="6073406" cy="2328530"/>
            <wp:effectExtent l="19050" t="0" r="3544"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srcRect/>
                    <a:stretch>
                      <a:fillRect/>
                    </a:stretch>
                  </pic:blipFill>
                  <pic:spPr bwMode="auto">
                    <a:xfrm>
                      <a:off x="0" y="0"/>
                      <a:ext cx="6072681" cy="2328252"/>
                    </a:xfrm>
                    <a:prstGeom prst="rect">
                      <a:avLst/>
                    </a:prstGeom>
                    <a:noFill/>
                    <a:ln w="9525">
                      <a:noFill/>
                      <a:miter lim="800000"/>
                      <a:headEnd/>
                      <a:tailEnd/>
                    </a:ln>
                  </pic:spPr>
                </pic:pic>
              </a:graphicData>
            </a:graphic>
          </wp:inline>
        </w:drawing>
      </w:r>
    </w:p>
    <w:p w:rsidR="00CE2CB7" w:rsidRPr="00AB422B" w:rsidRDefault="002855A0" w:rsidP="00CE2CB7">
      <w:pPr>
        <w:spacing w:line="360" w:lineRule="auto"/>
        <w:jc w:val="both"/>
        <w:rPr>
          <w:rFonts w:ascii="Times New Roman" w:hAnsi="Times New Roman" w:cs="Times New Roman"/>
          <w:b/>
          <w:sz w:val="24"/>
          <w:szCs w:val="24"/>
        </w:rPr>
      </w:pPr>
      <w:r w:rsidRPr="00AB422B">
        <w:rPr>
          <w:rFonts w:ascii="Times New Roman" w:hAnsi="Times New Roman" w:cs="Times New Roman"/>
          <w:sz w:val="24"/>
          <w:szCs w:val="24"/>
        </w:rPr>
        <w:t xml:space="preserve">    </w:t>
      </w:r>
      <w:r w:rsidR="00265CB2" w:rsidRPr="00AB422B">
        <w:rPr>
          <w:rFonts w:ascii="Times New Roman" w:hAnsi="Times New Roman" w:cs="Times New Roman"/>
          <w:sz w:val="24"/>
          <w:szCs w:val="24"/>
        </w:rPr>
        <w:t xml:space="preserve">    </w:t>
      </w:r>
      <w:r w:rsidR="004A57F2" w:rsidRPr="00AB422B">
        <w:rPr>
          <w:rFonts w:ascii="Times New Roman" w:hAnsi="Times New Roman" w:cs="Times New Roman"/>
          <w:sz w:val="24"/>
          <w:szCs w:val="24"/>
        </w:rPr>
        <w:t xml:space="preserve">  </w:t>
      </w:r>
      <w:r w:rsidR="00CE2CB7" w:rsidRPr="00AB422B">
        <w:rPr>
          <w:rFonts w:ascii="Times New Roman" w:hAnsi="Times New Roman" w:cs="Times New Roman"/>
          <w:b/>
          <w:sz w:val="24"/>
          <w:szCs w:val="24"/>
        </w:rPr>
        <w:t xml:space="preserve">Fig </w:t>
      </w:r>
      <w:r w:rsidR="0094259A" w:rsidRPr="00AB422B">
        <w:rPr>
          <w:rFonts w:ascii="Times New Roman" w:hAnsi="Times New Roman" w:cs="Times New Roman"/>
          <w:b/>
          <w:sz w:val="24"/>
          <w:szCs w:val="24"/>
        </w:rPr>
        <w:t>1.</w:t>
      </w:r>
      <w:r w:rsidR="007A51A5" w:rsidRPr="00AB422B">
        <w:rPr>
          <w:rFonts w:ascii="Times New Roman" w:hAnsi="Times New Roman" w:cs="Times New Roman"/>
          <w:b/>
          <w:sz w:val="24"/>
          <w:szCs w:val="24"/>
        </w:rPr>
        <w:t>2</w:t>
      </w:r>
      <w:r w:rsidR="00CE2CB7" w:rsidRPr="00AB422B">
        <w:rPr>
          <w:rFonts w:ascii="Times New Roman" w:hAnsi="Times New Roman" w:cs="Times New Roman"/>
          <w:b/>
          <w:sz w:val="24"/>
          <w:szCs w:val="24"/>
        </w:rPr>
        <w:t xml:space="preserve">: Tesco plc stores </w:t>
      </w:r>
    </w:p>
    <w:p w:rsidR="00CE2CB7" w:rsidRPr="00AB422B" w:rsidRDefault="00CE2CB7" w:rsidP="00CE2CB7">
      <w:pPr>
        <w:spacing w:line="360" w:lineRule="auto"/>
        <w:jc w:val="center"/>
        <w:rPr>
          <w:rFonts w:ascii="Times New Roman" w:hAnsi="Times New Roman" w:cs="Times New Roman"/>
          <w:b/>
          <w:sz w:val="24"/>
          <w:szCs w:val="24"/>
        </w:rPr>
      </w:pPr>
      <w:r w:rsidRPr="00AB422B">
        <w:rPr>
          <w:rFonts w:ascii="Times New Roman" w:hAnsi="Times New Roman" w:cs="Times New Roman"/>
          <w:b/>
          <w:sz w:val="24"/>
          <w:szCs w:val="24"/>
        </w:rPr>
        <w:t>Sources [www.tescoplc.com]</w:t>
      </w:r>
    </w:p>
    <w:p w:rsidR="004A57F2" w:rsidRPr="00AB422B" w:rsidRDefault="004A57F2" w:rsidP="006142E5">
      <w:pPr>
        <w:spacing w:line="360" w:lineRule="auto"/>
        <w:jc w:val="both"/>
        <w:rPr>
          <w:rFonts w:ascii="Times New Roman" w:hAnsi="Times New Roman" w:cs="Times New Roman"/>
          <w:sz w:val="24"/>
          <w:szCs w:val="24"/>
        </w:rPr>
      </w:pPr>
    </w:p>
    <w:p w:rsidR="000D6EDD" w:rsidRPr="00AB422B" w:rsidRDefault="000D6EDD" w:rsidP="006142E5">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 xml:space="preserve">Financial performance of the Tesco plc </w:t>
      </w:r>
    </w:p>
    <w:p w:rsidR="00F62380" w:rsidRPr="00AB422B" w:rsidRDefault="00F62380" w:rsidP="00F62380">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lastRenderedPageBreak/>
        <w:t>The financial year 2016/17, Tesco plc sales are £49,867million whereas in year of FY 2015/16 its sales are £47,859 million. Therefore the observation signifies that in terms of group sales performance of the company is increased by 1.1% respectively (as shown in fig 3). In addition to this the organization’s operating profits before exceptional items have also increased 24.9% from FY2015/16 to FY2016/17 (as shown in fig 4). Finally the organization statutory profits/loss before tax had decreased by 28% (FY 2016/17 (£145 million), FY2015/16 (£ 202 million). Moreover the organization Tesco generate positive performance in cash flow by 9.1% from FY2015/16 to FY2016/17 (as shows in fig 5) (</w:t>
      </w:r>
      <w:proofErr w:type="spellStart"/>
      <w:r w:rsidRPr="00AB422B">
        <w:rPr>
          <w:rFonts w:ascii="Times New Roman" w:hAnsi="Times New Roman" w:cs="Times New Roman"/>
          <w:sz w:val="24"/>
          <w:szCs w:val="24"/>
        </w:rPr>
        <w:t>tescoplc</w:t>
      </w:r>
      <w:proofErr w:type="spellEnd"/>
      <w:r w:rsidRPr="00AB422B">
        <w:rPr>
          <w:rFonts w:ascii="Times New Roman" w:hAnsi="Times New Roman" w:cs="Times New Roman"/>
          <w:sz w:val="24"/>
          <w:szCs w:val="24"/>
        </w:rPr>
        <w:t xml:space="preserve">, 2017); which signifies that the organization has strong cash flow position that would help the organization to execute their business operations in a more effective manner by allowing them to reinvest in their business in a successful manner. The positive growth of cash flow shows that performance of the company in terms of financial position is improving. </w:t>
      </w:r>
    </w:p>
    <w:p w:rsidR="007E143B" w:rsidRPr="00AB422B" w:rsidRDefault="00390AEF" w:rsidP="006142E5">
      <w:pPr>
        <w:spacing w:line="360" w:lineRule="auto"/>
        <w:jc w:val="both"/>
        <w:rPr>
          <w:rFonts w:ascii="Times New Roman" w:hAnsi="Times New Roman" w:cs="Times New Roman"/>
          <w:sz w:val="24"/>
          <w:szCs w:val="24"/>
        </w:rPr>
      </w:pPr>
      <w:r w:rsidRPr="00AB422B">
        <w:rPr>
          <w:rFonts w:ascii="Times New Roman" w:hAnsi="Times New Roman" w:cs="Times New Roman"/>
          <w:noProof/>
          <w:sz w:val="24"/>
          <w:szCs w:val="24"/>
          <w:lang w:val="en-IN" w:eastAsia="en-IN"/>
        </w:rPr>
        <w:drawing>
          <wp:inline distT="0" distB="0" distL="0" distR="0">
            <wp:extent cx="1554569" cy="1212111"/>
            <wp:effectExtent l="19050" t="0" r="7531"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1554702" cy="1212215"/>
                    </a:xfrm>
                    <a:prstGeom prst="rect">
                      <a:avLst/>
                    </a:prstGeom>
                    <a:noFill/>
                    <a:ln w="9525">
                      <a:noFill/>
                      <a:miter lim="800000"/>
                      <a:headEnd/>
                      <a:tailEnd/>
                    </a:ln>
                  </pic:spPr>
                </pic:pic>
              </a:graphicData>
            </a:graphic>
          </wp:inline>
        </w:drawing>
      </w:r>
      <w:r w:rsidRPr="00AB422B">
        <w:rPr>
          <w:rFonts w:ascii="Times New Roman" w:hAnsi="Times New Roman" w:cs="Times New Roman"/>
          <w:sz w:val="24"/>
          <w:szCs w:val="24"/>
        </w:rPr>
        <w:t xml:space="preserve">    </w:t>
      </w:r>
      <w:r w:rsidR="00CA4D74" w:rsidRPr="00AB422B">
        <w:rPr>
          <w:rFonts w:ascii="Times New Roman" w:hAnsi="Times New Roman" w:cs="Times New Roman"/>
          <w:sz w:val="24"/>
          <w:szCs w:val="24"/>
        </w:rPr>
        <w:t xml:space="preserve"> </w:t>
      </w:r>
      <w:r w:rsidR="00E97B04" w:rsidRPr="00AB422B">
        <w:rPr>
          <w:rFonts w:ascii="Times New Roman" w:hAnsi="Times New Roman" w:cs="Times New Roman"/>
          <w:sz w:val="24"/>
          <w:szCs w:val="24"/>
        </w:rPr>
        <w:t xml:space="preserve">  </w:t>
      </w:r>
      <w:r w:rsidRPr="00AB422B">
        <w:rPr>
          <w:rFonts w:ascii="Times New Roman" w:hAnsi="Times New Roman" w:cs="Times New Roman"/>
          <w:noProof/>
          <w:sz w:val="24"/>
          <w:szCs w:val="24"/>
          <w:lang w:val="en-IN" w:eastAsia="en-IN"/>
        </w:rPr>
        <w:drawing>
          <wp:inline distT="0" distB="0" distL="0" distR="0">
            <wp:extent cx="1558162" cy="1212111"/>
            <wp:effectExtent l="19050" t="0" r="3938"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1558209" cy="1212147"/>
                    </a:xfrm>
                    <a:prstGeom prst="rect">
                      <a:avLst/>
                    </a:prstGeom>
                    <a:noFill/>
                    <a:ln w="9525">
                      <a:noFill/>
                      <a:miter lim="800000"/>
                      <a:headEnd/>
                      <a:tailEnd/>
                    </a:ln>
                  </pic:spPr>
                </pic:pic>
              </a:graphicData>
            </a:graphic>
          </wp:inline>
        </w:drawing>
      </w:r>
      <w:r w:rsidRPr="00AB422B">
        <w:rPr>
          <w:rFonts w:ascii="Times New Roman" w:hAnsi="Times New Roman" w:cs="Times New Roman"/>
          <w:sz w:val="24"/>
          <w:szCs w:val="24"/>
        </w:rPr>
        <w:t xml:space="preserve">  </w:t>
      </w:r>
      <w:r w:rsidRPr="00AB422B">
        <w:rPr>
          <w:rFonts w:ascii="Times New Roman" w:hAnsi="Times New Roman" w:cs="Times New Roman"/>
          <w:noProof/>
          <w:sz w:val="24"/>
          <w:szCs w:val="24"/>
          <w:lang w:val="en-IN" w:eastAsia="en-IN"/>
        </w:rPr>
        <w:drawing>
          <wp:inline distT="0" distB="0" distL="0" distR="0">
            <wp:extent cx="1597099" cy="1212111"/>
            <wp:effectExtent l="19050" t="0" r="3101"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1597310" cy="1212271"/>
                    </a:xfrm>
                    <a:prstGeom prst="rect">
                      <a:avLst/>
                    </a:prstGeom>
                    <a:noFill/>
                    <a:ln w="9525">
                      <a:noFill/>
                      <a:miter lim="800000"/>
                      <a:headEnd/>
                      <a:tailEnd/>
                    </a:ln>
                  </pic:spPr>
                </pic:pic>
              </a:graphicData>
            </a:graphic>
          </wp:inline>
        </w:drawing>
      </w:r>
    </w:p>
    <w:p w:rsidR="00507249" w:rsidRPr="00AB422B" w:rsidRDefault="007A51A5" w:rsidP="006142E5">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Fig</w:t>
      </w:r>
      <w:r w:rsidR="0094259A" w:rsidRPr="00AB422B">
        <w:rPr>
          <w:rFonts w:ascii="Times New Roman" w:hAnsi="Times New Roman" w:cs="Times New Roman"/>
          <w:b/>
          <w:sz w:val="24"/>
          <w:szCs w:val="24"/>
        </w:rPr>
        <w:t>1.</w:t>
      </w:r>
      <w:r w:rsidRPr="00AB422B">
        <w:rPr>
          <w:rFonts w:ascii="Times New Roman" w:hAnsi="Times New Roman" w:cs="Times New Roman"/>
          <w:b/>
          <w:sz w:val="24"/>
          <w:szCs w:val="24"/>
        </w:rPr>
        <w:t>3</w:t>
      </w:r>
      <w:r w:rsidR="00D91EE3" w:rsidRPr="00AB422B">
        <w:rPr>
          <w:rFonts w:ascii="Times New Roman" w:hAnsi="Times New Roman" w:cs="Times New Roman"/>
          <w:b/>
          <w:sz w:val="24"/>
          <w:szCs w:val="24"/>
        </w:rPr>
        <w:t xml:space="preserve">. Sales </w:t>
      </w:r>
      <w:r w:rsidRPr="00AB422B">
        <w:rPr>
          <w:rFonts w:ascii="Times New Roman" w:hAnsi="Times New Roman" w:cs="Times New Roman"/>
          <w:b/>
          <w:sz w:val="24"/>
          <w:szCs w:val="24"/>
        </w:rPr>
        <w:t xml:space="preserve">performance </w:t>
      </w:r>
      <w:r w:rsidRPr="00AB422B">
        <w:rPr>
          <w:rFonts w:ascii="Times New Roman" w:hAnsi="Times New Roman" w:cs="Times New Roman"/>
          <w:b/>
          <w:sz w:val="24"/>
          <w:szCs w:val="24"/>
        </w:rPr>
        <w:tab/>
        <w:t xml:space="preserve">Fig </w:t>
      </w:r>
      <w:r w:rsidR="0094259A" w:rsidRPr="00AB422B">
        <w:rPr>
          <w:rFonts w:ascii="Times New Roman" w:hAnsi="Times New Roman" w:cs="Times New Roman"/>
          <w:b/>
          <w:sz w:val="24"/>
          <w:szCs w:val="24"/>
        </w:rPr>
        <w:t>1.</w:t>
      </w:r>
      <w:r w:rsidRPr="00AB422B">
        <w:rPr>
          <w:rFonts w:ascii="Times New Roman" w:hAnsi="Times New Roman" w:cs="Times New Roman"/>
          <w:b/>
          <w:sz w:val="24"/>
          <w:szCs w:val="24"/>
        </w:rPr>
        <w:t>4</w:t>
      </w:r>
      <w:r w:rsidR="00D91EE3" w:rsidRPr="00AB422B">
        <w:rPr>
          <w:rFonts w:ascii="Times New Roman" w:hAnsi="Times New Roman" w:cs="Times New Roman"/>
          <w:b/>
          <w:sz w:val="24"/>
          <w:szCs w:val="24"/>
        </w:rPr>
        <w:t xml:space="preserve">: profits performance </w:t>
      </w:r>
      <w:r w:rsidRPr="00AB422B">
        <w:rPr>
          <w:rFonts w:ascii="Times New Roman" w:hAnsi="Times New Roman" w:cs="Times New Roman"/>
          <w:b/>
          <w:sz w:val="24"/>
          <w:szCs w:val="24"/>
        </w:rPr>
        <w:t xml:space="preserve">Fig </w:t>
      </w:r>
      <w:r w:rsidR="0094259A" w:rsidRPr="00AB422B">
        <w:rPr>
          <w:rFonts w:ascii="Times New Roman" w:hAnsi="Times New Roman" w:cs="Times New Roman"/>
          <w:b/>
          <w:sz w:val="24"/>
          <w:szCs w:val="24"/>
        </w:rPr>
        <w:t>1.</w:t>
      </w:r>
      <w:r w:rsidRPr="00AB422B">
        <w:rPr>
          <w:rFonts w:ascii="Times New Roman" w:hAnsi="Times New Roman" w:cs="Times New Roman"/>
          <w:b/>
          <w:sz w:val="24"/>
          <w:szCs w:val="24"/>
        </w:rPr>
        <w:t>5</w:t>
      </w:r>
      <w:r w:rsidR="00D91EE3" w:rsidRPr="00AB422B">
        <w:rPr>
          <w:rFonts w:ascii="Times New Roman" w:hAnsi="Times New Roman" w:cs="Times New Roman"/>
          <w:b/>
          <w:sz w:val="24"/>
          <w:szCs w:val="24"/>
        </w:rPr>
        <w:t xml:space="preserve">: cash flow performance </w:t>
      </w:r>
    </w:p>
    <w:p w:rsidR="00D91EE3" w:rsidRPr="00AB422B" w:rsidRDefault="00D91EE3" w:rsidP="00D91EE3">
      <w:pPr>
        <w:spacing w:line="360" w:lineRule="auto"/>
        <w:jc w:val="center"/>
        <w:rPr>
          <w:rFonts w:ascii="Times New Roman" w:hAnsi="Times New Roman" w:cs="Times New Roman"/>
          <w:b/>
          <w:sz w:val="24"/>
          <w:szCs w:val="24"/>
        </w:rPr>
      </w:pPr>
      <w:r w:rsidRPr="00AB422B">
        <w:rPr>
          <w:rFonts w:ascii="Times New Roman" w:hAnsi="Times New Roman" w:cs="Times New Roman"/>
          <w:b/>
          <w:sz w:val="24"/>
          <w:szCs w:val="24"/>
        </w:rPr>
        <w:t>Source: [www.tescoplc.com]</w:t>
      </w:r>
    </w:p>
    <w:p w:rsidR="00BE2EC5" w:rsidRPr="00AB422B" w:rsidRDefault="007E143B"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 </w:t>
      </w:r>
      <w:r w:rsidR="001F79DC" w:rsidRPr="00AB422B">
        <w:rPr>
          <w:rFonts w:ascii="Times New Roman" w:hAnsi="Times New Roman" w:cs="Times New Roman"/>
          <w:sz w:val="24"/>
          <w:szCs w:val="24"/>
        </w:rPr>
        <w:t xml:space="preserve">Segmental reporting analysis of Tesco plc reveals that </w:t>
      </w:r>
      <w:r w:rsidR="001367F0" w:rsidRPr="00AB422B">
        <w:rPr>
          <w:rFonts w:ascii="Times New Roman" w:hAnsi="Times New Roman" w:cs="Times New Roman"/>
          <w:sz w:val="24"/>
          <w:szCs w:val="24"/>
        </w:rPr>
        <w:t xml:space="preserve">Tesco plc achieved volume growth 1.6% and transactional growth 1.7% that signifies that organization continuously focused on the fundamental improvement. </w:t>
      </w:r>
      <w:r w:rsidR="00514FB8" w:rsidRPr="00AB422B">
        <w:rPr>
          <w:rFonts w:ascii="Times New Roman" w:hAnsi="Times New Roman" w:cs="Times New Roman"/>
          <w:sz w:val="24"/>
          <w:szCs w:val="24"/>
        </w:rPr>
        <w:t xml:space="preserve">According to the </w:t>
      </w:r>
      <w:r w:rsidR="00A86538" w:rsidRPr="00AB422B">
        <w:rPr>
          <w:rFonts w:ascii="Times New Roman" w:hAnsi="Times New Roman" w:cs="Times New Roman"/>
          <w:sz w:val="24"/>
          <w:szCs w:val="24"/>
        </w:rPr>
        <w:t>Tesco</w:t>
      </w:r>
      <w:r w:rsidR="00514FB8" w:rsidRPr="00AB422B">
        <w:rPr>
          <w:rFonts w:ascii="Times New Roman" w:hAnsi="Times New Roman" w:cs="Times New Roman"/>
          <w:sz w:val="24"/>
          <w:szCs w:val="24"/>
        </w:rPr>
        <w:t xml:space="preserve"> plc report 2017, it is seen that customer basket remains approximately 6% cheaper that September 2014 as well as Tesco promotional participation also fallen to 32%; which signifies that the organization mainly focused on the sustainable improvement of the products and services rather than short term promotions and couponing.      </w:t>
      </w:r>
      <w:r w:rsidR="001367F0" w:rsidRPr="00AB422B">
        <w:rPr>
          <w:rFonts w:ascii="Times New Roman" w:hAnsi="Times New Roman" w:cs="Times New Roman"/>
          <w:sz w:val="24"/>
          <w:szCs w:val="24"/>
        </w:rPr>
        <w:t xml:space="preserve">    </w:t>
      </w:r>
      <w:r w:rsidR="001F79DC" w:rsidRPr="00AB422B">
        <w:rPr>
          <w:rFonts w:ascii="Times New Roman" w:hAnsi="Times New Roman" w:cs="Times New Roman"/>
          <w:sz w:val="24"/>
          <w:szCs w:val="24"/>
        </w:rPr>
        <w:t xml:space="preserve"> </w:t>
      </w:r>
      <w:r w:rsidR="00AA3367" w:rsidRPr="00AB422B">
        <w:rPr>
          <w:rFonts w:ascii="Times New Roman" w:hAnsi="Times New Roman" w:cs="Times New Roman"/>
          <w:sz w:val="24"/>
          <w:szCs w:val="24"/>
        </w:rPr>
        <w:t xml:space="preserve">        </w:t>
      </w:r>
    </w:p>
    <w:p w:rsidR="006142E5" w:rsidRPr="00AB422B" w:rsidRDefault="006142E5" w:rsidP="00A95A5B">
      <w:pPr>
        <w:pStyle w:val="Heading1"/>
        <w:rPr>
          <w:color w:val="auto"/>
        </w:rPr>
      </w:pPr>
      <w:bookmarkStart w:id="3" w:name="_Toc502257259"/>
      <w:r w:rsidRPr="00AB422B">
        <w:rPr>
          <w:color w:val="auto"/>
        </w:rPr>
        <w:lastRenderedPageBreak/>
        <w:t>Part 2</w:t>
      </w:r>
      <w:bookmarkEnd w:id="3"/>
      <w:r w:rsidRPr="00AB422B">
        <w:rPr>
          <w:color w:val="auto"/>
        </w:rPr>
        <w:t xml:space="preserve"> </w:t>
      </w:r>
    </w:p>
    <w:p w:rsidR="006142E5" w:rsidRPr="00AB422B" w:rsidRDefault="007A51A5" w:rsidP="00F86457">
      <w:pPr>
        <w:pStyle w:val="Heading2"/>
        <w:rPr>
          <w:color w:val="auto"/>
        </w:rPr>
      </w:pPr>
      <w:bookmarkStart w:id="4" w:name="_Toc502257260"/>
      <w:r w:rsidRPr="00AB422B">
        <w:rPr>
          <w:color w:val="auto"/>
        </w:rPr>
        <w:t xml:space="preserve">2.1 </w:t>
      </w:r>
      <w:r w:rsidR="006142E5" w:rsidRPr="00AB422B">
        <w:rPr>
          <w:color w:val="auto"/>
        </w:rPr>
        <w:t>Calculation of key financial performance measures of Tesco for the last five years</w:t>
      </w:r>
      <w:bookmarkEnd w:id="4"/>
    </w:p>
    <w:p w:rsidR="006B3519" w:rsidRPr="00AB422B" w:rsidRDefault="000A170A"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Ratios analysis of </w:t>
      </w:r>
      <w:r w:rsidR="006B3519" w:rsidRPr="00AB422B">
        <w:rPr>
          <w:rFonts w:ascii="Times New Roman" w:hAnsi="Times New Roman" w:cs="Times New Roman"/>
          <w:sz w:val="24"/>
          <w:szCs w:val="24"/>
        </w:rPr>
        <w:t xml:space="preserve">Tesco plc </w:t>
      </w:r>
      <w:r w:rsidRPr="00AB422B">
        <w:rPr>
          <w:rFonts w:ascii="Times New Roman" w:hAnsi="Times New Roman" w:cs="Times New Roman"/>
          <w:sz w:val="24"/>
          <w:szCs w:val="24"/>
        </w:rPr>
        <w:t>over a period</w:t>
      </w:r>
      <w:r w:rsidR="006B3519" w:rsidRPr="00AB422B">
        <w:rPr>
          <w:rFonts w:ascii="Times New Roman" w:hAnsi="Times New Roman" w:cs="Times New Roman"/>
          <w:sz w:val="24"/>
          <w:szCs w:val="24"/>
        </w:rPr>
        <w:t xml:space="preserve"> of last five years from FY2012 to FY2016 is illustrated below;  </w:t>
      </w:r>
    </w:p>
    <w:tbl>
      <w:tblPr>
        <w:tblStyle w:val="TableGrid"/>
        <w:tblW w:w="0" w:type="auto"/>
        <w:tblLook w:val="04A0"/>
      </w:tblPr>
      <w:tblGrid>
        <w:gridCol w:w="1577"/>
        <w:gridCol w:w="1942"/>
        <w:gridCol w:w="956"/>
        <w:gridCol w:w="956"/>
        <w:gridCol w:w="977"/>
        <w:gridCol w:w="1267"/>
        <w:gridCol w:w="1196"/>
      </w:tblGrid>
      <w:tr w:rsidR="00303ABA" w:rsidRPr="00AB422B" w:rsidTr="006E2AAB">
        <w:trPr>
          <w:trHeight w:val="300"/>
        </w:trPr>
        <w:tc>
          <w:tcPr>
            <w:tcW w:w="1577" w:type="dxa"/>
            <w:hideMark/>
          </w:tcPr>
          <w:p w:rsidR="00303ABA" w:rsidRPr="00AB422B" w:rsidRDefault="00303ABA" w:rsidP="006E2AAB">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 xml:space="preserve">Ratio </w:t>
            </w:r>
          </w:p>
        </w:tc>
        <w:tc>
          <w:tcPr>
            <w:tcW w:w="1942" w:type="dxa"/>
            <w:hideMark/>
          </w:tcPr>
          <w:p w:rsidR="00303ABA" w:rsidRPr="00AB422B" w:rsidRDefault="00303ABA" w:rsidP="006E2AAB">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Calculation</w:t>
            </w:r>
          </w:p>
        </w:tc>
        <w:tc>
          <w:tcPr>
            <w:tcW w:w="956" w:type="dxa"/>
          </w:tcPr>
          <w:p w:rsidR="00303ABA" w:rsidRPr="00AB422B" w:rsidRDefault="00303ABA" w:rsidP="006E2AAB">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2012</w:t>
            </w:r>
          </w:p>
        </w:tc>
        <w:tc>
          <w:tcPr>
            <w:tcW w:w="956" w:type="dxa"/>
            <w:noWrap/>
            <w:hideMark/>
          </w:tcPr>
          <w:p w:rsidR="00303ABA" w:rsidRPr="00AB422B" w:rsidRDefault="00303ABA" w:rsidP="006E2AAB">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2013</w:t>
            </w:r>
          </w:p>
        </w:tc>
        <w:tc>
          <w:tcPr>
            <w:tcW w:w="977" w:type="dxa"/>
            <w:noWrap/>
            <w:hideMark/>
          </w:tcPr>
          <w:p w:rsidR="00303ABA" w:rsidRPr="00AB422B" w:rsidRDefault="00303ABA" w:rsidP="006E2AAB">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2014</w:t>
            </w:r>
          </w:p>
        </w:tc>
        <w:tc>
          <w:tcPr>
            <w:tcW w:w="1267" w:type="dxa"/>
            <w:noWrap/>
            <w:hideMark/>
          </w:tcPr>
          <w:p w:rsidR="00303ABA" w:rsidRPr="00AB422B" w:rsidRDefault="00303ABA" w:rsidP="006E2AAB">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2015</w:t>
            </w:r>
          </w:p>
        </w:tc>
        <w:tc>
          <w:tcPr>
            <w:tcW w:w="1196" w:type="dxa"/>
          </w:tcPr>
          <w:p w:rsidR="00303ABA" w:rsidRPr="00AB422B" w:rsidRDefault="00303ABA" w:rsidP="006E2AAB">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2016</w:t>
            </w:r>
          </w:p>
        </w:tc>
      </w:tr>
      <w:tr w:rsidR="00096B2C" w:rsidRPr="00AB422B" w:rsidTr="006E2AAB">
        <w:trPr>
          <w:trHeight w:val="300"/>
        </w:trPr>
        <w:tc>
          <w:tcPr>
            <w:tcW w:w="8871" w:type="dxa"/>
            <w:gridSpan w:val="7"/>
            <w:hideMark/>
          </w:tcPr>
          <w:p w:rsidR="00096B2C" w:rsidRPr="00AB422B" w:rsidRDefault="00096B2C" w:rsidP="006E2AAB">
            <w:pPr>
              <w:spacing w:line="360" w:lineRule="auto"/>
              <w:jc w:val="center"/>
              <w:rPr>
                <w:rFonts w:ascii="Times New Roman" w:hAnsi="Times New Roman" w:cs="Times New Roman"/>
                <w:b/>
                <w:bCs/>
                <w:sz w:val="24"/>
                <w:szCs w:val="24"/>
              </w:rPr>
            </w:pPr>
            <w:r w:rsidRPr="00AB422B">
              <w:rPr>
                <w:rFonts w:ascii="Times New Roman" w:hAnsi="Times New Roman" w:cs="Times New Roman"/>
                <w:b/>
                <w:bCs/>
                <w:sz w:val="24"/>
                <w:szCs w:val="24"/>
              </w:rPr>
              <w:t>Profitability ratios</w:t>
            </w:r>
          </w:p>
        </w:tc>
      </w:tr>
      <w:tr w:rsidR="00303ABA" w:rsidRPr="00AB422B" w:rsidTr="006E2AAB">
        <w:trPr>
          <w:trHeight w:val="900"/>
        </w:trPr>
        <w:tc>
          <w:tcPr>
            <w:tcW w:w="1577" w:type="dxa"/>
            <w:hideMark/>
          </w:tcPr>
          <w:p w:rsidR="00303ABA" w:rsidRPr="00AB422B" w:rsidRDefault="00303ABA" w:rsidP="006E2AAB">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Gross profit margin</w:t>
            </w:r>
          </w:p>
        </w:tc>
        <w:tc>
          <w:tcPr>
            <w:tcW w:w="1942" w:type="dxa"/>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Gross profit / net sales x 100</w:t>
            </w:r>
          </w:p>
        </w:tc>
        <w:tc>
          <w:tcPr>
            <w:tcW w:w="956" w:type="dxa"/>
          </w:tcPr>
          <w:p w:rsidR="00303ABA" w:rsidRPr="00AB422B" w:rsidRDefault="00303ABA" w:rsidP="006E2AAB">
            <w:pPr>
              <w:spacing w:line="360" w:lineRule="auto"/>
              <w:jc w:val="both"/>
              <w:rPr>
                <w:rFonts w:ascii="Times New Roman" w:hAnsi="Times New Roman" w:cs="Times New Roman"/>
                <w:sz w:val="24"/>
                <w:szCs w:val="24"/>
              </w:rPr>
            </w:pPr>
          </w:p>
        </w:tc>
        <w:tc>
          <w:tcPr>
            <w:tcW w:w="956"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77"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267"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196" w:type="dxa"/>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r>
      <w:tr w:rsidR="00303ABA" w:rsidRPr="00AB422B" w:rsidTr="006E2AAB">
        <w:trPr>
          <w:trHeight w:val="300"/>
        </w:trPr>
        <w:tc>
          <w:tcPr>
            <w:tcW w:w="1577" w:type="dxa"/>
            <w:vAlign w:val="bottom"/>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TESCO PLC</w:t>
            </w:r>
          </w:p>
        </w:tc>
        <w:tc>
          <w:tcPr>
            <w:tcW w:w="1942" w:type="dxa"/>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6.02%</w:t>
            </w:r>
          </w:p>
        </w:tc>
        <w:tc>
          <w:tcPr>
            <w:tcW w:w="956"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6.55%</w:t>
            </w:r>
          </w:p>
        </w:tc>
        <w:tc>
          <w:tcPr>
            <w:tcW w:w="977"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6.31%</w:t>
            </w:r>
          </w:p>
        </w:tc>
        <w:tc>
          <w:tcPr>
            <w:tcW w:w="1267"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-3.39%</w:t>
            </w:r>
          </w:p>
        </w:tc>
        <w:tc>
          <w:tcPr>
            <w:tcW w:w="1196" w:type="dxa"/>
          </w:tcPr>
          <w:p w:rsidR="00303ABA" w:rsidRPr="00AB422B" w:rsidRDefault="003C0A8E"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5.26%</w:t>
            </w:r>
          </w:p>
        </w:tc>
      </w:tr>
      <w:tr w:rsidR="00303ABA" w:rsidRPr="00AB422B" w:rsidTr="006E2AAB">
        <w:trPr>
          <w:trHeight w:val="900"/>
        </w:trPr>
        <w:tc>
          <w:tcPr>
            <w:tcW w:w="1577" w:type="dxa"/>
            <w:hideMark/>
          </w:tcPr>
          <w:p w:rsidR="00303ABA" w:rsidRPr="00AB422B" w:rsidRDefault="00303ABA" w:rsidP="006E2AAB">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Net profit margin</w:t>
            </w:r>
          </w:p>
        </w:tc>
        <w:tc>
          <w:tcPr>
            <w:tcW w:w="1942" w:type="dxa"/>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Net profit / net sales x 100</w:t>
            </w:r>
          </w:p>
        </w:tc>
        <w:tc>
          <w:tcPr>
            <w:tcW w:w="956" w:type="dxa"/>
          </w:tcPr>
          <w:p w:rsidR="00303ABA" w:rsidRPr="00AB422B" w:rsidRDefault="00303ABA" w:rsidP="006E2AAB">
            <w:pPr>
              <w:spacing w:line="360" w:lineRule="auto"/>
              <w:jc w:val="both"/>
              <w:rPr>
                <w:rFonts w:ascii="Times New Roman" w:hAnsi="Times New Roman" w:cs="Times New Roman"/>
                <w:sz w:val="24"/>
                <w:szCs w:val="24"/>
              </w:rPr>
            </w:pPr>
          </w:p>
        </w:tc>
        <w:tc>
          <w:tcPr>
            <w:tcW w:w="956"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77"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267"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196" w:type="dxa"/>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r>
      <w:tr w:rsidR="00303ABA" w:rsidRPr="00AB422B" w:rsidTr="006E2AAB">
        <w:trPr>
          <w:trHeight w:val="300"/>
        </w:trPr>
        <w:tc>
          <w:tcPr>
            <w:tcW w:w="1577" w:type="dxa"/>
            <w:vAlign w:val="bottom"/>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TESCO PLC</w:t>
            </w:r>
          </w:p>
        </w:tc>
        <w:tc>
          <w:tcPr>
            <w:tcW w:w="1942" w:type="dxa"/>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4.35%</w:t>
            </w:r>
          </w:p>
        </w:tc>
        <w:tc>
          <w:tcPr>
            <w:tcW w:w="956"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0.19%</w:t>
            </w:r>
          </w:p>
        </w:tc>
        <w:tc>
          <w:tcPr>
            <w:tcW w:w="977"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1.53%</w:t>
            </w:r>
          </w:p>
        </w:tc>
        <w:tc>
          <w:tcPr>
            <w:tcW w:w="1267"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-9.22%</w:t>
            </w:r>
          </w:p>
        </w:tc>
        <w:tc>
          <w:tcPr>
            <w:tcW w:w="1196" w:type="dxa"/>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0.25%</w:t>
            </w:r>
          </w:p>
        </w:tc>
      </w:tr>
      <w:tr w:rsidR="00303ABA" w:rsidRPr="00AB422B" w:rsidTr="006E2AAB">
        <w:trPr>
          <w:trHeight w:val="300"/>
        </w:trPr>
        <w:tc>
          <w:tcPr>
            <w:tcW w:w="1577" w:type="dxa"/>
            <w:hideMark/>
          </w:tcPr>
          <w:p w:rsidR="00303ABA" w:rsidRPr="00AB422B" w:rsidRDefault="00303ABA" w:rsidP="006E2AAB">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 xml:space="preserve">Operating profit margin </w:t>
            </w:r>
          </w:p>
          <w:p w:rsidR="00303ABA" w:rsidRPr="00AB422B" w:rsidRDefault="00303ABA" w:rsidP="006E2AAB">
            <w:pPr>
              <w:spacing w:line="360" w:lineRule="auto"/>
              <w:jc w:val="both"/>
              <w:rPr>
                <w:rFonts w:ascii="Times New Roman" w:hAnsi="Times New Roman" w:cs="Times New Roman"/>
                <w:sz w:val="24"/>
                <w:szCs w:val="24"/>
              </w:rPr>
            </w:pPr>
          </w:p>
        </w:tc>
        <w:tc>
          <w:tcPr>
            <w:tcW w:w="1942" w:type="dxa"/>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operating profits / total assets x 100</w:t>
            </w:r>
          </w:p>
        </w:tc>
        <w:tc>
          <w:tcPr>
            <w:tcW w:w="956" w:type="dxa"/>
          </w:tcPr>
          <w:p w:rsidR="00303ABA" w:rsidRPr="00AB422B" w:rsidRDefault="00303ABA" w:rsidP="006E2AAB">
            <w:pPr>
              <w:spacing w:line="360" w:lineRule="auto"/>
              <w:jc w:val="both"/>
              <w:rPr>
                <w:rFonts w:ascii="Times New Roman" w:hAnsi="Times New Roman" w:cs="Times New Roman"/>
                <w:sz w:val="24"/>
                <w:szCs w:val="24"/>
              </w:rPr>
            </w:pPr>
          </w:p>
        </w:tc>
        <w:tc>
          <w:tcPr>
            <w:tcW w:w="956" w:type="dxa"/>
            <w:noWrap/>
            <w:hideMark/>
          </w:tcPr>
          <w:p w:rsidR="00303ABA" w:rsidRPr="00AB422B" w:rsidRDefault="00303ABA" w:rsidP="006E2AAB">
            <w:pPr>
              <w:spacing w:line="360" w:lineRule="auto"/>
              <w:jc w:val="both"/>
              <w:rPr>
                <w:rFonts w:ascii="Times New Roman" w:hAnsi="Times New Roman" w:cs="Times New Roman"/>
                <w:sz w:val="24"/>
                <w:szCs w:val="24"/>
              </w:rPr>
            </w:pPr>
          </w:p>
        </w:tc>
        <w:tc>
          <w:tcPr>
            <w:tcW w:w="977" w:type="dxa"/>
            <w:noWrap/>
            <w:hideMark/>
          </w:tcPr>
          <w:p w:rsidR="00303ABA" w:rsidRPr="00AB422B" w:rsidRDefault="00303ABA" w:rsidP="006E2AAB">
            <w:pPr>
              <w:spacing w:line="360" w:lineRule="auto"/>
              <w:jc w:val="both"/>
              <w:rPr>
                <w:rFonts w:ascii="Times New Roman" w:hAnsi="Times New Roman" w:cs="Times New Roman"/>
                <w:sz w:val="24"/>
                <w:szCs w:val="24"/>
              </w:rPr>
            </w:pPr>
          </w:p>
        </w:tc>
        <w:tc>
          <w:tcPr>
            <w:tcW w:w="1267" w:type="dxa"/>
            <w:noWrap/>
            <w:hideMark/>
          </w:tcPr>
          <w:p w:rsidR="00303ABA" w:rsidRPr="00AB422B" w:rsidRDefault="00303ABA" w:rsidP="006E2AAB">
            <w:pPr>
              <w:spacing w:line="360" w:lineRule="auto"/>
              <w:jc w:val="both"/>
              <w:rPr>
                <w:rFonts w:ascii="Times New Roman" w:hAnsi="Times New Roman" w:cs="Times New Roman"/>
                <w:sz w:val="24"/>
                <w:szCs w:val="24"/>
              </w:rPr>
            </w:pPr>
          </w:p>
        </w:tc>
        <w:tc>
          <w:tcPr>
            <w:tcW w:w="1196" w:type="dxa"/>
          </w:tcPr>
          <w:p w:rsidR="00303ABA" w:rsidRPr="00AB422B" w:rsidRDefault="00303ABA" w:rsidP="006E2AAB">
            <w:pPr>
              <w:spacing w:line="360" w:lineRule="auto"/>
              <w:jc w:val="both"/>
              <w:rPr>
                <w:rFonts w:ascii="Times New Roman" w:hAnsi="Times New Roman" w:cs="Times New Roman"/>
                <w:sz w:val="24"/>
                <w:szCs w:val="24"/>
              </w:rPr>
            </w:pPr>
          </w:p>
        </w:tc>
      </w:tr>
      <w:tr w:rsidR="00303ABA" w:rsidRPr="00AB422B" w:rsidTr="006E2AAB">
        <w:trPr>
          <w:trHeight w:val="300"/>
        </w:trPr>
        <w:tc>
          <w:tcPr>
            <w:tcW w:w="1577" w:type="dxa"/>
            <w:vAlign w:val="bottom"/>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TESCO PLC</w:t>
            </w:r>
          </w:p>
        </w:tc>
        <w:tc>
          <w:tcPr>
            <w:tcW w:w="1942" w:type="dxa"/>
            <w:hideMark/>
          </w:tcPr>
          <w:p w:rsidR="00303ABA" w:rsidRPr="00AB422B" w:rsidRDefault="00303ABA" w:rsidP="006E2AAB">
            <w:pPr>
              <w:spacing w:line="360" w:lineRule="auto"/>
              <w:jc w:val="both"/>
              <w:rPr>
                <w:rFonts w:ascii="Times New Roman" w:hAnsi="Times New Roman" w:cs="Times New Roman"/>
                <w:sz w:val="24"/>
                <w:szCs w:val="24"/>
              </w:rPr>
            </w:pPr>
          </w:p>
        </w:tc>
        <w:tc>
          <w:tcPr>
            <w:tcW w:w="956" w:type="dxa"/>
            <w:vAlign w:val="bottom"/>
          </w:tcPr>
          <w:p w:rsidR="00303ABA" w:rsidRPr="00AB422B" w:rsidRDefault="00303ABA" w:rsidP="006E2AAB">
            <w:pPr>
              <w:spacing w:line="360" w:lineRule="auto"/>
              <w:jc w:val="both"/>
              <w:rPr>
                <w:rFonts w:ascii="Times New Roman" w:hAnsi="Times New Roman" w:cs="Times New Roman"/>
                <w:bCs/>
                <w:sz w:val="24"/>
                <w:szCs w:val="24"/>
              </w:rPr>
            </w:pPr>
            <w:r w:rsidRPr="00AB422B">
              <w:rPr>
                <w:rFonts w:ascii="Times New Roman" w:hAnsi="Times New Roman" w:cs="Times New Roman"/>
                <w:bCs/>
                <w:sz w:val="24"/>
                <w:szCs w:val="24"/>
              </w:rPr>
              <w:t>6.54</w:t>
            </w:r>
            <w:r w:rsidRPr="00AB422B">
              <w:rPr>
                <w:rFonts w:ascii="Times New Roman" w:hAnsi="Times New Roman" w:cs="Times New Roman"/>
                <w:sz w:val="24"/>
                <w:szCs w:val="24"/>
              </w:rPr>
              <w:t>%</w:t>
            </w:r>
          </w:p>
        </w:tc>
        <w:tc>
          <w:tcPr>
            <w:tcW w:w="956" w:type="dxa"/>
            <w:noWrap/>
            <w:vAlign w:val="bottom"/>
            <w:hideMark/>
          </w:tcPr>
          <w:p w:rsidR="00303ABA" w:rsidRPr="00AB422B" w:rsidRDefault="00303ABA" w:rsidP="006E2AAB">
            <w:pPr>
              <w:spacing w:line="360" w:lineRule="auto"/>
              <w:jc w:val="both"/>
              <w:rPr>
                <w:rFonts w:ascii="Times New Roman" w:hAnsi="Times New Roman" w:cs="Times New Roman"/>
                <w:bCs/>
                <w:sz w:val="24"/>
                <w:szCs w:val="24"/>
              </w:rPr>
            </w:pPr>
            <w:r w:rsidRPr="00AB422B">
              <w:rPr>
                <w:rFonts w:ascii="Times New Roman" w:hAnsi="Times New Roman" w:cs="Times New Roman"/>
                <w:bCs/>
                <w:sz w:val="24"/>
                <w:szCs w:val="24"/>
              </w:rPr>
              <w:t>3.76</w:t>
            </w:r>
            <w:r w:rsidRPr="00AB422B">
              <w:rPr>
                <w:rFonts w:ascii="Times New Roman" w:hAnsi="Times New Roman" w:cs="Times New Roman"/>
                <w:sz w:val="24"/>
                <w:szCs w:val="24"/>
              </w:rPr>
              <w:t>%</w:t>
            </w:r>
          </w:p>
        </w:tc>
        <w:tc>
          <w:tcPr>
            <w:tcW w:w="977" w:type="dxa"/>
            <w:noWrap/>
            <w:vAlign w:val="bottom"/>
            <w:hideMark/>
          </w:tcPr>
          <w:p w:rsidR="00303ABA" w:rsidRPr="00AB422B" w:rsidRDefault="00303ABA" w:rsidP="006E2AAB">
            <w:pPr>
              <w:spacing w:line="360" w:lineRule="auto"/>
              <w:jc w:val="both"/>
              <w:rPr>
                <w:rFonts w:ascii="Times New Roman" w:hAnsi="Times New Roman" w:cs="Times New Roman"/>
                <w:bCs/>
                <w:sz w:val="24"/>
                <w:szCs w:val="24"/>
              </w:rPr>
            </w:pPr>
            <w:r w:rsidRPr="00AB422B">
              <w:rPr>
                <w:rFonts w:ascii="Times New Roman" w:hAnsi="Times New Roman" w:cs="Times New Roman"/>
                <w:bCs/>
                <w:sz w:val="24"/>
                <w:szCs w:val="24"/>
              </w:rPr>
              <w:t>4.14</w:t>
            </w:r>
            <w:r w:rsidRPr="00AB422B">
              <w:rPr>
                <w:rFonts w:ascii="Times New Roman" w:hAnsi="Times New Roman" w:cs="Times New Roman"/>
                <w:sz w:val="24"/>
                <w:szCs w:val="24"/>
              </w:rPr>
              <w:t>%</w:t>
            </w:r>
          </w:p>
        </w:tc>
        <w:tc>
          <w:tcPr>
            <w:tcW w:w="1267" w:type="dxa"/>
            <w:noWrap/>
            <w:vAlign w:val="bottom"/>
            <w:hideMark/>
          </w:tcPr>
          <w:p w:rsidR="00303ABA" w:rsidRPr="00AB422B" w:rsidRDefault="00303ABA" w:rsidP="006E2AAB">
            <w:pPr>
              <w:spacing w:line="360" w:lineRule="auto"/>
              <w:jc w:val="both"/>
              <w:rPr>
                <w:rFonts w:ascii="Times New Roman" w:hAnsi="Times New Roman" w:cs="Times New Roman"/>
                <w:bCs/>
                <w:sz w:val="24"/>
                <w:szCs w:val="24"/>
              </w:rPr>
            </w:pPr>
            <w:r w:rsidRPr="00AB422B">
              <w:rPr>
                <w:rFonts w:ascii="Times New Roman" w:hAnsi="Times New Roman" w:cs="Times New Roman"/>
                <w:bCs/>
                <w:sz w:val="24"/>
                <w:szCs w:val="24"/>
              </w:rPr>
              <w:t>-9.30</w:t>
            </w:r>
            <w:r w:rsidRPr="00AB422B">
              <w:rPr>
                <w:rFonts w:ascii="Times New Roman" w:hAnsi="Times New Roman" w:cs="Times New Roman"/>
                <w:sz w:val="24"/>
                <w:szCs w:val="24"/>
              </w:rPr>
              <w:t>%</w:t>
            </w:r>
          </w:p>
        </w:tc>
        <w:tc>
          <w:tcPr>
            <w:tcW w:w="1196" w:type="dxa"/>
            <w:vAlign w:val="bottom"/>
          </w:tcPr>
          <w:p w:rsidR="00303ABA" w:rsidRPr="00AB422B" w:rsidRDefault="00303ABA" w:rsidP="006E2AAB">
            <w:pPr>
              <w:spacing w:line="360" w:lineRule="auto"/>
              <w:jc w:val="both"/>
              <w:rPr>
                <w:rFonts w:ascii="Times New Roman" w:hAnsi="Times New Roman" w:cs="Times New Roman"/>
                <w:bCs/>
                <w:sz w:val="24"/>
                <w:szCs w:val="24"/>
              </w:rPr>
            </w:pPr>
            <w:r w:rsidRPr="00AB422B">
              <w:rPr>
                <w:rFonts w:ascii="Times New Roman" w:hAnsi="Times New Roman" w:cs="Times New Roman"/>
                <w:bCs/>
                <w:sz w:val="24"/>
                <w:szCs w:val="24"/>
              </w:rPr>
              <w:t>1.99</w:t>
            </w:r>
            <w:r w:rsidRPr="00AB422B">
              <w:rPr>
                <w:rFonts w:ascii="Times New Roman" w:hAnsi="Times New Roman" w:cs="Times New Roman"/>
                <w:sz w:val="24"/>
                <w:szCs w:val="24"/>
              </w:rPr>
              <w:t>%</w:t>
            </w:r>
          </w:p>
        </w:tc>
      </w:tr>
      <w:tr w:rsidR="00096B2C" w:rsidRPr="00AB422B" w:rsidTr="006E2AAB">
        <w:trPr>
          <w:trHeight w:val="300"/>
        </w:trPr>
        <w:tc>
          <w:tcPr>
            <w:tcW w:w="8871" w:type="dxa"/>
            <w:gridSpan w:val="7"/>
            <w:hideMark/>
          </w:tcPr>
          <w:p w:rsidR="00096B2C" w:rsidRPr="00AB422B" w:rsidRDefault="00096B2C" w:rsidP="006E2AAB">
            <w:pPr>
              <w:spacing w:line="360" w:lineRule="auto"/>
              <w:jc w:val="center"/>
              <w:rPr>
                <w:rFonts w:ascii="Times New Roman" w:hAnsi="Times New Roman" w:cs="Times New Roman"/>
                <w:sz w:val="24"/>
                <w:szCs w:val="24"/>
              </w:rPr>
            </w:pPr>
            <w:r w:rsidRPr="00AB422B">
              <w:rPr>
                <w:rFonts w:ascii="Times New Roman" w:hAnsi="Times New Roman" w:cs="Times New Roman"/>
                <w:b/>
                <w:sz w:val="24"/>
                <w:szCs w:val="24"/>
              </w:rPr>
              <w:t>Efficiency ratio</w:t>
            </w:r>
          </w:p>
        </w:tc>
      </w:tr>
      <w:tr w:rsidR="00303ABA" w:rsidRPr="00AB422B" w:rsidTr="006E2AAB">
        <w:trPr>
          <w:trHeight w:val="1200"/>
        </w:trPr>
        <w:tc>
          <w:tcPr>
            <w:tcW w:w="1577" w:type="dxa"/>
            <w:hideMark/>
          </w:tcPr>
          <w:p w:rsidR="00303ABA" w:rsidRPr="00AB422B" w:rsidRDefault="00303ABA" w:rsidP="006E2AAB">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ROCE</w:t>
            </w:r>
          </w:p>
        </w:tc>
        <w:tc>
          <w:tcPr>
            <w:tcW w:w="1942" w:type="dxa"/>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EBIT / capital employed x 100</w:t>
            </w:r>
          </w:p>
        </w:tc>
        <w:tc>
          <w:tcPr>
            <w:tcW w:w="956" w:type="dxa"/>
          </w:tcPr>
          <w:p w:rsidR="00303ABA" w:rsidRPr="00AB422B" w:rsidRDefault="00303ABA" w:rsidP="006E2AAB">
            <w:pPr>
              <w:spacing w:line="360" w:lineRule="auto"/>
              <w:jc w:val="both"/>
              <w:rPr>
                <w:rFonts w:ascii="Times New Roman" w:hAnsi="Times New Roman" w:cs="Times New Roman"/>
                <w:sz w:val="24"/>
                <w:szCs w:val="24"/>
              </w:rPr>
            </w:pPr>
          </w:p>
        </w:tc>
        <w:tc>
          <w:tcPr>
            <w:tcW w:w="956"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77"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267"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196" w:type="dxa"/>
          </w:tcPr>
          <w:p w:rsidR="00303ABA" w:rsidRPr="00AB422B" w:rsidRDefault="00303ABA" w:rsidP="006E2AAB">
            <w:pPr>
              <w:spacing w:line="360" w:lineRule="auto"/>
              <w:jc w:val="both"/>
              <w:rPr>
                <w:rFonts w:ascii="Times New Roman" w:hAnsi="Times New Roman" w:cs="Times New Roman"/>
                <w:sz w:val="24"/>
                <w:szCs w:val="24"/>
              </w:rPr>
            </w:pPr>
          </w:p>
        </w:tc>
      </w:tr>
      <w:tr w:rsidR="00303ABA" w:rsidRPr="00AB422B" w:rsidTr="006E2AAB">
        <w:trPr>
          <w:trHeight w:val="300"/>
        </w:trPr>
        <w:tc>
          <w:tcPr>
            <w:tcW w:w="1577" w:type="dxa"/>
            <w:vAlign w:val="bottom"/>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TESCO PLC</w:t>
            </w:r>
          </w:p>
        </w:tc>
        <w:tc>
          <w:tcPr>
            <w:tcW w:w="1942" w:type="dxa"/>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15.17%</w:t>
            </w:r>
          </w:p>
        </w:tc>
        <w:tc>
          <w:tcPr>
            <w:tcW w:w="956"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8.22%</w:t>
            </w:r>
          </w:p>
        </w:tc>
        <w:tc>
          <w:tcPr>
            <w:tcW w:w="977"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11%</w:t>
            </w:r>
          </w:p>
        </w:tc>
        <w:tc>
          <w:tcPr>
            <w:tcW w:w="1267"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7.08%</w:t>
            </w:r>
          </w:p>
        </w:tc>
        <w:tc>
          <w:tcPr>
            <w:tcW w:w="1196" w:type="dxa"/>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8.01%</w:t>
            </w:r>
          </w:p>
        </w:tc>
      </w:tr>
      <w:tr w:rsidR="00303ABA" w:rsidRPr="00AB422B" w:rsidTr="006E2AAB">
        <w:trPr>
          <w:trHeight w:val="300"/>
        </w:trPr>
        <w:tc>
          <w:tcPr>
            <w:tcW w:w="1577" w:type="dxa"/>
            <w:hideMark/>
          </w:tcPr>
          <w:p w:rsidR="00303ABA" w:rsidRPr="00AB422B" w:rsidRDefault="00303ABA" w:rsidP="006E2AAB">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Total asset turnover  ratio</w:t>
            </w:r>
          </w:p>
        </w:tc>
        <w:tc>
          <w:tcPr>
            <w:tcW w:w="1942" w:type="dxa"/>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net sales or revenue/Total average asset</w:t>
            </w:r>
          </w:p>
        </w:tc>
        <w:tc>
          <w:tcPr>
            <w:tcW w:w="956" w:type="dxa"/>
          </w:tcPr>
          <w:p w:rsidR="00303ABA" w:rsidRPr="00AB422B" w:rsidRDefault="00303ABA" w:rsidP="006E2AAB">
            <w:pPr>
              <w:spacing w:line="360" w:lineRule="auto"/>
              <w:jc w:val="both"/>
              <w:rPr>
                <w:rFonts w:ascii="Times New Roman" w:hAnsi="Times New Roman" w:cs="Times New Roman"/>
                <w:sz w:val="24"/>
                <w:szCs w:val="24"/>
              </w:rPr>
            </w:pPr>
          </w:p>
        </w:tc>
        <w:tc>
          <w:tcPr>
            <w:tcW w:w="956" w:type="dxa"/>
            <w:noWrap/>
            <w:hideMark/>
          </w:tcPr>
          <w:p w:rsidR="00303ABA" w:rsidRPr="00AB422B" w:rsidRDefault="00303ABA" w:rsidP="006E2AAB">
            <w:pPr>
              <w:spacing w:line="360" w:lineRule="auto"/>
              <w:jc w:val="both"/>
              <w:rPr>
                <w:rFonts w:ascii="Times New Roman" w:hAnsi="Times New Roman" w:cs="Times New Roman"/>
                <w:sz w:val="24"/>
                <w:szCs w:val="24"/>
              </w:rPr>
            </w:pPr>
          </w:p>
        </w:tc>
        <w:tc>
          <w:tcPr>
            <w:tcW w:w="977" w:type="dxa"/>
            <w:noWrap/>
            <w:hideMark/>
          </w:tcPr>
          <w:p w:rsidR="00303ABA" w:rsidRPr="00AB422B" w:rsidRDefault="00303ABA" w:rsidP="006E2AAB">
            <w:pPr>
              <w:spacing w:line="360" w:lineRule="auto"/>
              <w:jc w:val="both"/>
              <w:rPr>
                <w:rFonts w:ascii="Times New Roman" w:hAnsi="Times New Roman" w:cs="Times New Roman"/>
                <w:sz w:val="24"/>
                <w:szCs w:val="24"/>
              </w:rPr>
            </w:pPr>
          </w:p>
        </w:tc>
        <w:tc>
          <w:tcPr>
            <w:tcW w:w="1267" w:type="dxa"/>
            <w:noWrap/>
            <w:hideMark/>
          </w:tcPr>
          <w:p w:rsidR="00303ABA" w:rsidRPr="00AB422B" w:rsidRDefault="00303ABA" w:rsidP="006E2AAB">
            <w:pPr>
              <w:spacing w:line="360" w:lineRule="auto"/>
              <w:jc w:val="both"/>
              <w:rPr>
                <w:rFonts w:ascii="Times New Roman" w:hAnsi="Times New Roman" w:cs="Times New Roman"/>
                <w:sz w:val="24"/>
                <w:szCs w:val="24"/>
              </w:rPr>
            </w:pPr>
          </w:p>
        </w:tc>
        <w:tc>
          <w:tcPr>
            <w:tcW w:w="1196" w:type="dxa"/>
          </w:tcPr>
          <w:p w:rsidR="00303ABA" w:rsidRPr="00AB422B" w:rsidRDefault="00303ABA" w:rsidP="006E2AAB">
            <w:pPr>
              <w:spacing w:line="360" w:lineRule="auto"/>
              <w:jc w:val="both"/>
              <w:rPr>
                <w:rFonts w:ascii="Times New Roman" w:hAnsi="Times New Roman" w:cs="Times New Roman"/>
                <w:sz w:val="24"/>
                <w:szCs w:val="24"/>
              </w:rPr>
            </w:pPr>
          </w:p>
        </w:tc>
      </w:tr>
      <w:tr w:rsidR="00EA6374" w:rsidRPr="00AB422B" w:rsidTr="006E2AAB">
        <w:trPr>
          <w:trHeight w:val="300"/>
        </w:trPr>
        <w:tc>
          <w:tcPr>
            <w:tcW w:w="1577" w:type="dxa"/>
            <w:vAlign w:val="bottom"/>
            <w:hideMark/>
          </w:tcPr>
          <w:p w:rsidR="00EA6374" w:rsidRPr="00AB422B" w:rsidRDefault="00EA6374"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TESCO PLC</w:t>
            </w:r>
          </w:p>
        </w:tc>
        <w:tc>
          <w:tcPr>
            <w:tcW w:w="1942" w:type="dxa"/>
            <w:hideMark/>
          </w:tcPr>
          <w:p w:rsidR="00EA6374" w:rsidRPr="00AB422B" w:rsidRDefault="00EA6374" w:rsidP="006E2AAB">
            <w:pPr>
              <w:spacing w:line="360" w:lineRule="auto"/>
              <w:jc w:val="both"/>
              <w:rPr>
                <w:rFonts w:ascii="Times New Roman" w:hAnsi="Times New Roman" w:cs="Times New Roman"/>
                <w:sz w:val="24"/>
                <w:szCs w:val="24"/>
              </w:rPr>
            </w:pPr>
          </w:p>
        </w:tc>
        <w:tc>
          <w:tcPr>
            <w:tcW w:w="956" w:type="dxa"/>
            <w:vAlign w:val="bottom"/>
          </w:tcPr>
          <w:p w:rsidR="00EA6374" w:rsidRPr="00AB422B" w:rsidRDefault="00EA6374" w:rsidP="006E2AAB">
            <w:pPr>
              <w:spacing w:line="360" w:lineRule="auto"/>
              <w:jc w:val="right"/>
              <w:rPr>
                <w:rFonts w:ascii="Times New Roman" w:hAnsi="Times New Roman" w:cs="Times New Roman"/>
                <w:sz w:val="24"/>
                <w:szCs w:val="24"/>
              </w:rPr>
            </w:pPr>
            <w:r w:rsidRPr="00AB422B">
              <w:rPr>
                <w:rFonts w:ascii="Times New Roman" w:hAnsi="Times New Roman" w:cs="Times New Roman"/>
                <w:sz w:val="24"/>
                <w:szCs w:val="24"/>
              </w:rPr>
              <w:t>1.32</w:t>
            </w:r>
          </w:p>
        </w:tc>
        <w:tc>
          <w:tcPr>
            <w:tcW w:w="956" w:type="dxa"/>
            <w:noWrap/>
            <w:vAlign w:val="bottom"/>
            <w:hideMark/>
          </w:tcPr>
          <w:p w:rsidR="00EA6374" w:rsidRPr="00AB422B" w:rsidRDefault="00EA6374" w:rsidP="006E2AAB">
            <w:pPr>
              <w:spacing w:line="360" w:lineRule="auto"/>
              <w:jc w:val="right"/>
              <w:rPr>
                <w:rFonts w:ascii="Times New Roman" w:hAnsi="Times New Roman" w:cs="Times New Roman"/>
                <w:sz w:val="24"/>
                <w:szCs w:val="24"/>
              </w:rPr>
            </w:pPr>
            <w:r w:rsidRPr="00AB422B">
              <w:rPr>
                <w:rFonts w:ascii="Times New Roman" w:hAnsi="Times New Roman" w:cs="Times New Roman"/>
                <w:sz w:val="24"/>
                <w:szCs w:val="24"/>
              </w:rPr>
              <w:t>1.28</w:t>
            </w:r>
          </w:p>
        </w:tc>
        <w:tc>
          <w:tcPr>
            <w:tcW w:w="977" w:type="dxa"/>
            <w:noWrap/>
            <w:vAlign w:val="bottom"/>
            <w:hideMark/>
          </w:tcPr>
          <w:p w:rsidR="00EA6374" w:rsidRPr="00AB422B" w:rsidRDefault="00EA6374" w:rsidP="006E2AAB">
            <w:pPr>
              <w:spacing w:line="360" w:lineRule="auto"/>
              <w:jc w:val="right"/>
              <w:rPr>
                <w:rFonts w:ascii="Times New Roman" w:hAnsi="Times New Roman" w:cs="Times New Roman"/>
                <w:sz w:val="24"/>
                <w:szCs w:val="24"/>
              </w:rPr>
            </w:pPr>
            <w:r w:rsidRPr="00AB422B">
              <w:rPr>
                <w:rFonts w:ascii="Times New Roman" w:hAnsi="Times New Roman" w:cs="Times New Roman"/>
                <w:sz w:val="24"/>
                <w:szCs w:val="24"/>
              </w:rPr>
              <w:t>1.27</w:t>
            </w:r>
          </w:p>
        </w:tc>
        <w:tc>
          <w:tcPr>
            <w:tcW w:w="1267" w:type="dxa"/>
            <w:noWrap/>
            <w:vAlign w:val="bottom"/>
            <w:hideMark/>
          </w:tcPr>
          <w:p w:rsidR="00EA6374" w:rsidRPr="00AB422B" w:rsidRDefault="00EA6374" w:rsidP="006E2AAB">
            <w:pPr>
              <w:spacing w:line="360" w:lineRule="auto"/>
              <w:jc w:val="right"/>
              <w:rPr>
                <w:rFonts w:ascii="Times New Roman" w:hAnsi="Times New Roman" w:cs="Times New Roman"/>
                <w:sz w:val="24"/>
                <w:szCs w:val="24"/>
              </w:rPr>
            </w:pPr>
            <w:r w:rsidRPr="00AB422B">
              <w:rPr>
                <w:rFonts w:ascii="Times New Roman" w:hAnsi="Times New Roman" w:cs="Times New Roman"/>
                <w:sz w:val="24"/>
                <w:szCs w:val="24"/>
              </w:rPr>
              <w:t>1.32</w:t>
            </w:r>
          </w:p>
        </w:tc>
        <w:tc>
          <w:tcPr>
            <w:tcW w:w="1196" w:type="dxa"/>
            <w:vAlign w:val="bottom"/>
          </w:tcPr>
          <w:p w:rsidR="00EA6374" w:rsidRPr="00AB422B" w:rsidRDefault="00EA6374" w:rsidP="006E2AAB">
            <w:pPr>
              <w:spacing w:line="360" w:lineRule="auto"/>
              <w:jc w:val="right"/>
              <w:rPr>
                <w:rFonts w:ascii="Times New Roman" w:hAnsi="Times New Roman" w:cs="Times New Roman"/>
                <w:sz w:val="24"/>
                <w:szCs w:val="24"/>
              </w:rPr>
            </w:pPr>
            <w:r w:rsidRPr="00AB422B">
              <w:rPr>
                <w:rFonts w:ascii="Times New Roman" w:hAnsi="Times New Roman" w:cs="Times New Roman"/>
                <w:sz w:val="24"/>
                <w:szCs w:val="24"/>
              </w:rPr>
              <w:t>1.24</w:t>
            </w:r>
          </w:p>
        </w:tc>
      </w:tr>
      <w:tr w:rsidR="00096B2C" w:rsidRPr="00AB422B" w:rsidTr="006E2AAB">
        <w:trPr>
          <w:trHeight w:val="300"/>
        </w:trPr>
        <w:tc>
          <w:tcPr>
            <w:tcW w:w="8871" w:type="dxa"/>
            <w:gridSpan w:val="7"/>
            <w:hideMark/>
          </w:tcPr>
          <w:p w:rsidR="00096B2C" w:rsidRPr="00AB422B" w:rsidRDefault="00096B2C" w:rsidP="006E2AAB">
            <w:pPr>
              <w:spacing w:line="360" w:lineRule="auto"/>
              <w:jc w:val="center"/>
              <w:rPr>
                <w:rFonts w:ascii="Times New Roman" w:hAnsi="Times New Roman" w:cs="Times New Roman"/>
                <w:b/>
                <w:bCs/>
                <w:sz w:val="24"/>
                <w:szCs w:val="24"/>
              </w:rPr>
            </w:pPr>
            <w:r w:rsidRPr="00AB422B">
              <w:rPr>
                <w:rFonts w:ascii="Times New Roman" w:hAnsi="Times New Roman" w:cs="Times New Roman"/>
                <w:b/>
                <w:bCs/>
                <w:sz w:val="24"/>
                <w:szCs w:val="24"/>
              </w:rPr>
              <w:t>Liquidity ratios</w:t>
            </w:r>
          </w:p>
        </w:tc>
      </w:tr>
      <w:tr w:rsidR="00303ABA" w:rsidRPr="00AB422B" w:rsidTr="006E2AAB">
        <w:trPr>
          <w:trHeight w:val="1200"/>
        </w:trPr>
        <w:tc>
          <w:tcPr>
            <w:tcW w:w="1577" w:type="dxa"/>
            <w:hideMark/>
          </w:tcPr>
          <w:p w:rsidR="00303ABA" w:rsidRPr="00AB422B" w:rsidRDefault="00303ABA" w:rsidP="006E2AAB">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lastRenderedPageBreak/>
              <w:t>Current ratio</w:t>
            </w:r>
          </w:p>
        </w:tc>
        <w:tc>
          <w:tcPr>
            <w:tcW w:w="1942" w:type="dxa"/>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Current assets / current liabilities</w:t>
            </w:r>
          </w:p>
        </w:tc>
        <w:tc>
          <w:tcPr>
            <w:tcW w:w="956" w:type="dxa"/>
          </w:tcPr>
          <w:p w:rsidR="00303ABA" w:rsidRPr="00AB422B" w:rsidRDefault="00303ABA" w:rsidP="006E2AAB">
            <w:pPr>
              <w:spacing w:line="360" w:lineRule="auto"/>
              <w:jc w:val="both"/>
              <w:rPr>
                <w:rFonts w:ascii="Times New Roman" w:hAnsi="Times New Roman" w:cs="Times New Roman"/>
                <w:sz w:val="24"/>
                <w:szCs w:val="24"/>
              </w:rPr>
            </w:pPr>
          </w:p>
        </w:tc>
        <w:tc>
          <w:tcPr>
            <w:tcW w:w="956"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77"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267"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196" w:type="dxa"/>
          </w:tcPr>
          <w:p w:rsidR="00303ABA" w:rsidRPr="00AB422B" w:rsidRDefault="00303ABA" w:rsidP="006E2AAB">
            <w:pPr>
              <w:spacing w:line="360" w:lineRule="auto"/>
              <w:jc w:val="both"/>
              <w:rPr>
                <w:rFonts w:ascii="Times New Roman" w:hAnsi="Times New Roman" w:cs="Times New Roman"/>
                <w:sz w:val="24"/>
                <w:szCs w:val="24"/>
              </w:rPr>
            </w:pPr>
          </w:p>
        </w:tc>
      </w:tr>
      <w:tr w:rsidR="00303ABA" w:rsidRPr="00AB422B" w:rsidTr="006E2AAB">
        <w:trPr>
          <w:trHeight w:val="300"/>
        </w:trPr>
        <w:tc>
          <w:tcPr>
            <w:tcW w:w="1577" w:type="dxa"/>
            <w:vAlign w:val="bottom"/>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TESCO PLC</w:t>
            </w:r>
          </w:p>
        </w:tc>
        <w:tc>
          <w:tcPr>
            <w:tcW w:w="1942" w:type="dxa"/>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0.67</w:t>
            </w:r>
          </w:p>
        </w:tc>
        <w:tc>
          <w:tcPr>
            <w:tcW w:w="956" w:type="dxa"/>
            <w:noWrap/>
            <w:vAlign w:val="bottom"/>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0.70</w:t>
            </w:r>
          </w:p>
        </w:tc>
        <w:tc>
          <w:tcPr>
            <w:tcW w:w="977" w:type="dxa"/>
            <w:noWrap/>
            <w:vAlign w:val="bottom"/>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0.77</w:t>
            </w:r>
          </w:p>
        </w:tc>
        <w:tc>
          <w:tcPr>
            <w:tcW w:w="1267" w:type="dxa"/>
            <w:noWrap/>
            <w:vAlign w:val="bottom"/>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0.60</w:t>
            </w:r>
          </w:p>
        </w:tc>
        <w:tc>
          <w:tcPr>
            <w:tcW w:w="1196" w:type="dxa"/>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0.75</w:t>
            </w:r>
          </w:p>
        </w:tc>
      </w:tr>
      <w:tr w:rsidR="00303ABA" w:rsidRPr="00AB422B" w:rsidTr="006E2AAB">
        <w:trPr>
          <w:trHeight w:val="1500"/>
        </w:trPr>
        <w:tc>
          <w:tcPr>
            <w:tcW w:w="1577" w:type="dxa"/>
            <w:hideMark/>
          </w:tcPr>
          <w:p w:rsidR="00303ABA" w:rsidRPr="00AB422B" w:rsidRDefault="00303ABA" w:rsidP="006E2AAB">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Quick ratio</w:t>
            </w:r>
          </w:p>
        </w:tc>
        <w:tc>
          <w:tcPr>
            <w:tcW w:w="1942" w:type="dxa"/>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(Current assets - inventories) / current liabilities</w:t>
            </w:r>
          </w:p>
        </w:tc>
        <w:tc>
          <w:tcPr>
            <w:tcW w:w="956" w:type="dxa"/>
          </w:tcPr>
          <w:p w:rsidR="00303ABA" w:rsidRPr="00AB422B" w:rsidRDefault="00303ABA" w:rsidP="006E2AAB">
            <w:pPr>
              <w:spacing w:line="360" w:lineRule="auto"/>
              <w:jc w:val="both"/>
              <w:rPr>
                <w:rFonts w:ascii="Times New Roman" w:hAnsi="Times New Roman" w:cs="Times New Roman"/>
                <w:sz w:val="24"/>
                <w:szCs w:val="24"/>
              </w:rPr>
            </w:pPr>
          </w:p>
        </w:tc>
        <w:tc>
          <w:tcPr>
            <w:tcW w:w="956"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77"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267" w:type="dxa"/>
            <w:noWrap/>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196" w:type="dxa"/>
          </w:tcPr>
          <w:p w:rsidR="00303ABA" w:rsidRPr="00AB422B" w:rsidRDefault="00303ABA" w:rsidP="006E2AAB">
            <w:pPr>
              <w:spacing w:line="360" w:lineRule="auto"/>
              <w:jc w:val="both"/>
              <w:rPr>
                <w:rFonts w:ascii="Times New Roman" w:hAnsi="Times New Roman" w:cs="Times New Roman"/>
                <w:sz w:val="24"/>
                <w:szCs w:val="24"/>
              </w:rPr>
            </w:pPr>
          </w:p>
        </w:tc>
      </w:tr>
      <w:tr w:rsidR="00303ABA" w:rsidRPr="00AB422B" w:rsidTr="006E2AAB">
        <w:trPr>
          <w:trHeight w:val="300"/>
        </w:trPr>
        <w:tc>
          <w:tcPr>
            <w:tcW w:w="1577" w:type="dxa"/>
            <w:vAlign w:val="bottom"/>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TESCO PLC</w:t>
            </w:r>
          </w:p>
        </w:tc>
        <w:tc>
          <w:tcPr>
            <w:tcW w:w="1942" w:type="dxa"/>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0.67</w:t>
            </w:r>
          </w:p>
        </w:tc>
        <w:tc>
          <w:tcPr>
            <w:tcW w:w="956" w:type="dxa"/>
            <w:noWrap/>
            <w:vAlign w:val="bottom"/>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0.5002</w:t>
            </w:r>
          </w:p>
        </w:tc>
        <w:tc>
          <w:tcPr>
            <w:tcW w:w="977" w:type="dxa"/>
            <w:noWrap/>
            <w:vAlign w:val="bottom"/>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0.5937</w:t>
            </w:r>
          </w:p>
        </w:tc>
        <w:tc>
          <w:tcPr>
            <w:tcW w:w="1267" w:type="dxa"/>
            <w:noWrap/>
            <w:vAlign w:val="bottom"/>
            <w:hideMark/>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0.4545</w:t>
            </w:r>
          </w:p>
        </w:tc>
        <w:tc>
          <w:tcPr>
            <w:tcW w:w="1196" w:type="dxa"/>
          </w:tcPr>
          <w:p w:rsidR="00303ABA" w:rsidRPr="00AB422B" w:rsidRDefault="00303ABA"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0.59</w:t>
            </w:r>
          </w:p>
        </w:tc>
      </w:tr>
      <w:tr w:rsidR="00096B2C" w:rsidRPr="00AB422B" w:rsidTr="006E2AAB">
        <w:trPr>
          <w:trHeight w:val="300"/>
        </w:trPr>
        <w:tc>
          <w:tcPr>
            <w:tcW w:w="8871" w:type="dxa"/>
            <w:gridSpan w:val="7"/>
            <w:hideMark/>
          </w:tcPr>
          <w:p w:rsidR="00096B2C" w:rsidRPr="00AB422B" w:rsidRDefault="00096B2C" w:rsidP="006E2AAB">
            <w:pPr>
              <w:spacing w:line="360" w:lineRule="auto"/>
              <w:jc w:val="center"/>
              <w:rPr>
                <w:rFonts w:ascii="Times New Roman" w:hAnsi="Times New Roman" w:cs="Times New Roman"/>
                <w:b/>
                <w:bCs/>
                <w:sz w:val="24"/>
                <w:szCs w:val="24"/>
              </w:rPr>
            </w:pPr>
            <w:r w:rsidRPr="00AB422B">
              <w:rPr>
                <w:rFonts w:ascii="Times New Roman" w:hAnsi="Times New Roman" w:cs="Times New Roman"/>
                <w:b/>
                <w:bCs/>
                <w:sz w:val="24"/>
                <w:szCs w:val="24"/>
              </w:rPr>
              <w:t>Gearing ratios</w:t>
            </w:r>
          </w:p>
        </w:tc>
      </w:tr>
      <w:tr w:rsidR="00AC27BB" w:rsidRPr="00AB422B" w:rsidTr="006E2AAB">
        <w:trPr>
          <w:trHeight w:val="300"/>
        </w:trPr>
        <w:tc>
          <w:tcPr>
            <w:tcW w:w="1577" w:type="dxa"/>
            <w:vAlign w:val="bottom"/>
            <w:hideMark/>
          </w:tcPr>
          <w:p w:rsidR="00AC27BB" w:rsidRPr="00AB422B" w:rsidRDefault="00EA6374" w:rsidP="006E2AAB">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Interest Coverage</w:t>
            </w:r>
          </w:p>
        </w:tc>
        <w:tc>
          <w:tcPr>
            <w:tcW w:w="1942" w:type="dxa"/>
            <w:hideMark/>
          </w:tcPr>
          <w:p w:rsidR="00AC27BB" w:rsidRPr="00AB422B" w:rsidRDefault="00AC27BB" w:rsidP="006E2AAB">
            <w:pPr>
              <w:spacing w:line="360" w:lineRule="auto"/>
              <w:jc w:val="both"/>
              <w:rPr>
                <w:rFonts w:ascii="Times New Roman" w:hAnsi="Times New Roman" w:cs="Times New Roman"/>
                <w:sz w:val="24"/>
                <w:szCs w:val="24"/>
              </w:rPr>
            </w:pPr>
          </w:p>
        </w:tc>
        <w:tc>
          <w:tcPr>
            <w:tcW w:w="956" w:type="dxa"/>
          </w:tcPr>
          <w:p w:rsidR="00AC27BB" w:rsidRPr="00AB422B" w:rsidRDefault="00AC27BB" w:rsidP="006E2AAB">
            <w:pPr>
              <w:spacing w:line="360" w:lineRule="auto"/>
              <w:jc w:val="both"/>
              <w:rPr>
                <w:rFonts w:ascii="Times New Roman" w:hAnsi="Times New Roman" w:cs="Times New Roman"/>
                <w:sz w:val="24"/>
                <w:szCs w:val="24"/>
              </w:rPr>
            </w:pPr>
          </w:p>
        </w:tc>
        <w:tc>
          <w:tcPr>
            <w:tcW w:w="956" w:type="dxa"/>
            <w:noWrap/>
            <w:hideMark/>
          </w:tcPr>
          <w:p w:rsidR="00AC27BB" w:rsidRPr="00AB422B" w:rsidRDefault="00AC27BB" w:rsidP="006E2AAB">
            <w:pPr>
              <w:spacing w:line="360" w:lineRule="auto"/>
              <w:jc w:val="both"/>
              <w:rPr>
                <w:rFonts w:ascii="Times New Roman" w:hAnsi="Times New Roman" w:cs="Times New Roman"/>
                <w:sz w:val="24"/>
                <w:szCs w:val="24"/>
              </w:rPr>
            </w:pPr>
          </w:p>
        </w:tc>
        <w:tc>
          <w:tcPr>
            <w:tcW w:w="977" w:type="dxa"/>
            <w:noWrap/>
            <w:hideMark/>
          </w:tcPr>
          <w:p w:rsidR="00AC27BB" w:rsidRPr="00AB422B" w:rsidRDefault="00AC27BB" w:rsidP="006E2AAB">
            <w:pPr>
              <w:spacing w:line="360" w:lineRule="auto"/>
              <w:jc w:val="both"/>
              <w:rPr>
                <w:rFonts w:ascii="Times New Roman" w:hAnsi="Times New Roman" w:cs="Times New Roman"/>
                <w:sz w:val="24"/>
                <w:szCs w:val="24"/>
              </w:rPr>
            </w:pPr>
          </w:p>
        </w:tc>
        <w:tc>
          <w:tcPr>
            <w:tcW w:w="1267" w:type="dxa"/>
            <w:noWrap/>
            <w:hideMark/>
          </w:tcPr>
          <w:p w:rsidR="00AC27BB" w:rsidRPr="00AB422B" w:rsidRDefault="00AC27BB" w:rsidP="006E2AAB">
            <w:pPr>
              <w:spacing w:line="360" w:lineRule="auto"/>
              <w:jc w:val="both"/>
              <w:rPr>
                <w:rFonts w:ascii="Times New Roman" w:hAnsi="Times New Roman" w:cs="Times New Roman"/>
                <w:sz w:val="24"/>
                <w:szCs w:val="24"/>
              </w:rPr>
            </w:pPr>
          </w:p>
        </w:tc>
        <w:tc>
          <w:tcPr>
            <w:tcW w:w="1196" w:type="dxa"/>
          </w:tcPr>
          <w:p w:rsidR="00AC27BB" w:rsidRPr="00AB422B" w:rsidRDefault="00AC27BB" w:rsidP="006E2AAB">
            <w:pPr>
              <w:spacing w:line="360" w:lineRule="auto"/>
              <w:jc w:val="both"/>
              <w:rPr>
                <w:rFonts w:ascii="Times New Roman" w:hAnsi="Times New Roman" w:cs="Times New Roman"/>
                <w:sz w:val="24"/>
                <w:szCs w:val="24"/>
              </w:rPr>
            </w:pPr>
          </w:p>
        </w:tc>
      </w:tr>
      <w:tr w:rsidR="00EA6374" w:rsidRPr="00AB422B" w:rsidTr="006E2AAB">
        <w:trPr>
          <w:trHeight w:val="300"/>
        </w:trPr>
        <w:tc>
          <w:tcPr>
            <w:tcW w:w="1577" w:type="dxa"/>
            <w:vAlign w:val="bottom"/>
            <w:hideMark/>
          </w:tcPr>
          <w:p w:rsidR="00EA6374" w:rsidRPr="00AB422B" w:rsidRDefault="00EA6374" w:rsidP="006E2AA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TESCO PLC</w:t>
            </w:r>
          </w:p>
        </w:tc>
        <w:tc>
          <w:tcPr>
            <w:tcW w:w="1942" w:type="dxa"/>
            <w:hideMark/>
          </w:tcPr>
          <w:p w:rsidR="00EA6374" w:rsidRPr="00AB422B" w:rsidRDefault="00EA6374" w:rsidP="006E2AAB">
            <w:pPr>
              <w:spacing w:line="360" w:lineRule="auto"/>
              <w:jc w:val="both"/>
              <w:rPr>
                <w:rFonts w:ascii="Times New Roman" w:hAnsi="Times New Roman" w:cs="Times New Roman"/>
                <w:sz w:val="24"/>
                <w:szCs w:val="24"/>
              </w:rPr>
            </w:pPr>
          </w:p>
        </w:tc>
        <w:tc>
          <w:tcPr>
            <w:tcW w:w="956" w:type="dxa"/>
          </w:tcPr>
          <w:p w:rsidR="00EA6374" w:rsidRPr="00AB422B" w:rsidRDefault="00EA6374" w:rsidP="006E2AAB">
            <w:pPr>
              <w:spacing w:line="360" w:lineRule="auto"/>
              <w:jc w:val="right"/>
              <w:rPr>
                <w:rFonts w:ascii="Times New Roman" w:hAnsi="Times New Roman" w:cs="Times New Roman"/>
                <w:sz w:val="24"/>
                <w:szCs w:val="24"/>
              </w:rPr>
            </w:pPr>
            <w:r w:rsidRPr="00AB422B">
              <w:rPr>
                <w:rFonts w:ascii="Times New Roman" w:hAnsi="Times New Roman" w:cs="Times New Roman"/>
                <w:sz w:val="24"/>
                <w:szCs w:val="24"/>
              </w:rPr>
              <w:t>10.2</w:t>
            </w:r>
          </w:p>
        </w:tc>
        <w:tc>
          <w:tcPr>
            <w:tcW w:w="956" w:type="dxa"/>
            <w:noWrap/>
            <w:hideMark/>
          </w:tcPr>
          <w:p w:rsidR="00EA6374" w:rsidRPr="00AB422B" w:rsidRDefault="00EA6374" w:rsidP="006E2AAB">
            <w:pPr>
              <w:spacing w:line="360" w:lineRule="auto"/>
              <w:jc w:val="right"/>
              <w:rPr>
                <w:rFonts w:ascii="Times New Roman" w:hAnsi="Times New Roman" w:cs="Times New Roman"/>
                <w:sz w:val="24"/>
                <w:szCs w:val="24"/>
              </w:rPr>
            </w:pPr>
            <w:r w:rsidRPr="00AB422B">
              <w:rPr>
                <w:rFonts w:ascii="Times New Roman" w:hAnsi="Times New Roman" w:cs="Times New Roman"/>
                <w:sz w:val="24"/>
                <w:szCs w:val="24"/>
              </w:rPr>
              <w:t>5.4</w:t>
            </w:r>
          </w:p>
        </w:tc>
        <w:tc>
          <w:tcPr>
            <w:tcW w:w="977" w:type="dxa"/>
            <w:noWrap/>
            <w:hideMark/>
          </w:tcPr>
          <w:p w:rsidR="00EA6374" w:rsidRPr="00AB422B" w:rsidRDefault="00EA6374" w:rsidP="006E2AAB">
            <w:pPr>
              <w:spacing w:line="360" w:lineRule="auto"/>
              <w:jc w:val="right"/>
              <w:rPr>
                <w:rFonts w:ascii="Times New Roman" w:hAnsi="Times New Roman" w:cs="Times New Roman"/>
                <w:sz w:val="24"/>
                <w:szCs w:val="24"/>
              </w:rPr>
            </w:pPr>
            <w:r w:rsidRPr="00AB422B">
              <w:rPr>
                <w:rFonts w:ascii="Times New Roman" w:hAnsi="Times New Roman" w:cs="Times New Roman"/>
                <w:sz w:val="24"/>
                <w:szCs w:val="24"/>
              </w:rPr>
              <w:t>6.05</w:t>
            </w:r>
          </w:p>
        </w:tc>
        <w:tc>
          <w:tcPr>
            <w:tcW w:w="1267" w:type="dxa"/>
            <w:noWrap/>
            <w:hideMark/>
          </w:tcPr>
          <w:p w:rsidR="00EA6374" w:rsidRPr="00AB422B" w:rsidRDefault="00EA6374" w:rsidP="006E2AAB">
            <w:pPr>
              <w:spacing w:line="360" w:lineRule="auto"/>
              <w:jc w:val="right"/>
              <w:rPr>
                <w:rFonts w:ascii="Times New Roman" w:hAnsi="Times New Roman" w:cs="Times New Roman"/>
                <w:sz w:val="24"/>
                <w:szCs w:val="24"/>
              </w:rPr>
            </w:pPr>
            <w:r w:rsidRPr="00AB422B">
              <w:rPr>
                <w:rFonts w:ascii="Times New Roman" w:hAnsi="Times New Roman" w:cs="Times New Roman"/>
                <w:sz w:val="24"/>
                <w:szCs w:val="24"/>
              </w:rPr>
              <w:t>-11.78</w:t>
            </w:r>
          </w:p>
        </w:tc>
        <w:tc>
          <w:tcPr>
            <w:tcW w:w="1196" w:type="dxa"/>
          </w:tcPr>
          <w:p w:rsidR="00EA6374" w:rsidRPr="00AB422B" w:rsidRDefault="00EA6374" w:rsidP="006E2AAB">
            <w:pPr>
              <w:spacing w:line="360" w:lineRule="auto"/>
              <w:jc w:val="right"/>
              <w:rPr>
                <w:rFonts w:ascii="Times New Roman" w:hAnsi="Times New Roman" w:cs="Times New Roman"/>
                <w:sz w:val="24"/>
                <w:szCs w:val="24"/>
              </w:rPr>
            </w:pPr>
            <w:r w:rsidRPr="00AB422B">
              <w:rPr>
                <w:rFonts w:ascii="Times New Roman" w:hAnsi="Times New Roman" w:cs="Times New Roman"/>
                <w:sz w:val="24"/>
                <w:szCs w:val="24"/>
              </w:rPr>
              <w:t>1.33</w:t>
            </w:r>
          </w:p>
        </w:tc>
      </w:tr>
    </w:tbl>
    <w:p w:rsidR="00303ABA" w:rsidRPr="00AB422B" w:rsidRDefault="00303ABA" w:rsidP="006142E5">
      <w:pPr>
        <w:spacing w:line="360" w:lineRule="auto"/>
        <w:jc w:val="both"/>
        <w:rPr>
          <w:rFonts w:ascii="Times New Roman" w:hAnsi="Times New Roman" w:cs="Times New Roman"/>
          <w:sz w:val="24"/>
          <w:szCs w:val="24"/>
        </w:rPr>
      </w:pPr>
    </w:p>
    <w:p w:rsidR="006142E5" w:rsidRPr="00AB422B" w:rsidRDefault="007A51A5" w:rsidP="00A95A5B">
      <w:pPr>
        <w:pStyle w:val="Heading3"/>
        <w:rPr>
          <w:color w:val="auto"/>
        </w:rPr>
      </w:pPr>
      <w:bookmarkStart w:id="5" w:name="_Toc502257261"/>
      <w:r w:rsidRPr="00AB422B">
        <w:rPr>
          <w:color w:val="auto"/>
        </w:rPr>
        <w:t xml:space="preserve">2.2 </w:t>
      </w:r>
      <w:r w:rsidR="006142E5" w:rsidRPr="00AB422B">
        <w:rPr>
          <w:color w:val="auto"/>
        </w:rPr>
        <w:t>Analysis of ratios</w:t>
      </w:r>
      <w:bookmarkEnd w:id="5"/>
      <w:r w:rsidR="006142E5" w:rsidRPr="00AB422B">
        <w:rPr>
          <w:color w:val="auto"/>
        </w:rPr>
        <w:t xml:space="preserve"> </w:t>
      </w:r>
    </w:p>
    <w:p w:rsidR="00CE04AB" w:rsidRPr="00AB422B" w:rsidRDefault="00CE04AB" w:rsidP="00A95A5B">
      <w:pPr>
        <w:pStyle w:val="Heading4"/>
        <w:rPr>
          <w:color w:val="auto"/>
        </w:rPr>
      </w:pPr>
      <w:r w:rsidRPr="00AB422B">
        <w:rPr>
          <w:color w:val="auto"/>
        </w:rPr>
        <w:t>2.2.0 Financial ratios</w:t>
      </w:r>
    </w:p>
    <w:p w:rsidR="00AB1619" w:rsidRPr="00AB422B" w:rsidRDefault="00AB1619"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This section is mainly divided into five </w:t>
      </w:r>
      <w:r w:rsidR="00096834" w:rsidRPr="00AB422B">
        <w:rPr>
          <w:rFonts w:ascii="Times New Roman" w:hAnsi="Times New Roman" w:cs="Times New Roman"/>
          <w:sz w:val="24"/>
          <w:szCs w:val="24"/>
        </w:rPr>
        <w:t>subsections</w:t>
      </w:r>
      <w:r w:rsidRPr="00AB422B">
        <w:rPr>
          <w:rFonts w:ascii="Times New Roman" w:hAnsi="Times New Roman" w:cs="Times New Roman"/>
          <w:sz w:val="24"/>
          <w:szCs w:val="24"/>
        </w:rPr>
        <w:t xml:space="preserve"> </w:t>
      </w:r>
      <w:r w:rsidR="00096834" w:rsidRPr="00AB422B">
        <w:rPr>
          <w:rFonts w:ascii="Times New Roman" w:hAnsi="Times New Roman" w:cs="Times New Roman"/>
          <w:sz w:val="24"/>
          <w:szCs w:val="24"/>
        </w:rPr>
        <w:t xml:space="preserve">covering the financial analysis of Tesco plc, earlier stated at the introduction. In this section critical analysis and evaluation of the Tesco plc performance is done and furthermore it is supported by </w:t>
      </w:r>
      <w:r w:rsidR="00083D6E" w:rsidRPr="00AB422B">
        <w:rPr>
          <w:rFonts w:ascii="Times New Roman" w:hAnsi="Times New Roman" w:cs="Times New Roman"/>
          <w:sz w:val="24"/>
          <w:szCs w:val="24"/>
        </w:rPr>
        <w:t>tabular and graphical presentation of the findings ratios</w:t>
      </w:r>
      <w:r w:rsidR="005B377E" w:rsidRPr="00AB422B">
        <w:t xml:space="preserve"> (</w:t>
      </w:r>
      <w:proofErr w:type="spellStart"/>
      <w:r w:rsidR="005B377E" w:rsidRPr="00AB422B">
        <w:rPr>
          <w:rFonts w:ascii="Times New Roman" w:hAnsi="Times New Roman" w:cs="Times New Roman"/>
          <w:sz w:val="24"/>
          <w:szCs w:val="24"/>
        </w:rPr>
        <w:t>Downes</w:t>
      </w:r>
      <w:proofErr w:type="spellEnd"/>
      <w:r w:rsidR="005B377E" w:rsidRPr="00AB422B">
        <w:rPr>
          <w:rFonts w:ascii="Times New Roman" w:hAnsi="Times New Roman" w:cs="Times New Roman"/>
          <w:sz w:val="24"/>
          <w:szCs w:val="24"/>
        </w:rPr>
        <w:t>, J. and Goodman, 2009)</w:t>
      </w:r>
      <w:r w:rsidR="00083D6E" w:rsidRPr="00AB422B">
        <w:rPr>
          <w:rFonts w:ascii="Times New Roman" w:hAnsi="Times New Roman" w:cs="Times New Roman"/>
          <w:sz w:val="24"/>
          <w:szCs w:val="24"/>
        </w:rPr>
        <w:t xml:space="preserve">. </w:t>
      </w:r>
      <w:r w:rsidR="00096834" w:rsidRPr="00AB422B">
        <w:rPr>
          <w:rFonts w:ascii="Times New Roman" w:hAnsi="Times New Roman" w:cs="Times New Roman"/>
          <w:sz w:val="24"/>
          <w:szCs w:val="24"/>
        </w:rPr>
        <w:t xml:space="preserve">   </w:t>
      </w:r>
    </w:p>
    <w:p w:rsidR="00CE04AB" w:rsidRPr="00AB422B" w:rsidRDefault="00CE04AB" w:rsidP="00A95A5B">
      <w:pPr>
        <w:pStyle w:val="Heading4"/>
        <w:rPr>
          <w:color w:val="auto"/>
        </w:rPr>
      </w:pPr>
      <w:r w:rsidRPr="00AB422B">
        <w:rPr>
          <w:color w:val="auto"/>
        </w:rPr>
        <w:t xml:space="preserve">2.2.1 Profitability ratios </w:t>
      </w:r>
    </w:p>
    <w:p w:rsidR="00291360" w:rsidRPr="00AB422B" w:rsidRDefault="00DA4348"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The objective of the profitability ratios is to measure and determine Tesco plc overall performance and efficiency with regards to depositor’s wealth maximization. Efficiency and performance is evident by the organization’s capability to translate sales revenues after absorbing expenses at different stages of operations performance (using assets and capital). Ratios employed here include gross profit margin, operating margin and net profit margin. The better and positive results of ratios are most profitable </w:t>
      </w:r>
      <w:r w:rsidR="00017685" w:rsidRPr="00AB422B">
        <w:rPr>
          <w:rFonts w:ascii="Times New Roman" w:hAnsi="Times New Roman" w:cs="Times New Roman"/>
          <w:sz w:val="24"/>
          <w:szCs w:val="24"/>
        </w:rPr>
        <w:t xml:space="preserve">for Tesco plc appears best for investor.   </w:t>
      </w:r>
      <w:r w:rsidRPr="00AB422B">
        <w:rPr>
          <w:rFonts w:ascii="Times New Roman" w:hAnsi="Times New Roman" w:cs="Times New Roman"/>
          <w:sz w:val="24"/>
          <w:szCs w:val="24"/>
        </w:rPr>
        <w:t xml:space="preserve">          </w:t>
      </w:r>
    </w:p>
    <w:p w:rsidR="00083D6E" w:rsidRPr="00AB422B" w:rsidRDefault="00B70A66" w:rsidP="006142E5">
      <w:pPr>
        <w:spacing w:line="360" w:lineRule="auto"/>
        <w:jc w:val="both"/>
        <w:rPr>
          <w:rFonts w:ascii="Times New Roman" w:hAnsi="Times New Roman" w:cs="Times New Roman"/>
          <w:sz w:val="24"/>
          <w:szCs w:val="24"/>
        </w:rPr>
      </w:pPr>
      <w:r w:rsidRPr="00AB422B">
        <w:rPr>
          <w:rFonts w:ascii="Times New Roman" w:hAnsi="Times New Roman" w:cs="Times New Roman"/>
          <w:noProof/>
          <w:sz w:val="24"/>
          <w:szCs w:val="24"/>
          <w:lang w:val="en-IN" w:eastAsia="en-IN"/>
        </w:rPr>
        <w:lastRenderedPageBreak/>
        <w:drawing>
          <wp:inline distT="0" distB="0" distL="0" distR="0">
            <wp:extent cx="4572000" cy="2743200"/>
            <wp:effectExtent l="19050" t="0" r="19050" b="0"/>
            <wp:docPr id="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7025F" w:rsidRPr="00AB422B" w:rsidRDefault="00E7025F" w:rsidP="006142E5">
      <w:pPr>
        <w:spacing w:line="360" w:lineRule="auto"/>
        <w:jc w:val="both"/>
        <w:rPr>
          <w:rFonts w:ascii="Times New Roman" w:hAnsi="Times New Roman" w:cs="Times New Roman"/>
          <w:b/>
          <w:i/>
          <w:sz w:val="24"/>
          <w:szCs w:val="24"/>
        </w:rPr>
      </w:pPr>
      <w:r w:rsidRPr="00AB422B">
        <w:rPr>
          <w:rFonts w:ascii="Times New Roman" w:hAnsi="Times New Roman" w:cs="Times New Roman"/>
          <w:b/>
          <w:i/>
          <w:sz w:val="24"/>
          <w:szCs w:val="24"/>
        </w:rPr>
        <w:t>Fig</w:t>
      </w:r>
      <w:r w:rsidR="00AB50F6" w:rsidRPr="00AB422B">
        <w:rPr>
          <w:rFonts w:ascii="Times New Roman" w:hAnsi="Times New Roman" w:cs="Times New Roman"/>
          <w:b/>
          <w:i/>
          <w:sz w:val="24"/>
          <w:szCs w:val="24"/>
        </w:rPr>
        <w:t>2.</w:t>
      </w:r>
      <w:r w:rsidRPr="00AB422B">
        <w:rPr>
          <w:rFonts w:ascii="Times New Roman" w:hAnsi="Times New Roman" w:cs="Times New Roman"/>
          <w:b/>
          <w:i/>
          <w:sz w:val="24"/>
          <w:szCs w:val="24"/>
        </w:rPr>
        <w:t xml:space="preserve">1: profatilbity ratios  </w:t>
      </w:r>
    </w:p>
    <w:p w:rsidR="00017685" w:rsidRPr="00AB422B" w:rsidRDefault="00017685" w:rsidP="00F86457">
      <w:pPr>
        <w:pStyle w:val="Heading4"/>
        <w:rPr>
          <w:color w:val="auto"/>
        </w:rPr>
      </w:pPr>
      <w:r w:rsidRPr="00AB422B">
        <w:rPr>
          <w:color w:val="auto"/>
        </w:rPr>
        <w:t xml:space="preserve">Gross profits margin:-  </w:t>
      </w:r>
    </w:p>
    <w:p w:rsidR="00643EEF" w:rsidRPr="00AB422B" w:rsidRDefault="00A124FB"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Gross profit margin of the company shows that an organization earns per pound of total net sales. At the year end 2016/17, Tesco plc had a gross profit margin is 5.26%; which indicates that </w:t>
      </w:r>
      <w:r w:rsidR="00B8414E" w:rsidRPr="00AB422B">
        <w:rPr>
          <w:rFonts w:ascii="Times New Roman" w:hAnsi="Times New Roman" w:cs="Times New Roman"/>
          <w:sz w:val="24"/>
          <w:szCs w:val="24"/>
        </w:rPr>
        <w:t xml:space="preserve">it made a gross profits of </w:t>
      </w:r>
      <w:r w:rsidR="00B8414E" w:rsidRPr="00AB422B">
        <w:rPr>
          <w:rFonts w:ascii="Calibri" w:hAnsi="Calibri" w:cs="Times New Roman"/>
          <w:sz w:val="24"/>
          <w:szCs w:val="24"/>
        </w:rPr>
        <w:t>£</w:t>
      </w:r>
      <w:r w:rsidR="00B8414E" w:rsidRPr="00AB422B">
        <w:rPr>
          <w:rFonts w:ascii="Times New Roman" w:hAnsi="Times New Roman" w:cs="Times New Roman"/>
          <w:sz w:val="24"/>
          <w:szCs w:val="24"/>
        </w:rPr>
        <w:t>0.0526 for each pound of net revenues. This reveals that company performance in terms of revenues is well in year of 2016. The findings also indicate that company generating adequate earnings to cover for extra expenses</w:t>
      </w:r>
      <w:r w:rsidR="005B377E" w:rsidRPr="00AB422B">
        <w:rPr>
          <w:rFonts w:ascii="Times New Roman" w:hAnsi="Times New Roman" w:cs="Times New Roman"/>
          <w:sz w:val="24"/>
          <w:szCs w:val="24"/>
        </w:rPr>
        <w:t xml:space="preserve"> (</w:t>
      </w:r>
      <w:proofErr w:type="spellStart"/>
      <w:r w:rsidR="005B377E" w:rsidRPr="00AB422B">
        <w:rPr>
          <w:rFonts w:ascii="Times New Roman" w:hAnsi="Times New Roman" w:cs="Times New Roman"/>
          <w:sz w:val="24"/>
          <w:szCs w:val="24"/>
        </w:rPr>
        <w:t>Downes</w:t>
      </w:r>
      <w:proofErr w:type="spellEnd"/>
      <w:r w:rsidR="005B377E" w:rsidRPr="00AB422B">
        <w:rPr>
          <w:rFonts w:ascii="Times New Roman" w:hAnsi="Times New Roman" w:cs="Times New Roman"/>
          <w:sz w:val="24"/>
          <w:szCs w:val="24"/>
        </w:rPr>
        <w:t>, and Goodman, 2009)</w:t>
      </w:r>
      <w:r w:rsidR="00B8414E" w:rsidRPr="00AB422B">
        <w:rPr>
          <w:rFonts w:ascii="Times New Roman" w:hAnsi="Times New Roman" w:cs="Times New Roman"/>
          <w:sz w:val="24"/>
          <w:szCs w:val="24"/>
        </w:rPr>
        <w:t xml:space="preserve">.  The above </w:t>
      </w:r>
      <w:r w:rsidR="00643EEF" w:rsidRPr="00AB422B">
        <w:rPr>
          <w:rFonts w:ascii="Times New Roman" w:hAnsi="Times New Roman" w:cs="Times New Roman"/>
          <w:sz w:val="24"/>
          <w:szCs w:val="24"/>
        </w:rPr>
        <w:t>graph</w:t>
      </w:r>
      <w:r w:rsidR="00B8414E" w:rsidRPr="00AB422B">
        <w:rPr>
          <w:rFonts w:ascii="Times New Roman" w:hAnsi="Times New Roman" w:cs="Times New Roman"/>
          <w:sz w:val="24"/>
          <w:szCs w:val="24"/>
        </w:rPr>
        <w:t xml:space="preserve"> indicates that company gross profits margin was </w:t>
      </w:r>
      <w:r w:rsidR="003B75B1" w:rsidRPr="00AB422B">
        <w:rPr>
          <w:rFonts w:ascii="Times New Roman" w:hAnsi="Times New Roman" w:cs="Times New Roman"/>
          <w:sz w:val="24"/>
          <w:szCs w:val="24"/>
        </w:rPr>
        <w:t>6.02%, 6.55% in year of FY2012 and FY 2013</w:t>
      </w:r>
      <w:r w:rsidR="00643EEF" w:rsidRPr="00AB422B">
        <w:rPr>
          <w:rFonts w:ascii="Times New Roman" w:hAnsi="Times New Roman" w:cs="Times New Roman"/>
          <w:sz w:val="24"/>
          <w:szCs w:val="24"/>
        </w:rPr>
        <w:t xml:space="preserve">, the trend indicates that profitability of Tesco plc increased throughout the period 2012 to 2013. </w:t>
      </w:r>
      <w:r w:rsidR="00303703" w:rsidRPr="00AB422B">
        <w:rPr>
          <w:rFonts w:ascii="Times New Roman" w:hAnsi="Times New Roman" w:cs="Times New Roman"/>
          <w:sz w:val="24"/>
          <w:szCs w:val="24"/>
        </w:rPr>
        <w:t xml:space="preserve">The observation shows that </w:t>
      </w:r>
      <w:r w:rsidR="00F37101" w:rsidRPr="00AB422B">
        <w:rPr>
          <w:rFonts w:ascii="Times New Roman" w:hAnsi="Times New Roman" w:cs="Times New Roman"/>
          <w:sz w:val="24"/>
          <w:szCs w:val="24"/>
        </w:rPr>
        <w:t>organization maintains</w:t>
      </w:r>
      <w:r w:rsidR="00303703" w:rsidRPr="00AB422B">
        <w:rPr>
          <w:rFonts w:ascii="Times New Roman" w:hAnsi="Times New Roman" w:cs="Times New Roman"/>
          <w:sz w:val="24"/>
          <w:szCs w:val="24"/>
        </w:rPr>
        <w:t xml:space="preserve"> its gross profit margin</w:t>
      </w:r>
      <w:r w:rsidR="00F37101" w:rsidRPr="00AB422B">
        <w:rPr>
          <w:rFonts w:ascii="Times New Roman" w:hAnsi="Times New Roman" w:cs="Times New Roman"/>
          <w:sz w:val="24"/>
          <w:szCs w:val="24"/>
        </w:rPr>
        <w:t xml:space="preserve"> at rate above than 5% during 2016; which signifies that company performance in terms of sales is better. </w:t>
      </w:r>
      <w:r w:rsidR="00885932" w:rsidRPr="00AB422B">
        <w:rPr>
          <w:rFonts w:ascii="Times New Roman" w:hAnsi="Times New Roman" w:cs="Times New Roman"/>
          <w:sz w:val="24"/>
          <w:szCs w:val="24"/>
        </w:rPr>
        <w:t xml:space="preserve">The increase in the gross profit margin also indicates that consumers are mostly prefers large supermarket such as Tesco where they </w:t>
      </w:r>
      <w:r w:rsidR="00A66B7D" w:rsidRPr="00AB422B">
        <w:rPr>
          <w:rFonts w:ascii="Times New Roman" w:hAnsi="Times New Roman" w:cs="Times New Roman"/>
          <w:sz w:val="24"/>
          <w:szCs w:val="24"/>
        </w:rPr>
        <w:t xml:space="preserve">could </w:t>
      </w:r>
      <w:r w:rsidR="00885932" w:rsidRPr="00AB422B">
        <w:rPr>
          <w:rFonts w:ascii="Times New Roman" w:hAnsi="Times New Roman" w:cs="Times New Roman"/>
          <w:sz w:val="24"/>
          <w:szCs w:val="24"/>
        </w:rPr>
        <w:t xml:space="preserve"> purchase for all their requirements and needs</w:t>
      </w:r>
      <w:r w:rsidR="00532040" w:rsidRPr="00AB422B">
        <w:rPr>
          <w:rFonts w:ascii="Times New Roman" w:hAnsi="Times New Roman" w:cs="Times New Roman"/>
          <w:sz w:val="24"/>
          <w:szCs w:val="24"/>
        </w:rPr>
        <w:t xml:space="preserve"> or prefer electronic copy to hard copy via mobile or online based application they </w:t>
      </w:r>
      <w:r w:rsidR="00A66B7D" w:rsidRPr="00AB422B">
        <w:rPr>
          <w:rFonts w:ascii="Times New Roman" w:hAnsi="Times New Roman" w:cs="Times New Roman"/>
          <w:sz w:val="24"/>
          <w:szCs w:val="24"/>
        </w:rPr>
        <w:t xml:space="preserve">could </w:t>
      </w:r>
      <w:r w:rsidR="00532040" w:rsidRPr="00AB422B">
        <w:rPr>
          <w:rFonts w:ascii="Times New Roman" w:hAnsi="Times New Roman" w:cs="Times New Roman"/>
          <w:sz w:val="24"/>
          <w:szCs w:val="24"/>
        </w:rPr>
        <w:t xml:space="preserve"> </w:t>
      </w:r>
      <w:r w:rsidR="003A3665" w:rsidRPr="00AB422B">
        <w:rPr>
          <w:rFonts w:ascii="Times New Roman" w:hAnsi="Times New Roman" w:cs="Times New Roman"/>
          <w:sz w:val="24"/>
          <w:szCs w:val="24"/>
        </w:rPr>
        <w:t xml:space="preserve">subscribe and download to on their derives for ease.       </w:t>
      </w:r>
    </w:p>
    <w:p w:rsidR="00926521" w:rsidRPr="00AB422B" w:rsidRDefault="00926521"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In order to improve the performance in better manner it is recommended that the management of the organization Tesco needs to implement better policy strategies such as minimize excessive packaging of their products, </w:t>
      </w:r>
      <w:r w:rsidR="00EF0FB3" w:rsidRPr="00AB422B">
        <w:rPr>
          <w:rFonts w:ascii="Times New Roman" w:hAnsi="Times New Roman" w:cs="Times New Roman"/>
          <w:sz w:val="24"/>
          <w:szCs w:val="24"/>
        </w:rPr>
        <w:t xml:space="preserve">offering quality of services and goods. Offering quality of goods </w:t>
      </w:r>
      <w:r w:rsidR="00EF0FB3" w:rsidRPr="00AB422B">
        <w:rPr>
          <w:rFonts w:ascii="Times New Roman" w:hAnsi="Times New Roman" w:cs="Times New Roman"/>
          <w:sz w:val="24"/>
          <w:szCs w:val="24"/>
        </w:rPr>
        <w:lastRenderedPageBreak/>
        <w:t xml:space="preserve">with best price avoid potential loss of consumers which may lead to </w:t>
      </w:r>
      <w:r w:rsidR="008D0C16" w:rsidRPr="00AB422B">
        <w:rPr>
          <w:rFonts w:ascii="Times New Roman" w:hAnsi="Times New Roman" w:cs="Times New Roman"/>
          <w:sz w:val="24"/>
          <w:szCs w:val="24"/>
        </w:rPr>
        <w:t xml:space="preserve">litigation and increases the profits in successful manner.   </w:t>
      </w:r>
      <w:r w:rsidR="00EF0FB3" w:rsidRPr="00AB422B">
        <w:rPr>
          <w:rFonts w:ascii="Times New Roman" w:hAnsi="Times New Roman" w:cs="Times New Roman"/>
          <w:sz w:val="24"/>
          <w:szCs w:val="24"/>
        </w:rPr>
        <w:t xml:space="preserve">    </w:t>
      </w:r>
      <w:r w:rsidRPr="00AB422B">
        <w:rPr>
          <w:rFonts w:ascii="Times New Roman" w:hAnsi="Times New Roman" w:cs="Times New Roman"/>
          <w:sz w:val="24"/>
          <w:szCs w:val="24"/>
        </w:rPr>
        <w:t xml:space="preserve">    </w:t>
      </w:r>
    </w:p>
    <w:p w:rsidR="00A465D6" w:rsidRPr="00AB422B" w:rsidRDefault="00A465D6" w:rsidP="00F86457">
      <w:pPr>
        <w:pStyle w:val="Heading4"/>
        <w:rPr>
          <w:color w:val="auto"/>
        </w:rPr>
      </w:pPr>
      <w:r w:rsidRPr="00AB422B">
        <w:rPr>
          <w:color w:val="auto"/>
        </w:rPr>
        <w:t xml:space="preserve">Operating profits margin </w:t>
      </w:r>
    </w:p>
    <w:p w:rsidR="00A465D6" w:rsidRPr="00AB422B" w:rsidRDefault="00A465D6"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Opening profit margin helps the organization to measure in percentage regarding how much of each pound of sales of Tesco plc actually achieve as net profits after considering distribution as well as administration from gross profits. </w:t>
      </w:r>
    </w:p>
    <w:p w:rsidR="008D0C16" w:rsidRPr="00AB422B" w:rsidRDefault="002568CB"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The performance of the operating profits margin has shown slightly changes from FY2012 to FY2014. In the year of FY 2015 performance of the organization in declined by (9.3%) that indicates that the company is not performing well in that year. Moreover Tesco’s operating profits in the year of 2015 was (9.3%) which is mainly implies that it made an operating loss of approximately £0.093 per pound of entire sales.</w:t>
      </w:r>
      <w:r w:rsidRPr="00AB422B">
        <w:rPr>
          <w:rFonts w:ascii="Calibri" w:hAnsi="Calibri" w:cs="Times New Roman"/>
          <w:sz w:val="24"/>
          <w:szCs w:val="24"/>
        </w:rPr>
        <w:t xml:space="preserve"> </w:t>
      </w:r>
      <w:r w:rsidRPr="00AB422B">
        <w:rPr>
          <w:rFonts w:ascii="Times New Roman" w:hAnsi="Times New Roman" w:cs="Times New Roman"/>
          <w:sz w:val="24"/>
          <w:szCs w:val="24"/>
        </w:rPr>
        <w:t xml:space="preserve">On the other hand, the performance of Tesco Plc. is positive by 1.99% in the year 2016; which signified that company is performing well in year of 2016 as compared to 2015. Moreover the outcome indicates that Tesco plc. Appears at a better market position given its overall operating margins; To add, introducing online presence may also benefit Tesco’s operating profits margin by helping them to capitalize on the lower overheads involved </w:t>
      </w:r>
      <w:r w:rsidR="00F10700" w:rsidRPr="00AB422B">
        <w:rPr>
          <w:rFonts w:ascii="Times New Roman" w:hAnsi="Times New Roman" w:cs="Times New Roman"/>
          <w:sz w:val="24"/>
          <w:szCs w:val="24"/>
        </w:rPr>
        <w:t>(</w:t>
      </w:r>
      <w:proofErr w:type="spellStart"/>
      <w:r w:rsidR="00F10700" w:rsidRPr="00AB422B">
        <w:rPr>
          <w:rFonts w:ascii="Times New Roman" w:hAnsi="Times New Roman" w:cs="Times New Roman"/>
          <w:sz w:val="24"/>
          <w:szCs w:val="24"/>
        </w:rPr>
        <w:t>Horrigan</w:t>
      </w:r>
      <w:proofErr w:type="spellEnd"/>
      <w:r w:rsidR="00F10700" w:rsidRPr="00AB422B">
        <w:rPr>
          <w:rFonts w:ascii="Times New Roman" w:hAnsi="Times New Roman" w:cs="Times New Roman"/>
          <w:sz w:val="24"/>
          <w:szCs w:val="24"/>
        </w:rPr>
        <w:t>, 2012)</w:t>
      </w:r>
      <w:r w:rsidR="00816E61" w:rsidRPr="00AB422B">
        <w:rPr>
          <w:rFonts w:ascii="Times New Roman" w:hAnsi="Times New Roman" w:cs="Times New Roman"/>
          <w:sz w:val="24"/>
          <w:szCs w:val="24"/>
        </w:rPr>
        <w:t xml:space="preserve">.        </w:t>
      </w:r>
      <w:r w:rsidR="00F66EC8" w:rsidRPr="00AB422B">
        <w:rPr>
          <w:rFonts w:ascii="Times New Roman" w:hAnsi="Times New Roman" w:cs="Times New Roman"/>
          <w:sz w:val="24"/>
          <w:szCs w:val="24"/>
        </w:rPr>
        <w:t xml:space="preserve"> </w:t>
      </w:r>
      <w:r w:rsidR="003D0F32" w:rsidRPr="00AB422B">
        <w:rPr>
          <w:rFonts w:ascii="Times New Roman" w:hAnsi="Times New Roman" w:cs="Times New Roman"/>
          <w:sz w:val="24"/>
          <w:szCs w:val="24"/>
        </w:rPr>
        <w:t xml:space="preserve">   </w:t>
      </w:r>
      <w:r w:rsidR="00A465D6" w:rsidRPr="00AB422B">
        <w:rPr>
          <w:rFonts w:ascii="Times New Roman" w:hAnsi="Times New Roman" w:cs="Times New Roman"/>
          <w:sz w:val="24"/>
          <w:szCs w:val="24"/>
        </w:rPr>
        <w:t xml:space="preserve">    </w:t>
      </w:r>
    </w:p>
    <w:p w:rsidR="00816E61" w:rsidRPr="00AB422B" w:rsidRDefault="00816E61" w:rsidP="00F86457">
      <w:pPr>
        <w:pStyle w:val="Heading4"/>
        <w:rPr>
          <w:color w:val="auto"/>
        </w:rPr>
      </w:pPr>
      <w:r w:rsidRPr="00AB422B">
        <w:rPr>
          <w:color w:val="auto"/>
        </w:rPr>
        <w:t xml:space="preserve">Net profit margin </w:t>
      </w:r>
    </w:p>
    <w:p w:rsidR="0065070D" w:rsidRPr="00AB422B" w:rsidRDefault="0065070D"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Net profit margin is the profit margin after costs of sales as well as all relevant revenues expenses has been deducted. The better or higher </w:t>
      </w:r>
      <w:r w:rsidR="007611B5" w:rsidRPr="00AB422B">
        <w:rPr>
          <w:rFonts w:ascii="Times New Roman" w:hAnsi="Times New Roman" w:cs="Times New Roman"/>
          <w:sz w:val="24"/>
          <w:szCs w:val="24"/>
        </w:rPr>
        <w:t>ratios of net profit margin indicate</w:t>
      </w:r>
      <w:r w:rsidRPr="00AB422B">
        <w:rPr>
          <w:rFonts w:ascii="Times New Roman" w:hAnsi="Times New Roman" w:cs="Times New Roman"/>
          <w:sz w:val="24"/>
          <w:szCs w:val="24"/>
        </w:rPr>
        <w:t xml:space="preserve"> that better positions of the organization. </w:t>
      </w:r>
    </w:p>
    <w:p w:rsidR="00816E61" w:rsidRPr="00AB422B" w:rsidRDefault="007611B5"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As shown in above graph it is seen that</w:t>
      </w:r>
      <w:r w:rsidR="007B445D" w:rsidRPr="00AB422B">
        <w:rPr>
          <w:rFonts w:ascii="Times New Roman" w:hAnsi="Times New Roman" w:cs="Times New Roman"/>
          <w:sz w:val="24"/>
          <w:szCs w:val="24"/>
        </w:rPr>
        <w:t xml:space="preserve"> net profit margin of the Tesco plc is decreased from FY2012 to FY201</w:t>
      </w:r>
      <w:r w:rsidR="001F34BD" w:rsidRPr="00AB422B">
        <w:rPr>
          <w:rFonts w:ascii="Times New Roman" w:hAnsi="Times New Roman" w:cs="Times New Roman"/>
          <w:sz w:val="24"/>
          <w:szCs w:val="24"/>
        </w:rPr>
        <w:t xml:space="preserve">3 and increased from 0.019% to 1.53% in year </w:t>
      </w:r>
      <w:r w:rsidR="002C1054" w:rsidRPr="00AB422B">
        <w:rPr>
          <w:rFonts w:ascii="Times New Roman" w:hAnsi="Times New Roman" w:cs="Times New Roman"/>
          <w:sz w:val="24"/>
          <w:szCs w:val="24"/>
        </w:rPr>
        <w:t>2014;</w:t>
      </w:r>
      <w:r w:rsidR="007B445D" w:rsidRPr="00AB422B">
        <w:rPr>
          <w:rFonts w:ascii="Times New Roman" w:hAnsi="Times New Roman" w:cs="Times New Roman"/>
          <w:sz w:val="24"/>
          <w:szCs w:val="24"/>
        </w:rPr>
        <w:t xml:space="preserve"> which signifies that performance in terms of sales in not up to the mark </w:t>
      </w:r>
      <w:r w:rsidR="002C1054" w:rsidRPr="00AB422B">
        <w:rPr>
          <w:rFonts w:ascii="Times New Roman" w:hAnsi="Times New Roman" w:cs="Times New Roman"/>
          <w:sz w:val="24"/>
          <w:szCs w:val="24"/>
        </w:rPr>
        <w:t xml:space="preserve">in 2013 but in 2014 trends shows that performance is increased further it declined in year of 2015. </w:t>
      </w:r>
      <w:r w:rsidR="002A4941" w:rsidRPr="00AB422B">
        <w:rPr>
          <w:rFonts w:ascii="Times New Roman" w:hAnsi="Times New Roman" w:cs="Times New Roman"/>
          <w:sz w:val="24"/>
          <w:szCs w:val="24"/>
        </w:rPr>
        <w:t xml:space="preserve">The </w:t>
      </w:r>
      <w:r w:rsidR="00EC4CD1" w:rsidRPr="00AB422B">
        <w:rPr>
          <w:rFonts w:ascii="Times New Roman" w:hAnsi="Times New Roman" w:cs="Times New Roman"/>
          <w:sz w:val="24"/>
          <w:szCs w:val="24"/>
        </w:rPr>
        <w:t>observations also show</w:t>
      </w:r>
      <w:r w:rsidR="002A4941" w:rsidRPr="00AB422B">
        <w:rPr>
          <w:rFonts w:ascii="Times New Roman" w:hAnsi="Times New Roman" w:cs="Times New Roman"/>
          <w:sz w:val="24"/>
          <w:szCs w:val="24"/>
        </w:rPr>
        <w:t xml:space="preserve"> that Tesco performance in terms of return on assets and sales turnover is also decreased</w:t>
      </w:r>
      <w:r w:rsidR="00EC4CD1" w:rsidRPr="00AB422B">
        <w:rPr>
          <w:rFonts w:ascii="Times New Roman" w:hAnsi="Times New Roman" w:cs="Times New Roman"/>
          <w:sz w:val="24"/>
          <w:szCs w:val="24"/>
        </w:rPr>
        <w:t xml:space="preserve"> during this time of period</w:t>
      </w:r>
      <w:r w:rsidR="00FA1F38" w:rsidRPr="00AB422B">
        <w:t xml:space="preserve"> (</w:t>
      </w:r>
      <w:proofErr w:type="spellStart"/>
      <w:r w:rsidR="00FA1F38" w:rsidRPr="00AB422B">
        <w:rPr>
          <w:rFonts w:ascii="Times New Roman" w:hAnsi="Times New Roman" w:cs="Times New Roman"/>
          <w:sz w:val="24"/>
          <w:szCs w:val="24"/>
        </w:rPr>
        <w:t>Horngren</w:t>
      </w:r>
      <w:proofErr w:type="spellEnd"/>
      <w:r w:rsidR="00FA1F38" w:rsidRPr="00AB422B">
        <w:rPr>
          <w:rFonts w:ascii="Times New Roman" w:hAnsi="Times New Roman" w:cs="Times New Roman"/>
          <w:sz w:val="24"/>
          <w:szCs w:val="24"/>
        </w:rPr>
        <w:t>, 2014)</w:t>
      </w:r>
      <w:r w:rsidR="00EC4CD1" w:rsidRPr="00AB422B">
        <w:rPr>
          <w:rFonts w:ascii="Times New Roman" w:hAnsi="Times New Roman" w:cs="Times New Roman"/>
          <w:sz w:val="24"/>
          <w:szCs w:val="24"/>
        </w:rPr>
        <w:t>. Moreover in year of 2015 company net profit margin performance is (-9.22%); this is due to fact that organization performance in terms of sales is deceased</w:t>
      </w:r>
      <w:r w:rsidR="00754187" w:rsidRPr="00AB422B">
        <w:rPr>
          <w:rFonts w:ascii="Times New Roman" w:hAnsi="Times New Roman" w:cs="Times New Roman"/>
          <w:sz w:val="24"/>
          <w:szCs w:val="24"/>
        </w:rPr>
        <w:t xml:space="preserve"> by (4.1%) in Asia impacted by foreign exchange, decreased by (8.5%) in Europe</w:t>
      </w:r>
      <w:r w:rsidR="009A3869" w:rsidRPr="00AB422B">
        <w:rPr>
          <w:rFonts w:ascii="Times New Roman" w:hAnsi="Times New Roman" w:cs="Times New Roman"/>
          <w:sz w:val="24"/>
          <w:szCs w:val="24"/>
        </w:rPr>
        <w:t xml:space="preserve"> as Euro fell to seven year low against sterling by at the end of year. Moreover performance in year </w:t>
      </w:r>
      <w:r w:rsidR="009A3869" w:rsidRPr="00AB422B">
        <w:rPr>
          <w:rFonts w:ascii="Times New Roman" w:hAnsi="Times New Roman" w:cs="Times New Roman"/>
          <w:sz w:val="24"/>
          <w:szCs w:val="24"/>
        </w:rPr>
        <w:lastRenderedPageBreak/>
        <w:t xml:space="preserve">of 2016 appears positive by 0.25%; this is due to fact that organization spends much money in technology due to increase quality of products and services. </w:t>
      </w:r>
      <w:r w:rsidR="0065070D" w:rsidRPr="00AB422B">
        <w:rPr>
          <w:rFonts w:ascii="Times New Roman" w:hAnsi="Times New Roman" w:cs="Times New Roman"/>
          <w:sz w:val="24"/>
          <w:szCs w:val="24"/>
        </w:rPr>
        <w:t xml:space="preserve"> </w:t>
      </w:r>
    </w:p>
    <w:p w:rsidR="008D0C16" w:rsidRPr="00AB422B" w:rsidRDefault="008D0C16" w:rsidP="00F86457">
      <w:pPr>
        <w:pStyle w:val="Heading3"/>
        <w:rPr>
          <w:color w:val="auto"/>
        </w:rPr>
      </w:pPr>
      <w:bookmarkStart w:id="6" w:name="_Toc502257262"/>
      <w:r w:rsidRPr="00AB422B">
        <w:rPr>
          <w:color w:val="auto"/>
        </w:rPr>
        <w:t xml:space="preserve">Possible explanation of changes of profitability </w:t>
      </w:r>
      <w:r w:rsidR="0082489E" w:rsidRPr="00AB422B">
        <w:rPr>
          <w:color w:val="auto"/>
        </w:rPr>
        <w:t>ratios</w:t>
      </w:r>
      <w:bookmarkEnd w:id="6"/>
    </w:p>
    <w:p w:rsidR="002568CB" w:rsidRPr="00AB422B" w:rsidRDefault="002568CB" w:rsidP="002568C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The slight decrease in sales revenues in the year of 2015 could be attributed to more competition in UK market triggered by perhaps increase number of retail sectors offering similar products and services in less price and introduction of the advanced technology in retail industry. Moreover this could be associated to increase in inventory turnover days which have increased from 16.27 days to 19.06 days. This has an ability to decrease their gross profit margins given that it would take longer days for Tesco plc. </w:t>
      </w:r>
      <w:proofErr w:type="gramStart"/>
      <w:r w:rsidRPr="00AB422B">
        <w:rPr>
          <w:rFonts w:ascii="Times New Roman" w:hAnsi="Times New Roman" w:cs="Times New Roman"/>
          <w:sz w:val="24"/>
          <w:szCs w:val="24"/>
        </w:rPr>
        <w:t>to</w:t>
      </w:r>
      <w:proofErr w:type="gramEnd"/>
      <w:r w:rsidRPr="00AB422B">
        <w:rPr>
          <w:rFonts w:ascii="Times New Roman" w:hAnsi="Times New Roman" w:cs="Times New Roman"/>
          <w:sz w:val="24"/>
          <w:szCs w:val="24"/>
        </w:rPr>
        <w:t xml:space="preserve"> sell its goods and inventory (This is due to fact that inventory is dependent upon the future market forces and could consume time to be exchanged into money in a relatively short period of time). Increase in business competition had negatively impacted the organization in FY2015 and also brought down their market share.</w:t>
      </w:r>
    </w:p>
    <w:p w:rsidR="008D0C16" w:rsidRPr="00AB422B" w:rsidRDefault="008D0C16" w:rsidP="008D0C16">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Sales performance in Asia in year of 2015 is declined by 4.1% including 3.2% impact from the foreign exchanges. Moreover it is seen that Tesco plc performance in South Korea also decreased due to DIDA regulations and in Thailand the recovery of customers expanding has been deceased that initial anticipated. These are the main reason of the decline the performance of Tesco plc in year of 2015.  In year of 2016, the organization Tesco plc increases its sales performance by 1.8% at same exchange rate. The positive sales performance has been achieved by organization due to offering goods in reasonable price and fresh food</w:t>
      </w:r>
      <w:r w:rsidR="00FA1F38" w:rsidRPr="00AB422B">
        <w:rPr>
          <w:rFonts w:ascii="Times New Roman" w:hAnsi="Times New Roman" w:cs="Times New Roman"/>
          <w:sz w:val="24"/>
          <w:szCs w:val="24"/>
        </w:rPr>
        <w:t xml:space="preserve"> (Palmer, 2009)</w:t>
      </w:r>
      <w:r w:rsidRPr="00AB422B">
        <w:rPr>
          <w:rFonts w:ascii="Times New Roman" w:hAnsi="Times New Roman" w:cs="Times New Roman"/>
          <w:sz w:val="24"/>
          <w:szCs w:val="24"/>
        </w:rPr>
        <w:t xml:space="preserve">. This is the main reason in year of 2016 the performance of the organization in Asia in term of gross profits, operating profits and net profit margin is increased. </w:t>
      </w:r>
    </w:p>
    <w:p w:rsidR="0081534F" w:rsidRPr="00AB422B" w:rsidRDefault="00F66EC8" w:rsidP="00F6466D">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Increased in the operating profits margin in year of 2016 also shows that </w:t>
      </w:r>
      <w:r w:rsidR="00532910" w:rsidRPr="00AB422B">
        <w:rPr>
          <w:rFonts w:ascii="Times New Roman" w:hAnsi="Times New Roman" w:cs="Times New Roman"/>
          <w:sz w:val="24"/>
          <w:szCs w:val="24"/>
        </w:rPr>
        <w:t xml:space="preserve">reducing of operating expenses about </w:t>
      </w:r>
      <w:r w:rsidR="00F6243D" w:rsidRPr="00AB422B">
        <w:rPr>
          <w:rFonts w:ascii="Times New Roman" w:hAnsi="Times New Roman" w:cs="Times New Roman"/>
          <w:sz w:val="24"/>
          <w:szCs w:val="24"/>
        </w:rPr>
        <w:t xml:space="preserve">7% for </w:t>
      </w:r>
      <w:r w:rsidR="002726F7" w:rsidRPr="00AB422B">
        <w:rPr>
          <w:rFonts w:ascii="Times New Roman" w:hAnsi="Times New Roman" w:cs="Times New Roman"/>
          <w:sz w:val="24"/>
          <w:szCs w:val="24"/>
        </w:rPr>
        <w:t>distribution costs and 4</w:t>
      </w:r>
      <w:r w:rsidR="00F6243D" w:rsidRPr="00AB422B">
        <w:rPr>
          <w:rFonts w:ascii="Times New Roman" w:hAnsi="Times New Roman" w:cs="Times New Roman"/>
          <w:sz w:val="24"/>
          <w:szCs w:val="24"/>
        </w:rPr>
        <w:t>% [FY2015 (</w:t>
      </w:r>
      <w:r w:rsidR="002726F7" w:rsidRPr="00AB422B">
        <w:rPr>
          <w:rFonts w:ascii="Calibri" w:hAnsi="Calibri" w:cs="Times New Roman"/>
          <w:sz w:val="24"/>
          <w:szCs w:val="24"/>
        </w:rPr>
        <w:t>£</w:t>
      </w:r>
      <w:r w:rsidR="00325D50" w:rsidRPr="00AB422B">
        <w:rPr>
          <w:rFonts w:ascii="Times New Roman" w:hAnsi="Times New Roman" w:cs="Times New Roman"/>
          <w:sz w:val="24"/>
          <w:szCs w:val="24"/>
        </w:rPr>
        <w:t xml:space="preserve">2574m), </w:t>
      </w:r>
      <w:r w:rsidR="00F6243D" w:rsidRPr="00AB422B">
        <w:rPr>
          <w:rFonts w:ascii="Times New Roman" w:hAnsi="Times New Roman" w:cs="Times New Roman"/>
          <w:sz w:val="24"/>
          <w:szCs w:val="24"/>
        </w:rPr>
        <w:t>FY2016 (</w:t>
      </w:r>
      <w:r w:rsidR="00325D50" w:rsidRPr="00AB422B">
        <w:rPr>
          <w:rFonts w:ascii="Calibri" w:hAnsi="Calibri" w:cs="Times New Roman"/>
          <w:sz w:val="24"/>
          <w:szCs w:val="24"/>
        </w:rPr>
        <w:t>£</w:t>
      </w:r>
      <w:r w:rsidR="00325D50" w:rsidRPr="00AB422B">
        <w:rPr>
          <w:rFonts w:ascii="Times New Roman" w:hAnsi="Times New Roman" w:cs="Times New Roman"/>
          <w:sz w:val="24"/>
          <w:szCs w:val="24"/>
        </w:rPr>
        <w:t>1852m)</w:t>
      </w:r>
      <w:r w:rsidR="002726F7" w:rsidRPr="00AB422B">
        <w:rPr>
          <w:rFonts w:ascii="Times New Roman" w:hAnsi="Times New Roman" w:cs="Times New Roman"/>
          <w:sz w:val="24"/>
          <w:szCs w:val="24"/>
        </w:rPr>
        <w:t xml:space="preserve">] for administrative costs. </w:t>
      </w:r>
      <w:r w:rsidR="004F412C" w:rsidRPr="00AB422B">
        <w:rPr>
          <w:rFonts w:ascii="Times New Roman" w:hAnsi="Times New Roman" w:cs="Times New Roman"/>
          <w:sz w:val="24"/>
          <w:szCs w:val="24"/>
        </w:rPr>
        <w:t xml:space="preserve"> </w:t>
      </w:r>
      <w:r w:rsidR="00F6243D" w:rsidRPr="00AB422B">
        <w:rPr>
          <w:rFonts w:ascii="Times New Roman" w:hAnsi="Times New Roman" w:cs="Times New Roman"/>
          <w:sz w:val="24"/>
          <w:szCs w:val="24"/>
        </w:rPr>
        <w:t xml:space="preserve">The organization distribution </w:t>
      </w:r>
      <w:r w:rsidR="0081534F" w:rsidRPr="00AB422B">
        <w:rPr>
          <w:rFonts w:ascii="Times New Roman" w:hAnsi="Times New Roman" w:cs="Times New Roman"/>
          <w:sz w:val="24"/>
          <w:szCs w:val="24"/>
        </w:rPr>
        <w:t>costs mainly include</w:t>
      </w:r>
      <w:r w:rsidR="00F6243D" w:rsidRPr="00AB422B">
        <w:rPr>
          <w:rFonts w:ascii="Times New Roman" w:hAnsi="Times New Roman" w:cs="Times New Roman"/>
          <w:sz w:val="24"/>
          <w:szCs w:val="24"/>
        </w:rPr>
        <w:t xml:space="preserve"> about 40% of Tesco plc operating expenses whereas </w:t>
      </w:r>
      <w:r w:rsidR="0081534F" w:rsidRPr="00AB422B">
        <w:rPr>
          <w:rFonts w:ascii="Times New Roman" w:hAnsi="Times New Roman" w:cs="Times New Roman"/>
          <w:sz w:val="24"/>
          <w:szCs w:val="24"/>
        </w:rPr>
        <w:t xml:space="preserve">management costs involves remaining 60% costs. The decreases in the distribution cost in the year of 2016 </w:t>
      </w:r>
      <w:r w:rsidR="00904B05" w:rsidRPr="00AB422B">
        <w:rPr>
          <w:rFonts w:ascii="Times New Roman" w:hAnsi="Times New Roman" w:cs="Times New Roman"/>
          <w:sz w:val="24"/>
          <w:szCs w:val="24"/>
        </w:rPr>
        <w:t>because of fact that company</w:t>
      </w:r>
      <w:r w:rsidR="0081534F" w:rsidRPr="00AB422B">
        <w:rPr>
          <w:rFonts w:ascii="Times New Roman" w:hAnsi="Times New Roman" w:cs="Times New Roman"/>
          <w:sz w:val="24"/>
          <w:szCs w:val="24"/>
        </w:rPr>
        <w:t xml:space="preserve"> warehouse in UK </w:t>
      </w:r>
      <w:r w:rsidR="00904B05" w:rsidRPr="00AB422B">
        <w:rPr>
          <w:rFonts w:ascii="Times New Roman" w:hAnsi="Times New Roman" w:cs="Times New Roman"/>
          <w:sz w:val="24"/>
          <w:szCs w:val="24"/>
        </w:rPr>
        <w:t>are</w:t>
      </w:r>
      <w:r w:rsidR="0081534F" w:rsidRPr="00AB422B">
        <w:rPr>
          <w:rFonts w:ascii="Times New Roman" w:hAnsi="Times New Roman" w:cs="Times New Roman"/>
          <w:sz w:val="24"/>
          <w:szCs w:val="24"/>
        </w:rPr>
        <w:t xml:space="preserve"> higher than other competitors.  </w:t>
      </w:r>
    </w:p>
    <w:p w:rsidR="001140DD" w:rsidRPr="00AB422B" w:rsidRDefault="006D66B8" w:rsidP="006D66B8">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Economic of sale and taxation are the main factors that hampered company’s profitability performance</w:t>
      </w:r>
      <w:r w:rsidR="007F3748" w:rsidRPr="00AB422B">
        <w:t xml:space="preserve"> (</w:t>
      </w:r>
      <w:r w:rsidR="007F3748" w:rsidRPr="00AB422B">
        <w:rPr>
          <w:rFonts w:ascii="Times New Roman" w:hAnsi="Times New Roman" w:cs="Times New Roman"/>
          <w:sz w:val="24"/>
          <w:szCs w:val="24"/>
        </w:rPr>
        <w:t>Prime, 2011)</w:t>
      </w:r>
      <w:r w:rsidRPr="00AB422B">
        <w:rPr>
          <w:rFonts w:ascii="Times New Roman" w:hAnsi="Times New Roman" w:cs="Times New Roman"/>
          <w:sz w:val="24"/>
          <w:szCs w:val="24"/>
        </w:rPr>
        <w:t xml:space="preserve">. </w:t>
      </w:r>
      <w:r w:rsidR="001140DD" w:rsidRPr="00AB422B">
        <w:rPr>
          <w:rFonts w:ascii="Times New Roman" w:hAnsi="Times New Roman" w:cs="Times New Roman"/>
          <w:sz w:val="24"/>
          <w:szCs w:val="24"/>
        </w:rPr>
        <w:t xml:space="preserve">As in year of 2015, it is seen that recent rules and regulations has </w:t>
      </w:r>
      <w:r w:rsidR="001140DD" w:rsidRPr="00AB422B">
        <w:rPr>
          <w:rFonts w:ascii="Times New Roman" w:hAnsi="Times New Roman" w:cs="Times New Roman"/>
          <w:sz w:val="24"/>
          <w:szCs w:val="24"/>
        </w:rPr>
        <w:lastRenderedPageBreak/>
        <w:t xml:space="preserve">been introduced in Hungary regarding mandate store closure on Sunday as well as introduction of the food supervision fee from January 1, 2015 hampered the performance of the organization negatively. But in year of 2016, Tesco invest huge amount </w:t>
      </w:r>
      <w:r w:rsidR="00DA0D3D" w:rsidRPr="00AB422B">
        <w:rPr>
          <w:rFonts w:ascii="Times New Roman" w:hAnsi="Times New Roman" w:cs="Times New Roman"/>
          <w:sz w:val="24"/>
          <w:szCs w:val="24"/>
        </w:rPr>
        <w:t xml:space="preserve">and run through a partnership with UK charity </w:t>
      </w:r>
      <w:proofErr w:type="spellStart"/>
      <w:r w:rsidR="00DA0D3D" w:rsidRPr="00AB422B">
        <w:rPr>
          <w:rFonts w:ascii="Times New Roman" w:hAnsi="Times New Roman" w:cs="Times New Roman"/>
          <w:sz w:val="24"/>
          <w:szCs w:val="24"/>
        </w:rPr>
        <w:t>FareShare</w:t>
      </w:r>
      <w:proofErr w:type="spellEnd"/>
      <w:r w:rsidR="00DA0D3D" w:rsidRPr="00AB422B">
        <w:rPr>
          <w:rFonts w:ascii="Times New Roman" w:hAnsi="Times New Roman" w:cs="Times New Roman"/>
          <w:sz w:val="24"/>
          <w:szCs w:val="24"/>
        </w:rPr>
        <w:t xml:space="preserve">, using the </w:t>
      </w:r>
      <w:proofErr w:type="spellStart"/>
      <w:r w:rsidR="00DA0D3D" w:rsidRPr="00AB422B">
        <w:rPr>
          <w:rFonts w:ascii="Times New Roman" w:hAnsi="Times New Roman" w:cs="Times New Roman"/>
          <w:sz w:val="24"/>
          <w:szCs w:val="24"/>
        </w:rPr>
        <w:t>technogly</w:t>
      </w:r>
      <w:proofErr w:type="spellEnd"/>
      <w:r w:rsidR="00DA0D3D" w:rsidRPr="00AB422B">
        <w:rPr>
          <w:rFonts w:ascii="Times New Roman" w:hAnsi="Times New Roman" w:cs="Times New Roman"/>
          <w:sz w:val="24"/>
          <w:szCs w:val="24"/>
        </w:rPr>
        <w:t xml:space="preserve"> in order to improve the performance and quality of foods. This would </w:t>
      </w:r>
      <w:r w:rsidR="00172FEC" w:rsidRPr="00AB422B">
        <w:rPr>
          <w:rFonts w:ascii="Times New Roman" w:hAnsi="Times New Roman" w:cs="Times New Roman"/>
          <w:sz w:val="24"/>
          <w:szCs w:val="24"/>
        </w:rPr>
        <w:t>help</w:t>
      </w:r>
      <w:r w:rsidR="00F73FA2" w:rsidRPr="00AB422B">
        <w:rPr>
          <w:rFonts w:ascii="Times New Roman" w:hAnsi="Times New Roman" w:cs="Times New Roman"/>
          <w:sz w:val="24"/>
          <w:szCs w:val="24"/>
        </w:rPr>
        <w:t xml:space="preserve"> the organization to reduce Tesco’s Waste food and increase customer’s satisfaction effectively. </w:t>
      </w:r>
      <w:r w:rsidR="00172FEC" w:rsidRPr="00AB422B">
        <w:rPr>
          <w:rFonts w:ascii="Times New Roman" w:hAnsi="Times New Roman" w:cs="Times New Roman"/>
          <w:sz w:val="24"/>
          <w:szCs w:val="24"/>
        </w:rPr>
        <w:t xml:space="preserve">In addition to this, </w:t>
      </w:r>
      <w:r w:rsidR="00890EB8" w:rsidRPr="00AB422B">
        <w:rPr>
          <w:rFonts w:ascii="Times New Roman" w:hAnsi="Times New Roman" w:cs="Times New Roman"/>
          <w:sz w:val="24"/>
          <w:szCs w:val="24"/>
        </w:rPr>
        <w:t>implementation of the energy saving tills and reduce in carbon emission and delivery helps the organization to increase its profitability performance better in FY2016 as compared to previous year FY2015.</w:t>
      </w:r>
      <w:r w:rsidR="007138C4" w:rsidRPr="00AB422B">
        <w:rPr>
          <w:rFonts w:ascii="Times New Roman" w:hAnsi="Times New Roman" w:cs="Times New Roman"/>
          <w:sz w:val="24"/>
          <w:szCs w:val="24"/>
        </w:rPr>
        <w:t xml:space="preserve"> Apart from that introduction of the selling space to accommodate the organization also achieve better profits in terms of sales and increase better market share.   </w:t>
      </w:r>
      <w:r w:rsidR="00890EB8" w:rsidRPr="00AB422B">
        <w:rPr>
          <w:rFonts w:ascii="Times New Roman" w:hAnsi="Times New Roman" w:cs="Times New Roman"/>
          <w:sz w:val="24"/>
          <w:szCs w:val="24"/>
        </w:rPr>
        <w:t xml:space="preserve">  </w:t>
      </w:r>
      <w:r w:rsidR="00F73FA2" w:rsidRPr="00AB422B">
        <w:rPr>
          <w:rFonts w:ascii="Times New Roman" w:hAnsi="Times New Roman" w:cs="Times New Roman"/>
          <w:sz w:val="24"/>
          <w:szCs w:val="24"/>
        </w:rPr>
        <w:t xml:space="preserve">   </w:t>
      </w:r>
      <w:r w:rsidR="00DA0D3D" w:rsidRPr="00AB422B">
        <w:rPr>
          <w:rFonts w:ascii="Times New Roman" w:hAnsi="Times New Roman" w:cs="Times New Roman"/>
          <w:sz w:val="24"/>
          <w:szCs w:val="24"/>
        </w:rPr>
        <w:t xml:space="preserve">    </w:t>
      </w:r>
      <w:r w:rsidR="001140DD" w:rsidRPr="00AB422B">
        <w:rPr>
          <w:rFonts w:ascii="Times New Roman" w:hAnsi="Times New Roman" w:cs="Times New Roman"/>
          <w:sz w:val="24"/>
          <w:szCs w:val="24"/>
        </w:rPr>
        <w:t xml:space="preserve">   </w:t>
      </w:r>
    </w:p>
    <w:p w:rsidR="001D7B38" w:rsidRPr="00AB422B" w:rsidRDefault="001D7B38" w:rsidP="006142E5">
      <w:pPr>
        <w:spacing w:line="360" w:lineRule="auto"/>
        <w:jc w:val="both"/>
        <w:rPr>
          <w:rFonts w:ascii="Times New Roman" w:hAnsi="Times New Roman" w:cs="Times New Roman"/>
          <w:sz w:val="24"/>
          <w:szCs w:val="24"/>
        </w:rPr>
      </w:pPr>
    </w:p>
    <w:p w:rsidR="00CE04AB" w:rsidRPr="00AB422B" w:rsidRDefault="00CE04AB" w:rsidP="002858A6">
      <w:pPr>
        <w:pStyle w:val="Heading3"/>
        <w:rPr>
          <w:color w:val="auto"/>
        </w:rPr>
      </w:pPr>
      <w:bookmarkStart w:id="7" w:name="_Toc502257263"/>
      <w:r w:rsidRPr="00AB422B">
        <w:rPr>
          <w:color w:val="auto"/>
        </w:rPr>
        <w:t xml:space="preserve">2.2.2 </w:t>
      </w:r>
      <w:r w:rsidR="005D430C" w:rsidRPr="00AB422B">
        <w:rPr>
          <w:color w:val="auto"/>
        </w:rPr>
        <w:t>Liquidity ratios</w:t>
      </w:r>
      <w:bookmarkEnd w:id="7"/>
      <w:r w:rsidRPr="00AB422B">
        <w:rPr>
          <w:color w:val="auto"/>
        </w:rPr>
        <w:t xml:space="preserve"> </w:t>
      </w:r>
    </w:p>
    <w:p w:rsidR="00B84F02" w:rsidRPr="00AB422B" w:rsidRDefault="0011569A"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Liquidity ratios analysis mainly utilized by the company to measure the organization’s capability to fulfill its short term obligations in a timely manner. Liquidity ratios ana</w:t>
      </w:r>
      <w:r w:rsidR="00FD7A86" w:rsidRPr="00AB422B">
        <w:rPr>
          <w:rFonts w:ascii="Times New Roman" w:hAnsi="Times New Roman" w:cs="Times New Roman"/>
          <w:sz w:val="24"/>
          <w:szCs w:val="24"/>
        </w:rPr>
        <w:t xml:space="preserve">lysis mainly employed two ratios such as acid test ratios or quick ratios and current ratios. </w:t>
      </w:r>
      <w:r w:rsidRPr="00AB422B">
        <w:rPr>
          <w:rFonts w:ascii="Times New Roman" w:hAnsi="Times New Roman" w:cs="Times New Roman"/>
          <w:sz w:val="24"/>
          <w:szCs w:val="24"/>
        </w:rPr>
        <w:t xml:space="preserve">    </w:t>
      </w:r>
    </w:p>
    <w:p w:rsidR="00B70A66" w:rsidRPr="00AB422B" w:rsidRDefault="00B70A66" w:rsidP="006142E5">
      <w:pPr>
        <w:spacing w:line="360" w:lineRule="auto"/>
        <w:jc w:val="both"/>
        <w:rPr>
          <w:rFonts w:ascii="Times New Roman" w:hAnsi="Times New Roman" w:cs="Times New Roman"/>
          <w:b/>
          <w:sz w:val="24"/>
          <w:szCs w:val="24"/>
        </w:rPr>
      </w:pPr>
      <w:r w:rsidRPr="00AB422B">
        <w:rPr>
          <w:rFonts w:ascii="Times New Roman" w:hAnsi="Times New Roman" w:cs="Times New Roman"/>
          <w:b/>
          <w:noProof/>
          <w:sz w:val="24"/>
          <w:szCs w:val="24"/>
          <w:lang w:val="en-IN" w:eastAsia="en-IN"/>
        </w:rPr>
        <w:drawing>
          <wp:inline distT="0" distB="0" distL="0" distR="0">
            <wp:extent cx="4572000" cy="2752725"/>
            <wp:effectExtent l="19050" t="0" r="19050" b="0"/>
            <wp:docPr id="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7025F" w:rsidRPr="00AB422B" w:rsidRDefault="00E7025F" w:rsidP="006142E5">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Fig</w:t>
      </w:r>
      <w:r w:rsidR="00AB50F6" w:rsidRPr="00AB422B">
        <w:rPr>
          <w:rFonts w:ascii="Times New Roman" w:hAnsi="Times New Roman" w:cs="Times New Roman"/>
          <w:b/>
          <w:sz w:val="24"/>
          <w:szCs w:val="24"/>
        </w:rPr>
        <w:t>2.</w:t>
      </w:r>
      <w:r w:rsidRPr="00AB422B">
        <w:rPr>
          <w:rFonts w:ascii="Times New Roman" w:hAnsi="Times New Roman" w:cs="Times New Roman"/>
          <w:b/>
          <w:sz w:val="24"/>
          <w:szCs w:val="24"/>
        </w:rPr>
        <w:t>2: liquidity ratios</w:t>
      </w:r>
    </w:p>
    <w:p w:rsidR="00FD7A86" w:rsidRPr="00AB422B" w:rsidRDefault="00FD7A86" w:rsidP="002858A6">
      <w:pPr>
        <w:pStyle w:val="Heading4"/>
        <w:rPr>
          <w:color w:val="auto"/>
        </w:rPr>
      </w:pPr>
      <w:r w:rsidRPr="00AB422B">
        <w:rPr>
          <w:color w:val="auto"/>
        </w:rPr>
        <w:lastRenderedPageBreak/>
        <w:t>Current ratios</w:t>
      </w:r>
    </w:p>
    <w:p w:rsidR="009C58B7" w:rsidRPr="00AB422B" w:rsidRDefault="00982E0D"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Current</w:t>
      </w:r>
      <w:r w:rsidR="00FD7A86" w:rsidRPr="00AB422B">
        <w:rPr>
          <w:rFonts w:ascii="Times New Roman" w:hAnsi="Times New Roman" w:cs="Times New Roman"/>
          <w:sz w:val="24"/>
          <w:szCs w:val="24"/>
        </w:rPr>
        <w:t xml:space="preserve"> ratios of the company mainly used to compare the liquidity assets of the </w:t>
      </w:r>
      <w:r w:rsidRPr="00AB422B">
        <w:rPr>
          <w:rFonts w:ascii="Times New Roman" w:hAnsi="Times New Roman" w:cs="Times New Roman"/>
          <w:sz w:val="24"/>
          <w:szCs w:val="24"/>
        </w:rPr>
        <w:t>association (</w:t>
      </w:r>
      <w:r w:rsidR="00FD7A86" w:rsidRPr="00AB422B">
        <w:rPr>
          <w:rFonts w:ascii="Times New Roman" w:hAnsi="Times New Roman" w:cs="Times New Roman"/>
          <w:sz w:val="24"/>
          <w:szCs w:val="24"/>
        </w:rPr>
        <w:t>including inventory) of Tesco plc with current liabilities.</w:t>
      </w:r>
      <w:r w:rsidRPr="00AB422B">
        <w:rPr>
          <w:rFonts w:ascii="Times New Roman" w:hAnsi="Times New Roman" w:cs="Times New Roman"/>
          <w:sz w:val="24"/>
          <w:szCs w:val="24"/>
        </w:rPr>
        <w:t xml:space="preserve"> According to the</w:t>
      </w:r>
      <w:r w:rsidR="007F3748" w:rsidRPr="00AB422B">
        <w:t xml:space="preserve"> </w:t>
      </w:r>
      <w:r w:rsidR="007F3748" w:rsidRPr="00AB422B">
        <w:rPr>
          <w:rFonts w:ascii="Times New Roman" w:hAnsi="Times New Roman" w:cs="Times New Roman"/>
          <w:sz w:val="24"/>
          <w:szCs w:val="24"/>
        </w:rPr>
        <w:t>Rees, (2008), i</w:t>
      </w:r>
      <w:r w:rsidRPr="00AB422B">
        <w:rPr>
          <w:rFonts w:ascii="Times New Roman" w:hAnsi="Times New Roman" w:cs="Times New Roman"/>
          <w:sz w:val="24"/>
          <w:szCs w:val="24"/>
        </w:rPr>
        <w:t xml:space="preserve">f </w:t>
      </w:r>
      <w:r w:rsidR="00E7025F" w:rsidRPr="00AB422B">
        <w:rPr>
          <w:rFonts w:ascii="Times New Roman" w:hAnsi="Times New Roman" w:cs="Times New Roman"/>
          <w:sz w:val="24"/>
          <w:szCs w:val="24"/>
        </w:rPr>
        <w:t>values of current ratios are</w:t>
      </w:r>
      <w:r w:rsidRPr="00AB422B">
        <w:rPr>
          <w:rFonts w:ascii="Times New Roman" w:hAnsi="Times New Roman" w:cs="Times New Roman"/>
          <w:sz w:val="24"/>
          <w:szCs w:val="24"/>
        </w:rPr>
        <w:t xml:space="preserve"> above than 1 </w:t>
      </w:r>
      <w:r w:rsidR="00E7025F" w:rsidRPr="00AB422B">
        <w:rPr>
          <w:rFonts w:ascii="Times New Roman" w:hAnsi="Times New Roman" w:cs="Times New Roman"/>
          <w:sz w:val="24"/>
          <w:szCs w:val="24"/>
        </w:rPr>
        <w:t xml:space="preserve">then </w:t>
      </w:r>
      <w:r w:rsidRPr="00AB422B">
        <w:rPr>
          <w:rFonts w:ascii="Times New Roman" w:hAnsi="Times New Roman" w:cs="Times New Roman"/>
          <w:sz w:val="24"/>
          <w:szCs w:val="24"/>
        </w:rPr>
        <w:t xml:space="preserve">it is considered that company is performing well in terms of liquidity position. </w:t>
      </w:r>
      <w:r w:rsidR="00E7025F" w:rsidRPr="00AB422B">
        <w:rPr>
          <w:rFonts w:ascii="Times New Roman" w:hAnsi="Times New Roman" w:cs="Times New Roman"/>
          <w:sz w:val="24"/>
          <w:szCs w:val="24"/>
        </w:rPr>
        <w:t xml:space="preserve">Moreover, from the </w:t>
      </w:r>
      <w:r w:rsidR="00337259" w:rsidRPr="00AB422B">
        <w:rPr>
          <w:rFonts w:ascii="Times New Roman" w:hAnsi="Times New Roman" w:cs="Times New Roman"/>
          <w:sz w:val="24"/>
          <w:szCs w:val="24"/>
        </w:rPr>
        <w:t>Fig2.2</w:t>
      </w:r>
      <w:r w:rsidR="00D3553E" w:rsidRPr="00AB422B">
        <w:rPr>
          <w:rFonts w:ascii="Times New Roman" w:hAnsi="Times New Roman" w:cs="Times New Roman"/>
          <w:sz w:val="24"/>
          <w:szCs w:val="24"/>
        </w:rPr>
        <w:t xml:space="preserve">, it is seen that Tesco plc current ratios is performing well from </w:t>
      </w:r>
      <w:r w:rsidR="00143583" w:rsidRPr="00AB422B">
        <w:rPr>
          <w:rFonts w:ascii="Times New Roman" w:hAnsi="Times New Roman" w:cs="Times New Roman"/>
          <w:sz w:val="24"/>
          <w:szCs w:val="24"/>
        </w:rPr>
        <w:t>FY2013 (</w:t>
      </w:r>
      <w:r w:rsidR="009C58B7" w:rsidRPr="00AB422B">
        <w:rPr>
          <w:rFonts w:ascii="Times New Roman" w:hAnsi="Times New Roman" w:cs="Times New Roman"/>
          <w:sz w:val="24"/>
          <w:szCs w:val="24"/>
        </w:rPr>
        <w:t>0.7</w:t>
      </w:r>
      <w:r w:rsidR="00143583" w:rsidRPr="00AB422B">
        <w:rPr>
          <w:rFonts w:ascii="Times New Roman" w:hAnsi="Times New Roman" w:cs="Times New Roman"/>
          <w:sz w:val="24"/>
          <w:szCs w:val="24"/>
        </w:rPr>
        <w:t>)</w:t>
      </w:r>
      <w:r w:rsidR="00D3553E" w:rsidRPr="00AB422B">
        <w:rPr>
          <w:rFonts w:ascii="Times New Roman" w:hAnsi="Times New Roman" w:cs="Times New Roman"/>
          <w:sz w:val="24"/>
          <w:szCs w:val="24"/>
        </w:rPr>
        <w:t xml:space="preserve"> to FY2014 (0.</w:t>
      </w:r>
      <w:r w:rsidR="009C58B7" w:rsidRPr="00AB422B">
        <w:rPr>
          <w:rFonts w:ascii="Times New Roman" w:hAnsi="Times New Roman" w:cs="Times New Roman"/>
          <w:sz w:val="24"/>
          <w:szCs w:val="24"/>
        </w:rPr>
        <w:t>77</w:t>
      </w:r>
      <w:r w:rsidR="00D3553E" w:rsidRPr="00AB422B">
        <w:rPr>
          <w:rFonts w:ascii="Times New Roman" w:hAnsi="Times New Roman" w:cs="Times New Roman"/>
          <w:sz w:val="24"/>
          <w:szCs w:val="24"/>
        </w:rPr>
        <w:t>) after that it reduces from 0.</w:t>
      </w:r>
      <w:r w:rsidR="009C58B7" w:rsidRPr="00AB422B">
        <w:rPr>
          <w:rFonts w:ascii="Times New Roman" w:hAnsi="Times New Roman" w:cs="Times New Roman"/>
          <w:sz w:val="24"/>
          <w:szCs w:val="24"/>
        </w:rPr>
        <w:t>77</w:t>
      </w:r>
      <w:r w:rsidR="00D3553E" w:rsidRPr="00AB422B">
        <w:rPr>
          <w:rFonts w:ascii="Times New Roman" w:hAnsi="Times New Roman" w:cs="Times New Roman"/>
          <w:sz w:val="24"/>
          <w:szCs w:val="24"/>
        </w:rPr>
        <w:t xml:space="preserve"> to 0.</w:t>
      </w:r>
      <w:r w:rsidR="006523A4" w:rsidRPr="00AB422B">
        <w:rPr>
          <w:rFonts w:ascii="Times New Roman" w:hAnsi="Times New Roman" w:cs="Times New Roman"/>
          <w:sz w:val="24"/>
          <w:szCs w:val="24"/>
        </w:rPr>
        <w:t>6</w:t>
      </w:r>
      <w:r w:rsidR="00143583" w:rsidRPr="00AB422B">
        <w:rPr>
          <w:rFonts w:ascii="Times New Roman" w:hAnsi="Times New Roman" w:cs="Times New Roman"/>
          <w:sz w:val="24"/>
          <w:szCs w:val="24"/>
        </w:rPr>
        <w:t xml:space="preserve"> from FY 2014 to FY2015. The organization Tesco plc current ratios in 2016 is </w:t>
      </w:r>
      <w:r w:rsidR="00892C7C" w:rsidRPr="00AB422B">
        <w:rPr>
          <w:rFonts w:ascii="Times New Roman" w:hAnsi="Times New Roman" w:cs="Times New Roman"/>
          <w:sz w:val="24"/>
          <w:szCs w:val="24"/>
        </w:rPr>
        <w:t>0.</w:t>
      </w:r>
      <w:r w:rsidR="006523A4" w:rsidRPr="00AB422B">
        <w:rPr>
          <w:rFonts w:ascii="Times New Roman" w:hAnsi="Times New Roman" w:cs="Times New Roman"/>
          <w:sz w:val="24"/>
          <w:szCs w:val="24"/>
        </w:rPr>
        <w:t>75</w:t>
      </w:r>
      <w:r w:rsidR="00892C7C" w:rsidRPr="00AB422B">
        <w:rPr>
          <w:rFonts w:ascii="Times New Roman" w:hAnsi="Times New Roman" w:cs="Times New Roman"/>
          <w:sz w:val="24"/>
          <w:szCs w:val="24"/>
        </w:rPr>
        <w:t xml:space="preserve">:1, which signifies that each one pound of liabilities Tesco plc owns in short term </w:t>
      </w:r>
      <w:r w:rsidR="006523A4" w:rsidRPr="00AB422B">
        <w:rPr>
          <w:rFonts w:ascii="Times New Roman" w:hAnsi="Times New Roman" w:cs="Times New Roman"/>
          <w:sz w:val="24"/>
          <w:szCs w:val="24"/>
        </w:rPr>
        <w:t>75</w:t>
      </w:r>
      <w:r w:rsidR="00892C7C" w:rsidRPr="00AB422B">
        <w:rPr>
          <w:rFonts w:ascii="Times New Roman" w:hAnsi="Times New Roman" w:cs="Times New Roman"/>
          <w:sz w:val="24"/>
          <w:szCs w:val="24"/>
        </w:rPr>
        <w:t xml:space="preserve"> pence to fulfill its obligations. </w:t>
      </w:r>
      <w:r w:rsidR="00285635" w:rsidRPr="00AB422B">
        <w:rPr>
          <w:rFonts w:ascii="Times New Roman" w:hAnsi="Times New Roman" w:cs="Times New Roman"/>
          <w:sz w:val="24"/>
          <w:szCs w:val="24"/>
        </w:rPr>
        <w:t xml:space="preserve">Therefore from the findings and observation it can be concluded that Tesco plc run out of liquidity problems while paying its obligations(short term). </w:t>
      </w:r>
      <w:r w:rsidR="006239EF" w:rsidRPr="00AB422B">
        <w:rPr>
          <w:rFonts w:ascii="Times New Roman" w:hAnsi="Times New Roman" w:cs="Times New Roman"/>
          <w:sz w:val="24"/>
          <w:szCs w:val="24"/>
        </w:rPr>
        <w:t>From the observation it cloud be determined that significant change in cash balance associated to the investment of money to open new stores in other areas by the organization</w:t>
      </w:r>
      <w:r w:rsidR="009C58B7" w:rsidRPr="00AB422B">
        <w:rPr>
          <w:rFonts w:ascii="Times New Roman" w:hAnsi="Times New Roman" w:cs="Times New Roman"/>
          <w:sz w:val="24"/>
          <w:szCs w:val="24"/>
        </w:rPr>
        <w:t xml:space="preserve">. </w:t>
      </w:r>
      <w:r w:rsidR="006239EF" w:rsidRPr="00AB422B">
        <w:rPr>
          <w:rFonts w:ascii="Times New Roman" w:hAnsi="Times New Roman" w:cs="Times New Roman"/>
          <w:sz w:val="24"/>
          <w:szCs w:val="24"/>
        </w:rPr>
        <w:t xml:space="preserve">  </w:t>
      </w:r>
      <w:r w:rsidR="00285635" w:rsidRPr="00AB422B">
        <w:rPr>
          <w:rFonts w:ascii="Times New Roman" w:hAnsi="Times New Roman" w:cs="Times New Roman"/>
          <w:sz w:val="24"/>
          <w:szCs w:val="24"/>
        </w:rPr>
        <w:t xml:space="preserve">   </w:t>
      </w:r>
      <w:r w:rsidR="00892C7C" w:rsidRPr="00AB422B">
        <w:rPr>
          <w:rFonts w:ascii="Times New Roman" w:hAnsi="Times New Roman" w:cs="Times New Roman"/>
          <w:sz w:val="24"/>
          <w:szCs w:val="24"/>
        </w:rPr>
        <w:t xml:space="preserve">  </w:t>
      </w:r>
    </w:p>
    <w:p w:rsidR="00FD7A86" w:rsidRPr="00AB422B" w:rsidRDefault="009C58B7" w:rsidP="002858A6">
      <w:pPr>
        <w:pStyle w:val="Heading4"/>
        <w:rPr>
          <w:color w:val="auto"/>
        </w:rPr>
      </w:pPr>
      <w:r w:rsidRPr="00AB422B">
        <w:rPr>
          <w:color w:val="auto"/>
        </w:rPr>
        <w:t>Quick ratios</w:t>
      </w:r>
      <w:r w:rsidR="00892C7C" w:rsidRPr="00AB422B">
        <w:rPr>
          <w:color w:val="auto"/>
        </w:rPr>
        <w:t xml:space="preserve"> </w:t>
      </w:r>
      <w:r w:rsidR="00D3553E" w:rsidRPr="00AB422B">
        <w:rPr>
          <w:color w:val="auto"/>
        </w:rPr>
        <w:t xml:space="preserve">  </w:t>
      </w:r>
      <w:r w:rsidR="00E7025F" w:rsidRPr="00AB422B">
        <w:rPr>
          <w:color w:val="auto"/>
        </w:rPr>
        <w:t xml:space="preserve"> </w:t>
      </w:r>
      <w:r w:rsidR="00982E0D" w:rsidRPr="00AB422B">
        <w:rPr>
          <w:color w:val="auto"/>
        </w:rPr>
        <w:t xml:space="preserve">   </w:t>
      </w:r>
      <w:r w:rsidR="00FD7A86" w:rsidRPr="00AB422B">
        <w:rPr>
          <w:color w:val="auto"/>
        </w:rPr>
        <w:t xml:space="preserve">    </w:t>
      </w:r>
    </w:p>
    <w:p w:rsidR="006523A4" w:rsidRPr="00AB422B" w:rsidRDefault="003251E1"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Quick ratios analysis helps the management of the organization to measure current assets not including inventories to match the current liabilities. From the </w:t>
      </w:r>
      <w:r w:rsidR="00337259" w:rsidRPr="00AB422B">
        <w:rPr>
          <w:rFonts w:ascii="Times New Roman" w:hAnsi="Times New Roman" w:cs="Times New Roman"/>
          <w:sz w:val="24"/>
          <w:szCs w:val="24"/>
        </w:rPr>
        <w:t>Fig2.2</w:t>
      </w:r>
      <w:r w:rsidR="00940116" w:rsidRPr="00AB422B">
        <w:rPr>
          <w:rFonts w:ascii="Times New Roman" w:hAnsi="Times New Roman" w:cs="Times New Roman"/>
          <w:sz w:val="24"/>
          <w:szCs w:val="24"/>
        </w:rPr>
        <w:t>:</w:t>
      </w:r>
      <w:r w:rsidRPr="00AB422B">
        <w:rPr>
          <w:rFonts w:ascii="Times New Roman" w:hAnsi="Times New Roman" w:cs="Times New Roman"/>
          <w:sz w:val="24"/>
          <w:szCs w:val="24"/>
        </w:rPr>
        <w:t xml:space="preserve"> it is seen that Tesco plc quick ratios</w:t>
      </w:r>
      <w:r w:rsidR="00196351" w:rsidRPr="00AB422B">
        <w:rPr>
          <w:rFonts w:ascii="Times New Roman" w:hAnsi="Times New Roman" w:cs="Times New Roman"/>
          <w:sz w:val="24"/>
          <w:szCs w:val="24"/>
        </w:rPr>
        <w:t xml:space="preserve"> is decreased from FY2013 to FY2014 by</w:t>
      </w:r>
      <w:r w:rsidR="00125210" w:rsidRPr="00AB422B">
        <w:rPr>
          <w:rFonts w:ascii="Times New Roman" w:hAnsi="Times New Roman" w:cs="Times New Roman"/>
          <w:sz w:val="24"/>
          <w:szCs w:val="24"/>
        </w:rPr>
        <w:t xml:space="preserve"> 3.2% from 0.67 to 0.50 respectively. The significant decrease in quick ratios </w:t>
      </w:r>
      <w:r w:rsidR="00B60939" w:rsidRPr="00AB422B">
        <w:rPr>
          <w:rFonts w:ascii="Times New Roman" w:hAnsi="Times New Roman" w:cs="Times New Roman"/>
          <w:sz w:val="24"/>
          <w:szCs w:val="24"/>
        </w:rPr>
        <w:t xml:space="preserve">shows </w:t>
      </w:r>
      <w:r w:rsidR="007D3205" w:rsidRPr="00AB422B">
        <w:rPr>
          <w:rFonts w:ascii="Times New Roman" w:hAnsi="Times New Roman" w:cs="Times New Roman"/>
          <w:sz w:val="24"/>
          <w:szCs w:val="24"/>
        </w:rPr>
        <w:t xml:space="preserve">that organization has </w:t>
      </w:r>
      <w:r w:rsidR="00B60939" w:rsidRPr="00AB422B">
        <w:rPr>
          <w:rFonts w:ascii="Times New Roman" w:hAnsi="Times New Roman" w:cs="Times New Roman"/>
          <w:sz w:val="24"/>
          <w:szCs w:val="24"/>
        </w:rPr>
        <w:t>not ability to</w:t>
      </w:r>
      <w:r w:rsidR="007D3205" w:rsidRPr="00AB422B">
        <w:rPr>
          <w:rFonts w:ascii="Times New Roman" w:hAnsi="Times New Roman" w:cs="Times New Roman"/>
          <w:sz w:val="24"/>
          <w:szCs w:val="24"/>
        </w:rPr>
        <w:t xml:space="preserve"> pay its short term obligations that hampered the company performance effectively.  </w:t>
      </w:r>
      <w:r w:rsidR="00B60939" w:rsidRPr="00AB422B">
        <w:rPr>
          <w:rFonts w:ascii="Times New Roman" w:hAnsi="Times New Roman" w:cs="Times New Roman"/>
          <w:sz w:val="24"/>
          <w:szCs w:val="24"/>
        </w:rPr>
        <w:t xml:space="preserve">On the other hand performance of the quick ratios </w:t>
      </w:r>
      <w:r w:rsidR="00121B5B" w:rsidRPr="00AB422B">
        <w:rPr>
          <w:rFonts w:ascii="Times New Roman" w:hAnsi="Times New Roman" w:cs="Times New Roman"/>
          <w:sz w:val="24"/>
          <w:szCs w:val="24"/>
        </w:rPr>
        <w:t>had</w:t>
      </w:r>
      <w:r w:rsidR="00B60939" w:rsidRPr="00AB422B">
        <w:rPr>
          <w:rFonts w:ascii="Times New Roman" w:hAnsi="Times New Roman" w:cs="Times New Roman"/>
          <w:sz w:val="24"/>
          <w:szCs w:val="24"/>
        </w:rPr>
        <w:t xml:space="preserve"> increased by </w:t>
      </w:r>
      <w:r w:rsidR="009021B7" w:rsidRPr="00AB422B">
        <w:rPr>
          <w:rFonts w:ascii="Times New Roman" w:hAnsi="Times New Roman" w:cs="Times New Roman"/>
          <w:sz w:val="24"/>
          <w:szCs w:val="24"/>
        </w:rPr>
        <w:t>2.56% from 0.45 to</w:t>
      </w:r>
      <w:r w:rsidR="001212DB" w:rsidRPr="00AB422B">
        <w:rPr>
          <w:rFonts w:ascii="Times New Roman" w:hAnsi="Times New Roman" w:cs="Times New Roman"/>
          <w:sz w:val="24"/>
          <w:szCs w:val="24"/>
        </w:rPr>
        <w:t xml:space="preserve"> </w:t>
      </w:r>
      <w:r w:rsidR="009021B7" w:rsidRPr="00AB422B">
        <w:rPr>
          <w:rFonts w:ascii="Times New Roman" w:hAnsi="Times New Roman" w:cs="Times New Roman"/>
          <w:sz w:val="24"/>
          <w:szCs w:val="24"/>
        </w:rPr>
        <w:t xml:space="preserve">0.59 from FY2014 to FY2015; which signifies that </w:t>
      </w:r>
      <w:r w:rsidR="00D118B1" w:rsidRPr="00AB422B">
        <w:rPr>
          <w:rFonts w:ascii="Times New Roman" w:hAnsi="Times New Roman" w:cs="Times New Roman"/>
          <w:sz w:val="24"/>
          <w:szCs w:val="24"/>
        </w:rPr>
        <w:t xml:space="preserve">organization accomplish better performance in terms of quick that shows that Tesco plc has better quick ratios to </w:t>
      </w:r>
      <w:r w:rsidR="00970E37" w:rsidRPr="00AB422B">
        <w:rPr>
          <w:rFonts w:ascii="Times New Roman" w:hAnsi="Times New Roman" w:cs="Times New Roman"/>
          <w:sz w:val="24"/>
          <w:szCs w:val="24"/>
        </w:rPr>
        <w:t xml:space="preserve">fulfill short liabilities assets obligations in </w:t>
      </w:r>
      <w:r w:rsidR="00150155" w:rsidRPr="00AB422B">
        <w:rPr>
          <w:rFonts w:ascii="Times New Roman" w:hAnsi="Times New Roman" w:cs="Times New Roman"/>
          <w:sz w:val="24"/>
          <w:szCs w:val="24"/>
        </w:rPr>
        <w:t>FY2016</w:t>
      </w:r>
      <w:r w:rsidR="00970E37" w:rsidRPr="00AB422B">
        <w:rPr>
          <w:rFonts w:ascii="Times New Roman" w:hAnsi="Times New Roman" w:cs="Times New Roman"/>
          <w:sz w:val="24"/>
          <w:szCs w:val="24"/>
        </w:rPr>
        <w:t xml:space="preserve">.    </w:t>
      </w:r>
      <w:r w:rsidR="00D118B1" w:rsidRPr="00AB422B">
        <w:rPr>
          <w:rFonts w:ascii="Times New Roman" w:hAnsi="Times New Roman" w:cs="Times New Roman"/>
          <w:sz w:val="24"/>
          <w:szCs w:val="24"/>
        </w:rPr>
        <w:t xml:space="preserve">  </w:t>
      </w:r>
      <w:r w:rsidR="00B60939" w:rsidRPr="00AB422B">
        <w:rPr>
          <w:rFonts w:ascii="Times New Roman" w:hAnsi="Times New Roman" w:cs="Times New Roman"/>
          <w:sz w:val="24"/>
          <w:szCs w:val="24"/>
        </w:rPr>
        <w:t xml:space="preserve"> </w:t>
      </w:r>
      <w:r w:rsidR="007D3205" w:rsidRPr="00AB422B">
        <w:rPr>
          <w:rFonts w:ascii="Times New Roman" w:hAnsi="Times New Roman" w:cs="Times New Roman"/>
          <w:sz w:val="24"/>
          <w:szCs w:val="24"/>
        </w:rPr>
        <w:t xml:space="preserve">  </w:t>
      </w:r>
      <w:r w:rsidR="00125210" w:rsidRPr="00AB422B">
        <w:rPr>
          <w:rFonts w:ascii="Times New Roman" w:hAnsi="Times New Roman" w:cs="Times New Roman"/>
          <w:sz w:val="24"/>
          <w:szCs w:val="24"/>
        </w:rPr>
        <w:t xml:space="preserve">  </w:t>
      </w:r>
      <w:r w:rsidRPr="00AB422B">
        <w:rPr>
          <w:rFonts w:ascii="Times New Roman" w:hAnsi="Times New Roman" w:cs="Times New Roman"/>
          <w:sz w:val="24"/>
          <w:szCs w:val="24"/>
        </w:rPr>
        <w:t xml:space="preserve">      </w:t>
      </w:r>
    </w:p>
    <w:p w:rsidR="005C408A" w:rsidRPr="00AB422B" w:rsidRDefault="005C408A" w:rsidP="002858A6">
      <w:pPr>
        <w:pStyle w:val="Heading3"/>
        <w:rPr>
          <w:color w:val="auto"/>
        </w:rPr>
      </w:pPr>
      <w:bookmarkStart w:id="8" w:name="_Toc502257264"/>
      <w:r w:rsidRPr="00AB422B">
        <w:rPr>
          <w:color w:val="auto"/>
        </w:rPr>
        <w:t>Possible explanation of changes of current ratios</w:t>
      </w:r>
      <w:bookmarkEnd w:id="8"/>
    </w:p>
    <w:p w:rsidR="00121B5B" w:rsidRPr="00AB422B" w:rsidRDefault="005C408A" w:rsidP="00121B5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The reducing of the current ratios in year of 2015 c</w:t>
      </w:r>
      <w:r w:rsidR="001E2700" w:rsidRPr="00AB422B">
        <w:rPr>
          <w:rFonts w:ascii="Times New Roman" w:hAnsi="Times New Roman" w:cs="Times New Roman"/>
          <w:sz w:val="24"/>
          <w:szCs w:val="24"/>
        </w:rPr>
        <w:t>ould</w:t>
      </w:r>
      <w:r w:rsidRPr="00AB422B">
        <w:rPr>
          <w:rFonts w:ascii="Times New Roman" w:hAnsi="Times New Roman" w:cs="Times New Roman"/>
          <w:sz w:val="24"/>
          <w:szCs w:val="24"/>
        </w:rPr>
        <w:t xml:space="preserve"> </w:t>
      </w:r>
      <w:r w:rsidR="001E2700" w:rsidRPr="00AB422B">
        <w:rPr>
          <w:rFonts w:ascii="Times New Roman" w:hAnsi="Times New Roman" w:cs="Times New Roman"/>
          <w:sz w:val="24"/>
          <w:szCs w:val="24"/>
        </w:rPr>
        <w:t>be</w:t>
      </w:r>
      <w:r w:rsidRPr="00AB422B">
        <w:rPr>
          <w:rFonts w:ascii="Times New Roman" w:hAnsi="Times New Roman" w:cs="Times New Roman"/>
          <w:sz w:val="24"/>
          <w:szCs w:val="24"/>
        </w:rPr>
        <w:t xml:space="preserve"> attributed to the reduction of current liabilities and current assists of about</w:t>
      </w:r>
      <w:r w:rsidR="001E2700" w:rsidRPr="00AB422B">
        <w:rPr>
          <w:rFonts w:ascii="Times New Roman" w:hAnsi="Times New Roman" w:cs="Times New Roman"/>
          <w:sz w:val="24"/>
          <w:szCs w:val="24"/>
        </w:rPr>
        <w:t xml:space="preserve"> 2.6% and 1.3% respectively</w:t>
      </w:r>
      <w:r w:rsidR="008B169A" w:rsidRPr="00AB422B">
        <w:rPr>
          <w:rFonts w:ascii="Times New Roman" w:hAnsi="Times New Roman" w:cs="Times New Roman"/>
          <w:sz w:val="24"/>
          <w:szCs w:val="24"/>
        </w:rPr>
        <w:t xml:space="preserve">, </w:t>
      </w:r>
      <w:r w:rsidR="006F2719" w:rsidRPr="00AB422B">
        <w:rPr>
          <w:rFonts w:ascii="Times New Roman" w:hAnsi="Times New Roman" w:cs="Times New Roman"/>
          <w:sz w:val="24"/>
          <w:szCs w:val="24"/>
        </w:rPr>
        <w:t>which is driven by reduces of 1.</w:t>
      </w:r>
      <w:r w:rsidR="008B169A" w:rsidRPr="00AB422B">
        <w:rPr>
          <w:rFonts w:ascii="Times New Roman" w:hAnsi="Times New Roman" w:cs="Times New Roman"/>
          <w:sz w:val="24"/>
          <w:szCs w:val="24"/>
        </w:rPr>
        <w:t xml:space="preserve">2% in inventory, 5.2% in trade and other receivables. </w:t>
      </w:r>
      <w:r w:rsidR="006F2719" w:rsidRPr="00AB422B">
        <w:rPr>
          <w:rFonts w:ascii="Times New Roman" w:hAnsi="Times New Roman" w:cs="Times New Roman"/>
          <w:sz w:val="24"/>
          <w:szCs w:val="24"/>
        </w:rPr>
        <w:t xml:space="preserve">The significant reduction of the quick ratios to the current ratios shows that </w:t>
      </w:r>
      <w:r w:rsidR="00124BAC" w:rsidRPr="00AB422B">
        <w:rPr>
          <w:rFonts w:ascii="Times New Roman" w:hAnsi="Times New Roman" w:cs="Times New Roman"/>
          <w:sz w:val="24"/>
          <w:szCs w:val="24"/>
        </w:rPr>
        <w:t>organization performance is not much better</w:t>
      </w:r>
      <w:r w:rsidR="00B21305" w:rsidRPr="00AB422B">
        <w:rPr>
          <w:rFonts w:ascii="Times New Roman" w:hAnsi="Times New Roman" w:cs="Times New Roman"/>
          <w:sz w:val="24"/>
          <w:szCs w:val="24"/>
        </w:rPr>
        <w:t xml:space="preserve"> (Rodgers, 2008)</w:t>
      </w:r>
      <w:r w:rsidR="00124BAC" w:rsidRPr="00AB422B">
        <w:rPr>
          <w:rFonts w:ascii="Times New Roman" w:hAnsi="Times New Roman" w:cs="Times New Roman"/>
          <w:sz w:val="24"/>
          <w:szCs w:val="24"/>
        </w:rPr>
        <w:t xml:space="preserve">. </w:t>
      </w:r>
      <w:r w:rsidR="00121B5B" w:rsidRPr="00AB422B">
        <w:rPr>
          <w:rFonts w:ascii="Times New Roman" w:hAnsi="Times New Roman" w:cs="Times New Roman"/>
          <w:sz w:val="24"/>
          <w:szCs w:val="24"/>
        </w:rPr>
        <w:t xml:space="preserve">The main reason of the reduction of the current ratios from FY 2014 to FY 2015 is that the organization had achieved very few trade receivables on the financial statement. In addition to this increment of the current liabilities and current assets of the company in the year of 2014 to 2015 had reduced the performance of the company and decreased the liquidity performance of the organization. The increment of the inventory holding can be referred as the under use of </w:t>
      </w:r>
      <w:r w:rsidR="00121B5B" w:rsidRPr="00AB422B">
        <w:rPr>
          <w:rFonts w:ascii="Times New Roman" w:hAnsi="Times New Roman" w:cs="Times New Roman"/>
          <w:sz w:val="24"/>
          <w:szCs w:val="24"/>
        </w:rPr>
        <w:lastRenderedPageBreak/>
        <w:t xml:space="preserve">technical equipments purchased by the association as the company needed to spend some time for ensuring better infrastructure and technology up gradation for putting of those equipment in the operations for the objective of accomplishing better revenues.                  </w:t>
      </w:r>
    </w:p>
    <w:p w:rsidR="000947D5" w:rsidRPr="00AB422B" w:rsidRDefault="0007521A" w:rsidP="005C408A">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     </w:t>
      </w:r>
      <w:r w:rsidR="00FD6FFB" w:rsidRPr="00AB422B">
        <w:rPr>
          <w:rFonts w:ascii="Times New Roman" w:hAnsi="Times New Roman" w:cs="Times New Roman"/>
          <w:sz w:val="24"/>
          <w:szCs w:val="24"/>
        </w:rPr>
        <w:t xml:space="preserve">  </w:t>
      </w:r>
      <w:r w:rsidR="00EF341C" w:rsidRPr="00AB422B">
        <w:rPr>
          <w:rFonts w:ascii="Times New Roman" w:hAnsi="Times New Roman" w:cs="Times New Roman"/>
          <w:sz w:val="24"/>
          <w:szCs w:val="24"/>
        </w:rPr>
        <w:t xml:space="preserve">  </w:t>
      </w:r>
      <w:r w:rsidR="00124BAC" w:rsidRPr="00AB422B">
        <w:rPr>
          <w:rFonts w:ascii="Times New Roman" w:hAnsi="Times New Roman" w:cs="Times New Roman"/>
          <w:sz w:val="24"/>
          <w:szCs w:val="24"/>
        </w:rPr>
        <w:t xml:space="preserve"> </w:t>
      </w:r>
      <w:r w:rsidR="006F2719" w:rsidRPr="00AB422B">
        <w:rPr>
          <w:rFonts w:ascii="Times New Roman" w:hAnsi="Times New Roman" w:cs="Times New Roman"/>
          <w:sz w:val="24"/>
          <w:szCs w:val="24"/>
        </w:rPr>
        <w:t xml:space="preserve"> </w:t>
      </w:r>
    </w:p>
    <w:p w:rsidR="002B3B73" w:rsidRPr="00AB422B" w:rsidRDefault="000947D5" w:rsidP="005C408A">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 The decline of the liquidity positions of the company may raised due to fact that company invest its money to open new stores in some areas during FY2015 also supported that reduced in cash balance. Apart from that short term investor may become anxious</w:t>
      </w:r>
      <w:r w:rsidR="00C83078" w:rsidRPr="00AB422B">
        <w:rPr>
          <w:rFonts w:ascii="Times New Roman" w:hAnsi="Times New Roman" w:cs="Times New Roman"/>
          <w:sz w:val="24"/>
          <w:szCs w:val="24"/>
        </w:rPr>
        <w:t xml:space="preserve"> when they observed performance of the company in terms of liquidity is not up to the mark. This anxiety could lead to steps taken to press for imbu</w:t>
      </w:r>
      <w:r w:rsidR="005905A6" w:rsidRPr="00AB422B">
        <w:rPr>
          <w:rFonts w:ascii="Times New Roman" w:hAnsi="Times New Roman" w:cs="Times New Roman"/>
          <w:sz w:val="24"/>
          <w:szCs w:val="24"/>
        </w:rPr>
        <w:t>rsement and this could increase</w:t>
      </w:r>
      <w:r w:rsidR="00C83078" w:rsidRPr="00AB422B">
        <w:rPr>
          <w:rFonts w:ascii="Times New Roman" w:hAnsi="Times New Roman" w:cs="Times New Roman"/>
          <w:sz w:val="24"/>
          <w:szCs w:val="24"/>
        </w:rPr>
        <w:t xml:space="preserve"> the problem for the organization</w:t>
      </w:r>
      <w:r w:rsidR="002B3B73" w:rsidRPr="00AB422B">
        <w:rPr>
          <w:rFonts w:ascii="Times New Roman" w:hAnsi="Times New Roman" w:cs="Times New Roman"/>
          <w:sz w:val="24"/>
          <w:szCs w:val="24"/>
        </w:rPr>
        <w:t xml:space="preserve">. </w:t>
      </w:r>
    </w:p>
    <w:p w:rsidR="005905A6" w:rsidRPr="00AB422B" w:rsidRDefault="005905A6" w:rsidP="005905A6">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The observation shows that both quick ratios as well as current ratios of the company is not above than one; thereby it is vital for the organization to implement cost cutting approaches and adoption of a suitable management strategy that would help them to solve these issues in better manner. In addition to this it observed that company had achieved low levels of trade receivable thereby to solve these issues, the management of the company needs to implement best strategies of collecting its trade receivable such as implement discount strategies.                             </w:t>
      </w:r>
    </w:p>
    <w:p w:rsidR="005C408A" w:rsidRPr="00AB422B" w:rsidRDefault="005C408A" w:rsidP="006142E5">
      <w:pPr>
        <w:spacing w:line="360" w:lineRule="auto"/>
        <w:jc w:val="both"/>
        <w:rPr>
          <w:rFonts w:ascii="Times New Roman" w:hAnsi="Times New Roman" w:cs="Times New Roman"/>
          <w:sz w:val="24"/>
          <w:szCs w:val="24"/>
        </w:rPr>
      </w:pPr>
    </w:p>
    <w:p w:rsidR="005C408A" w:rsidRPr="00AB422B" w:rsidRDefault="005C408A" w:rsidP="006142E5">
      <w:pPr>
        <w:spacing w:line="360" w:lineRule="auto"/>
        <w:jc w:val="both"/>
        <w:rPr>
          <w:rFonts w:ascii="Times New Roman" w:hAnsi="Times New Roman" w:cs="Times New Roman"/>
          <w:sz w:val="24"/>
          <w:szCs w:val="24"/>
        </w:rPr>
      </w:pPr>
    </w:p>
    <w:p w:rsidR="00CE04AB" w:rsidRPr="00AB422B" w:rsidRDefault="00CE04AB" w:rsidP="00381259">
      <w:pPr>
        <w:pStyle w:val="Heading3"/>
        <w:rPr>
          <w:color w:val="auto"/>
        </w:rPr>
      </w:pPr>
      <w:bookmarkStart w:id="9" w:name="_Toc502257265"/>
      <w:r w:rsidRPr="00AB422B">
        <w:rPr>
          <w:color w:val="auto"/>
        </w:rPr>
        <w:t>2.2.3 Efficiency ratios</w:t>
      </w:r>
      <w:bookmarkEnd w:id="9"/>
      <w:r w:rsidRPr="00AB422B">
        <w:rPr>
          <w:color w:val="auto"/>
        </w:rPr>
        <w:t xml:space="preserve"> </w:t>
      </w:r>
    </w:p>
    <w:p w:rsidR="00B70A66" w:rsidRPr="00AB422B" w:rsidRDefault="00B70A66" w:rsidP="006142E5">
      <w:pPr>
        <w:spacing w:line="360" w:lineRule="auto"/>
        <w:jc w:val="both"/>
        <w:rPr>
          <w:noProof/>
        </w:rPr>
      </w:pPr>
      <w:r w:rsidRPr="00AB422B">
        <w:rPr>
          <w:rFonts w:ascii="Times New Roman" w:hAnsi="Times New Roman" w:cs="Times New Roman"/>
          <w:b/>
          <w:noProof/>
          <w:sz w:val="24"/>
          <w:szCs w:val="24"/>
          <w:lang w:val="en-IN" w:eastAsia="en-IN"/>
        </w:rPr>
        <w:drawing>
          <wp:inline distT="0" distB="0" distL="0" distR="0">
            <wp:extent cx="2487369" cy="2105247"/>
            <wp:effectExtent l="19050" t="0" r="27231" b="9303"/>
            <wp:docPr id="10"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AB422B">
        <w:rPr>
          <w:noProof/>
        </w:rPr>
        <w:t xml:space="preserve"> </w:t>
      </w:r>
      <w:r w:rsidRPr="00AB422B">
        <w:rPr>
          <w:rFonts w:ascii="Times New Roman" w:hAnsi="Times New Roman" w:cs="Times New Roman"/>
          <w:b/>
          <w:noProof/>
          <w:sz w:val="24"/>
          <w:szCs w:val="24"/>
          <w:lang w:val="en-IN" w:eastAsia="en-IN"/>
        </w:rPr>
        <w:drawing>
          <wp:inline distT="0" distB="0" distL="0" distR="0">
            <wp:extent cx="2559891" cy="2108259"/>
            <wp:effectExtent l="19050" t="0" r="11859" b="6291"/>
            <wp:docPr id="11"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B50F6" w:rsidRPr="00AB422B" w:rsidRDefault="00AB50F6" w:rsidP="006142E5">
      <w:pPr>
        <w:spacing w:line="360" w:lineRule="auto"/>
        <w:jc w:val="both"/>
        <w:rPr>
          <w:b/>
          <w:noProof/>
        </w:rPr>
      </w:pPr>
      <w:r w:rsidRPr="00AB422B">
        <w:rPr>
          <w:rFonts w:ascii="Times New Roman" w:hAnsi="Times New Roman" w:cs="Times New Roman"/>
          <w:b/>
          <w:noProof/>
          <w:sz w:val="24"/>
          <w:szCs w:val="24"/>
        </w:rPr>
        <w:t>Fig2.3:</w:t>
      </w:r>
      <w:r w:rsidRPr="00AB422B">
        <w:rPr>
          <w:rFonts w:ascii="Times New Roman" w:hAnsi="Times New Roman" w:cs="Times New Roman"/>
          <w:b/>
          <w:sz w:val="24"/>
          <w:szCs w:val="24"/>
        </w:rPr>
        <w:t xml:space="preserve"> Efficiency ratios</w:t>
      </w:r>
    </w:p>
    <w:p w:rsidR="00C32DDB" w:rsidRPr="00AB422B" w:rsidRDefault="00B21305"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lastRenderedPageBreak/>
        <w:t xml:space="preserve">According to the Ross, </w:t>
      </w:r>
      <w:proofErr w:type="spellStart"/>
      <w:r w:rsidRPr="00AB422B">
        <w:rPr>
          <w:rFonts w:ascii="Times New Roman" w:hAnsi="Times New Roman" w:cs="Times New Roman"/>
          <w:sz w:val="24"/>
          <w:szCs w:val="24"/>
        </w:rPr>
        <w:t>Westerfield</w:t>
      </w:r>
      <w:proofErr w:type="spellEnd"/>
      <w:r w:rsidRPr="00AB422B">
        <w:rPr>
          <w:rFonts w:ascii="Times New Roman" w:hAnsi="Times New Roman" w:cs="Times New Roman"/>
          <w:sz w:val="24"/>
          <w:szCs w:val="24"/>
        </w:rPr>
        <w:t>, and Jaffe, (2005), Efficenceny</w:t>
      </w:r>
      <w:r w:rsidR="00C97494" w:rsidRPr="00AB422B">
        <w:rPr>
          <w:rFonts w:ascii="Times New Roman" w:hAnsi="Times New Roman" w:cs="Times New Roman"/>
          <w:sz w:val="24"/>
          <w:szCs w:val="24"/>
        </w:rPr>
        <w:t xml:space="preserve"> ratios help the management of the organization to find out of assets use in the organization. Apart from that efficiency ratio also helps to find out how organization liabilities are managed. </w:t>
      </w:r>
      <w:r w:rsidR="00C32DDB" w:rsidRPr="00AB422B">
        <w:rPr>
          <w:rFonts w:ascii="Times New Roman" w:hAnsi="Times New Roman" w:cs="Times New Roman"/>
          <w:sz w:val="24"/>
          <w:szCs w:val="24"/>
        </w:rPr>
        <w:t xml:space="preserve">Here two basic efficiency ratios such as total assets turnover and return on capital employed are used. </w:t>
      </w:r>
    </w:p>
    <w:p w:rsidR="00C32DDB" w:rsidRPr="00AB422B" w:rsidRDefault="00C32DDB" w:rsidP="00381259">
      <w:pPr>
        <w:pStyle w:val="Heading4"/>
        <w:rPr>
          <w:color w:val="auto"/>
        </w:rPr>
      </w:pPr>
      <w:r w:rsidRPr="00AB422B">
        <w:rPr>
          <w:color w:val="auto"/>
        </w:rPr>
        <w:t xml:space="preserve"> ROCE</w:t>
      </w:r>
    </w:p>
    <w:p w:rsidR="00C32DDB" w:rsidRPr="00AB422B" w:rsidRDefault="00C32DDB"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Return on capital employed mainly shows that earning </w:t>
      </w:r>
      <w:r w:rsidR="00125569" w:rsidRPr="00AB422B">
        <w:rPr>
          <w:rFonts w:ascii="Times New Roman" w:hAnsi="Times New Roman" w:cs="Times New Roman"/>
          <w:sz w:val="24"/>
          <w:szCs w:val="24"/>
        </w:rPr>
        <w:t xml:space="preserve">of the organization achieves form the capital investment in the resources of the company. From the observation it has been occurred that performance of Tesco in terms of ROCE </w:t>
      </w:r>
      <w:r w:rsidR="005905A6" w:rsidRPr="00AB422B">
        <w:rPr>
          <w:rFonts w:ascii="Times New Roman" w:hAnsi="Times New Roman" w:cs="Times New Roman"/>
          <w:sz w:val="24"/>
          <w:szCs w:val="24"/>
        </w:rPr>
        <w:t>had been</w:t>
      </w:r>
      <w:r w:rsidR="00125569" w:rsidRPr="00AB422B">
        <w:rPr>
          <w:rFonts w:ascii="Times New Roman" w:hAnsi="Times New Roman" w:cs="Times New Roman"/>
          <w:sz w:val="24"/>
          <w:szCs w:val="24"/>
        </w:rPr>
        <w:t xml:space="preserve"> much better in year of 2012(15.17%) which decline</w:t>
      </w:r>
      <w:r w:rsidR="005905A6" w:rsidRPr="00AB422B">
        <w:rPr>
          <w:rFonts w:ascii="Times New Roman" w:hAnsi="Times New Roman" w:cs="Times New Roman"/>
          <w:sz w:val="24"/>
          <w:szCs w:val="24"/>
        </w:rPr>
        <w:t>d</w:t>
      </w:r>
      <w:r w:rsidR="00125569" w:rsidRPr="00AB422B">
        <w:rPr>
          <w:rFonts w:ascii="Times New Roman" w:hAnsi="Times New Roman" w:cs="Times New Roman"/>
          <w:sz w:val="24"/>
          <w:szCs w:val="24"/>
        </w:rPr>
        <w:t xml:space="preserve"> by 5.67% from FY 2012 to FY2013 (8.22%) respectively. </w:t>
      </w:r>
      <w:r w:rsidR="00CC3C77" w:rsidRPr="00AB422B">
        <w:rPr>
          <w:rFonts w:ascii="Times New Roman" w:hAnsi="Times New Roman" w:cs="Times New Roman"/>
          <w:sz w:val="24"/>
          <w:szCs w:val="24"/>
        </w:rPr>
        <w:t>Further performance of the company increases from FY2013 to FY2014 and it further decrease</w:t>
      </w:r>
      <w:r w:rsidR="005905A6" w:rsidRPr="00AB422B">
        <w:rPr>
          <w:rFonts w:ascii="Times New Roman" w:hAnsi="Times New Roman" w:cs="Times New Roman"/>
          <w:sz w:val="24"/>
          <w:szCs w:val="24"/>
        </w:rPr>
        <w:t>d</w:t>
      </w:r>
      <w:r w:rsidR="00CC3C77" w:rsidRPr="00AB422B">
        <w:rPr>
          <w:rFonts w:ascii="Times New Roman" w:hAnsi="Times New Roman" w:cs="Times New Roman"/>
          <w:sz w:val="24"/>
          <w:szCs w:val="24"/>
        </w:rPr>
        <w:t xml:space="preserve"> from FY2015 by 4.12% respectively. Overall it is said that performance of the ROCE of the company</w:t>
      </w:r>
      <w:r w:rsidR="006473CE" w:rsidRPr="00AB422B">
        <w:rPr>
          <w:rFonts w:ascii="Times New Roman" w:hAnsi="Times New Roman" w:cs="Times New Roman"/>
          <w:sz w:val="24"/>
          <w:szCs w:val="24"/>
        </w:rPr>
        <w:t xml:space="preserve"> is not up to the mark. The performance of the company in FY2016 is about 8% which signifies that the company Tesco plc is performing effective as compare to their competitors.</w:t>
      </w:r>
      <w:r w:rsidR="002543AA" w:rsidRPr="00AB422B">
        <w:rPr>
          <w:rFonts w:ascii="Times New Roman" w:hAnsi="Times New Roman" w:cs="Times New Roman"/>
          <w:sz w:val="24"/>
          <w:szCs w:val="24"/>
        </w:rPr>
        <w:t xml:space="preserve"> The outcomes also shows that for each one pound invested in Tesco plc</w:t>
      </w:r>
      <w:r w:rsidR="00915A13" w:rsidRPr="00AB422B">
        <w:rPr>
          <w:rFonts w:ascii="Times New Roman" w:hAnsi="Times New Roman" w:cs="Times New Roman"/>
          <w:sz w:val="24"/>
          <w:szCs w:val="24"/>
        </w:rPr>
        <w:t xml:space="preserve"> the organization has achieved a return of 0.08% as profit before interest and tax.  </w:t>
      </w:r>
      <w:r w:rsidR="006473CE" w:rsidRPr="00AB422B">
        <w:rPr>
          <w:rFonts w:ascii="Times New Roman" w:hAnsi="Times New Roman" w:cs="Times New Roman"/>
          <w:sz w:val="24"/>
          <w:szCs w:val="24"/>
        </w:rPr>
        <w:t xml:space="preserve">      </w:t>
      </w:r>
      <w:r w:rsidR="00CC3C77" w:rsidRPr="00AB422B">
        <w:rPr>
          <w:rFonts w:ascii="Times New Roman" w:hAnsi="Times New Roman" w:cs="Times New Roman"/>
          <w:sz w:val="24"/>
          <w:szCs w:val="24"/>
        </w:rPr>
        <w:t xml:space="preserve">      </w:t>
      </w:r>
      <w:r w:rsidR="00125569" w:rsidRPr="00AB422B">
        <w:rPr>
          <w:rFonts w:ascii="Times New Roman" w:hAnsi="Times New Roman" w:cs="Times New Roman"/>
          <w:sz w:val="24"/>
          <w:szCs w:val="24"/>
        </w:rPr>
        <w:t xml:space="preserve">      </w:t>
      </w:r>
    </w:p>
    <w:p w:rsidR="00A12B98" w:rsidRPr="00AB422B" w:rsidRDefault="00C32DDB" w:rsidP="00381259">
      <w:pPr>
        <w:pStyle w:val="Heading4"/>
        <w:rPr>
          <w:color w:val="auto"/>
        </w:rPr>
      </w:pPr>
      <w:r w:rsidRPr="00AB422B">
        <w:rPr>
          <w:color w:val="auto"/>
        </w:rPr>
        <w:t xml:space="preserve"> </w:t>
      </w:r>
      <w:r w:rsidR="00A12B98" w:rsidRPr="00AB422B">
        <w:rPr>
          <w:color w:val="auto"/>
        </w:rPr>
        <w:t xml:space="preserve">Total assets turnover </w:t>
      </w:r>
    </w:p>
    <w:p w:rsidR="00A22F31" w:rsidRPr="00AB422B" w:rsidRDefault="00C32DDB"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 </w:t>
      </w:r>
      <w:r w:rsidR="00A12B98" w:rsidRPr="00AB422B">
        <w:rPr>
          <w:rFonts w:ascii="Times New Roman" w:hAnsi="Times New Roman" w:cs="Times New Roman"/>
          <w:sz w:val="24"/>
          <w:szCs w:val="24"/>
        </w:rPr>
        <w:t xml:space="preserve">Total assets turnover determines that how effectively and efficiency organization is utilizing its resources to generate sales profits. </w:t>
      </w:r>
      <w:r w:rsidR="0023389B" w:rsidRPr="00AB422B">
        <w:rPr>
          <w:rFonts w:ascii="Times New Roman" w:hAnsi="Times New Roman" w:cs="Times New Roman"/>
          <w:sz w:val="24"/>
          <w:szCs w:val="24"/>
        </w:rPr>
        <w:t>The total assists turnover of organization</w:t>
      </w:r>
      <w:r w:rsidR="005905A6" w:rsidRPr="00AB422B">
        <w:rPr>
          <w:rFonts w:ascii="Times New Roman" w:hAnsi="Times New Roman" w:cs="Times New Roman"/>
          <w:sz w:val="24"/>
          <w:szCs w:val="24"/>
        </w:rPr>
        <w:t xml:space="preserve"> had</w:t>
      </w:r>
      <w:r w:rsidR="0023389B" w:rsidRPr="00AB422B">
        <w:rPr>
          <w:rFonts w:ascii="Times New Roman" w:hAnsi="Times New Roman" w:cs="Times New Roman"/>
          <w:sz w:val="24"/>
          <w:szCs w:val="24"/>
        </w:rPr>
        <w:t xml:space="preserve"> increase</w:t>
      </w:r>
      <w:r w:rsidR="005905A6" w:rsidRPr="00AB422B">
        <w:rPr>
          <w:rFonts w:ascii="Times New Roman" w:hAnsi="Times New Roman" w:cs="Times New Roman"/>
          <w:sz w:val="24"/>
          <w:szCs w:val="24"/>
        </w:rPr>
        <w:t>d</w:t>
      </w:r>
      <w:r w:rsidR="0023389B" w:rsidRPr="00AB422B">
        <w:rPr>
          <w:rFonts w:ascii="Times New Roman" w:hAnsi="Times New Roman" w:cs="Times New Roman"/>
          <w:sz w:val="24"/>
          <w:szCs w:val="24"/>
        </w:rPr>
        <w:t xml:space="preserve"> by</w:t>
      </w:r>
      <w:r w:rsidR="009C6435" w:rsidRPr="00AB422B">
        <w:rPr>
          <w:rFonts w:ascii="Times New Roman" w:hAnsi="Times New Roman" w:cs="Times New Roman"/>
          <w:sz w:val="24"/>
          <w:szCs w:val="24"/>
        </w:rPr>
        <w:t xml:space="preserve"> 8% from FY 201</w:t>
      </w:r>
      <w:r w:rsidR="00196722" w:rsidRPr="00AB422B">
        <w:rPr>
          <w:rFonts w:ascii="Times New Roman" w:hAnsi="Times New Roman" w:cs="Times New Roman"/>
          <w:sz w:val="24"/>
          <w:szCs w:val="24"/>
        </w:rPr>
        <w:t>3</w:t>
      </w:r>
      <w:r w:rsidR="009C6435" w:rsidRPr="00AB422B">
        <w:rPr>
          <w:rFonts w:ascii="Times New Roman" w:hAnsi="Times New Roman" w:cs="Times New Roman"/>
          <w:sz w:val="24"/>
          <w:szCs w:val="24"/>
        </w:rPr>
        <w:t xml:space="preserve"> to FY201</w:t>
      </w:r>
      <w:r w:rsidR="00196722" w:rsidRPr="00AB422B">
        <w:rPr>
          <w:rFonts w:ascii="Times New Roman" w:hAnsi="Times New Roman" w:cs="Times New Roman"/>
          <w:sz w:val="24"/>
          <w:szCs w:val="24"/>
        </w:rPr>
        <w:t>4</w:t>
      </w:r>
      <w:r w:rsidR="009C6435" w:rsidRPr="00AB422B">
        <w:rPr>
          <w:rFonts w:ascii="Times New Roman" w:hAnsi="Times New Roman" w:cs="Times New Roman"/>
          <w:sz w:val="24"/>
          <w:szCs w:val="24"/>
        </w:rPr>
        <w:t xml:space="preserve"> respectively this reduction can be associated with reduce in sales performance of the organization </w:t>
      </w:r>
      <w:r w:rsidR="00196722" w:rsidRPr="00AB422B">
        <w:rPr>
          <w:rFonts w:ascii="Times New Roman" w:hAnsi="Times New Roman" w:cs="Times New Roman"/>
          <w:sz w:val="24"/>
          <w:szCs w:val="24"/>
        </w:rPr>
        <w:t xml:space="preserve">in year of 2015. Moreover, the performance of the company also increases by 11% from FY 2015 to FY 2016 which signifies that the incapability of Tesco plc to utilize it assets to make demand in turn to accomplish higher </w:t>
      </w:r>
      <w:r w:rsidR="00A509C2" w:rsidRPr="00AB422B">
        <w:rPr>
          <w:rFonts w:ascii="Times New Roman" w:hAnsi="Times New Roman" w:cs="Times New Roman"/>
          <w:sz w:val="24"/>
          <w:szCs w:val="24"/>
        </w:rPr>
        <w:t xml:space="preserve">revenues. </w:t>
      </w:r>
      <w:r w:rsidR="00196722" w:rsidRPr="00AB422B">
        <w:rPr>
          <w:rFonts w:ascii="Times New Roman" w:hAnsi="Times New Roman" w:cs="Times New Roman"/>
          <w:sz w:val="24"/>
          <w:szCs w:val="24"/>
        </w:rPr>
        <w:t xml:space="preserve">        </w:t>
      </w:r>
      <w:r w:rsidR="009C6435" w:rsidRPr="00AB422B">
        <w:rPr>
          <w:rFonts w:ascii="Times New Roman" w:hAnsi="Times New Roman" w:cs="Times New Roman"/>
          <w:sz w:val="24"/>
          <w:szCs w:val="24"/>
        </w:rPr>
        <w:t xml:space="preserve">  </w:t>
      </w:r>
      <w:r w:rsidR="0023389B" w:rsidRPr="00AB422B">
        <w:rPr>
          <w:rFonts w:ascii="Times New Roman" w:hAnsi="Times New Roman" w:cs="Times New Roman"/>
          <w:sz w:val="24"/>
          <w:szCs w:val="24"/>
        </w:rPr>
        <w:t xml:space="preserve"> </w:t>
      </w:r>
      <w:r w:rsidR="00A12B98" w:rsidRPr="00AB422B">
        <w:rPr>
          <w:rFonts w:ascii="Times New Roman" w:hAnsi="Times New Roman" w:cs="Times New Roman"/>
          <w:sz w:val="24"/>
          <w:szCs w:val="24"/>
        </w:rPr>
        <w:t xml:space="preserve"> </w:t>
      </w:r>
    </w:p>
    <w:p w:rsidR="00A509C2" w:rsidRPr="00AB422B" w:rsidRDefault="00A509C2"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Overall efficiency performance of the organization is not much effective and to solve these problems it is suggested that the organization need to improve in the inventory turnover days that </w:t>
      </w:r>
      <w:r w:rsidR="009A77A3" w:rsidRPr="00AB422B">
        <w:rPr>
          <w:rFonts w:ascii="Times New Roman" w:hAnsi="Times New Roman" w:cs="Times New Roman"/>
          <w:sz w:val="24"/>
          <w:szCs w:val="24"/>
        </w:rPr>
        <w:t xml:space="preserve">would </w:t>
      </w:r>
      <w:r w:rsidRPr="00AB422B">
        <w:rPr>
          <w:rFonts w:ascii="Times New Roman" w:hAnsi="Times New Roman" w:cs="Times New Roman"/>
          <w:sz w:val="24"/>
          <w:szCs w:val="24"/>
        </w:rPr>
        <w:t xml:space="preserve">helps them to generate better profits in successful manner.     </w:t>
      </w:r>
    </w:p>
    <w:p w:rsidR="00A509C2" w:rsidRPr="00AB422B" w:rsidRDefault="00A509C2" w:rsidP="00A509C2">
      <w:pPr>
        <w:pStyle w:val="Heading3"/>
        <w:rPr>
          <w:color w:val="auto"/>
        </w:rPr>
      </w:pPr>
      <w:bookmarkStart w:id="10" w:name="_Toc502257266"/>
      <w:r w:rsidRPr="00AB422B">
        <w:rPr>
          <w:color w:val="auto"/>
        </w:rPr>
        <w:t>Possible explanation of changes of current ratios</w:t>
      </w:r>
      <w:bookmarkEnd w:id="10"/>
    </w:p>
    <w:p w:rsidR="00A509C2" w:rsidRPr="00AB422B" w:rsidRDefault="00042D44"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The increment of the ratios of return on capital employed in FY2016 shows that organization generates positive change of earnings before paying interest and tax rate is increasing over year 2015 to 2016 respectively.</w:t>
      </w:r>
      <w:r w:rsidR="00D613BD" w:rsidRPr="00AB422B">
        <w:rPr>
          <w:rFonts w:ascii="Times New Roman" w:hAnsi="Times New Roman" w:cs="Times New Roman"/>
          <w:sz w:val="24"/>
          <w:szCs w:val="24"/>
        </w:rPr>
        <w:t xml:space="preserve"> In addition to this, </w:t>
      </w:r>
      <w:r w:rsidR="009A77A3" w:rsidRPr="00AB422B">
        <w:rPr>
          <w:rFonts w:ascii="Times New Roman" w:hAnsi="Times New Roman" w:cs="Times New Roman"/>
          <w:sz w:val="24"/>
          <w:szCs w:val="24"/>
        </w:rPr>
        <w:t>increments of the ROCE in FY2016 also indicate</w:t>
      </w:r>
      <w:r w:rsidR="00D613BD" w:rsidRPr="00AB422B">
        <w:rPr>
          <w:rFonts w:ascii="Times New Roman" w:hAnsi="Times New Roman" w:cs="Times New Roman"/>
          <w:sz w:val="24"/>
          <w:szCs w:val="24"/>
        </w:rPr>
        <w:t xml:space="preserve"> that with increase in operating profit </w:t>
      </w:r>
      <w:r w:rsidR="00FB0E6B" w:rsidRPr="00AB422B">
        <w:rPr>
          <w:rFonts w:ascii="Times New Roman" w:hAnsi="Times New Roman" w:cs="Times New Roman"/>
          <w:sz w:val="24"/>
          <w:szCs w:val="24"/>
        </w:rPr>
        <w:t>margin.</w:t>
      </w:r>
      <w:r w:rsidR="008A10C3" w:rsidRPr="00AB422B">
        <w:rPr>
          <w:rFonts w:ascii="Times New Roman" w:hAnsi="Times New Roman" w:cs="Times New Roman"/>
          <w:sz w:val="24"/>
          <w:szCs w:val="24"/>
        </w:rPr>
        <w:t xml:space="preserve"> Moreover it is said that performance of ROCE of </w:t>
      </w:r>
      <w:r w:rsidR="009A77A3" w:rsidRPr="00AB422B">
        <w:rPr>
          <w:rFonts w:ascii="Times New Roman" w:hAnsi="Times New Roman" w:cs="Times New Roman"/>
          <w:sz w:val="24"/>
          <w:szCs w:val="24"/>
        </w:rPr>
        <w:lastRenderedPageBreak/>
        <w:t>the company had been in</w:t>
      </w:r>
      <w:r w:rsidR="008A10C3" w:rsidRPr="00AB422B">
        <w:rPr>
          <w:rFonts w:ascii="Times New Roman" w:hAnsi="Times New Roman" w:cs="Times New Roman"/>
          <w:sz w:val="24"/>
          <w:szCs w:val="24"/>
        </w:rPr>
        <w:t xml:space="preserve"> satisfactory level. Total assets turnover of the company is continuously </w:t>
      </w:r>
      <w:r w:rsidR="009A77A3" w:rsidRPr="00AB422B">
        <w:rPr>
          <w:rFonts w:ascii="Times New Roman" w:hAnsi="Times New Roman" w:cs="Times New Roman"/>
          <w:sz w:val="24"/>
          <w:szCs w:val="24"/>
        </w:rPr>
        <w:t>decreasing</w:t>
      </w:r>
      <w:r w:rsidR="007E33F5" w:rsidRPr="00AB422B">
        <w:rPr>
          <w:rFonts w:ascii="Times New Roman" w:hAnsi="Times New Roman" w:cs="Times New Roman"/>
          <w:sz w:val="24"/>
          <w:szCs w:val="24"/>
        </w:rPr>
        <w:t xml:space="preserve"> from FY2012 to FY2014 by 9% respectively. This shows that the company is not effectively able to perform or manage its assets and this also hampered the company performance and profits</w:t>
      </w:r>
      <w:r w:rsidR="005A0162" w:rsidRPr="00AB422B">
        <w:rPr>
          <w:rFonts w:ascii="Times New Roman" w:hAnsi="Times New Roman" w:cs="Times New Roman"/>
          <w:sz w:val="24"/>
          <w:szCs w:val="24"/>
        </w:rPr>
        <w:t xml:space="preserve"> (Ross, </w:t>
      </w:r>
      <w:proofErr w:type="spellStart"/>
      <w:r w:rsidR="005A0162" w:rsidRPr="00AB422B">
        <w:rPr>
          <w:rFonts w:ascii="Times New Roman" w:hAnsi="Times New Roman" w:cs="Times New Roman"/>
          <w:sz w:val="24"/>
          <w:szCs w:val="24"/>
        </w:rPr>
        <w:t>Westerfield</w:t>
      </w:r>
      <w:proofErr w:type="spellEnd"/>
      <w:r w:rsidR="005A0162" w:rsidRPr="00AB422B">
        <w:rPr>
          <w:rFonts w:ascii="Times New Roman" w:hAnsi="Times New Roman" w:cs="Times New Roman"/>
          <w:sz w:val="24"/>
          <w:szCs w:val="24"/>
        </w:rPr>
        <w:t>, and Jordan, 2010)</w:t>
      </w:r>
      <w:r w:rsidR="00DC5DAA" w:rsidRPr="00AB422B">
        <w:rPr>
          <w:rFonts w:ascii="Times New Roman" w:hAnsi="Times New Roman" w:cs="Times New Roman"/>
          <w:sz w:val="24"/>
          <w:szCs w:val="24"/>
        </w:rPr>
        <w:t xml:space="preserve">. </w:t>
      </w:r>
      <w:r w:rsidR="00EC7610" w:rsidRPr="00AB422B">
        <w:rPr>
          <w:rFonts w:ascii="Times New Roman" w:hAnsi="Times New Roman" w:cs="Times New Roman"/>
          <w:sz w:val="24"/>
          <w:szCs w:val="24"/>
        </w:rPr>
        <w:t>Gradually decrement of the total assets turnover duri</w:t>
      </w:r>
      <w:r w:rsidR="00BE1D91" w:rsidRPr="00AB422B">
        <w:rPr>
          <w:rFonts w:ascii="Times New Roman" w:hAnsi="Times New Roman" w:cs="Times New Roman"/>
          <w:sz w:val="24"/>
          <w:szCs w:val="24"/>
        </w:rPr>
        <w:t xml:space="preserve">ng the period </w:t>
      </w:r>
      <w:r w:rsidR="009A77A3" w:rsidRPr="00AB422B">
        <w:rPr>
          <w:rFonts w:ascii="Times New Roman" w:hAnsi="Times New Roman" w:cs="Times New Roman"/>
          <w:sz w:val="24"/>
          <w:szCs w:val="24"/>
        </w:rPr>
        <w:t xml:space="preserve">from </w:t>
      </w:r>
      <w:r w:rsidR="00BE1D91" w:rsidRPr="00AB422B">
        <w:rPr>
          <w:rFonts w:ascii="Times New Roman" w:hAnsi="Times New Roman" w:cs="Times New Roman"/>
          <w:sz w:val="24"/>
          <w:szCs w:val="24"/>
        </w:rPr>
        <w:t xml:space="preserve">2012 to 2014 is done due to decrement of the EBIT achieved by the company over same time of period.    </w:t>
      </w:r>
      <w:r w:rsidR="00EC7610" w:rsidRPr="00AB422B">
        <w:rPr>
          <w:rFonts w:ascii="Times New Roman" w:hAnsi="Times New Roman" w:cs="Times New Roman"/>
          <w:sz w:val="24"/>
          <w:szCs w:val="24"/>
        </w:rPr>
        <w:t xml:space="preserve"> </w:t>
      </w:r>
      <w:r w:rsidR="007E33F5" w:rsidRPr="00AB422B">
        <w:rPr>
          <w:rFonts w:ascii="Times New Roman" w:hAnsi="Times New Roman" w:cs="Times New Roman"/>
          <w:sz w:val="24"/>
          <w:szCs w:val="24"/>
        </w:rPr>
        <w:t xml:space="preserve">    </w:t>
      </w:r>
      <w:r w:rsidR="008A10C3" w:rsidRPr="00AB422B">
        <w:rPr>
          <w:rFonts w:ascii="Times New Roman" w:hAnsi="Times New Roman" w:cs="Times New Roman"/>
          <w:sz w:val="24"/>
          <w:szCs w:val="24"/>
        </w:rPr>
        <w:t xml:space="preserve">    </w:t>
      </w:r>
      <w:r w:rsidR="00162375" w:rsidRPr="00AB422B">
        <w:rPr>
          <w:rFonts w:ascii="Times New Roman" w:hAnsi="Times New Roman" w:cs="Times New Roman"/>
          <w:sz w:val="24"/>
          <w:szCs w:val="24"/>
        </w:rPr>
        <w:t xml:space="preserve"> </w:t>
      </w:r>
      <w:r w:rsidR="00D613BD" w:rsidRPr="00AB422B">
        <w:rPr>
          <w:rFonts w:ascii="Times New Roman" w:hAnsi="Times New Roman" w:cs="Times New Roman"/>
          <w:sz w:val="24"/>
          <w:szCs w:val="24"/>
        </w:rPr>
        <w:t xml:space="preserve">  </w:t>
      </w:r>
      <w:r w:rsidRPr="00AB422B">
        <w:rPr>
          <w:rFonts w:ascii="Times New Roman" w:hAnsi="Times New Roman" w:cs="Times New Roman"/>
          <w:sz w:val="24"/>
          <w:szCs w:val="24"/>
        </w:rPr>
        <w:t xml:space="preserve">     </w:t>
      </w:r>
    </w:p>
    <w:p w:rsidR="00381259" w:rsidRPr="00AB422B" w:rsidRDefault="00CE04AB" w:rsidP="00381259">
      <w:pPr>
        <w:pStyle w:val="Heading3"/>
        <w:rPr>
          <w:color w:val="auto"/>
        </w:rPr>
      </w:pPr>
      <w:r w:rsidRPr="00AB422B">
        <w:rPr>
          <w:rFonts w:ascii="Times New Roman" w:hAnsi="Times New Roman" w:cs="Times New Roman"/>
          <w:color w:val="auto"/>
          <w:sz w:val="24"/>
          <w:szCs w:val="24"/>
        </w:rPr>
        <w:t xml:space="preserve"> </w:t>
      </w:r>
      <w:bookmarkStart w:id="11" w:name="_Toc502257267"/>
      <w:r w:rsidRPr="00AB422B">
        <w:rPr>
          <w:rFonts w:ascii="Times New Roman" w:hAnsi="Times New Roman" w:cs="Times New Roman"/>
          <w:color w:val="auto"/>
          <w:sz w:val="24"/>
          <w:szCs w:val="24"/>
        </w:rPr>
        <w:t>2.2.4</w:t>
      </w:r>
      <w:r w:rsidR="000A170A" w:rsidRPr="00AB422B">
        <w:rPr>
          <w:rFonts w:ascii="Times New Roman" w:hAnsi="Times New Roman" w:cs="Times New Roman"/>
          <w:color w:val="auto"/>
          <w:sz w:val="24"/>
          <w:szCs w:val="24"/>
        </w:rPr>
        <w:t xml:space="preserve"> </w:t>
      </w:r>
      <w:r w:rsidR="00381259" w:rsidRPr="00AB422B">
        <w:rPr>
          <w:color w:val="auto"/>
        </w:rPr>
        <w:t>Gearing ratios</w:t>
      </w:r>
      <w:bookmarkEnd w:id="11"/>
    </w:p>
    <w:p w:rsidR="00D871A1" w:rsidRPr="00AB422B" w:rsidRDefault="00D871A1" w:rsidP="00381259">
      <w:pPr>
        <w:pStyle w:val="Heading3"/>
        <w:rPr>
          <w:color w:val="auto"/>
        </w:rPr>
      </w:pPr>
    </w:p>
    <w:p w:rsidR="00B17E0D" w:rsidRPr="00AB422B" w:rsidRDefault="00B9709F"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Gearing ratios analysis helps the management of the organization to measure</w:t>
      </w:r>
      <w:r w:rsidR="00045749" w:rsidRPr="00AB422B">
        <w:rPr>
          <w:rFonts w:ascii="Times New Roman" w:hAnsi="Times New Roman" w:cs="Times New Roman"/>
          <w:sz w:val="24"/>
          <w:szCs w:val="24"/>
        </w:rPr>
        <w:t xml:space="preserve"> the extent of financial risks and it also helps to find out the long term financial position of the company.    </w:t>
      </w:r>
      <w:r w:rsidRPr="00AB422B">
        <w:rPr>
          <w:rFonts w:ascii="Times New Roman" w:hAnsi="Times New Roman" w:cs="Times New Roman"/>
          <w:sz w:val="24"/>
          <w:szCs w:val="24"/>
        </w:rPr>
        <w:t xml:space="preserve"> </w:t>
      </w:r>
    </w:p>
    <w:p w:rsidR="00C60498" w:rsidRPr="00AB422B" w:rsidRDefault="00C60498" w:rsidP="006142E5">
      <w:pPr>
        <w:spacing w:line="360" w:lineRule="auto"/>
        <w:jc w:val="both"/>
        <w:rPr>
          <w:rFonts w:ascii="Times New Roman" w:hAnsi="Times New Roman" w:cs="Times New Roman"/>
          <w:sz w:val="24"/>
          <w:szCs w:val="24"/>
        </w:rPr>
      </w:pPr>
      <w:r w:rsidRPr="00AB422B">
        <w:rPr>
          <w:rFonts w:ascii="Times New Roman" w:hAnsi="Times New Roman" w:cs="Times New Roman"/>
          <w:noProof/>
          <w:sz w:val="24"/>
          <w:szCs w:val="24"/>
          <w:lang w:val="en-IN" w:eastAsia="en-IN"/>
        </w:rPr>
        <w:drawing>
          <wp:inline distT="0" distB="0" distL="0" distR="0">
            <wp:extent cx="4572000" cy="2762250"/>
            <wp:effectExtent l="19050" t="0" r="19050" b="0"/>
            <wp:docPr id="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37259" w:rsidRPr="00AB422B" w:rsidRDefault="00D36663" w:rsidP="006142E5">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Fig2.4</w:t>
      </w:r>
      <w:r w:rsidR="00337259" w:rsidRPr="00AB422B">
        <w:rPr>
          <w:rFonts w:ascii="Times New Roman" w:hAnsi="Times New Roman" w:cs="Times New Roman"/>
          <w:b/>
          <w:sz w:val="24"/>
          <w:szCs w:val="24"/>
        </w:rPr>
        <w:t xml:space="preserve"> </w:t>
      </w:r>
      <w:r w:rsidRPr="00AB422B">
        <w:rPr>
          <w:rFonts w:ascii="Times New Roman" w:hAnsi="Times New Roman" w:cs="Times New Roman"/>
          <w:b/>
          <w:sz w:val="24"/>
          <w:szCs w:val="24"/>
        </w:rPr>
        <w:t>gearing</w:t>
      </w:r>
      <w:r w:rsidR="00337259" w:rsidRPr="00AB422B">
        <w:rPr>
          <w:rFonts w:ascii="Times New Roman" w:hAnsi="Times New Roman" w:cs="Times New Roman"/>
          <w:b/>
          <w:sz w:val="24"/>
          <w:szCs w:val="24"/>
        </w:rPr>
        <w:t xml:space="preserve"> ratios</w:t>
      </w:r>
    </w:p>
    <w:p w:rsidR="00991B1B" w:rsidRPr="00AB422B" w:rsidRDefault="00991B1B" w:rsidP="00991B1B">
      <w:pPr>
        <w:pStyle w:val="Heading4"/>
        <w:rPr>
          <w:color w:val="auto"/>
        </w:rPr>
      </w:pPr>
      <w:r w:rsidRPr="00AB422B">
        <w:rPr>
          <w:color w:val="auto"/>
        </w:rPr>
        <w:t xml:space="preserve">Interest coverage </w:t>
      </w:r>
    </w:p>
    <w:p w:rsidR="00AB422B" w:rsidRPr="00AB422B" w:rsidRDefault="00AB422B" w:rsidP="00AB422B">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Interest coverage ratios mainly help the organization in order to find out the Tesco’s plc ability to service its debts. From the figure 2.4, it is seen that in terms of Interest coverage ratios performance of the Tesco plc is reduced by 8.12% from FY2014 to FY2015; which signifies that in year of 2015 Tesco plc could not manage its debt in effective manner. Moreover in FY2016 its performance in terms of Interest coverage had increased by 14.12%, which signifies that in year of 2016 company had an effective equity available and they were able to pay back their debt in a successful manner.  On the other hand company Interest coverage ratios in FY 2012, 2013, 2014 </w:t>
      </w:r>
      <w:r w:rsidRPr="00AB422B">
        <w:rPr>
          <w:rFonts w:ascii="Times New Roman" w:hAnsi="Times New Roman" w:cs="Times New Roman"/>
          <w:sz w:val="24"/>
          <w:szCs w:val="24"/>
        </w:rPr>
        <w:lastRenderedPageBreak/>
        <w:t xml:space="preserve">and 2016 is positive i.e. 10.2%, 5.4%, 6.05% and 1.33% respectively which signifies that that organization had decreased its long term solvency issues in a better manner. </w:t>
      </w:r>
    </w:p>
    <w:p w:rsidR="00E613D9" w:rsidRPr="00AB422B" w:rsidRDefault="00E613D9" w:rsidP="00E613D9">
      <w:pPr>
        <w:pStyle w:val="Heading3"/>
        <w:rPr>
          <w:color w:val="auto"/>
        </w:rPr>
      </w:pPr>
      <w:bookmarkStart w:id="12" w:name="_Toc502257268"/>
      <w:r w:rsidRPr="00AB422B">
        <w:rPr>
          <w:color w:val="auto"/>
        </w:rPr>
        <w:t>Possible explanation of changes of gearing ratios</w:t>
      </w:r>
      <w:bookmarkEnd w:id="12"/>
    </w:p>
    <w:p w:rsidR="00C60498" w:rsidRPr="00AB422B" w:rsidRDefault="00B17714"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Increment of the debt to equity during the period of FY2012 to FY 2015</w:t>
      </w:r>
      <w:r w:rsidR="00913CE6" w:rsidRPr="00AB422B">
        <w:rPr>
          <w:rFonts w:ascii="Times New Roman" w:hAnsi="Times New Roman" w:cs="Times New Roman"/>
          <w:sz w:val="24"/>
          <w:szCs w:val="24"/>
        </w:rPr>
        <w:t xml:space="preserve"> is increased this is due to facts that the organization building better values for its investors by implementing employee’s contributions for its investors that would helps them to increase funds in better manner</w:t>
      </w:r>
      <w:r w:rsidR="005A0162" w:rsidRPr="00AB422B">
        <w:rPr>
          <w:rFonts w:ascii="Times New Roman" w:hAnsi="Times New Roman" w:cs="Times New Roman"/>
          <w:sz w:val="24"/>
          <w:szCs w:val="24"/>
        </w:rPr>
        <w:t xml:space="preserve"> (Weaver, 2005)</w:t>
      </w:r>
      <w:r w:rsidR="000E6214" w:rsidRPr="00AB422B">
        <w:rPr>
          <w:rFonts w:ascii="Times New Roman" w:hAnsi="Times New Roman" w:cs="Times New Roman"/>
          <w:sz w:val="24"/>
          <w:szCs w:val="24"/>
        </w:rPr>
        <w:t>. In addition to this the organization Tesco has reduce its interest ratios which signifies that organization need to decide to reduce their dependency over liabilities</w:t>
      </w:r>
      <w:r w:rsidR="001C422E" w:rsidRPr="00AB422B">
        <w:rPr>
          <w:rFonts w:ascii="Times New Roman" w:hAnsi="Times New Roman" w:cs="Times New Roman"/>
          <w:sz w:val="24"/>
          <w:szCs w:val="24"/>
        </w:rPr>
        <w:t>.</w:t>
      </w:r>
      <w:r w:rsidRPr="00AB422B">
        <w:rPr>
          <w:rFonts w:ascii="Times New Roman" w:hAnsi="Times New Roman" w:cs="Times New Roman"/>
          <w:sz w:val="24"/>
          <w:szCs w:val="24"/>
        </w:rPr>
        <w:t xml:space="preserve">  </w:t>
      </w:r>
      <w:r w:rsidR="00BC0781" w:rsidRPr="00AB422B">
        <w:rPr>
          <w:rFonts w:ascii="Times New Roman" w:hAnsi="Times New Roman" w:cs="Times New Roman"/>
          <w:sz w:val="24"/>
          <w:szCs w:val="24"/>
        </w:rPr>
        <w:t xml:space="preserve">  </w:t>
      </w:r>
      <w:r w:rsidR="00A5363F" w:rsidRPr="00AB422B">
        <w:rPr>
          <w:rFonts w:ascii="Times New Roman" w:hAnsi="Times New Roman" w:cs="Times New Roman"/>
          <w:sz w:val="24"/>
          <w:szCs w:val="24"/>
        </w:rPr>
        <w:t xml:space="preserve"> </w:t>
      </w:r>
      <w:r w:rsidR="00E42A04" w:rsidRPr="00AB422B">
        <w:rPr>
          <w:rFonts w:ascii="Times New Roman" w:hAnsi="Times New Roman" w:cs="Times New Roman"/>
          <w:sz w:val="24"/>
          <w:szCs w:val="24"/>
        </w:rPr>
        <w:t xml:space="preserve">  </w:t>
      </w:r>
      <w:r w:rsidR="00D36663" w:rsidRPr="00AB422B">
        <w:rPr>
          <w:rFonts w:ascii="Times New Roman" w:hAnsi="Times New Roman" w:cs="Times New Roman"/>
          <w:sz w:val="24"/>
          <w:szCs w:val="24"/>
        </w:rPr>
        <w:t xml:space="preserve">    </w:t>
      </w:r>
    </w:p>
    <w:p w:rsidR="00103EBF" w:rsidRPr="00AB422B" w:rsidRDefault="00BE1D91" w:rsidP="00381259">
      <w:pPr>
        <w:pStyle w:val="Heading1"/>
        <w:rPr>
          <w:color w:val="auto"/>
        </w:rPr>
      </w:pPr>
      <w:bookmarkStart w:id="13" w:name="_Toc502257269"/>
      <w:r w:rsidRPr="00AB422B">
        <w:rPr>
          <w:color w:val="auto"/>
        </w:rPr>
        <w:t>3</w:t>
      </w:r>
      <w:r w:rsidR="00103EBF" w:rsidRPr="00AB422B">
        <w:rPr>
          <w:color w:val="auto"/>
        </w:rPr>
        <w:t>Comparison of Tesco performance against Sainsbury’s</w:t>
      </w:r>
      <w:bookmarkEnd w:id="13"/>
      <w:r w:rsidR="00103EBF" w:rsidRPr="00AB422B">
        <w:rPr>
          <w:color w:val="auto"/>
        </w:rPr>
        <w:t xml:space="preserve"> </w:t>
      </w:r>
    </w:p>
    <w:tbl>
      <w:tblPr>
        <w:tblStyle w:val="TableGrid"/>
        <w:tblW w:w="0" w:type="auto"/>
        <w:tblLook w:val="04A0"/>
      </w:tblPr>
      <w:tblGrid>
        <w:gridCol w:w="1577"/>
        <w:gridCol w:w="1942"/>
        <w:gridCol w:w="956"/>
        <w:gridCol w:w="956"/>
        <w:gridCol w:w="977"/>
        <w:gridCol w:w="1267"/>
        <w:gridCol w:w="1196"/>
      </w:tblGrid>
      <w:tr w:rsidR="00303ABA" w:rsidRPr="00AB422B" w:rsidTr="003C0A8E">
        <w:trPr>
          <w:trHeight w:val="300"/>
        </w:trPr>
        <w:tc>
          <w:tcPr>
            <w:tcW w:w="1577" w:type="dxa"/>
            <w:hideMark/>
          </w:tcPr>
          <w:p w:rsidR="00303ABA" w:rsidRPr="00AB422B" w:rsidRDefault="00303ABA" w:rsidP="003C0A8E">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 xml:space="preserve">Ratio </w:t>
            </w:r>
          </w:p>
        </w:tc>
        <w:tc>
          <w:tcPr>
            <w:tcW w:w="1942" w:type="dxa"/>
            <w:hideMark/>
          </w:tcPr>
          <w:p w:rsidR="00303ABA" w:rsidRPr="00AB422B" w:rsidRDefault="00303ABA" w:rsidP="003C0A8E">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Calculation</w:t>
            </w:r>
          </w:p>
        </w:tc>
        <w:tc>
          <w:tcPr>
            <w:tcW w:w="956" w:type="dxa"/>
          </w:tcPr>
          <w:p w:rsidR="00303ABA" w:rsidRPr="00AB422B" w:rsidRDefault="00303ABA" w:rsidP="003C0A8E">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2012</w:t>
            </w:r>
          </w:p>
        </w:tc>
        <w:tc>
          <w:tcPr>
            <w:tcW w:w="956" w:type="dxa"/>
            <w:noWrap/>
            <w:hideMark/>
          </w:tcPr>
          <w:p w:rsidR="00303ABA" w:rsidRPr="00AB422B" w:rsidRDefault="00303ABA" w:rsidP="003C0A8E">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2013</w:t>
            </w:r>
          </w:p>
        </w:tc>
        <w:tc>
          <w:tcPr>
            <w:tcW w:w="977" w:type="dxa"/>
            <w:noWrap/>
            <w:hideMark/>
          </w:tcPr>
          <w:p w:rsidR="00303ABA" w:rsidRPr="00AB422B" w:rsidRDefault="00303ABA" w:rsidP="003C0A8E">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2014</w:t>
            </w:r>
          </w:p>
        </w:tc>
        <w:tc>
          <w:tcPr>
            <w:tcW w:w="1267" w:type="dxa"/>
            <w:noWrap/>
            <w:hideMark/>
          </w:tcPr>
          <w:p w:rsidR="00303ABA" w:rsidRPr="00AB422B" w:rsidRDefault="00303ABA" w:rsidP="003C0A8E">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2015</w:t>
            </w:r>
          </w:p>
        </w:tc>
        <w:tc>
          <w:tcPr>
            <w:tcW w:w="1196" w:type="dxa"/>
          </w:tcPr>
          <w:p w:rsidR="00303ABA" w:rsidRPr="00AB422B" w:rsidRDefault="00303ABA" w:rsidP="003C0A8E">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2016</w:t>
            </w:r>
          </w:p>
        </w:tc>
      </w:tr>
      <w:tr w:rsidR="00303ABA" w:rsidRPr="00AB422B" w:rsidTr="003C0A8E">
        <w:trPr>
          <w:trHeight w:val="300"/>
        </w:trPr>
        <w:tc>
          <w:tcPr>
            <w:tcW w:w="1577" w:type="dxa"/>
            <w:hideMark/>
          </w:tcPr>
          <w:p w:rsidR="00303ABA" w:rsidRPr="00AB422B" w:rsidRDefault="00303ABA" w:rsidP="003C0A8E">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 xml:space="preserve">Profitability ratios </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r>
      <w:tr w:rsidR="00303ABA" w:rsidRPr="00AB422B" w:rsidTr="003C0A8E">
        <w:trPr>
          <w:trHeight w:val="900"/>
        </w:trPr>
        <w:tc>
          <w:tcPr>
            <w:tcW w:w="1577" w:type="dxa"/>
            <w:hideMark/>
          </w:tcPr>
          <w:p w:rsidR="00303ABA" w:rsidRPr="00AB422B" w:rsidRDefault="00303ABA" w:rsidP="003C0A8E">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Gross profit margin</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Gross profit / net sales x 100</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r>
      <w:tr w:rsidR="00303ABA" w:rsidRPr="00AB422B" w:rsidTr="003C0A8E">
        <w:trPr>
          <w:trHeight w:val="300"/>
        </w:trPr>
        <w:tc>
          <w:tcPr>
            <w:tcW w:w="1577" w:type="dxa"/>
            <w:vAlign w:val="bottom"/>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TESCO PLC</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6.02%</w:t>
            </w: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6.55%</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6.31%</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-3.39%</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-3.39%</w:t>
            </w:r>
          </w:p>
        </w:tc>
      </w:tr>
      <w:tr w:rsidR="00303ABA" w:rsidRPr="00AB422B" w:rsidTr="003C0A8E">
        <w:trPr>
          <w:trHeight w:val="300"/>
        </w:trPr>
        <w:tc>
          <w:tcPr>
            <w:tcW w:w="1577"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SAINSBURY PLC </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5.14%</w:t>
            </w: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5.48%</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5.79%</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5.08%</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5.27%</w:t>
            </w:r>
          </w:p>
        </w:tc>
      </w:tr>
      <w:tr w:rsidR="00303ABA" w:rsidRPr="00AB422B" w:rsidTr="003C0A8E">
        <w:trPr>
          <w:trHeight w:val="900"/>
        </w:trPr>
        <w:tc>
          <w:tcPr>
            <w:tcW w:w="1577" w:type="dxa"/>
            <w:hideMark/>
          </w:tcPr>
          <w:p w:rsidR="00303ABA" w:rsidRPr="00AB422B" w:rsidRDefault="00303ABA" w:rsidP="003C0A8E">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Net profit margin</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Net profit / net sales x 100</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r>
      <w:tr w:rsidR="00303ABA" w:rsidRPr="00AB422B" w:rsidTr="003C0A8E">
        <w:trPr>
          <w:trHeight w:val="300"/>
        </w:trPr>
        <w:tc>
          <w:tcPr>
            <w:tcW w:w="1577" w:type="dxa"/>
            <w:vAlign w:val="bottom"/>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TESCO PLC</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4.35%</w:t>
            </w: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0.19%</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1.53%</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-9.22%</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0.25%</w:t>
            </w:r>
          </w:p>
        </w:tc>
      </w:tr>
      <w:tr w:rsidR="00303ABA" w:rsidRPr="00AB422B" w:rsidTr="003C0A8E">
        <w:trPr>
          <w:trHeight w:val="300"/>
        </w:trPr>
        <w:tc>
          <w:tcPr>
            <w:tcW w:w="1577"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SAINSBURY PLC </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2.68%</w:t>
            </w: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2.63%</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2.99%</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-0.70%</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2.00%</w:t>
            </w:r>
          </w:p>
        </w:tc>
      </w:tr>
      <w:tr w:rsidR="00303ABA" w:rsidRPr="00AB422B" w:rsidTr="003C0A8E">
        <w:trPr>
          <w:trHeight w:val="300"/>
        </w:trPr>
        <w:tc>
          <w:tcPr>
            <w:tcW w:w="1577" w:type="dxa"/>
            <w:hideMark/>
          </w:tcPr>
          <w:p w:rsidR="00303ABA" w:rsidRPr="00AB422B" w:rsidRDefault="00303ABA" w:rsidP="003C0A8E">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 xml:space="preserve">Operating profit margin </w:t>
            </w:r>
          </w:p>
          <w:p w:rsidR="00303ABA" w:rsidRPr="00AB422B" w:rsidRDefault="00303ABA" w:rsidP="003C0A8E">
            <w:pPr>
              <w:spacing w:line="360" w:lineRule="auto"/>
              <w:jc w:val="both"/>
              <w:rPr>
                <w:rFonts w:ascii="Times New Roman" w:hAnsi="Times New Roman" w:cs="Times New Roman"/>
                <w:sz w:val="24"/>
                <w:szCs w:val="24"/>
              </w:rPr>
            </w:pP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operating profits / total assets x 100</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p>
        </w:tc>
        <w:tc>
          <w:tcPr>
            <w:tcW w:w="1196" w:type="dxa"/>
          </w:tcPr>
          <w:p w:rsidR="00303ABA" w:rsidRPr="00AB422B" w:rsidRDefault="00303ABA" w:rsidP="003C0A8E">
            <w:pPr>
              <w:spacing w:line="360" w:lineRule="auto"/>
              <w:jc w:val="both"/>
              <w:rPr>
                <w:rFonts w:ascii="Times New Roman" w:hAnsi="Times New Roman" w:cs="Times New Roman"/>
                <w:sz w:val="24"/>
                <w:szCs w:val="24"/>
              </w:rPr>
            </w:pPr>
          </w:p>
        </w:tc>
      </w:tr>
      <w:tr w:rsidR="00303ABA" w:rsidRPr="00AB422B" w:rsidTr="003C0A8E">
        <w:trPr>
          <w:trHeight w:val="300"/>
        </w:trPr>
        <w:tc>
          <w:tcPr>
            <w:tcW w:w="1577" w:type="dxa"/>
            <w:vAlign w:val="bottom"/>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TESCO PLC</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p>
        </w:tc>
        <w:tc>
          <w:tcPr>
            <w:tcW w:w="956" w:type="dxa"/>
            <w:vAlign w:val="bottom"/>
          </w:tcPr>
          <w:p w:rsidR="00303ABA" w:rsidRPr="00AB422B" w:rsidRDefault="00303ABA" w:rsidP="003C0A8E">
            <w:pPr>
              <w:spacing w:line="360" w:lineRule="auto"/>
              <w:jc w:val="both"/>
              <w:rPr>
                <w:rFonts w:ascii="Times New Roman" w:hAnsi="Times New Roman" w:cs="Times New Roman"/>
                <w:bCs/>
                <w:sz w:val="24"/>
                <w:szCs w:val="24"/>
              </w:rPr>
            </w:pPr>
            <w:r w:rsidRPr="00AB422B">
              <w:rPr>
                <w:rFonts w:ascii="Times New Roman" w:hAnsi="Times New Roman" w:cs="Times New Roman"/>
                <w:bCs/>
                <w:sz w:val="24"/>
                <w:szCs w:val="24"/>
              </w:rPr>
              <w:t>6.54</w:t>
            </w:r>
            <w:r w:rsidRPr="00AB422B">
              <w:rPr>
                <w:rFonts w:ascii="Times New Roman" w:hAnsi="Times New Roman" w:cs="Times New Roman"/>
                <w:sz w:val="24"/>
                <w:szCs w:val="24"/>
              </w:rPr>
              <w:t>%</w:t>
            </w:r>
          </w:p>
        </w:tc>
        <w:tc>
          <w:tcPr>
            <w:tcW w:w="956" w:type="dxa"/>
            <w:noWrap/>
            <w:vAlign w:val="bottom"/>
            <w:hideMark/>
          </w:tcPr>
          <w:p w:rsidR="00303ABA" w:rsidRPr="00AB422B" w:rsidRDefault="00303ABA" w:rsidP="003C0A8E">
            <w:pPr>
              <w:spacing w:line="360" w:lineRule="auto"/>
              <w:jc w:val="both"/>
              <w:rPr>
                <w:rFonts w:ascii="Times New Roman" w:hAnsi="Times New Roman" w:cs="Times New Roman"/>
                <w:bCs/>
                <w:sz w:val="24"/>
                <w:szCs w:val="24"/>
              </w:rPr>
            </w:pPr>
            <w:r w:rsidRPr="00AB422B">
              <w:rPr>
                <w:rFonts w:ascii="Times New Roman" w:hAnsi="Times New Roman" w:cs="Times New Roman"/>
                <w:bCs/>
                <w:sz w:val="24"/>
                <w:szCs w:val="24"/>
              </w:rPr>
              <w:t>3.76</w:t>
            </w:r>
            <w:r w:rsidRPr="00AB422B">
              <w:rPr>
                <w:rFonts w:ascii="Times New Roman" w:hAnsi="Times New Roman" w:cs="Times New Roman"/>
                <w:sz w:val="24"/>
                <w:szCs w:val="24"/>
              </w:rPr>
              <w:t>%</w:t>
            </w:r>
          </w:p>
        </w:tc>
        <w:tc>
          <w:tcPr>
            <w:tcW w:w="977" w:type="dxa"/>
            <w:noWrap/>
            <w:vAlign w:val="bottom"/>
            <w:hideMark/>
          </w:tcPr>
          <w:p w:rsidR="00303ABA" w:rsidRPr="00AB422B" w:rsidRDefault="00303ABA" w:rsidP="003C0A8E">
            <w:pPr>
              <w:spacing w:line="360" w:lineRule="auto"/>
              <w:jc w:val="both"/>
              <w:rPr>
                <w:rFonts w:ascii="Times New Roman" w:hAnsi="Times New Roman" w:cs="Times New Roman"/>
                <w:bCs/>
                <w:sz w:val="24"/>
                <w:szCs w:val="24"/>
              </w:rPr>
            </w:pPr>
            <w:r w:rsidRPr="00AB422B">
              <w:rPr>
                <w:rFonts w:ascii="Times New Roman" w:hAnsi="Times New Roman" w:cs="Times New Roman"/>
                <w:bCs/>
                <w:sz w:val="24"/>
                <w:szCs w:val="24"/>
              </w:rPr>
              <w:t>4.14</w:t>
            </w:r>
            <w:r w:rsidRPr="00AB422B">
              <w:rPr>
                <w:rFonts w:ascii="Times New Roman" w:hAnsi="Times New Roman" w:cs="Times New Roman"/>
                <w:sz w:val="24"/>
                <w:szCs w:val="24"/>
              </w:rPr>
              <w:t>%</w:t>
            </w:r>
          </w:p>
        </w:tc>
        <w:tc>
          <w:tcPr>
            <w:tcW w:w="1267" w:type="dxa"/>
            <w:noWrap/>
            <w:vAlign w:val="bottom"/>
            <w:hideMark/>
          </w:tcPr>
          <w:p w:rsidR="00303ABA" w:rsidRPr="00AB422B" w:rsidRDefault="00303ABA" w:rsidP="003C0A8E">
            <w:pPr>
              <w:spacing w:line="360" w:lineRule="auto"/>
              <w:jc w:val="both"/>
              <w:rPr>
                <w:rFonts w:ascii="Times New Roman" w:hAnsi="Times New Roman" w:cs="Times New Roman"/>
                <w:bCs/>
                <w:sz w:val="24"/>
                <w:szCs w:val="24"/>
              </w:rPr>
            </w:pPr>
            <w:r w:rsidRPr="00AB422B">
              <w:rPr>
                <w:rFonts w:ascii="Times New Roman" w:hAnsi="Times New Roman" w:cs="Times New Roman"/>
                <w:bCs/>
                <w:sz w:val="24"/>
                <w:szCs w:val="24"/>
              </w:rPr>
              <w:t>-9.30</w:t>
            </w:r>
            <w:r w:rsidRPr="00AB422B">
              <w:rPr>
                <w:rFonts w:ascii="Times New Roman" w:hAnsi="Times New Roman" w:cs="Times New Roman"/>
                <w:sz w:val="24"/>
                <w:szCs w:val="24"/>
              </w:rPr>
              <w:t>%</w:t>
            </w:r>
          </w:p>
        </w:tc>
        <w:tc>
          <w:tcPr>
            <w:tcW w:w="1196" w:type="dxa"/>
            <w:vAlign w:val="bottom"/>
          </w:tcPr>
          <w:p w:rsidR="00303ABA" w:rsidRPr="00AB422B" w:rsidRDefault="00303ABA" w:rsidP="003C0A8E">
            <w:pPr>
              <w:spacing w:line="360" w:lineRule="auto"/>
              <w:jc w:val="both"/>
              <w:rPr>
                <w:rFonts w:ascii="Times New Roman" w:hAnsi="Times New Roman" w:cs="Times New Roman"/>
                <w:bCs/>
                <w:sz w:val="24"/>
                <w:szCs w:val="24"/>
              </w:rPr>
            </w:pPr>
            <w:r w:rsidRPr="00AB422B">
              <w:rPr>
                <w:rFonts w:ascii="Times New Roman" w:hAnsi="Times New Roman" w:cs="Times New Roman"/>
                <w:bCs/>
                <w:sz w:val="24"/>
                <w:szCs w:val="24"/>
              </w:rPr>
              <w:t>1.99</w:t>
            </w:r>
            <w:r w:rsidRPr="00AB422B">
              <w:rPr>
                <w:rFonts w:ascii="Times New Roman" w:hAnsi="Times New Roman" w:cs="Times New Roman"/>
                <w:sz w:val="24"/>
                <w:szCs w:val="24"/>
              </w:rPr>
              <w:t>%</w:t>
            </w:r>
          </w:p>
        </w:tc>
      </w:tr>
      <w:tr w:rsidR="00303ABA" w:rsidRPr="00AB422B" w:rsidTr="003C0A8E">
        <w:trPr>
          <w:trHeight w:val="300"/>
        </w:trPr>
        <w:tc>
          <w:tcPr>
            <w:tcW w:w="1577"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SAINSBURY PLC </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p>
        </w:tc>
        <w:tc>
          <w:tcPr>
            <w:tcW w:w="95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3.92%</w:t>
            </w: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3.81%</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4.21%</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0.34%</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3.01%</w:t>
            </w:r>
          </w:p>
        </w:tc>
      </w:tr>
      <w:tr w:rsidR="00303ABA" w:rsidRPr="00AB422B" w:rsidTr="003C0A8E">
        <w:trPr>
          <w:trHeight w:val="300"/>
        </w:trPr>
        <w:tc>
          <w:tcPr>
            <w:tcW w:w="1577" w:type="dxa"/>
            <w:hideMark/>
          </w:tcPr>
          <w:p w:rsidR="00303ABA" w:rsidRPr="00AB422B" w:rsidRDefault="00303ABA" w:rsidP="003C0A8E">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lastRenderedPageBreak/>
              <w:t>Efficiency ratio</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p>
        </w:tc>
        <w:tc>
          <w:tcPr>
            <w:tcW w:w="956" w:type="dxa"/>
          </w:tcPr>
          <w:p w:rsidR="00303ABA" w:rsidRPr="00AB422B" w:rsidRDefault="00303ABA" w:rsidP="003C0A8E">
            <w:pPr>
              <w:spacing w:line="360" w:lineRule="auto"/>
              <w:jc w:val="both"/>
              <w:rPr>
                <w:rFonts w:ascii="Times New Roman" w:hAnsi="Times New Roman" w:cs="Times New Roman"/>
                <w:sz w:val="24"/>
                <w:szCs w:val="24"/>
              </w:rPr>
            </w:pP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p>
        </w:tc>
        <w:tc>
          <w:tcPr>
            <w:tcW w:w="1196" w:type="dxa"/>
          </w:tcPr>
          <w:p w:rsidR="00303ABA" w:rsidRPr="00AB422B" w:rsidRDefault="00303ABA" w:rsidP="003C0A8E">
            <w:pPr>
              <w:spacing w:line="360" w:lineRule="auto"/>
              <w:jc w:val="both"/>
              <w:rPr>
                <w:rFonts w:ascii="Times New Roman" w:hAnsi="Times New Roman" w:cs="Times New Roman"/>
                <w:sz w:val="24"/>
                <w:szCs w:val="24"/>
              </w:rPr>
            </w:pPr>
          </w:p>
        </w:tc>
      </w:tr>
      <w:tr w:rsidR="00303ABA" w:rsidRPr="00AB422B" w:rsidTr="003C0A8E">
        <w:trPr>
          <w:trHeight w:val="1200"/>
        </w:trPr>
        <w:tc>
          <w:tcPr>
            <w:tcW w:w="1577" w:type="dxa"/>
            <w:hideMark/>
          </w:tcPr>
          <w:p w:rsidR="00303ABA" w:rsidRPr="00AB422B" w:rsidRDefault="00303ABA" w:rsidP="003C0A8E">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ROCE</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EBIT / capital employed x 100</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p>
        </w:tc>
      </w:tr>
      <w:tr w:rsidR="00303ABA" w:rsidRPr="00AB422B" w:rsidTr="003C0A8E">
        <w:trPr>
          <w:trHeight w:val="300"/>
        </w:trPr>
        <w:tc>
          <w:tcPr>
            <w:tcW w:w="1577" w:type="dxa"/>
            <w:vAlign w:val="bottom"/>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TESCO PLC</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15.17%</w:t>
            </w: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8.22%</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11%</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7.08%</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8.01%</w:t>
            </w:r>
          </w:p>
        </w:tc>
      </w:tr>
      <w:tr w:rsidR="00303ABA" w:rsidRPr="00AB422B" w:rsidTr="003C0A8E">
        <w:trPr>
          <w:trHeight w:val="300"/>
        </w:trPr>
        <w:tc>
          <w:tcPr>
            <w:tcW w:w="1577"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SAINSBURY PLC </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10.60%</w:t>
            </w: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10.62%</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12.22%</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12.36%</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1.36%</w:t>
            </w:r>
          </w:p>
        </w:tc>
      </w:tr>
      <w:tr w:rsidR="00303ABA" w:rsidRPr="00AB422B" w:rsidTr="003C0A8E">
        <w:trPr>
          <w:trHeight w:val="300"/>
        </w:trPr>
        <w:tc>
          <w:tcPr>
            <w:tcW w:w="1577" w:type="dxa"/>
            <w:hideMark/>
          </w:tcPr>
          <w:p w:rsidR="00303ABA" w:rsidRPr="00AB422B" w:rsidRDefault="00303ABA" w:rsidP="003C0A8E">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Total asset turnover  ratio</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net sales or revenue/Total average asset</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p>
        </w:tc>
        <w:tc>
          <w:tcPr>
            <w:tcW w:w="1196" w:type="dxa"/>
          </w:tcPr>
          <w:p w:rsidR="00303ABA" w:rsidRPr="00AB422B" w:rsidRDefault="00303ABA" w:rsidP="003C0A8E">
            <w:pPr>
              <w:spacing w:line="360" w:lineRule="auto"/>
              <w:jc w:val="both"/>
              <w:rPr>
                <w:rFonts w:ascii="Times New Roman" w:hAnsi="Times New Roman" w:cs="Times New Roman"/>
                <w:sz w:val="24"/>
                <w:szCs w:val="24"/>
              </w:rPr>
            </w:pPr>
          </w:p>
        </w:tc>
      </w:tr>
      <w:tr w:rsidR="00303ABA" w:rsidRPr="00AB422B" w:rsidTr="003C0A8E">
        <w:trPr>
          <w:trHeight w:val="300"/>
        </w:trPr>
        <w:tc>
          <w:tcPr>
            <w:tcW w:w="1577" w:type="dxa"/>
            <w:vAlign w:val="bottom"/>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TESCO PLC</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p>
        </w:tc>
        <w:tc>
          <w:tcPr>
            <w:tcW w:w="956" w:type="dxa"/>
            <w:vAlign w:val="center"/>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1.24</w:t>
            </w:r>
          </w:p>
        </w:tc>
        <w:tc>
          <w:tcPr>
            <w:tcW w:w="956" w:type="dxa"/>
            <w:noWrap/>
            <w:vAlign w:val="center"/>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1.31</w:t>
            </w:r>
          </w:p>
        </w:tc>
        <w:tc>
          <w:tcPr>
            <w:tcW w:w="977" w:type="dxa"/>
            <w:noWrap/>
            <w:vAlign w:val="center"/>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1.16</w:t>
            </w:r>
          </w:p>
        </w:tc>
        <w:tc>
          <w:tcPr>
            <w:tcW w:w="1267" w:type="dxa"/>
            <w:noWrap/>
            <w:vAlign w:val="center"/>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1.18</w:t>
            </w:r>
          </w:p>
        </w:tc>
        <w:tc>
          <w:tcPr>
            <w:tcW w:w="1196" w:type="dxa"/>
            <w:vAlign w:val="center"/>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1.17</w:t>
            </w:r>
          </w:p>
        </w:tc>
      </w:tr>
      <w:tr w:rsidR="00303ABA" w:rsidRPr="00AB422B" w:rsidTr="003C0A8E">
        <w:trPr>
          <w:trHeight w:val="300"/>
        </w:trPr>
        <w:tc>
          <w:tcPr>
            <w:tcW w:w="1577"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SAINSBURY PLC </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p>
        </w:tc>
        <w:tc>
          <w:tcPr>
            <w:tcW w:w="95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1.11</w:t>
            </w:r>
          </w:p>
        </w:tc>
        <w:tc>
          <w:tcPr>
            <w:tcW w:w="956" w:type="dxa"/>
            <w:noWrap/>
            <w:vAlign w:val="center"/>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1.82</w:t>
            </w:r>
          </w:p>
        </w:tc>
        <w:tc>
          <w:tcPr>
            <w:tcW w:w="977" w:type="dxa"/>
            <w:noWrap/>
            <w:vAlign w:val="center"/>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1.71</w:t>
            </w:r>
          </w:p>
        </w:tc>
        <w:tc>
          <w:tcPr>
            <w:tcW w:w="1267" w:type="dxa"/>
            <w:noWrap/>
            <w:vAlign w:val="center"/>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1.36</w:t>
            </w:r>
          </w:p>
        </w:tc>
        <w:tc>
          <w:tcPr>
            <w:tcW w:w="1196" w:type="dxa"/>
            <w:vAlign w:val="center"/>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1.37</w:t>
            </w:r>
          </w:p>
        </w:tc>
      </w:tr>
      <w:tr w:rsidR="00303ABA" w:rsidRPr="00AB422B" w:rsidTr="003C0A8E">
        <w:trPr>
          <w:trHeight w:val="300"/>
        </w:trPr>
        <w:tc>
          <w:tcPr>
            <w:tcW w:w="1577" w:type="dxa"/>
            <w:hideMark/>
          </w:tcPr>
          <w:p w:rsidR="00303ABA" w:rsidRPr="00AB422B" w:rsidRDefault="00303ABA" w:rsidP="003C0A8E">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 xml:space="preserve">Liquidity ratios </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p>
        </w:tc>
      </w:tr>
      <w:tr w:rsidR="00303ABA" w:rsidRPr="00AB422B" w:rsidTr="003C0A8E">
        <w:trPr>
          <w:trHeight w:val="1200"/>
        </w:trPr>
        <w:tc>
          <w:tcPr>
            <w:tcW w:w="1577" w:type="dxa"/>
            <w:hideMark/>
          </w:tcPr>
          <w:p w:rsidR="00303ABA" w:rsidRPr="00AB422B" w:rsidRDefault="00303ABA" w:rsidP="003C0A8E">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Current ratio</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Current assets / current liabilities</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p>
        </w:tc>
      </w:tr>
      <w:tr w:rsidR="00303ABA" w:rsidRPr="00AB422B" w:rsidTr="003C0A8E">
        <w:trPr>
          <w:trHeight w:val="300"/>
        </w:trPr>
        <w:tc>
          <w:tcPr>
            <w:tcW w:w="1577" w:type="dxa"/>
            <w:vAlign w:val="bottom"/>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TESCO PLC</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0.67</w:t>
            </w:r>
          </w:p>
        </w:tc>
        <w:tc>
          <w:tcPr>
            <w:tcW w:w="956" w:type="dxa"/>
            <w:noWrap/>
            <w:vAlign w:val="bottom"/>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0.70</w:t>
            </w:r>
          </w:p>
        </w:tc>
        <w:tc>
          <w:tcPr>
            <w:tcW w:w="977" w:type="dxa"/>
            <w:noWrap/>
            <w:vAlign w:val="bottom"/>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0.77</w:t>
            </w:r>
          </w:p>
        </w:tc>
        <w:tc>
          <w:tcPr>
            <w:tcW w:w="1267" w:type="dxa"/>
            <w:noWrap/>
            <w:vAlign w:val="bottom"/>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0.60</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0.75</w:t>
            </w:r>
          </w:p>
        </w:tc>
      </w:tr>
      <w:tr w:rsidR="00303ABA" w:rsidRPr="00AB422B" w:rsidTr="003C0A8E">
        <w:trPr>
          <w:trHeight w:val="300"/>
        </w:trPr>
        <w:tc>
          <w:tcPr>
            <w:tcW w:w="1577"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SAINSBURY PLC </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0.65</w:t>
            </w: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0.61</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0.64</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0.65</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0.50</w:t>
            </w:r>
          </w:p>
        </w:tc>
      </w:tr>
      <w:tr w:rsidR="00303ABA" w:rsidRPr="00AB422B" w:rsidTr="003C0A8E">
        <w:trPr>
          <w:trHeight w:val="1500"/>
        </w:trPr>
        <w:tc>
          <w:tcPr>
            <w:tcW w:w="1577" w:type="dxa"/>
            <w:hideMark/>
          </w:tcPr>
          <w:p w:rsidR="00303ABA" w:rsidRPr="00AB422B" w:rsidRDefault="00303ABA" w:rsidP="003C0A8E">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Quick ratio</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(Current assets - inventories) / current liabilities</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p>
        </w:tc>
      </w:tr>
      <w:tr w:rsidR="00303ABA" w:rsidRPr="00AB422B" w:rsidTr="003C0A8E">
        <w:trPr>
          <w:trHeight w:val="300"/>
        </w:trPr>
        <w:tc>
          <w:tcPr>
            <w:tcW w:w="1577" w:type="dxa"/>
            <w:vAlign w:val="bottom"/>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TESCO PLC</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0.67</w:t>
            </w:r>
          </w:p>
        </w:tc>
        <w:tc>
          <w:tcPr>
            <w:tcW w:w="956" w:type="dxa"/>
            <w:noWrap/>
            <w:vAlign w:val="bottom"/>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0.5002</w:t>
            </w:r>
          </w:p>
        </w:tc>
        <w:tc>
          <w:tcPr>
            <w:tcW w:w="977" w:type="dxa"/>
            <w:noWrap/>
            <w:vAlign w:val="bottom"/>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0.5937</w:t>
            </w:r>
          </w:p>
        </w:tc>
        <w:tc>
          <w:tcPr>
            <w:tcW w:w="1267" w:type="dxa"/>
            <w:noWrap/>
            <w:vAlign w:val="bottom"/>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0.4545</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0.59</w:t>
            </w:r>
          </w:p>
        </w:tc>
      </w:tr>
      <w:tr w:rsidR="00303ABA" w:rsidRPr="00AB422B" w:rsidTr="003C0A8E">
        <w:trPr>
          <w:trHeight w:val="300"/>
        </w:trPr>
        <w:tc>
          <w:tcPr>
            <w:tcW w:w="1577"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SAINSBURY PLC </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0.33</w:t>
            </w: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0.2976</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0.4973</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0.5067</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0.50</w:t>
            </w:r>
          </w:p>
        </w:tc>
      </w:tr>
      <w:tr w:rsidR="00303ABA" w:rsidRPr="00AB422B" w:rsidTr="003C0A8E">
        <w:trPr>
          <w:trHeight w:val="300"/>
        </w:trPr>
        <w:tc>
          <w:tcPr>
            <w:tcW w:w="1577" w:type="dxa"/>
            <w:hideMark/>
          </w:tcPr>
          <w:p w:rsidR="00303ABA" w:rsidRPr="00AB422B" w:rsidRDefault="00303ABA" w:rsidP="003C0A8E">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 xml:space="preserve">Gearing ratios </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p>
        </w:tc>
      </w:tr>
      <w:tr w:rsidR="00303ABA" w:rsidRPr="00AB422B" w:rsidTr="003C0A8E">
        <w:trPr>
          <w:trHeight w:val="900"/>
        </w:trPr>
        <w:tc>
          <w:tcPr>
            <w:tcW w:w="1577" w:type="dxa"/>
            <w:hideMark/>
          </w:tcPr>
          <w:p w:rsidR="00303ABA" w:rsidRPr="00AB422B" w:rsidRDefault="00303ABA" w:rsidP="003C0A8E">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lastRenderedPageBreak/>
              <w:t xml:space="preserve">Gearing ratios </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(Long -term loan)/ (Long Term+ Share Capital +Reserves)*100</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p>
        </w:tc>
      </w:tr>
      <w:tr w:rsidR="00CA2070" w:rsidRPr="00AB422B" w:rsidTr="003C0A8E">
        <w:trPr>
          <w:trHeight w:val="900"/>
        </w:trPr>
        <w:tc>
          <w:tcPr>
            <w:tcW w:w="1577" w:type="dxa"/>
            <w:hideMark/>
          </w:tcPr>
          <w:p w:rsidR="00CA2070" w:rsidRPr="00AB422B" w:rsidRDefault="00CA2070" w:rsidP="003C0A8E">
            <w:pPr>
              <w:spacing w:line="360" w:lineRule="auto"/>
              <w:jc w:val="both"/>
              <w:rPr>
                <w:rFonts w:ascii="Times New Roman" w:hAnsi="Times New Roman" w:cs="Times New Roman"/>
                <w:b/>
                <w:bCs/>
                <w:sz w:val="24"/>
                <w:szCs w:val="24"/>
              </w:rPr>
            </w:pPr>
            <w:r w:rsidRPr="00AB422B">
              <w:rPr>
                <w:rFonts w:ascii="Times New Roman" w:hAnsi="Times New Roman" w:cs="Times New Roman"/>
                <w:b/>
                <w:bCs/>
                <w:sz w:val="24"/>
                <w:szCs w:val="24"/>
              </w:rPr>
              <w:t>Interest Coverage</w:t>
            </w:r>
          </w:p>
        </w:tc>
        <w:tc>
          <w:tcPr>
            <w:tcW w:w="1942" w:type="dxa"/>
            <w:hideMark/>
          </w:tcPr>
          <w:p w:rsidR="00CA2070" w:rsidRPr="00AB422B" w:rsidRDefault="00CA2070" w:rsidP="003C0A8E">
            <w:pPr>
              <w:spacing w:line="360" w:lineRule="auto"/>
              <w:jc w:val="both"/>
              <w:rPr>
                <w:rFonts w:ascii="Times New Roman" w:hAnsi="Times New Roman" w:cs="Times New Roman"/>
                <w:sz w:val="24"/>
                <w:szCs w:val="24"/>
              </w:rPr>
            </w:pPr>
          </w:p>
        </w:tc>
        <w:tc>
          <w:tcPr>
            <w:tcW w:w="956" w:type="dxa"/>
          </w:tcPr>
          <w:p w:rsidR="00CA2070" w:rsidRPr="00AB422B" w:rsidRDefault="00CA2070" w:rsidP="003C0A8E">
            <w:pPr>
              <w:spacing w:line="360" w:lineRule="auto"/>
              <w:jc w:val="both"/>
              <w:rPr>
                <w:rFonts w:ascii="Times New Roman" w:hAnsi="Times New Roman" w:cs="Times New Roman"/>
                <w:sz w:val="24"/>
                <w:szCs w:val="24"/>
              </w:rPr>
            </w:pPr>
          </w:p>
        </w:tc>
        <w:tc>
          <w:tcPr>
            <w:tcW w:w="956" w:type="dxa"/>
            <w:noWrap/>
            <w:hideMark/>
          </w:tcPr>
          <w:p w:rsidR="00CA2070" w:rsidRPr="00AB422B" w:rsidRDefault="00CA2070" w:rsidP="003C0A8E">
            <w:pPr>
              <w:spacing w:line="360" w:lineRule="auto"/>
              <w:jc w:val="both"/>
              <w:rPr>
                <w:rFonts w:ascii="Times New Roman" w:hAnsi="Times New Roman" w:cs="Times New Roman"/>
                <w:sz w:val="24"/>
                <w:szCs w:val="24"/>
              </w:rPr>
            </w:pPr>
          </w:p>
        </w:tc>
        <w:tc>
          <w:tcPr>
            <w:tcW w:w="977" w:type="dxa"/>
            <w:noWrap/>
            <w:hideMark/>
          </w:tcPr>
          <w:p w:rsidR="00CA2070" w:rsidRPr="00AB422B" w:rsidRDefault="00CA2070" w:rsidP="003C0A8E">
            <w:pPr>
              <w:spacing w:line="360" w:lineRule="auto"/>
              <w:jc w:val="both"/>
              <w:rPr>
                <w:rFonts w:ascii="Times New Roman" w:hAnsi="Times New Roman" w:cs="Times New Roman"/>
                <w:sz w:val="24"/>
                <w:szCs w:val="24"/>
              </w:rPr>
            </w:pPr>
          </w:p>
        </w:tc>
        <w:tc>
          <w:tcPr>
            <w:tcW w:w="1267" w:type="dxa"/>
            <w:noWrap/>
            <w:hideMark/>
          </w:tcPr>
          <w:p w:rsidR="00CA2070" w:rsidRPr="00AB422B" w:rsidRDefault="00CA2070" w:rsidP="003C0A8E">
            <w:pPr>
              <w:spacing w:line="360" w:lineRule="auto"/>
              <w:jc w:val="both"/>
              <w:rPr>
                <w:rFonts w:ascii="Times New Roman" w:hAnsi="Times New Roman" w:cs="Times New Roman"/>
                <w:sz w:val="24"/>
                <w:szCs w:val="24"/>
              </w:rPr>
            </w:pPr>
          </w:p>
        </w:tc>
        <w:tc>
          <w:tcPr>
            <w:tcW w:w="1196" w:type="dxa"/>
          </w:tcPr>
          <w:p w:rsidR="00CA2070" w:rsidRPr="00AB422B" w:rsidRDefault="00CA2070" w:rsidP="003C0A8E">
            <w:pPr>
              <w:spacing w:line="360" w:lineRule="auto"/>
              <w:jc w:val="both"/>
              <w:rPr>
                <w:rFonts w:ascii="Times New Roman" w:hAnsi="Times New Roman" w:cs="Times New Roman"/>
                <w:sz w:val="24"/>
                <w:szCs w:val="24"/>
              </w:rPr>
            </w:pPr>
          </w:p>
        </w:tc>
      </w:tr>
      <w:tr w:rsidR="00303ABA" w:rsidRPr="00AB422B" w:rsidTr="003C0A8E">
        <w:trPr>
          <w:trHeight w:val="300"/>
        </w:trPr>
        <w:tc>
          <w:tcPr>
            <w:tcW w:w="1577" w:type="dxa"/>
            <w:vAlign w:val="bottom"/>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TESCO PLC</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35.49%</w:t>
            </w: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59.76%</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38.43%</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37.14%</w:t>
            </w:r>
          </w:p>
          <w:p w:rsidR="00303ABA" w:rsidRPr="00AB422B" w:rsidRDefault="00303ABA" w:rsidP="003C0A8E">
            <w:pPr>
              <w:spacing w:line="360" w:lineRule="auto"/>
              <w:jc w:val="both"/>
              <w:rPr>
                <w:rFonts w:ascii="Times New Roman" w:hAnsi="Times New Roman" w:cs="Times New Roman"/>
                <w:sz w:val="24"/>
                <w:szCs w:val="24"/>
              </w:rPr>
            </w:pPr>
          </w:p>
        </w:tc>
        <w:tc>
          <w:tcPr>
            <w:tcW w:w="119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39.15%</w:t>
            </w:r>
          </w:p>
        </w:tc>
      </w:tr>
      <w:tr w:rsidR="00303ABA" w:rsidRPr="00AB422B" w:rsidTr="003C0A8E">
        <w:trPr>
          <w:trHeight w:val="300"/>
        </w:trPr>
        <w:tc>
          <w:tcPr>
            <w:tcW w:w="1577"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SAINSBURY PLC </w:t>
            </w:r>
          </w:p>
        </w:tc>
        <w:tc>
          <w:tcPr>
            <w:tcW w:w="1942" w:type="dxa"/>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w:t>
            </w:r>
          </w:p>
        </w:tc>
        <w:tc>
          <w:tcPr>
            <w:tcW w:w="95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31.74%</w:t>
            </w:r>
          </w:p>
        </w:tc>
        <w:tc>
          <w:tcPr>
            <w:tcW w:w="956"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31.34%</w:t>
            </w:r>
          </w:p>
        </w:tc>
        <w:tc>
          <w:tcPr>
            <w:tcW w:w="97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27.26%</w:t>
            </w:r>
          </w:p>
        </w:tc>
        <w:tc>
          <w:tcPr>
            <w:tcW w:w="1267" w:type="dxa"/>
            <w:noWrap/>
            <w:hideMark/>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28.12%</w:t>
            </w:r>
          </w:p>
        </w:tc>
        <w:tc>
          <w:tcPr>
            <w:tcW w:w="1196" w:type="dxa"/>
          </w:tcPr>
          <w:p w:rsidR="00303ABA" w:rsidRPr="00AB422B" w:rsidRDefault="00303ABA" w:rsidP="003C0A8E">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29.14%</w:t>
            </w:r>
          </w:p>
        </w:tc>
      </w:tr>
    </w:tbl>
    <w:p w:rsidR="00303ABA" w:rsidRPr="00AB422B" w:rsidRDefault="00303ABA" w:rsidP="006142E5">
      <w:pPr>
        <w:spacing w:line="360" w:lineRule="auto"/>
        <w:jc w:val="both"/>
        <w:rPr>
          <w:rFonts w:ascii="Times New Roman" w:hAnsi="Times New Roman" w:cs="Times New Roman"/>
          <w:b/>
          <w:sz w:val="24"/>
          <w:szCs w:val="24"/>
        </w:rPr>
      </w:pPr>
    </w:p>
    <w:p w:rsidR="0070220C" w:rsidRPr="00AB422B" w:rsidRDefault="003C0A8E" w:rsidP="00381259">
      <w:pPr>
        <w:pStyle w:val="Heading2"/>
        <w:rPr>
          <w:color w:val="auto"/>
        </w:rPr>
      </w:pPr>
      <w:bookmarkStart w:id="14" w:name="_Toc502257270"/>
      <w:r w:rsidRPr="00AB422B">
        <w:rPr>
          <w:color w:val="auto"/>
        </w:rPr>
        <w:t xml:space="preserve">3.1 </w:t>
      </w:r>
      <w:r w:rsidR="0070220C" w:rsidRPr="00AB422B">
        <w:rPr>
          <w:color w:val="auto"/>
        </w:rPr>
        <w:t>Profitability ratios</w:t>
      </w:r>
      <w:bookmarkEnd w:id="14"/>
      <w:r w:rsidR="0070220C" w:rsidRPr="00AB422B">
        <w:rPr>
          <w:color w:val="auto"/>
        </w:rPr>
        <w:t xml:space="preserve"> </w:t>
      </w:r>
    </w:p>
    <w:p w:rsidR="0070220C" w:rsidRPr="00AB422B" w:rsidRDefault="00867A5C" w:rsidP="006142E5">
      <w:pPr>
        <w:spacing w:line="360" w:lineRule="auto"/>
        <w:jc w:val="both"/>
        <w:rPr>
          <w:rFonts w:ascii="Times New Roman" w:hAnsi="Times New Roman" w:cs="Times New Roman"/>
          <w:b/>
          <w:sz w:val="24"/>
          <w:szCs w:val="24"/>
        </w:rPr>
      </w:pPr>
      <w:r w:rsidRPr="00AB422B">
        <w:rPr>
          <w:rFonts w:ascii="Times New Roman" w:hAnsi="Times New Roman" w:cs="Times New Roman"/>
          <w:b/>
          <w:noProof/>
          <w:sz w:val="24"/>
          <w:szCs w:val="24"/>
          <w:lang w:val="en-IN" w:eastAsia="en-IN"/>
        </w:rPr>
        <w:drawing>
          <wp:inline distT="0" distB="0" distL="0" distR="0">
            <wp:extent cx="6477443" cy="3136605"/>
            <wp:effectExtent l="19050" t="0" r="18607" b="6645"/>
            <wp:docPr id="1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05941" w:rsidRPr="00AB422B" w:rsidRDefault="00905941" w:rsidP="006142E5">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 xml:space="preserve">Fig3.1 profitability ratios of Tesco plc and Sainsbury plc  </w:t>
      </w:r>
    </w:p>
    <w:p w:rsidR="00146EBF" w:rsidRPr="00AB422B" w:rsidRDefault="00E35137"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The above </w:t>
      </w:r>
      <w:r w:rsidR="00AB422B" w:rsidRPr="00AB422B">
        <w:rPr>
          <w:rFonts w:ascii="Times New Roman" w:hAnsi="Times New Roman" w:cs="Times New Roman"/>
          <w:sz w:val="24"/>
          <w:szCs w:val="24"/>
        </w:rPr>
        <w:t>figures indicate</w:t>
      </w:r>
      <w:r w:rsidRPr="00AB422B">
        <w:rPr>
          <w:rFonts w:ascii="Times New Roman" w:hAnsi="Times New Roman" w:cs="Times New Roman"/>
          <w:sz w:val="24"/>
          <w:szCs w:val="24"/>
        </w:rPr>
        <w:t xml:space="preserve"> </w:t>
      </w:r>
      <w:r w:rsidR="00DE0490" w:rsidRPr="00AB422B">
        <w:rPr>
          <w:rFonts w:ascii="Times New Roman" w:hAnsi="Times New Roman" w:cs="Times New Roman"/>
          <w:sz w:val="24"/>
          <w:szCs w:val="24"/>
        </w:rPr>
        <w:t>that the</w:t>
      </w:r>
      <w:r w:rsidRPr="00AB422B">
        <w:rPr>
          <w:rFonts w:ascii="Times New Roman" w:hAnsi="Times New Roman" w:cs="Times New Roman"/>
          <w:sz w:val="24"/>
          <w:szCs w:val="24"/>
        </w:rPr>
        <w:t xml:space="preserve"> gross profit </w:t>
      </w:r>
      <w:r w:rsidR="00B42997" w:rsidRPr="00AB422B">
        <w:rPr>
          <w:rFonts w:ascii="Times New Roman" w:hAnsi="Times New Roman" w:cs="Times New Roman"/>
          <w:sz w:val="24"/>
          <w:szCs w:val="24"/>
        </w:rPr>
        <w:t>margin of</w:t>
      </w:r>
      <w:r w:rsidR="00DE0490" w:rsidRPr="00AB422B">
        <w:rPr>
          <w:rFonts w:ascii="Times New Roman" w:hAnsi="Times New Roman" w:cs="Times New Roman"/>
          <w:sz w:val="24"/>
          <w:szCs w:val="24"/>
        </w:rPr>
        <w:t xml:space="preserve"> Tesco plc </w:t>
      </w:r>
      <w:r w:rsidR="00AB422B">
        <w:rPr>
          <w:rFonts w:ascii="Times New Roman" w:hAnsi="Times New Roman" w:cs="Times New Roman"/>
          <w:sz w:val="24"/>
          <w:szCs w:val="24"/>
        </w:rPr>
        <w:t>was</w:t>
      </w:r>
      <w:r w:rsidR="00B42997" w:rsidRPr="00AB422B">
        <w:rPr>
          <w:rFonts w:ascii="Times New Roman" w:hAnsi="Times New Roman" w:cs="Times New Roman"/>
          <w:sz w:val="24"/>
          <w:szCs w:val="24"/>
        </w:rPr>
        <w:t xml:space="preserve"> 5.26% at </w:t>
      </w:r>
      <w:r w:rsidR="00AB422B">
        <w:rPr>
          <w:rFonts w:ascii="Times New Roman" w:hAnsi="Times New Roman" w:cs="Times New Roman"/>
          <w:sz w:val="24"/>
          <w:szCs w:val="24"/>
        </w:rPr>
        <w:t>the end of 2016, which indicated</w:t>
      </w:r>
      <w:r w:rsidR="00B42997" w:rsidRPr="00AB422B">
        <w:rPr>
          <w:rFonts w:ascii="Times New Roman" w:hAnsi="Times New Roman" w:cs="Times New Roman"/>
          <w:sz w:val="24"/>
          <w:szCs w:val="24"/>
        </w:rPr>
        <w:t xml:space="preserve"> that it achieve</w:t>
      </w:r>
      <w:r w:rsidR="00461E3C">
        <w:rPr>
          <w:rFonts w:ascii="Times New Roman" w:hAnsi="Times New Roman" w:cs="Times New Roman"/>
          <w:sz w:val="24"/>
          <w:szCs w:val="24"/>
        </w:rPr>
        <w:t>d</w:t>
      </w:r>
      <w:r w:rsidR="00B42997" w:rsidRPr="00AB422B">
        <w:rPr>
          <w:rFonts w:ascii="Times New Roman" w:hAnsi="Times New Roman" w:cs="Times New Roman"/>
          <w:sz w:val="24"/>
          <w:szCs w:val="24"/>
        </w:rPr>
        <w:t xml:space="preserve"> gross profits of 0.0526 per pound of net sales. The </w:t>
      </w:r>
      <w:r w:rsidR="00EE188A" w:rsidRPr="00AB422B">
        <w:rPr>
          <w:rFonts w:ascii="Times New Roman" w:hAnsi="Times New Roman" w:cs="Times New Roman"/>
          <w:sz w:val="24"/>
          <w:szCs w:val="24"/>
        </w:rPr>
        <w:t>ratios were</w:t>
      </w:r>
      <w:r w:rsidR="00B42997" w:rsidRPr="00AB422B">
        <w:rPr>
          <w:rFonts w:ascii="Times New Roman" w:hAnsi="Times New Roman" w:cs="Times New Roman"/>
          <w:sz w:val="24"/>
          <w:szCs w:val="24"/>
        </w:rPr>
        <w:t xml:space="preserve"> positive shows that company</w:t>
      </w:r>
      <w:r w:rsidR="00DB0F1D" w:rsidRPr="00AB422B">
        <w:rPr>
          <w:rFonts w:ascii="Times New Roman" w:hAnsi="Times New Roman" w:cs="Times New Roman"/>
          <w:sz w:val="24"/>
          <w:szCs w:val="24"/>
        </w:rPr>
        <w:t xml:space="preserve"> had approximately five </w:t>
      </w:r>
      <w:r w:rsidR="00EE188A" w:rsidRPr="00AB422B">
        <w:rPr>
          <w:rFonts w:ascii="Times New Roman" w:hAnsi="Times New Roman" w:cs="Times New Roman"/>
          <w:sz w:val="24"/>
          <w:szCs w:val="24"/>
        </w:rPr>
        <w:t>percentages</w:t>
      </w:r>
      <w:r w:rsidR="00DB0F1D" w:rsidRPr="00AB422B">
        <w:rPr>
          <w:rFonts w:ascii="Times New Roman" w:hAnsi="Times New Roman" w:cs="Times New Roman"/>
          <w:sz w:val="24"/>
          <w:szCs w:val="24"/>
        </w:rPr>
        <w:t xml:space="preserve"> of tot</w:t>
      </w:r>
      <w:r w:rsidR="00E53ED9" w:rsidRPr="00AB422B">
        <w:rPr>
          <w:rFonts w:ascii="Times New Roman" w:hAnsi="Times New Roman" w:cs="Times New Roman"/>
          <w:sz w:val="24"/>
          <w:szCs w:val="24"/>
        </w:rPr>
        <w:t xml:space="preserve">al revenues for </w:t>
      </w:r>
      <w:r w:rsidR="00E53ED9" w:rsidRPr="00AB422B">
        <w:rPr>
          <w:rFonts w:ascii="Times New Roman" w:hAnsi="Times New Roman" w:cs="Times New Roman"/>
          <w:sz w:val="24"/>
          <w:szCs w:val="24"/>
        </w:rPr>
        <w:lastRenderedPageBreak/>
        <w:t>paying both non-</w:t>
      </w:r>
      <w:r w:rsidR="00DB0F1D" w:rsidRPr="00AB422B">
        <w:rPr>
          <w:rFonts w:ascii="Times New Roman" w:hAnsi="Times New Roman" w:cs="Times New Roman"/>
          <w:sz w:val="24"/>
          <w:szCs w:val="24"/>
        </w:rPr>
        <w:t xml:space="preserve">operating and operating costs including </w:t>
      </w:r>
      <w:r w:rsidR="00FE311B" w:rsidRPr="00AB422B">
        <w:rPr>
          <w:rFonts w:ascii="Times New Roman" w:hAnsi="Times New Roman" w:cs="Times New Roman"/>
          <w:sz w:val="24"/>
          <w:szCs w:val="24"/>
        </w:rPr>
        <w:t>interest’s</w:t>
      </w:r>
      <w:r w:rsidR="00DB0F1D" w:rsidRPr="00AB422B">
        <w:rPr>
          <w:rFonts w:ascii="Times New Roman" w:hAnsi="Times New Roman" w:cs="Times New Roman"/>
          <w:sz w:val="24"/>
          <w:szCs w:val="24"/>
        </w:rPr>
        <w:t xml:space="preserve"> expenses. Moreover the performance of the company in year of 2015 is not much better and the company achieve negative </w:t>
      </w:r>
      <w:r w:rsidR="007A56FD" w:rsidRPr="00AB422B">
        <w:rPr>
          <w:rFonts w:ascii="Times New Roman" w:hAnsi="Times New Roman" w:cs="Times New Roman"/>
          <w:sz w:val="24"/>
          <w:szCs w:val="24"/>
        </w:rPr>
        <w:t xml:space="preserve">(3.39%) gross profits margin that shows that Tesco performance in year of 2015 </w:t>
      </w:r>
      <w:r w:rsidR="00461E3C">
        <w:rPr>
          <w:rFonts w:ascii="Times New Roman" w:hAnsi="Times New Roman" w:cs="Times New Roman"/>
          <w:sz w:val="24"/>
          <w:szCs w:val="24"/>
        </w:rPr>
        <w:t xml:space="preserve">had been </w:t>
      </w:r>
      <w:r w:rsidR="007A56FD" w:rsidRPr="00AB422B">
        <w:rPr>
          <w:rFonts w:ascii="Times New Roman" w:hAnsi="Times New Roman" w:cs="Times New Roman"/>
          <w:sz w:val="24"/>
          <w:szCs w:val="24"/>
        </w:rPr>
        <w:t>degraded. The main reason of the performance reduction may be introduction of the new competitors in market and introduction of the new technology in retail sectors. Moreover gross profits margin w</w:t>
      </w:r>
      <w:r w:rsidR="00461E3C">
        <w:rPr>
          <w:rFonts w:ascii="Times New Roman" w:hAnsi="Times New Roman" w:cs="Times New Roman"/>
          <w:sz w:val="24"/>
          <w:szCs w:val="24"/>
        </w:rPr>
        <w:t>ere</w:t>
      </w:r>
      <w:r w:rsidR="007A56FD" w:rsidRPr="00AB422B">
        <w:rPr>
          <w:rFonts w:ascii="Times New Roman" w:hAnsi="Times New Roman" w:cs="Times New Roman"/>
          <w:sz w:val="24"/>
          <w:szCs w:val="24"/>
        </w:rPr>
        <w:t xml:space="preserve"> 6.02% in 2012, 6.55% in 2013 and 6.31% in 2014shows positive trends </w:t>
      </w:r>
      <w:r w:rsidR="00107E56" w:rsidRPr="00AB422B">
        <w:rPr>
          <w:rFonts w:ascii="Times New Roman" w:hAnsi="Times New Roman" w:cs="Times New Roman"/>
          <w:sz w:val="24"/>
          <w:szCs w:val="24"/>
        </w:rPr>
        <w:t>throughout</w:t>
      </w:r>
      <w:r w:rsidR="007A56FD" w:rsidRPr="00AB422B">
        <w:rPr>
          <w:rFonts w:ascii="Times New Roman" w:hAnsi="Times New Roman" w:cs="Times New Roman"/>
          <w:sz w:val="24"/>
          <w:szCs w:val="24"/>
        </w:rPr>
        <w:t xml:space="preserve"> the period 2012 to 201</w:t>
      </w:r>
      <w:r w:rsidR="00107E56" w:rsidRPr="00AB422B">
        <w:rPr>
          <w:rFonts w:ascii="Times New Roman" w:hAnsi="Times New Roman" w:cs="Times New Roman"/>
          <w:sz w:val="24"/>
          <w:szCs w:val="24"/>
        </w:rPr>
        <w:t>5. While comparing Tesco plc performance with Sai</w:t>
      </w:r>
      <w:r w:rsidR="00461E3C">
        <w:rPr>
          <w:rFonts w:ascii="Times New Roman" w:hAnsi="Times New Roman" w:cs="Times New Roman"/>
          <w:sz w:val="24"/>
          <w:szCs w:val="24"/>
        </w:rPr>
        <w:t>nsbury’s plc performance, it had</w:t>
      </w:r>
      <w:r w:rsidR="00107E56" w:rsidRPr="00AB422B">
        <w:rPr>
          <w:rFonts w:ascii="Times New Roman" w:hAnsi="Times New Roman" w:cs="Times New Roman"/>
          <w:sz w:val="24"/>
          <w:szCs w:val="24"/>
        </w:rPr>
        <w:t xml:space="preserve"> been identified that performance trends of the company </w:t>
      </w:r>
      <w:r w:rsidR="00461E3C">
        <w:rPr>
          <w:rFonts w:ascii="Times New Roman" w:hAnsi="Times New Roman" w:cs="Times New Roman"/>
          <w:sz w:val="24"/>
          <w:szCs w:val="24"/>
        </w:rPr>
        <w:t>was</w:t>
      </w:r>
      <w:r w:rsidR="00107E56" w:rsidRPr="00AB422B">
        <w:rPr>
          <w:rFonts w:ascii="Times New Roman" w:hAnsi="Times New Roman" w:cs="Times New Roman"/>
          <w:sz w:val="24"/>
          <w:szCs w:val="24"/>
        </w:rPr>
        <w:t xml:space="preserve"> positive throughout the period 2012 to 2016. Moreover in year of 2015, Sainsbury’s plc performance </w:t>
      </w:r>
      <w:r w:rsidR="00995461">
        <w:rPr>
          <w:rFonts w:ascii="Times New Roman" w:hAnsi="Times New Roman" w:cs="Times New Roman"/>
          <w:sz w:val="24"/>
          <w:szCs w:val="24"/>
        </w:rPr>
        <w:t>was</w:t>
      </w:r>
      <w:r w:rsidR="00107E56" w:rsidRPr="00AB422B">
        <w:rPr>
          <w:rFonts w:ascii="Times New Roman" w:hAnsi="Times New Roman" w:cs="Times New Roman"/>
          <w:sz w:val="24"/>
          <w:szCs w:val="24"/>
        </w:rPr>
        <w:t xml:space="preserve"> increased about </w:t>
      </w:r>
      <w:r w:rsidR="007A6D31" w:rsidRPr="00AB422B">
        <w:rPr>
          <w:rFonts w:ascii="Times New Roman" w:hAnsi="Times New Roman" w:cs="Times New Roman"/>
          <w:sz w:val="24"/>
          <w:szCs w:val="24"/>
        </w:rPr>
        <w:t>7% compared to Tesco performance</w:t>
      </w:r>
      <w:r w:rsidR="00146EBF" w:rsidRPr="00AB422B">
        <w:rPr>
          <w:rFonts w:ascii="Times New Roman" w:hAnsi="Times New Roman" w:cs="Times New Roman"/>
          <w:sz w:val="24"/>
          <w:szCs w:val="24"/>
        </w:rPr>
        <w:t>.  The trend indicate</w:t>
      </w:r>
      <w:r w:rsidR="00995461">
        <w:rPr>
          <w:rFonts w:ascii="Times New Roman" w:hAnsi="Times New Roman" w:cs="Times New Roman"/>
          <w:sz w:val="24"/>
          <w:szCs w:val="24"/>
        </w:rPr>
        <w:t>d</w:t>
      </w:r>
      <w:r w:rsidR="00146EBF" w:rsidRPr="00AB422B">
        <w:rPr>
          <w:rFonts w:ascii="Times New Roman" w:hAnsi="Times New Roman" w:cs="Times New Roman"/>
          <w:sz w:val="24"/>
          <w:szCs w:val="24"/>
        </w:rPr>
        <w:t xml:space="preserve"> that organization Sainsbury performance was more stable than Tesco performance</w:t>
      </w:r>
      <w:r w:rsidR="005A0162" w:rsidRPr="00AB422B">
        <w:t xml:space="preserve"> (</w:t>
      </w:r>
      <w:r w:rsidR="005A0162" w:rsidRPr="00AB422B">
        <w:rPr>
          <w:rFonts w:ascii="Times New Roman" w:hAnsi="Times New Roman" w:cs="Times New Roman"/>
          <w:sz w:val="24"/>
          <w:szCs w:val="24"/>
        </w:rPr>
        <w:t>Robinson, 2009)</w:t>
      </w:r>
      <w:r w:rsidR="00146EBF" w:rsidRPr="00AB422B">
        <w:rPr>
          <w:rFonts w:ascii="Times New Roman" w:hAnsi="Times New Roman" w:cs="Times New Roman"/>
          <w:sz w:val="24"/>
          <w:szCs w:val="24"/>
        </w:rPr>
        <w:t xml:space="preserve">.  </w:t>
      </w:r>
      <w:r w:rsidR="007A6D31" w:rsidRPr="00AB422B">
        <w:rPr>
          <w:rFonts w:ascii="Times New Roman" w:hAnsi="Times New Roman" w:cs="Times New Roman"/>
          <w:sz w:val="24"/>
          <w:szCs w:val="24"/>
        </w:rPr>
        <w:t xml:space="preserve"> </w:t>
      </w:r>
      <w:r w:rsidR="004C69CD" w:rsidRPr="00AB422B">
        <w:rPr>
          <w:rFonts w:ascii="Times New Roman" w:hAnsi="Times New Roman" w:cs="Times New Roman"/>
          <w:sz w:val="24"/>
          <w:szCs w:val="24"/>
        </w:rPr>
        <w:t>This was driven due to reduce in UK profits and challenges, regulation influence in South Korea a</w:t>
      </w:r>
      <w:r w:rsidR="00995461">
        <w:rPr>
          <w:rFonts w:ascii="Times New Roman" w:hAnsi="Times New Roman" w:cs="Times New Roman"/>
          <w:sz w:val="24"/>
          <w:szCs w:val="24"/>
        </w:rPr>
        <w:t>nd political disruption in Thai</w:t>
      </w:r>
      <w:r w:rsidR="004C69CD" w:rsidRPr="00AB422B">
        <w:rPr>
          <w:rFonts w:ascii="Times New Roman" w:hAnsi="Times New Roman" w:cs="Times New Roman"/>
          <w:sz w:val="24"/>
          <w:szCs w:val="24"/>
        </w:rPr>
        <w:t xml:space="preserve">land </w:t>
      </w:r>
      <w:r w:rsidR="00995461">
        <w:rPr>
          <w:rFonts w:ascii="Times New Roman" w:hAnsi="Times New Roman" w:cs="Times New Roman"/>
          <w:sz w:val="24"/>
          <w:szCs w:val="24"/>
        </w:rPr>
        <w:t xml:space="preserve">which had </w:t>
      </w:r>
      <w:r w:rsidR="004C69CD" w:rsidRPr="00AB422B">
        <w:rPr>
          <w:rFonts w:ascii="Times New Roman" w:hAnsi="Times New Roman" w:cs="Times New Roman"/>
          <w:sz w:val="24"/>
          <w:szCs w:val="24"/>
        </w:rPr>
        <w:t>negatively impact</w:t>
      </w:r>
      <w:r w:rsidR="00995461">
        <w:rPr>
          <w:rFonts w:ascii="Times New Roman" w:hAnsi="Times New Roman" w:cs="Times New Roman"/>
          <w:sz w:val="24"/>
          <w:szCs w:val="24"/>
        </w:rPr>
        <w:t xml:space="preserve"> on</w:t>
      </w:r>
      <w:r w:rsidR="004C69CD" w:rsidRPr="00AB422B">
        <w:rPr>
          <w:rFonts w:ascii="Times New Roman" w:hAnsi="Times New Roman" w:cs="Times New Roman"/>
          <w:sz w:val="24"/>
          <w:szCs w:val="24"/>
        </w:rPr>
        <w:t xml:space="preserve"> the performance of Tesco plc in year of 2015.      </w:t>
      </w:r>
    </w:p>
    <w:p w:rsidR="00EE188A" w:rsidRPr="00AB422B" w:rsidRDefault="00146EBF"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Tesco operating performance </w:t>
      </w:r>
      <w:r w:rsidR="00206621">
        <w:rPr>
          <w:rFonts w:ascii="Times New Roman" w:hAnsi="Times New Roman" w:cs="Times New Roman"/>
          <w:sz w:val="24"/>
          <w:szCs w:val="24"/>
        </w:rPr>
        <w:t>in</w:t>
      </w:r>
      <w:r w:rsidR="0035259F" w:rsidRPr="00AB422B">
        <w:rPr>
          <w:rFonts w:ascii="Times New Roman" w:hAnsi="Times New Roman" w:cs="Times New Roman"/>
          <w:sz w:val="24"/>
          <w:szCs w:val="24"/>
        </w:rPr>
        <w:t xml:space="preserve"> 2015 was -9.</w:t>
      </w:r>
      <w:r w:rsidR="005265BB" w:rsidRPr="00AB422B">
        <w:rPr>
          <w:rFonts w:ascii="Times New Roman" w:hAnsi="Times New Roman" w:cs="Times New Roman"/>
          <w:sz w:val="24"/>
          <w:szCs w:val="24"/>
        </w:rPr>
        <w:t>30</w:t>
      </w:r>
      <w:r w:rsidR="0035259F" w:rsidRPr="00AB422B">
        <w:rPr>
          <w:rFonts w:ascii="Times New Roman" w:hAnsi="Times New Roman" w:cs="Times New Roman"/>
          <w:sz w:val="24"/>
          <w:szCs w:val="24"/>
        </w:rPr>
        <w:t>% which signifie</w:t>
      </w:r>
      <w:r w:rsidR="00206621">
        <w:rPr>
          <w:rFonts w:ascii="Times New Roman" w:hAnsi="Times New Roman" w:cs="Times New Roman"/>
          <w:sz w:val="24"/>
          <w:szCs w:val="24"/>
        </w:rPr>
        <w:t>d</w:t>
      </w:r>
      <w:r w:rsidR="0035259F" w:rsidRPr="00AB422B">
        <w:rPr>
          <w:rFonts w:ascii="Times New Roman" w:hAnsi="Times New Roman" w:cs="Times New Roman"/>
          <w:sz w:val="24"/>
          <w:szCs w:val="24"/>
        </w:rPr>
        <w:t xml:space="preserve"> that operating acti</w:t>
      </w:r>
      <w:r w:rsidR="00206621">
        <w:rPr>
          <w:rFonts w:ascii="Times New Roman" w:hAnsi="Times New Roman" w:cs="Times New Roman"/>
          <w:sz w:val="24"/>
          <w:szCs w:val="24"/>
        </w:rPr>
        <w:t>vities</w:t>
      </w:r>
      <w:r w:rsidR="0035259F" w:rsidRPr="00AB422B">
        <w:rPr>
          <w:rFonts w:ascii="Times New Roman" w:hAnsi="Times New Roman" w:cs="Times New Roman"/>
          <w:sz w:val="24"/>
          <w:szCs w:val="24"/>
        </w:rPr>
        <w:t xml:space="preserve"> were not profitable in year of 2015. The </w:t>
      </w:r>
      <w:r w:rsidR="00547025" w:rsidRPr="00AB422B">
        <w:rPr>
          <w:rFonts w:ascii="Times New Roman" w:hAnsi="Times New Roman" w:cs="Times New Roman"/>
          <w:sz w:val="24"/>
          <w:szCs w:val="24"/>
        </w:rPr>
        <w:t>ratios were</w:t>
      </w:r>
      <w:r w:rsidR="0035259F" w:rsidRPr="00AB422B">
        <w:rPr>
          <w:rFonts w:ascii="Times New Roman" w:hAnsi="Times New Roman" w:cs="Times New Roman"/>
          <w:sz w:val="24"/>
          <w:szCs w:val="24"/>
        </w:rPr>
        <w:t xml:space="preserve">   </w:t>
      </w:r>
      <w:r w:rsidR="00547025" w:rsidRPr="00AB422B">
        <w:rPr>
          <w:rFonts w:ascii="Times New Roman" w:hAnsi="Times New Roman" w:cs="Times New Roman"/>
          <w:sz w:val="24"/>
          <w:szCs w:val="24"/>
        </w:rPr>
        <w:t>6.54, 3.76</w:t>
      </w:r>
      <w:r w:rsidR="005265BB" w:rsidRPr="00AB422B">
        <w:rPr>
          <w:rFonts w:ascii="Times New Roman" w:hAnsi="Times New Roman" w:cs="Times New Roman"/>
          <w:sz w:val="24"/>
          <w:szCs w:val="24"/>
        </w:rPr>
        <w:t>%</w:t>
      </w:r>
      <w:r w:rsidR="00547025" w:rsidRPr="00AB422B">
        <w:rPr>
          <w:rFonts w:ascii="Times New Roman" w:hAnsi="Times New Roman" w:cs="Times New Roman"/>
          <w:sz w:val="24"/>
          <w:szCs w:val="24"/>
        </w:rPr>
        <w:t>, 4.14</w:t>
      </w:r>
      <w:r w:rsidR="005265BB" w:rsidRPr="00AB422B">
        <w:rPr>
          <w:rFonts w:ascii="Times New Roman" w:hAnsi="Times New Roman" w:cs="Times New Roman"/>
          <w:sz w:val="24"/>
          <w:szCs w:val="24"/>
        </w:rPr>
        <w:t>%</w:t>
      </w:r>
      <w:r w:rsidR="00547025" w:rsidRPr="00AB422B">
        <w:rPr>
          <w:rFonts w:ascii="Times New Roman" w:hAnsi="Times New Roman" w:cs="Times New Roman"/>
          <w:sz w:val="24"/>
          <w:szCs w:val="24"/>
        </w:rPr>
        <w:t>, and 1.99</w:t>
      </w:r>
      <w:r w:rsidR="005265BB" w:rsidRPr="00AB422B">
        <w:rPr>
          <w:rFonts w:ascii="Times New Roman" w:hAnsi="Times New Roman" w:cs="Times New Roman"/>
          <w:sz w:val="24"/>
          <w:szCs w:val="24"/>
        </w:rPr>
        <w:t>% in year of 2012</w:t>
      </w:r>
      <w:r w:rsidR="00547025" w:rsidRPr="00AB422B">
        <w:rPr>
          <w:rFonts w:ascii="Times New Roman" w:hAnsi="Times New Roman" w:cs="Times New Roman"/>
          <w:sz w:val="24"/>
          <w:szCs w:val="24"/>
        </w:rPr>
        <w:t>, 2013, 2014</w:t>
      </w:r>
      <w:r w:rsidR="005265BB" w:rsidRPr="00AB422B">
        <w:rPr>
          <w:rFonts w:ascii="Times New Roman" w:hAnsi="Times New Roman" w:cs="Times New Roman"/>
          <w:sz w:val="24"/>
          <w:szCs w:val="24"/>
        </w:rPr>
        <w:t xml:space="preserve"> and 2016</w:t>
      </w:r>
      <w:r w:rsidR="00547025" w:rsidRPr="00AB422B">
        <w:rPr>
          <w:rFonts w:ascii="Times New Roman" w:hAnsi="Times New Roman" w:cs="Times New Roman"/>
          <w:sz w:val="24"/>
          <w:szCs w:val="24"/>
        </w:rPr>
        <w:t xml:space="preserve"> respectively.  On the other hand Sainsbury had an opening margin of </w:t>
      </w:r>
      <w:r w:rsidR="00107E56" w:rsidRPr="00AB422B">
        <w:rPr>
          <w:rFonts w:ascii="Times New Roman" w:hAnsi="Times New Roman" w:cs="Times New Roman"/>
          <w:sz w:val="24"/>
          <w:szCs w:val="24"/>
        </w:rPr>
        <w:t xml:space="preserve">  </w:t>
      </w:r>
      <w:r w:rsidR="00547025" w:rsidRPr="00AB422B">
        <w:rPr>
          <w:rFonts w:ascii="Times New Roman" w:hAnsi="Times New Roman" w:cs="Times New Roman"/>
          <w:sz w:val="24"/>
          <w:szCs w:val="24"/>
        </w:rPr>
        <w:t xml:space="preserve">3.01% in 2016 which </w:t>
      </w:r>
      <w:r w:rsidR="00FB5A77">
        <w:rPr>
          <w:rFonts w:ascii="Times New Roman" w:hAnsi="Times New Roman" w:cs="Times New Roman"/>
          <w:sz w:val="24"/>
          <w:szCs w:val="24"/>
        </w:rPr>
        <w:t>signified</w:t>
      </w:r>
      <w:r w:rsidR="00547025" w:rsidRPr="00AB422B">
        <w:rPr>
          <w:rFonts w:ascii="Times New Roman" w:hAnsi="Times New Roman" w:cs="Times New Roman"/>
          <w:sz w:val="24"/>
          <w:szCs w:val="24"/>
        </w:rPr>
        <w:t xml:space="preserve"> that </w:t>
      </w:r>
      <w:r w:rsidR="000702A5" w:rsidRPr="00AB422B">
        <w:rPr>
          <w:rFonts w:ascii="Times New Roman" w:hAnsi="Times New Roman" w:cs="Times New Roman"/>
          <w:sz w:val="24"/>
          <w:szCs w:val="24"/>
        </w:rPr>
        <w:t xml:space="preserve">3% of total revenue was left after fulfilling all operating costs. </w:t>
      </w:r>
      <w:r w:rsidR="00B300E8" w:rsidRPr="00AB422B">
        <w:rPr>
          <w:rFonts w:ascii="Times New Roman" w:hAnsi="Times New Roman" w:cs="Times New Roman"/>
          <w:sz w:val="24"/>
          <w:szCs w:val="24"/>
        </w:rPr>
        <w:t>The operating margin of Sainsbury w</w:t>
      </w:r>
      <w:r w:rsidR="00FB5A77">
        <w:rPr>
          <w:rFonts w:ascii="Times New Roman" w:hAnsi="Times New Roman" w:cs="Times New Roman"/>
          <w:sz w:val="24"/>
          <w:szCs w:val="24"/>
        </w:rPr>
        <w:t>ere</w:t>
      </w:r>
      <w:r w:rsidR="00B300E8" w:rsidRPr="00AB422B">
        <w:rPr>
          <w:rFonts w:ascii="Times New Roman" w:hAnsi="Times New Roman" w:cs="Times New Roman"/>
          <w:sz w:val="24"/>
          <w:szCs w:val="24"/>
        </w:rPr>
        <w:t xml:space="preserve"> 3.33%, </w:t>
      </w:r>
      <w:r w:rsidR="00197975" w:rsidRPr="00AB422B">
        <w:rPr>
          <w:rFonts w:ascii="Times New Roman" w:hAnsi="Times New Roman" w:cs="Times New Roman"/>
          <w:sz w:val="24"/>
          <w:szCs w:val="24"/>
        </w:rPr>
        <w:t>2.12% and 1.32% higher</w:t>
      </w:r>
      <w:r w:rsidR="00B300E8" w:rsidRPr="00AB422B">
        <w:rPr>
          <w:rFonts w:ascii="Times New Roman" w:hAnsi="Times New Roman" w:cs="Times New Roman"/>
          <w:sz w:val="24"/>
          <w:szCs w:val="24"/>
        </w:rPr>
        <w:t xml:space="preserve"> than Tesco in 2016</w:t>
      </w:r>
      <w:r w:rsidR="00EE188A" w:rsidRPr="00AB422B">
        <w:rPr>
          <w:rFonts w:ascii="Times New Roman" w:hAnsi="Times New Roman" w:cs="Times New Roman"/>
          <w:sz w:val="24"/>
          <w:szCs w:val="24"/>
        </w:rPr>
        <w:t>, 2014</w:t>
      </w:r>
      <w:r w:rsidR="00197975" w:rsidRPr="00AB422B">
        <w:rPr>
          <w:rFonts w:ascii="Times New Roman" w:hAnsi="Times New Roman" w:cs="Times New Roman"/>
          <w:sz w:val="24"/>
          <w:szCs w:val="24"/>
        </w:rPr>
        <w:t xml:space="preserve"> and 2013 respectively which </w:t>
      </w:r>
      <w:r w:rsidR="00EE188A" w:rsidRPr="00AB422B">
        <w:rPr>
          <w:rFonts w:ascii="Times New Roman" w:hAnsi="Times New Roman" w:cs="Times New Roman"/>
          <w:sz w:val="24"/>
          <w:szCs w:val="24"/>
        </w:rPr>
        <w:t>indicate</w:t>
      </w:r>
      <w:r w:rsidR="00FB5A77">
        <w:rPr>
          <w:rFonts w:ascii="Times New Roman" w:hAnsi="Times New Roman" w:cs="Times New Roman"/>
          <w:sz w:val="24"/>
          <w:szCs w:val="24"/>
        </w:rPr>
        <w:t>d</w:t>
      </w:r>
      <w:r w:rsidR="00197975" w:rsidRPr="00AB422B">
        <w:rPr>
          <w:rFonts w:ascii="Times New Roman" w:hAnsi="Times New Roman" w:cs="Times New Roman"/>
          <w:sz w:val="24"/>
          <w:szCs w:val="24"/>
        </w:rPr>
        <w:t xml:space="preserve"> that in Sainsbury’s operating margin was above than Tesco</w:t>
      </w:r>
      <w:r w:rsidR="00EE188A" w:rsidRPr="00AB422B">
        <w:rPr>
          <w:rFonts w:ascii="Times New Roman" w:hAnsi="Times New Roman" w:cs="Times New Roman"/>
          <w:sz w:val="24"/>
          <w:szCs w:val="24"/>
        </w:rPr>
        <w:t xml:space="preserve">, implying that it was more profitable than the Tesco plc. </w:t>
      </w:r>
      <w:r w:rsidR="005160F6" w:rsidRPr="00AB422B">
        <w:rPr>
          <w:rFonts w:ascii="Times New Roman" w:hAnsi="Times New Roman" w:cs="Times New Roman"/>
          <w:sz w:val="24"/>
          <w:szCs w:val="24"/>
        </w:rPr>
        <w:t xml:space="preserve"> Tesco invested 1 billion pound in enhancing services and looks of store in year of 2014 </w:t>
      </w:r>
      <w:r w:rsidR="009C3248">
        <w:rPr>
          <w:rFonts w:ascii="Times New Roman" w:hAnsi="Times New Roman" w:cs="Times New Roman"/>
          <w:sz w:val="24"/>
          <w:szCs w:val="24"/>
        </w:rPr>
        <w:t>which</w:t>
      </w:r>
      <w:r w:rsidR="005160F6" w:rsidRPr="00AB422B">
        <w:rPr>
          <w:rFonts w:ascii="Times New Roman" w:hAnsi="Times New Roman" w:cs="Times New Roman"/>
          <w:sz w:val="24"/>
          <w:szCs w:val="24"/>
        </w:rPr>
        <w:t xml:space="preserve"> </w:t>
      </w:r>
      <w:r w:rsidR="001C77F5" w:rsidRPr="00AB422B">
        <w:rPr>
          <w:rFonts w:ascii="Times New Roman" w:hAnsi="Times New Roman" w:cs="Times New Roman"/>
          <w:sz w:val="24"/>
          <w:szCs w:val="24"/>
        </w:rPr>
        <w:t xml:space="preserve">become more expensive </w:t>
      </w:r>
      <w:r w:rsidR="000371E3" w:rsidRPr="00AB422B">
        <w:t>(</w:t>
      </w:r>
      <w:proofErr w:type="spellStart"/>
      <w:r w:rsidR="005A0162" w:rsidRPr="00AB422B">
        <w:rPr>
          <w:rFonts w:ascii="Times New Roman" w:hAnsi="Times New Roman" w:cs="Times New Roman"/>
          <w:sz w:val="24"/>
          <w:szCs w:val="24"/>
        </w:rPr>
        <w:t>theguardian</w:t>
      </w:r>
      <w:proofErr w:type="spellEnd"/>
      <w:r w:rsidR="000371E3" w:rsidRPr="00AB422B">
        <w:rPr>
          <w:rFonts w:ascii="Times New Roman" w:hAnsi="Times New Roman" w:cs="Times New Roman"/>
          <w:sz w:val="24"/>
          <w:szCs w:val="24"/>
        </w:rPr>
        <w:t>, 2014</w:t>
      </w:r>
      <w:r w:rsidR="005A0162" w:rsidRPr="00AB422B">
        <w:rPr>
          <w:rFonts w:ascii="Times New Roman" w:hAnsi="Times New Roman" w:cs="Times New Roman"/>
          <w:sz w:val="24"/>
          <w:szCs w:val="24"/>
        </w:rPr>
        <w:t>)</w:t>
      </w:r>
      <w:r w:rsidR="001C77F5" w:rsidRPr="00AB422B">
        <w:rPr>
          <w:rFonts w:ascii="Times New Roman" w:hAnsi="Times New Roman" w:cs="Times New Roman"/>
          <w:sz w:val="24"/>
          <w:szCs w:val="24"/>
        </w:rPr>
        <w:t xml:space="preserve">.    </w:t>
      </w:r>
      <w:r w:rsidR="005160F6" w:rsidRPr="00AB422B">
        <w:rPr>
          <w:rFonts w:ascii="Times New Roman" w:hAnsi="Times New Roman" w:cs="Times New Roman"/>
          <w:sz w:val="24"/>
          <w:szCs w:val="24"/>
        </w:rPr>
        <w:t xml:space="preserve">     </w:t>
      </w:r>
    </w:p>
    <w:p w:rsidR="00DF5AC7" w:rsidRPr="00AB422B" w:rsidRDefault="00DF5AC7"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Tesco plc net profit </w:t>
      </w:r>
      <w:r w:rsidR="009C3248" w:rsidRPr="00AB422B">
        <w:rPr>
          <w:rFonts w:ascii="Times New Roman" w:hAnsi="Times New Roman" w:cs="Times New Roman"/>
          <w:sz w:val="24"/>
          <w:szCs w:val="24"/>
        </w:rPr>
        <w:t>margins were</w:t>
      </w:r>
      <w:r w:rsidRPr="00AB422B">
        <w:rPr>
          <w:rFonts w:ascii="Times New Roman" w:hAnsi="Times New Roman" w:cs="Times New Roman"/>
          <w:sz w:val="24"/>
          <w:szCs w:val="24"/>
        </w:rPr>
        <w:t xml:space="preserve"> increased from 0.19% in 2013, 1.53% in 2014 and 0.25% in 2016; whereas in 2015 its profit </w:t>
      </w:r>
      <w:r w:rsidR="009C3248">
        <w:rPr>
          <w:rFonts w:ascii="Times New Roman" w:hAnsi="Times New Roman" w:cs="Times New Roman"/>
          <w:sz w:val="24"/>
          <w:szCs w:val="24"/>
        </w:rPr>
        <w:t>was</w:t>
      </w:r>
      <w:r w:rsidRPr="00AB422B">
        <w:rPr>
          <w:rFonts w:ascii="Times New Roman" w:hAnsi="Times New Roman" w:cs="Times New Roman"/>
          <w:sz w:val="24"/>
          <w:szCs w:val="24"/>
        </w:rPr>
        <w:t xml:space="preserve"> reduced</w:t>
      </w:r>
      <w:r w:rsidR="00AA0626" w:rsidRPr="00AB422B">
        <w:rPr>
          <w:rFonts w:ascii="Times New Roman" w:hAnsi="Times New Roman" w:cs="Times New Roman"/>
          <w:sz w:val="24"/>
          <w:szCs w:val="24"/>
        </w:rPr>
        <w:t xml:space="preserve"> from -9.22% respectively.  On the other hand, Sainsbury’s </w:t>
      </w:r>
      <w:r w:rsidR="00B70E9F" w:rsidRPr="00AB422B">
        <w:rPr>
          <w:rFonts w:ascii="Times New Roman" w:hAnsi="Times New Roman" w:cs="Times New Roman"/>
          <w:sz w:val="24"/>
          <w:szCs w:val="24"/>
        </w:rPr>
        <w:t>performances were</w:t>
      </w:r>
      <w:r w:rsidR="00AA0626" w:rsidRPr="00AB422B">
        <w:rPr>
          <w:rFonts w:ascii="Times New Roman" w:hAnsi="Times New Roman" w:cs="Times New Roman"/>
          <w:sz w:val="24"/>
          <w:szCs w:val="24"/>
        </w:rPr>
        <w:t xml:space="preserve"> increased from 2.63%</w:t>
      </w:r>
      <w:r w:rsidR="00B70E9F" w:rsidRPr="00AB422B">
        <w:rPr>
          <w:rFonts w:ascii="Times New Roman" w:hAnsi="Times New Roman" w:cs="Times New Roman"/>
          <w:sz w:val="24"/>
          <w:szCs w:val="24"/>
        </w:rPr>
        <w:t xml:space="preserve">, 2.99% in 2014 and 2.00% in 2016 which </w:t>
      </w:r>
      <w:r w:rsidR="009C3248">
        <w:rPr>
          <w:rFonts w:ascii="Times New Roman" w:hAnsi="Times New Roman" w:cs="Times New Roman"/>
          <w:sz w:val="24"/>
          <w:szCs w:val="24"/>
        </w:rPr>
        <w:t>was</w:t>
      </w:r>
      <w:r w:rsidR="00B70E9F" w:rsidRPr="00AB422B">
        <w:rPr>
          <w:rFonts w:ascii="Times New Roman" w:hAnsi="Times New Roman" w:cs="Times New Roman"/>
          <w:sz w:val="24"/>
          <w:szCs w:val="24"/>
        </w:rPr>
        <w:t xml:space="preserve"> higher than Tesco net profit margin. In year of 2015 both organization performance was degraded that may be due to entry of new competitors and introduction of the new rules and regulations </w:t>
      </w:r>
      <w:r w:rsidR="009C3248">
        <w:rPr>
          <w:rFonts w:ascii="Times New Roman" w:hAnsi="Times New Roman" w:cs="Times New Roman"/>
          <w:sz w:val="24"/>
          <w:szCs w:val="24"/>
        </w:rPr>
        <w:t xml:space="preserve">by other </w:t>
      </w:r>
      <w:r w:rsidR="002324B9">
        <w:rPr>
          <w:rFonts w:ascii="Times New Roman" w:hAnsi="Times New Roman" w:cs="Times New Roman"/>
          <w:sz w:val="24"/>
          <w:szCs w:val="24"/>
        </w:rPr>
        <w:t>countries (</w:t>
      </w:r>
      <w:r w:rsidR="009C3248">
        <w:rPr>
          <w:rFonts w:ascii="Times New Roman" w:hAnsi="Times New Roman" w:cs="Times New Roman"/>
          <w:sz w:val="24"/>
          <w:szCs w:val="24"/>
        </w:rPr>
        <w:t>such as Thailand and South Korea</w:t>
      </w:r>
      <w:r w:rsidR="002324B9">
        <w:rPr>
          <w:rFonts w:ascii="Times New Roman" w:hAnsi="Times New Roman" w:cs="Times New Roman"/>
          <w:sz w:val="24"/>
          <w:szCs w:val="24"/>
        </w:rPr>
        <w:t>)</w:t>
      </w:r>
      <w:r w:rsidR="00B70E9F" w:rsidRPr="00AB422B">
        <w:rPr>
          <w:rFonts w:ascii="Times New Roman" w:hAnsi="Times New Roman" w:cs="Times New Roman"/>
          <w:sz w:val="24"/>
          <w:szCs w:val="24"/>
        </w:rPr>
        <w:t xml:space="preserve">. </w:t>
      </w:r>
      <w:r w:rsidR="00AE741F" w:rsidRPr="00AB422B">
        <w:rPr>
          <w:rFonts w:ascii="Times New Roman" w:hAnsi="Times New Roman" w:cs="Times New Roman"/>
          <w:sz w:val="24"/>
          <w:szCs w:val="24"/>
        </w:rPr>
        <w:t xml:space="preserve">Overall </w:t>
      </w:r>
      <w:r w:rsidR="002324B9">
        <w:rPr>
          <w:rFonts w:ascii="Times New Roman" w:hAnsi="Times New Roman" w:cs="Times New Roman"/>
          <w:sz w:val="24"/>
          <w:szCs w:val="24"/>
        </w:rPr>
        <w:t xml:space="preserve">objection shows </w:t>
      </w:r>
      <w:r w:rsidR="002324B9" w:rsidRPr="00AB422B">
        <w:rPr>
          <w:rFonts w:ascii="Times New Roman" w:hAnsi="Times New Roman" w:cs="Times New Roman"/>
          <w:sz w:val="24"/>
          <w:szCs w:val="24"/>
        </w:rPr>
        <w:t>that</w:t>
      </w:r>
      <w:r w:rsidR="00AE741F" w:rsidRPr="00AB422B">
        <w:rPr>
          <w:rFonts w:ascii="Times New Roman" w:hAnsi="Times New Roman" w:cs="Times New Roman"/>
          <w:sz w:val="24"/>
          <w:szCs w:val="24"/>
        </w:rPr>
        <w:t xml:space="preserve"> </w:t>
      </w:r>
      <w:r w:rsidR="00AE741F" w:rsidRPr="00AB422B">
        <w:rPr>
          <w:rFonts w:ascii="Times New Roman" w:hAnsi="Times New Roman" w:cs="Times New Roman"/>
          <w:sz w:val="24"/>
          <w:szCs w:val="24"/>
        </w:rPr>
        <w:lastRenderedPageBreak/>
        <w:t xml:space="preserve">net profit margin of Tesco plc </w:t>
      </w:r>
      <w:r w:rsidR="002324B9">
        <w:rPr>
          <w:rFonts w:ascii="Times New Roman" w:hAnsi="Times New Roman" w:cs="Times New Roman"/>
          <w:sz w:val="24"/>
          <w:szCs w:val="24"/>
        </w:rPr>
        <w:t>were</w:t>
      </w:r>
      <w:r w:rsidR="00AE741F" w:rsidRPr="00AB422B">
        <w:rPr>
          <w:rFonts w:ascii="Times New Roman" w:hAnsi="Times New Roman" w:cs="Times New Roman"/>
          <w:sz w:val="24"/>
          <w:szCs w:val="24"/>
        </w:rPr>
        <w:t xml:space="preserve"> less that Sainsbury’s plc throughout 2013 to 2016</w:t>
      </w:r>
      <w:r w:rsidR="00F74B38" w:rsidRPr="00AB422B">
        <w:rPr>
          <w:rFonts w:ascii="Times New Roman" w:hAnsi="Times New Roman" w:cs="Times New Roman"/>
          <w:sz w:val="24"/>
          <w:szCs w:val="24"/>
        </w:rPr>
        <w:t xml:space="preserve">. This implies that Sainsbury was performing more profitable and well than Tesco plc.  </w:t>
      </w:r>
      <w:r w:rsidR="00AE741F" w:rsidRPr="00AB422B">
        <w:rPr>
          <w:rFonts w:ascii="Times New Roman" w:hAnsi="Times New Roman" w:cs="Times New Roman"/>
          <w:sz w:val="24"/>
          <w:szCs w:val="24"/>
        </w:rPr>
        <w:t xml:space="preserve">    </w:t>
      </w:r>
      <w:r w:rsidR="00B70E9F" w:rsidRPr="00AB422B">
        <w:rPr>
          <w:rFonts w:ascii="Times New Roman" w:hAnsi="Times New Roman" w:cs="Times New Roman"/>
          <w:sz w:val="24"/>
          <w:szCs w:val="24"/>
        </w:rPr>
        <w:t xml:space="preserve">   </w:t>
      </w:r>
      <w:r w:rsidR="00AA0626" w:rsidRPr="00AB422B">
        <w:rPr>
          <w:rFonts w:ascii="Times New Roman" w:hAnsi="Times New Roman" w:cs="Times New Roman"/>
          <w:sz w:val="24"/>
          <w:szCs w:val="24"/>
        </w:rPr>
        <w:t xml:space="preserve">   </w:t>
      </w:r>
      <w:r w:rsidRPr="00AB422B">
        <w:rPr>
          <w:rFonts w:ascii="Times New Roman" w:hAnsi="Times New Roman" w:cs="Times New Roman"/>
          <w:sz w:val="24"/>
          <w:szCs w:val="24"/>
        </w:rPr>
        <w:t xml:space="preserve">  </w:t>
      </w:r>
    </w:p>
    <w:p w:rsidR="00387FF0" w:rsidRPr="00AB422B" w:rsidRDefault="00197975"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   </w:t>
      </w:r>
      <w:r w:rsidR="00B300E8" w:rsidRPr="00AB422B">
        <w:rPr>
          <w:rFonts w:ascii="Times New Roman" w:hAnsi="Times New Roman" w:cs="Times New Roman"/>
          <w:sz w:val="24"/>
          <w:szCs w:val="24"/>
        </w:rPr>
        <w:t xml:space="preserve">   </w:t>
      </w:r>
      <w:r w:rsidR="00107E56" w:rsidRPr="00AB422B">
        <w:rPr>
          <w:rFonts w:ascii="Times New Roman" w:hAnsi="Times New Roman" w:cs="Times New Roman"/>
          <w:sz w:val="24"/>
          <w:szCs w:val="24"/>
        </w:rPr>
        <w:t xml:space="preserve">  </w:t>
      </w:r>
      <w:r w:rsidR="007A56FD" w:rsidRPr="00AB422B">
        <w:rPr>
          <w:rFonts w:ascii="Times New Roman" w:hAnsi="Times New Roman" w:cs="Times New Roman"/>
          <w:sz w:val="24"/>
          <w:szCs w:val="24"/>
        </w:rPr>
        <w:t xml:space="preserve">       </w:t>
      </w:r>
      <w:r w:rsidR="00DB0F1D" w:rsidRPr="00AB422B">
        <w:rPr>
          <w:rFonts w:ascii="Times New Roman" w:hAnsi="Times New Roman" w:cs="Times New Roman"/>
          <w:sz w:val="24"/>
          <w:szCs w:val="24"/>
        </w:rPr>
        <w:t xml:space="preserve">      </w:t>
      </w:r>
      <w:r w:rsidR="00B42997" w:rsidRPr="00AB422B">
        <w:rPr>
          <w:rFonts w:ascii="Times New Roman" w:hAnsi="Times New Roman" w:cs="Times New Roman"/>
          <w:sz w:val="24"/>
          <w:szCs w:val="24"/>
        </w:rPr>
        <w:t xml:space="preserve">     </w:t>
      </w:r>
    </w:p>
    <w:p w:rsidR="0070220C" w:rsidRPr="00AB422B" w:rsidRDefault="003C0A8E" w:rsidP="00381259">
      <w:pPr>
        <w:pStyle w:val="Heading2"/>
        <w:rPr>
          <w:color w:val="auto"/>
        </w:rPr>
      </w:pPr>
      <w:bookmarkStart w:id="15" w:name="_Toc502257271"/>
      <w:r w:rsidRPr="00AB422B">
        <w:rPr>
          <w:color w:val="auto"/>
        </w:rPr>
        <w:t xml:space="preserve">3.2 </w:t>
      </w:r>
      <w:r w:rsidR="0070220C" w:rsidRPr="00AB422B">
        <w:rPr>
          <w:color w:val="auto"/>
        </w:rPr>
        <w:t>Liquidity ratios</w:t>
      </w:r>
      <w:bookmarkEnd w:id="15"/>
      <w:r w:rsidR="0070220C" w:rsidRPr="00AB422B">
        <w:rPr>
          <w:color w:val="auto"/>
        </w:rPr>
        <w:t xml:space="preserve"> </w:t>
      </w:r>
    </w:p>
    <w:p w:rsidR="00E55115" w:rsidRPr="00AB422B" w:rsidRDefault="00E55115" w:rsidP="006142E5">
      <w:pPr>
        <w:spacing w:line="360" w:lineRule="auto"/>
        <w:jc w:val="both"/>
        <w:rPr>
          <w:rFonts w:ascii="Times New Roman" w:hAnsi="Times New Roman" w:cs="Times New Roman"/>
          <w:b/>
          <w:sz w:val="24"/>
          <w:szCs w:val="24"/>
        </w:rPr>
      </w:pPr>
      <w:r w:rsidRPr="00AB422B">
        <w:rPr>
          <w:rFonts w:ascii="Times New Roman" w:hAnsi="Times New Roman" w:cs="Times New Roman"/>
          <w:b/>
          <w:noProof/>
          <w:sz w:val="24"/>
          <w:szCs w:val="24"/>
          <w:lang w:val="en-IN" w:eastAsia="en-IN"/>
        </w:rPr>
        <w:drawing>
          <wp:inline distT="0" distB="0" distL="0" distR="0">
            <wp:extent cx="5943600" cy="2550795"/>
            <wp:effectExtent l="57150" t="0" r="38100" b="40005"/>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05941" w:rsidRPr="00AB422B" w:rsidRDefault="00905941" w:rsidP="006142E5">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 xml:space="preserve">Fig3.2 liquidity ratios of Tesco plc and Sainsbury plc  </w:t>
      </w:r>
    </w:p>
    <w:p w:rsidR="00867A5C" w:rsidRPr="00AB422B" w:rsidRDefault="009E62F1"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The above graph </w:t>
      </w:r>
      <w:r w:rsidR="002324B9" w:rsidRPr="00AB422B">
        <w:rPr>
          <w:rFonts w:ascii="Times New Roman" w:hAnsi="Times New Roman" w:cs="Times New Roman"/>
          <w:sz w:val="24"/>
          <w:szCs w:val="24"/>
        </w:rPr>
        <w:t>indicate</w:t>
      </w:r>
      <w:r w:rsidR="002324B9">
        <w:rPr>
          <w:rFonts w:ascii="Times New Roman" w:hAnsi="Times New Roman" w:cs="Times New Roman"/>
          <w:sz w:val="24"/>
          <w:szCs w:val="24"/>
        </w:rPr>
        <w:t>d</w:t>
      </w:r>
      <w:r w:rsidR="002324B9" w:rsidRPr="00AB422B">
        <w:rPr>
          <w:rFonts w:ascii="Times New Roman" w:hAnsi="Times New Roman" w:cs="Times New Roman"/>
          <w:sz w:val="24"/>
          <w:szCs w:val="24"/>
        </w:rPr>
        <w:t xml:space="preserve"> that</w:t>
      </w:r>
      <w:r w:rsidRPr="00AB422B">
        <w:rPr>
          <w:rFonts w:ascii="Times New Roman" w:hAnsi="Times New Roman" w:cs="Times New Roman"/>
          <w:sz w:val="24"/>
          <w:szCs w:val="24"/>
        </w:rPr>
        <w:t xml:space="preserve"> Tesco plc had adequate current assets that effectively fulfill their current liabilities as compared to Sainsbury. </w:t>
      </w:r>
      <w:r w:rsidR="00C77441" w:rsidRPr="00AB422B">
        <w:rPr>
          <w:rFonts w:ascii="Times New Roman" w:hAnsi="Times New Roman" w:cs="Times New Roman"/>
          <w:sz w:val="24"/>
          <w:szCs w:val="24"/>
        </w:rPr>
        <w:t xml:space="preserve">However in 2015, Tesco current </w:t>
      </w:r>
      <w:r w:rsidR="00711E7E" w:rsidRPr="00AB422B">
        <w:rPr>
          <w:rFonts w:ascii="Times New Roman" w:hAnsi="Times New Roman" w:cs="Times New Roman"/>
          <w:sz w:val="24"/>
          <w:szCs w:val="24"/>
        </w:rPr>
        <w:t>ratios were</w:t>
      </w:r>
      <w:r w:rsidR="00C77441" w:rsidRPr="00AB422B">
        <w:rPr>
          <w:rFonts w:ascii="Times New Roman" w:hAnsi="Times New Roman" w:cs="Times New Roman"/>
          <w:sz w:val="24"/>
          <w:szCs w:val="24"/>
        </w:rPr>
        <w:t xml:space="preserve"> reduced by 0.45% than Sainsbury </w:t>
      </w:r>
      <w:r w:rsidR="00711E7E">
        <w:rPr>
          <w:rFonts w:ascii="Times New Roman" w:hAnsi="Times New Roman" w:cs="Times New Roman"/>
          <w:sz w:val="24"/>
          <w:szCs w:val="24"/>
        </w:rPr>
        <w:t xml:space="preserve">because </w:t>
      </w:r>
      <w:r w:rsidR="00711E7E" w:rsidRPr="00AB422B">
        <w:rPr>
          <w:rFonts w:ascii="Times New Roman" w:hAnsi="Times New Roman" w:cs="Times New Roman"/>
          <w:sz w:val="24"/>
          <w:szCs w:val="24"/>
        </w:rPr>
        <w:t>of</w:t>
      </w:r>
      <w:r w:rsidR="00C77441" w:rsidRPr="00AB422B">
        <w:rPr>
          <w:rFonts w:ascii="Times New Roman" w:hAnsi="Times New Roman" w:cs="Times New Roman"/>
          <w:sz w:val="24"/>
          <w:szCs w:val="24"/>
        </w:rPr>
        <w:t xml:space="preserve"> </w:t>
      </w:r>
      <w:r w:rsidR="00203E63">
        <w:rPr>
          <w:rFonts w:ascii="Times New Roman" w:hAnsi="Times New Roman" w:cs="Times New Roman"/>
          <w:sz w:val="24"/>
          <w:szCs w:val="24"/>
        </w:rPr>
        <w:t>in FY</w:t>
      </w:r>
      <w:r w:rsidR="00C77441" w:rsidRPr="00AB422B">
        <w:rPr>
          <w:rFonts w:ascii="Times New Roman" w:hAnsi="Times New Roman" w:cs="Times New Roman"/>
          <w:sz w:val="24"/>
          <w:szCs w:val="24"/>
        </w:rPr>
        <w:t>2015 Tesco</w:t>
      </w:r>
      <w:r w:rsidR="00203E63">
        <w:rPr>
          <w:rFonts w:ascii="Times New Roman" w:hAnsi="Times New Roman" w:cs="Times New Roman"/>
          <w:sz w:val="24"/>
          <w:szCs w:val="24"/>
        </w:rPr>
        <w:t xml:space="preserve"> invested lot</w:t>
      </w:r>
      <w:r w:rsidR="00C77441" w:rsidRPr="00AB422B">
        <w:rPr>
          <w:rFonts w:ascii="Times New Roman" w:hAnsi="Times New Roman" w:cs="Times New Roman"/>
          <w:sz w:val="24"/>
          <w:szCs w:val="24"/>
        </w:rPr>
        <w:t xml:space="preserve"> of money in technology advancement and improv</w:t>
      </w:r>
      <w:r w:rsidR="00711E7E">
        <w:rPr>
          <w:rFonts w:ascii="Times New Roman" w:hAnsi="Times New Roman" w:cs="Times New Roman"/>
          <w:sz w:val="24"/>
          <w:szCs w:val="24"/>
        </w:rPr>
        <w:t>ement of the customer’s services</w:t>
      </w:r>
      <w:r w:rsidR="00C77441" w:rsidRPr="00AB422B">
        <w:rPr>
          <w:rFonts w:ascii="Times New Roman" w:hAnsi="Times New Roman" w:cs="Times New Roman"/>
          <w:sz w:val="24"/>
          <w:szCs w:val="24"/>
        </w:rPr>
        <w:t xml:space="preserve">. </w:t>
      </w:r>
      <w:r w:rsidR="001B352A" w:rsidRPr="00AB422B">
        <w:rPr>
          <w:rFonts w:ascii="Times New Roman" w:hAnsi="Times New Roman" w:cs="Times New Roman"/>
          <w:sz w:val="24"/>
          <w:szCs w:val="24"/>
        </w:rPr>
        <w:t xml:space="preserve"> Therefore</w:t>
      </w:r>
      <w:r w:rsidR="0025390F" w:rsidRPr="00AB422B">
        <w:rPr>
          <w:rFonts w:ascii="Times New Roman" w:hAnsi="Times New Roman" w:cs="Times New Roman"/>
          <w:sz w:val="24"/>
          <w:szCs w:val="24"/>
        </w:rPr>
        <w:t>,</w:t>
      </w:r>
      <w:r w:rsidR="001B352A" w:rsidRPr="00AB422B">
        <w:rPr>
          <w:rFonts w:ascii="Times New Roman" w:hAnsi="Times New Roman" w:cs="Times New Roman"/>
          <w:sz w:val="24"/>
          <w:szCs w:val="24"/>
        </w:rPr>
        <w:t xml:space="preserve"> </w:t>
      </w:r>
      <w:r w:rsidR="0025390F" w:rsidRPr="00AB422B">
        <w:rPr>
          <w:rFonts w:ascii="Times New Roman" w:hAnsi="Times New Roman" w:cs="Times New Roman"/>
          <w:sz w:val="24"/>
          <w:szCs w:val="24"/>
        </w:rPr>
        <w:t xml:space="preserve">in </w:t>
      </w:r>
      <w:r w:rsidR="001B352A" w:rsidRPr="00AB422B">
        <w:rPr>
          <w:rFonts w:ascii="Times New Roman" w:hAnsi="Times New Roman" w:cs="Times New Roman"/>
          <w:sz w:val="24"/>
          <w:szCs w:val="24"/>
        </w:rPr>
        <w:t xml:space="preserve">liquidity </w:t>
      </w:r>
      <w:r w:rsidR="0025390F" w:rsidRPr="00AB422B">
        <w:rPr>
          <w:rFonts w:ascii="Times New Roman" w:hAnsi="Times New Roman" w:cs="Times New Roman"/>
          <w:sz w:val="24"/>
          <w:szCs w:val="24"/>
        </w:rPr>
        <w:t>aspect</w:t>
      </w:r>
      <w:r w:rsidR="001B352A" w:rsidRPr="00AB422B">
        <w:rPr>
          <w:rFonts w:ascii="Times New Roman" w:hAnsi="Times New Roman" w:cs="Times New Roman"/>
          <w:sz w:val="24"/>
          <w:szCs w:val="24"/>
        </w:rPr>
        <w:t xml:space="preserve"> it is said that Tesco performance is better than </w:t>
      </w:r>
      <w:r w:rsidR="00711E7E" w:rsidRPr="00AB422B">
        <w:rPr>
          <w:rFonts w:ascii="Times New Roman" w:hAnsi="Times New Roman" w:cs="Times New Roman"/>
          <w:sz w:val="24"/>
          <w:szCs w:val="24"/>
        </w:rPr>
        <w:t>Sainsbury (</w:t>
      </w:r>
      <w:proofErr w:type="spellStart"/>
      <w:r w:rsidR="00711E7E" w:rsidRPr="00AB422B">
        <w:rPr>
          <w:rFonts w:ascii="Times New Roman" w:hAnsi="Times New Roman" w:cs="Times New Roman"/>
          <w:sz w:val="24"/>
          <w:szCs w:val="24"/>
        </w:rPr>
        <w:t>Downes</w:t>
      </w:r>
      <w:proofErr w:type="spellEnd"/>
      <w:r w:rsidR="00711E7E" w:rsidRPr="00AB422B">
        <w:rPr>
          <w:rFonts w:ascii="Times New Roman" w:hAnsi="Times New Roman" w:cs="Times New Roman"/>
          <w:sz w:val="24"/>
          <w:szCs w:val="24"/>
        </w:rPr>
        <w:t>, and Goodman, 2007)</w:t>
      </w:r>
      <w:r w:rsidR="001B352A" w:rsidRPr="00AB422B">
        <w:rPr>
          <w:rFonts w:ascii="Times New Roman" w:hAnsi="Times New Roman" w:cs="Times New Roman"/>
          <w:sz w:val="24"/>
          <w:szCs w:val="24"/>
        </w:rPr>
        <w:t xml:space="preserve">.  </w:t>
      </w:r>
      <w:r w:rsidR="00C77441" w:rsidRPr="00AB422B">
        <w:rPr>
          <w:rFonts w:ascii="Times New Roman" w:hAnsi="Times New Roman" w:cs="Times New Roman"/>
          <w:sz w:val="24"/>
          <w:szCs w:val="24"/>
        </w:rPr>
        <w:t xml:space="preserve">      </w:t>
      </w:r>
      <w:r w:rsidRPr="00AB422B">
        <w:rPr>
          <w:rFonts w:ascii="Times New Roman" w:hAnsi="Times New Roman" w:cs="Times New Roman"/>
          <w:sz w:val="24"/>
          <w:szCs w:val="24"/>
        </w:rPr>
        <w:t xml:space="preserve">      </w:t>
      </w:r>
    </w:p>
    <w:p w:rsidR="0041035F" w:rsidRPr="00AB422B" w:rsidRDefault="00E53ED9"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The quick </w:t>
      </w:r>
      <w:r w:rsidR="00D31164" w:rsidRPr="00AB422B">
        <w:rPr>
          <w:rFonts w:ascii="Times New Roman" w:hAnsi="Times New Roman" w:cs="Times New Roman"/>
          <w:sz w:val="24"/>
          <w:szCs w:val="24"/>
        </w:rPr>
        <w:t>ratios of the organization also represent</w:t>
      </w:r>
      <w:r w:rsidRPr="00AB422B">
        <w:rPr>
          <w:rFonts w:ascii="Times New Roman" w:hAnsi="Times New Roman" w:cs="Times New Roman"/>
          <w:sz w:val="24"/>
          <w:szCs w:val="24"/>
        </w:rPr>
        <w:t xml:space="preserve"> the same trend</w:t>
      </w:r>
      <w:r w:rsidR="00D31164" w:rsidRPr="00AB422B">
        <w:rPr>
          <w:rFonts w:ascii="Times New Roman" w:hAnsi="Times New Roman" w:cs="Times New Roman"/>
          <w:sz w:val="24"/>
          <w:szCs w:val="24"/>
        </w:rPr>
        <w:t>.</w:t>
      </w:r>
      <w:r w:rsidRPr="00AB422B">
        <w:rPr>
          <w:rFonts w:ascii="Times New Roman" w:hAnsi="Times New Roman" w:cs="Times New Roman"/>
          <w:sz w:val="24"/>
          <w:szCs w:val="24"/>
        </w:rPr>
        <w:t xml:space="preserve"> </w:t>
      </w:r>
      <w:r w:rsidR="00D31164" w:rsidRPr="00AB422B">
        <w:rPr>
          <w:rFonts w:ascii="Times New Roman" w:hAnsi="Times New Roman" w:cs="Times New Roman"/>
          <w:sz w:val="24"/>
          <w:szCs w:val="24"/>
        </w:rPr>
        <w:t xml:space="preserve"> Moreover as per the market trend both organization quick ratios </w:t>
      </w:r>
      <w:r w:rsidR="00711E7E">
        <w:rPr>
          <w:rFonts w:ascii="Times New Roman" w:hAnsi="Times New Roman" w:cs="Times New Roman"/>
          <w:sz w:val="24"/>
          <w:szCs w:val="24"/>
        </w:rPr>
        <w:t>were</w:t>
      </w:r>
      <w:r w:rsidR="00D31164" w:rsidRPr="00AB422B">
        <w:rPr>
          <w:rFonts w:ascii="Times New Roman" w:hAnsi="Times New Roman" w:cs="Times New Roman"/>
          <w:sz w:val="24"/>
          <w:szCs w:val="24"/>
        </w:rPr>
        <w:t xml:space="preserve"> not up to the mark. The main reason </w:t>
      </w:r>
      <w:r w:rsidR="00711E7E">
        <w:rPr>
          <w:rFonts w:ascii="Times New Roman" w:hAnsi="Times New Roman" w:cs="Times New Roman"/>
          <w:sz w:val="24"/>
          <w:szCs w:val="24"/>
        </w:rPr>
        <w:t>of</w:t>
      </w:r>
      <w:r w:rsidR="00D31164" w:rsidRPr="00AB422B">
        <w:rPr>
          <w:rFonts w:ascii="Times New Roman" w:hAnsi="Times New Roman" w:cs="Times New Roman"/>
          <w:sz w:val="24"/>
          <w:szCs w:val="24"/>
        </w:rPr>
        <w:t xml:space="preserve"> decline of the quick </w:t>
      </w:r>
      <w:r w:rsidR="00046190" w:rsidRPr="00AB422B">
        <w:rPr>
          <w:rFonts w:ascii="Times New Roman" w:hAnsi="Times New Roman" w:cs="Times New Roman"/>
          <w:sz w:val="24"/>
          <w:szCs w:val="24"/>
        </w:rPr>
        <w:t>ratios</w:t>
      </w:r>
      <w:r w:rsidR="0041035F" w:rsidRPr="00AB422B">
        <w:rPr>
          <w:rFonts w:ascii="Times New Roman" w:hAnsi="Times New Roman" w:cs="Times New Roman"/>
          <w:sz w:val="24"/>
          <w:szCs w:val="24"/>
        </w:rPr>
        <w:t xml:space="preserve"> below the industries average</w:t>
      </w:r>
      <w:r w:rsidR="00046190" w:rsidRPr="00AB422B">
        <w:rPr>
          <w:rFonts w:ascii="Times New Roman" w:hAnsi="Times New Roman" w:cs="Times New Roman"/>
          <w:sz w:val="24"/>
          <w:szCs w:val="24"/>
        </w:rPr>
        <w:t xml:space="preserve"> is that Tesco has remarkable recover debt and debtor payment period </w:t>
      </w:r>
      <w:r w:rsidR="00930F5F" w:rsidRPr="00AB422B">
        <w:rPr>
          <w:rFonts w:ascii="Times New Roman" w:hAnsi="Times New Roman" w:cs="Times New Roman"/>
          <w:sz w:val="24"/>
          <w:szCs w:val="24"/>
        </w:rPr>
        <w:t xml:space="preserve">quickly and </w:t>
      </w:r>
      <w:r w:rsidR="00046190" w:rsidRPr="00AB422B">
        <w:rPr>
          <w:rFonts w:ascii="Times New Roman" w:hAnsi="Times New Roman" w:cs="Times New Roman"/>
          <w:sz w:val="24"/>
          <w:szCs w:val="24"/>
        </w:rPr>
        <w:t xml:space="preserve">that the organization </w:t>
      </w:r>
      <w:r w:rsidR="00930F5F" w:rsidRPr="00AB422B">
        <w:rPr>
          <w:rFonts w:ascii="Times New Roman" w:hAnsi="Times New Roman" w:cs="Times New Roman"/>
          <w:sz w:val="24"/>
          <w:szCs w:val="24"/>
        </w:rPr>
        <w:t xml:space="preserve">Tesco </w:t>
      </w:r>
      <w:r w:rsidR="00ED2319">
        <w:rPr>
          <w:rFonts w:ascii="Times New Roman" w:hAnsi="Times New Roman" w:cs="Times New Roman"/>
          <w:sz w:val="24"/>
          <w:szCs w:val="24"/>
        </w:rPr>
        <w:t>invests</w:t>
      </w:r>
      <w:r w:rsidR="00930F5F" w:rsidRPr="00AB422B">
        <w:rPr>
          <w:rFonts w:ascii="Times New Roman" w:hAnsi="Times New Roman" w:cs="Times New Roman"/>
          <w:sz w:val="24"/>
          <w:szCs w:val="24"/>
        </w:rPr>
        <w:t xml:space="preserve"> long term activities in order to make sure high profitability and increase better share market. </w:t>
      </w:r>
    </w:p>
    <w:p w:rsidR="0025390F" w:rsidRPr="00AB422B" w:rsidRDefault="0041035F"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The findings show that Sainsbury had a better liquidity positions in terms of current and acid ratios as compared to the Tesco.  </w:t>
      </w:r>
      <w:r w:rsidR="00930F5F" w:rsidRPr="00AB422B">
        <w:rPr>
          <w:rFonts w:ascii="Times New Roman" w:hAnsi="Times New Roman" w:cs="Times New Roman"/>
          <w:sz w:val="24"/>
          <w:szCs w:val="24"/>
        </w:rPr>
        <w:t xml:space="preserve"> </w:t>
      </w:r>
      <w:r w:rsidR="00046190" w:rsidRPr="00AB422B">
        <w:rPr>
          <w:rFonts w:ascii="Times New Roman" w:hAnsi="Times New Roman" w:cs="Times New Roman"/>
          <w:sz w:val="24"/>
          <w:szCs w:val="24"/>
        </w:rPr>
        <w:t xml:space="preserve"> </w:t>
      </w:r>
      <w:r w:rsidR="00D31164" w:rsidRPr="00AB422B">
        <w:rPr>
          <w:rFonts w:ascii="Times New Roman" w:hAnsi="Times New Roman" w:cs="Times New Roman"/>
          <w:sz w:val="24"/>
          <w:szCs w:val="24"/>
        </w:rPr>
        <w:t xml:space="preserve">    </w:t>
      </w:r>
    </w:p>
    <w:p w:rsidR="0070220C" w:rsidRPr="00AB422B" w:rsidRDefault="003C0A8E" w:rsidP="00E23BBE">
      <w:pPr>
        <w:pStyle w:val="Heading2"/>
        <w:rPr>
          <w:color w:val="auto"/>
        </w:rPr>
      </w:pPr>
      <w:bookmarkStart w:id="16" w:name="_Toc502257272"/>
      <w:r w:rsidRPr="00AB422B">
        <w:rPr>
          <w:color w:val="auto"/>
        </w:rPr>
        <w:lastRenderedPageBreak/>
        <w:t xml:space="preserve">3.3 </w:t>
      </w:r>
      <w:r w:rsidR="0070220C" w:rsidRPr="00AB422B">
        <w:rPr>
          <w:color w:val="auto"/>
        </w:rPr>
        <w:t>Efficiency ratios</w:t>
      </w:r>
      <w:bookmarkEnd w:id="16"/>
      <w:r w:rsidR="0070220C" w:rsidRPr="00AB422B">
        <w:rPr>
          <w:color w:val="auto"/>
        </w:rPr>
        <w:t xml:space="preserve"> </w:t>
      </w:r>
    </w:p>
    <w:p w:rsidR="00E55115" w:rsidRPr="00AB422B" w:rsidRDefault="00AD26CA" w:rsidP="006142E5">
      <w:pPr>
        <w:spacing w:line="360" w:lineRule="auto"/>
        <w:jc w:val="both"/>
        <w:rPr>
          <w:rFonts w:ascii="Times New Roman" w:hAnsi="Times New Roman" w:cs="Times New Roman"/>
          <w:b/>
          <w:sz w:val="24"/>
          <w:szCs w:val="24"/>
        </w:rPr>
      </w:pPr>
      <w:r w:rsidRPr="00AB422B">
        <w:rPr>
          <w:rFonts w:ascii="Times New Roman" w:hAnsi="Times New Roman" w:cs="Times New Roman"/>
          <w:b/>
          <w:noProof/>
          <w:sz w:val="24"/>
          <w:szCs w:val="24"/>
          <w:lang w:val="en-IN" w:eastAsia="en-IN"/>
        </w:rPr>
        <w:drawing>
          <wp:inline distT="0" distB="0" distL="0" distR="0">
            <wp:extent cx="6039101" cy="3211032"/>
            <wp:effectExtent l="57150" t="0" r="37849" b="46518"/>
            <wp:docPr id="1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05941" w:rsidRPr="00AB422B" w:rsidRDefault="00D772EF" w:rsidP="00905941">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Fig3.3 Efficiency</w:t>
      </w:r>
      <w:r w:rsidR="00905941" w:rsidRPr="00AB422B">
        <w:rPr>
          <w:rFonts w:ascii="Times New Roman" w:hAnsi="Times New Roman" w:cs="Times New Roman"/>
          <w:b/>
          <w:sz w:val="24"/>
          <w:szCs w:val="24"/>
        </w:rPr>
        <w:t xml:space="preserve"> ratios of Tesco plc and Sainsbury plc  </w:t>
      </w:r>
    </w:p>
    <w:p w:rsidR="00905941" w:rsidRPr="00AB422B" w:rsidRDefault="00905941" w:rsidP="006142E5">
      <w:pPr>
        <w:spacing w:line="360" w:lineRule="auto"/>
        <w:jc w:val="both"/>
        <w:rPr>
          <w:rFonts w:ascii="Times New Roman" w:hAnsi="Times New Roman" w:cs="Times New Roman"/>
          <w:b/>
          <w:sz w:val="24"/>
          <w:szCs w:val="24"/>
        </w:rPr>
      </w:pPr>
    </w:p>
    <w:p w:rsidR="004F4C09" w:rsidRPr="00AB422B" w:rsidRDefault="006D6FE6"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Tesco return on capital employed performance </w:t>
      </w:r>
      <w:r w:rsidR="00ED2319">
        <w:rPr>
          <w:rFonts w:ascii="Times New Roman" w:hAnsi="Times New Roman" w:cs="Times New Roman"/>
          <w:sz w:val="24"/>
          <w:szCs w:val="24"/>
        </w:rPr>
        <w:t>was</w:t>
      </w:r>
      <w:r w:rsidRPr="00AB422B">
        <w:rPr>
          <w:rFonts w:ascii="Times New Roman" w:hAnsi="Times New Roman" w:cs="Times New Roman"/>
          <w:sz w:val="24"/>
          <w:szCs w:val="24"/>
        </w:rPr>
        <w:t xml:space="preserve"> </w:t>
      </w:r>
      <w:r w:rsidR="0042789F" w:rsidRPr="00AB422B">
        <w:rPr>
          <w:rFonts w:ascii="Times New Roman" w:hAnsi="Times New Roman" w:cs="Times New Roman"/>
          <w:sz w:val="24"/>
          <w:szCs w:val="24"/>
        </w:rPr>
        <w:t xml:space="preserve">better in year of 2016 and it increased by 90% as compared to the Sainsbury performance in same years. ROCE performance of Tesco from 2015 to 2016 </w:t>
      </w:r>
      <w:r w:rsidR="006C204A">
        <w:rPr>
          <w:rFonts w:ascii="Times New Roman" w:hAnsi="Times New Roman" w:cs="Times New Roman"/>
          <w:sz w:val="24"/>
          <w:szCs w:val="24"/>
        </w:rPr>
        <w:t>was</w:t>
      </w:r>
      <w:r w:rsidR="0042789F" w:rsidRPr="00AB422B">
        <w:rPr>
          <w:rFonts w:ascii="Times New Roman" w:hAnsi="Times New Roman" w:cs="Times New Roman"/>
          <w:sz w:val="24"/>
          <w:szCs w:val="24"/>
        </w:rPr>
        <w:t xml:space="preserve"> increased by 1.23% mainly because of utilization of better management strategies and overall operations. In addition to this in year of 2015 Tesco invest lots of money in technology </w:t>
      </w:r>
      <w:r w:rsidR="006C204A">
        <w:rPr>
          <w:rFonts w:ascii="Times New Roman" w:hAnsi="Times New Roman" w:cs="Times New Roman"/>
          <w:sz w:val="24"/>
          <w:szCs w:val="24"/>
        </w:rPr>
        <w:t>which provided</w:t>
      </w:r>
      <w:r w:rsidR="0042789F" w:rsidRPr="00AB422B">
        <w:rPr>
          <w:rFonts w:ascii="Times New Roman" w:hAnsi="Times New Roman" w:cs="Times New Roman"/>
          <w:sz w:val="24"/>
          <w:szCs w:val="24"/>
        </w:rPr>
        <w:t xml:space="preserve"> a better benefits and increase market share </w:t>
      </w:r>
      <w:r w:rsidR="006C204A">
        <w:rPr>
          <w:rFonts w:ascii="Times New Roman" w:hAnsi="Times New Roman" w:cs="Times New Roman"/>
          <w:sz w:val="24"/>
          <w:szCs w:val="24"/>
        </w:rPr>
        <w:t xml:space="preserve">as well as </w:t>
      </w:r>
      <w:r w:rsidR="0042789F" w:rsidRPr="00AB422B">
        <w:rPr>
          <w:rFonts w:ascii="Times New Roman" w:hAnsi="Times New Roman" w:cs="Times New Roman"/>
          <w:sz w:val="24"/>
          <w:szCs w:val="24"/>
        </w:rPr>
        <w:t xml:space="preserve">competitive benefits in year of 2016.  </w:t>
      </w:r>
      <w:r w:rsidR="007B654D" w:rsidRPr="00AB422B">
        <w:rPr>
          <w:rFonts w:ascii="Times New Roman" w:hAnsi="Times New Roman" w:cs="Times New Roman"/>
          <w:sz w:val="24"/>
          <w:szCs w:val="24"/>
        </w:rPr>
        <w:t>Throughout the period from 2013 to 2015 Tesco ROCE performance decline as compared to Sainsbury in same year due to</w:t>
      </w:r>
      <w:r w:rsidR="00CC5942" w:rsidRPr="00AB422B">
        <w:rPr>
          <w:rFonts w:ascii="Times New Roman" w:hAnsi="Times New Roman" w:cs="Times New Roman"/>
          <w:sz w:val="24"/>
          <w:szCs w:val="24"/>
        </w:rPr>
        <w:t xml:space="preserve"> decline in UK profits, change in rules and regulations in Thailand and South Korea and continuously conditions in central </w:t>
      </w:r>
      <w:r w:rsidR="00763A2A" w:rsidRPr="00AB422B">
        <w:rPr>
          <w:rFonts w:ascii="Times New Roman" w:hAnsi="Times New Roman" w:cs="Times New Roman"/>
          <w:sz w:val="24"/>
          <w:szCs w:val="24"/>
        </w:rPr>
        <w:t>Europe.</w:t>
      </w:r>
      <w:r w:rsidR="00CC5942" w:rsidRPr="00AB422B">
        <w:rPr>
          <w:rFonts w:ascii="Times New Roman" w:hAnsi="Times New Roman" w:cs="Times New Roman"/>
          <w:sz w:val="24"/>
          <w:szCs w:val="24"/>
        </w:rPr>
        <w:t xml:space="preserve"> </w:t>
      </w:r>
      <w:r w:rsidR="00816B62" w:rsidRPr="00AB422B">
        <w:rPr>
          <w:rFonts w:ascii="Times New Roman" w:hAnsi="Times New Roman" w:cs="Times New Roman"/>
          <w:sz w:val="24"/>
          <w:szCs w:val="24"/>
        </w:rPr>
        <w:t xml:space="preserve"> </w:t>
      </w:r>
    </w:p>
    <w:p w:rsidR="00362406" w:rsidRPr="00AB422B" w:rsidRDefault="00636641"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Sainsbury total assets turnover through the year from 2012 to 2016 </w:t>
      </w:r>
      <w:r w:rsidR="006C204A">
        <w:rPr>
          <w:rFonts w:ascii="Times New Roman" w:hAnsi="Times New Roman" w:cs="Times New Roman"/>
          <w:sz w:val="24"/>
          <w:szCs w:val="24"/>
        </w:rPr>
        <w:t>was</w:t>
      </w:r>
      <w:r w:rsidRPr="00AB422B">
        <w:rPr>
          <w:rFonts w:ascii="Times New Roman" w:hAnsi="Times New Roman" w:cs="Times New Roman"/>
          <w:sz w:val="24"/>
          <w:szCs w:val="24"/>
        </w:rPr>
        <w:t xml:space="preserve"> </w:t>
      </w:r>
      <w:r w:rsidR="002D48E2" w:rsidRPr="00AB422B">
        <w:rPr>
          <w:rFonts w:ascii="Times New Roman" w:hAnsi="Times New Roman" w:cs="Times New Roman"/>
          <w:sz w:val="24"/>
          <w:szCs w:val="24"/>
        </w:rPr>
        <w:t xml:space="preserve">higher than the Tesco total assets performance.  This </w:t>
      </w:r>
      <w:r w:rsidR="006C204A">
        <w:rPr>
          <w:rFonts w:ascii="Times New Roman" w:hAnsi="Times New Roman" w:cs="Times New Roman"/>
          <w:sz w:val="24"/>
          <w:szCs w:val="24"/>
        </w:rPr>
        <w:t>was</w:t>
      </w:r>
      <w:r w:rsidR="002D48E2" w:rsidRPr="00AB422B">
        <w:rPr>
          <w:rFonts w:ascii="Times New Roman" w:hAnsi="Times New Roman" w:cs="Times New Roman"/>
          <w:sz w:val="24"/>
          <w:szCs w:val="24"/>
        </w:rPr>
        <w:t xml:space="preserve"> because of fact that in terms of profitability Tesco </w:t>
      </w:r>
      <w:r w:rsidR="00052B19">
        <w:rPr>
          <w:rFonts w:ascii="Times New Roman" w:hAnsi="Times New Roman" w:cs="Times New Roman"/>
          <w:sz w:val="24"/>
          <w:szCs w:val="24"/>
        </w:rPr>
        <w:t>was</w:t>
      </w:r>
      <w:r w:rsidR="002D48E2" w:rsidRPr="00AB422B">
        <w:rPr>
          <w:rFonts w:ascii="Times New Roman" w:hAnsi="Times New Roman" w:cs="Times New Roman"/>
          <w:sz w:val="24"/>
          <w:szCs w:val="24"/>
        </w:rPr>
        <w:t xml:space="preserve"> not performing well and also </w:t>
      </w:r>
      <w:r w:rsidR="0033672F" w:rsidRPr="00AB422B">
        <w:rPr>
          <w:rFonts w:ascii="Times New Roman" w:hAnsi="Times New Roman" w:cs="Times New Roman"/>
          <w:sz w:val="24"/>
          <w:szCs w:val="24"/>
        </w:rPr>
        <w:t>they</w:t>
      </w:r>
      <w:r w:rsidR="002D48E2" w:rsidRPr="00AB422B">
        <w:rPr>
          <w:rFonts w:ascii="Times New Roman" w:hAnsi="Times New Roman" w:cs="Times New Roman"/>
          <w:sz w:val="24"/>
          <w:szCs w:val="24"/>
        </w:rPr>
        <w:t xml:space="preserve"> suffered </w:t>
      </w:r>
      <w:r w:rsidR="00362406" w:rsidRPr="00AB422B">
        <w:rPr>
          <w:rFonts w:ascii="Times New Roman" w:hAnsi="Times New Roman" w:cs="Times New Roman"/>
          <w:sz w:val="24"/>
          <w:szCs w:val="24"/>
        </w:rPr>
        <w:t xml:space="preserve">from </w:t>
      </w:r>
      <w:r w:rsidR="002D48E2" w:rsidRPr="00AB422B">
        <w:rPr>
          <w:rFonts w:ascii="Times New Roman" w:hAnsi="Times New Roman" w:cs="Times New Roman"/>
          <w:sz w:val="24"/>
          <w:szCs w:val="24"/>
        </w:rPr>
        <w:t xml:space="preserve">lots of problems such as foreign exchange rate and introducing of new rules and regulations by other </w:t>
      </w:r>
      <w:r w:rsidR="00362406" w:rsidRPr="00AB422B">
        <w:rPr>
          <w:rFonts w:ascii="Times New Roman" w:hAnsi="Times New Roman" w:cs="Times New Roman"/>
          <w:sz w:val="24"/>
          <w:szCs w:val="24"/>
        </w:rPr>
        <w:t>countries</w:t>
      </w:r>
      <w:r w:rsidR="000371E3" w:rsidRPr="00AB422B">
        <w:rPr>
          <w:rFonts w:ascii="Times New Roman" w:hAnsi="Times New Roman" w:cs="Times New Roman"/>
          <w:sz w:val="24"/>
          <w:szCs w:val="24"/>
        </w:rPr>
        <w:t xml:space="preserve"> (Robinson, 2009)</w:t>
      </w:r>
      <w:r w:rsidR="002D48E2" w:rsidRPr="00AB422B">
        <w:rPr>
          <w:rFonts w:ascii="Times New Roman" w:hAnsi="Times New Roman" w:cs="Times New Roman"/>
          <w:sz w:val="24"/>
          <w:szCs w:val="24"/>
        </w:rPr>
        <w:t xml:space="preserve">. </w:t>
      </w:r>
      <w:r w:rsidR="003C210E" w:rsidRPr="00AB422B">
        <w:rPr>
          <w:rFonts w:ascii="Times New Roman" w:hAnsi="Times New Roman" w:cs="Times New Roman"/>
          <w:sz w:val="24"/>
          <w:szCs w:val="24"/>
        </w:rPr>
        <w:t xml:space="preserve">Moreover from the liquidity performance it </w:t>
      </w:r>
      <w:r w:rsidR="00052B19">
        <w:rPr>
          <w:rFonts w:ascii="Times New Roman" w:hAnsi="Times New Roman" w:cs="Times New Roman"/>
          <w:sz w:val="24"/>
          <w:szCs w:val="24"/>
        </w:rPr>
        <w:t>is</w:t>
      </w:r>
      <w:r w:rsidR="003C210E" w:rsidRPr="00AB422B">
        <w:rPr>
          <w:rFonts w:ascii="Times New Roman" w:hAnsi="Times New Roman" w:cs="Times New Roman"/>
          <w:sz w:val="24"/>
          <w:szCs w:val="24"/>
        </w:rPr>
        <w:t xml:space="preserve"> seen that Tesco has higher liquidity positions but due to in- efficenceny in the management strategies </w:t>
      </w:r>
      <w:r w:rsidR="0033672F" w:rsidRPr="00AB422B">
        <w:rPr>
          <w:rFonts w:ascii="Times New Roman" w:hAnsi="Times New Roman" w:cs="Times New Roman"/>
          <w:sz w:val="24"/>
          <w:szCs w:val="24"/>
        </w:rPr>
        <w:t xml:space="preserve">(as in 22 September 2014, Tesco share fall 11.5% to 11 </w:t>
      </w:r>
      <w:r w:rsidR="0033672F" w:rsidRPr="00AB422B">
        <w:rPr>
          <w:rFonts w:ascii="Times New Roman" w:hAnsi="Times New Roman" w:cs="Times New Roman"/>
          <w:sz w:val="24"/>
          <w:szCs w:val="24"/>
        </w:rPr>
        <w:lastRenderedPageBreak/>
        <w:t>year low)</w:t>
      </w:r>
      <w:r w:rsidR="00362406" w:rsidRPr="00AB422B">
        <w:rPr>
          <w:rFonts w:ascii="Times New Roman" w:hAnsi="Times New Roman" w:cs="Times New Roman"/>
          <w:sz w:val="24"/>
          <w:szCs w:val="24"/>
        </w:rPr>
        <w:t xml:space="preserve"> they </w:t>
      </w:r>
      <w:r w:rsidR="00052B19">
        <w:rPr>
          <w:rFonts w:ascii="Times New Roman" w:hAnsi="Times New Roman" w:cs="Times New Roman"/>
          <w:sz w:val="24"/>
          <w:szCs w:val="24"/>
        </w:rPr>
        <w:t>were</w:t>
      </w:r>
      <w:r w:rsidR="00362406" w:rsidRPr="00AB422B">
        <w:rPr>
          <w:rFonts w:ascii="Times New Roman" w:hAnsi="Times New Roman" w:cs="Times New Roman"/>
          <w:sz w:val="24"/>
          <w:szCs w:val="24"/>
        </w:rPr>
        <w:t xml:space="preserve"> not be effectively utilize their assets and resources which helps them to make higher profits and revenues</w:t>
      </w:r>
      <w:r w:rsidR="0033672F" w:rsidRPr="00AB422B">
        <w:rPr>
          <w:rFonts w:ascii="Times New Roman" w:hAnsi="Times New Roman" w:cs="Times New Roman"/>
          <w:sz w:val="24"/>
          <w:szCs w:val="24"/>
        </w:rPr>
        <w:t>.</w:t>
      </w:r>
      <w:r w:rsidR="003C210E" w:rsidRPr="00AB422B">
        <w:rPr>
          <w:rFonts w:ascii="Times New Roman" w:hAnsi="Times New Roman" w:cs="Times New Roman"/>
          <w:sz w:val="24"/>
          <w:szCs w:val="24"/>
        </w:rPr>
        <w:t xml:space="preserve">   </w:t>
      </w:r>
    </w:p>
    <w:p w:rsidR="00EE1F61" w:rsidRPr="00AB422B" w:rsidRDefault="00362406"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Therefore in efficiency performance aspect it can be concluded that Tesco </w:t>
      </w:r>
      <w:r w:rsidR="00052B19">
        <w:rPr>
          <w:rFonts w:ascii="Times New Roman" w:hAnsi="Times New Roman" w:cs="Times New Roman"/>
          <w:sz w:val="24"/>
          <w:szCs w:val="24"/>
        </w:rPr>
        <w:t>was</w:t>
      </w:r>
      <w:r w:rsidRPr="00AB422B">
        <w:rPr>
          <w:rFonts w:ascii="Times New Roman" w:hAnsi="Times New Roman" w:cs="Times New Roman"/>
          <w:sz w:val="24"/>
          <w:szCs w:val="24"/>
        </w:rPr>
        <w:t xml:space="preserve"> not performing well as compared to the Sainsbury.     </w:t>
      </w:r>
      <w:r w:rsidR="003C210E" w:rsidRPr="00AB422B">
        <w:rPr>
          <w:rFonts w:ascii="Times New Roman" w:hAnsi="Times New Roman" w:cs="Times New Roman"/>
          <w:sz w:val="24"/>
          <w:szCs w:val="24"/>
        </w:rPr>
        <w:t xml:space="preserve">  </w:t>
      </w:r>
      <w:r w:rsidR="002D48E2" w:rsidRPr="00AB422B">
        <w:rPr>
          <w:rFonts w:ascii="Times New Roman" w:hAnsi="Times New Roman" w:cs="Times New Roman"/>
          <w:sz w:val="24"/>
          <w:szCs w:val="24"/>
        </w:rPr>
        <w:t xml:space="preserve">     </w:t>
      </w:r>
      <w:r w:rsidR="00636641" w:rsidRPr="00AB422B">
        <w:rPr>
          <w:rFonts w:ascii="Times New Roman" w:hAnsi="Times New Roman" w:cs="Times New Roman"/>
          <w:sz w:val="24"/>
          <w:szCs w:val="24"/>
        </w:rPr>
        <w:t xml:space="preserve">  </w:t>
      </w:r>
    </w:p>
    <w:p w:rsidR="00EE1F61" w:rsidRPr="00AB422B" w:rsidRDefault="00EE1F61" w:rsidP="006142E5">
      <w:pPr>
        <w:spacing w:line="360" w:lineRule="auto"/>
        <w:jc w:val="both"/>
        <w:rPr>
          <w:rFonts w:ascii="Times New Roman" w:hAnsi="Times New Roman" w:cs="Times New Roman"/>
          <w:sz w:val="24"/>
          <w:szCs w:val="24"/>
        </w:rPr>
      </w:pPr>
    </w:p>
    <w:p w:rsidR="0070220C" w:rsidRPr="00AB422B" w:rsidRDefault="003C0A8E" w:rsidP="00E23BBE">
      <w:pPr>
        <w:pStyle w:val="Heading2"/>
        <w:rPr>
          <w:color w:val="auto"/>
        </w:rPr>
      </w:pPr>
      <w:bookmarkStart w:id="17" w:name="_Toc502257273"/>
      <w:r w:rsidRPr="00AB422B">
        <w:rPr>
          <w:color w:val="auto"/>
        </w:rPr>
        <w:t xml:space="preserve">3.4 </w:t>
      </w:r>
      <w:r w:rsidR="0070220C" w:rsidRPr="00AB422B">
        <w:rPr>
          <w:color w:val="auto"/>
        </w:rPr>
        <w:t>Gearing ratios</w:t>
      </w:r>
      <w:bookmarkEnd w:id="17"/>
      <w:r w:rsidR="0070220C" w:rsidRPr="00AB422B">
        <w:rPr>
          <w:color w:val="auto"/>
        </w:rPr>
        <w:t xml:space="preserve">    </w:t>
      </w:r>
    </w:p>
    <w:p w:rsidR="00AD26CA" w:rsidRPr="00AB422B" w:rsidRDefault="004C333D" w:rsidP="006142E5">
      <w:pPr>
        <w:spacing w:line="360" w:lineRule="auto"/>
        <w:jc w:val="both"/>
        <w:rPr>
          <w:rFonts w:ascii="Times New Roman" w:hAnsi="Times New Roman" w:cs="Times New Roman"/>
          <w:b/>
          <w:sz w:val="24"/>
          <w:szCs w:val="24"/>
        </w:rPr>
      </w:pPr>
      <w:r w:rsidRPr="004C333D">
        <w:rPr>
          <w:rFonts w:ascii="Times New Roman" w:hAnsi="Times New Roman" w:cs="Times New Roman"/>
          <w:b/>
          <w:noProof/>
          <w:sz w:val="24"/>
          <w:szCs w:val="24"/>
          <w:lang w:val="en-IN" w:eastAsia="en-IN"/>
        </w:rPr>
        <w:drawing>
          <wp:inline distT="0" distB="0" distL="0" distR="0">
            <wp:extent cx="5502976" cy="2422566"/>
            <wp:effectExtent l="19050" t="0" r="21524" b="0"/>
            <wp:docPr id="1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772EF" w:rsidRPr="00AB422B" w:rsidRDefault="00D772EF" w:rsidP="006142E5">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 xml:space="preserve">Fig3.4 Gearing ratios of Tesco plc and Sainsbury plc  </w:t>
      </w:r>
    </w:p>
    <w:p w:rsidR="00F605C1" w:rsidRPr="00AB422B" w:rsidRDefault="000D5D2D"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Interest coverage ratios of Tesco’s plc are less than Sainsbury plc over the period from FY2013 to FY2016; which signifies that Tesco was less solvent that Sainsbury.  In the year of 2015 Tesco interest coverage ratios was negative 11.78%</w:t>
      </w:r>
      <w:r w:rsidR="00AF2068" w:rsidRPr="00AB422B">
        <w:rPr>
          <w:rFonts w:ascii="Times New Roman" w:hAnsi="Times New Roman" w:cs="Times New Roman"/>
          <w:sz w:val="24"/>
          <w:szCs w:val="24"/>
        </w:rPr>
        <w:t>; which is an indicators of business failures and poor liquidity</w:t>
      </w:r>
      <w:r w:rsidR="006C0BC2" w:rsidRPr="00AB422B">
        <w:rPr>
          <w:rFonts w:ascii="Times New Roman" w:hAnsi="Times New Roman" w:cs="Times New Roman"/>
          <w:sz w:val="24"/>
          <w:szCs w:val="24"/>
        </w:rPr>
        <w:t xml:space="preserve"> management strategies. </w:t>
      </w:r>
      <w:r w:rsidR="00DE70C9" w:rsidRPr="00AB422B">
        <w:rPr>
          <w:rFonts w:ascii="Times New Roman" w:hAnsi="Times New Roman" w:cs="Times New Roman"/>
          <w:sz w:val="24"/>
          <w:szCs w:val="24"/>
        </w:rPr>
        <w:t xml:space="preserve">The observation also shows that Sainsbury </w:t>
      </w:r>
      <w:r w:rsidR="00F605C1" w:rsidRPr="00AB422B">
        <w:rPr>
          <w:rFonts w:ascii="Times New Roman" w:hAnsi="Times New Roman" w:cs="Times New Roman"/>
          <w:sz w:val="24"/>
          <w:szCs w:val="24"/>
        </w:rPr>
        <w:t xml:space="preserve">has opportunities to carry out its operations safety with not concern over the creditors. Thus it is said that Salisbury is safer than Tesco. </w:t>
      </w:r>
    </w:p>
    <w:p w:rsidR="00F605C1" w:rsidRPr="00AB422B" w:rsidRDefault="00D772EF" w:rsidP="00E23BBE">
      <w:pPr>
        <w:pStyle w:val="Heading1"/>
        <w:rPr>
          <w:color w:val="auto"/>
        </w:rPr>
      </w:pPr>
      <w:bookmarkStart w:id="18" w:name="_Toc502257274"/>
      <w:r w:rsidRPr="00AB422B">
        <w:rPr>
          <w:color w:val="auto"/>
        </w:rPr>
        <w:t xml:space="preserve">4 </w:t>
      </w:r>
      <w:r w:rsidR="00F605C1" w:rsidRPr="00AB422B">
        <w:rPr>
          <w:color w:val="auto"/>
        </w:rPr>
        <w:t xml:space="preserve">Future </w:t>
      </w:r>
      <w:r w:rsidRPr="00AB422B">
        <w:rPr>
          <w:color w:val="auto"/>
        </w:rPr>
        <w:t>performances</w:t>
      </w:r>
      <w:r w:rsidR="00F605C1" w:rsidRPr="00AB422B">
        <w:rPr>
          <w:color w:val="auto"/>
        </w:rPr>
        <w:t xml:space="preserve"> against its competitors</w:t>
      </w:r>
      <w:bookmarkEnd w:id="18"/>
      <w:r w:rsidR="00F605C1" w:rsidRPr="00AB422B">
        <w:rPr>
          <w:color w:val="auto"/>
        </w:rPr>
        <w:t xml:space="preserve"> </w:t>
      </w:r>
    </w:p>
    <w:p w:rsidR="00DD1D14" w:rsidRPr="00AB422B" w:rsidRDefault="00F605C1"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From the above comparison it is seen that both sectors suffered from the liquidity as well as profitability issues. In recent time advancement of the technology and introduction of the online presence provide opportunities to customers to compare price of the products and services and making decision effectively.  Therefore in such situation it has been said that Tesco plc needs to </w:t>
      </w:r>
      <w:r w:rsidRPr="00AB422B">
        <w:rPr>
          <w:rFonts w:ascii="Times New Roman" w:hAnsi="Times New Roman" w:cs="Times New Roman"/>
          <w:sz w:val="24"/>
          <w:szCs w:val="24"/>
        </w:rPr>
        <w:lastRenderedPageBreak/>
        <w:t xml:space="preserve">implement better management strategies </w:t>
      </w:r>
      <w:r w:rsidR="00405C3B" w:rsidRPr="00AB422B">
        <w:rPr>
          <w:rFonts w:ascii="Times New Roman" w:hAnsi="Times New Roman" w:cs="Times New Roman"/>
          <w:sz w:val="24"/>
          <w:szCs w:val="24"/>
        </w:rPr>
        <w:t>and also invest money to improve quality of services and products that helps them to capture the market in better manner</w:t>
      </w:r>
      <w:r w:rsidR="000371E3" w:rsidRPr="00AB422B">
        <w:rPr>
          <w:rFonts w:ascii="Times New Roman" w:hAnsi="Times New Roman" w:cs="Times New Roman"/>
          <w:sz w:val="24"/>
          <w:szCs w:val="24"/>
        </w:rPr>
        <w:t xml:space="preserve"> (Rodgers, 2008)</w:t>
      </w:r>
      <w:r w:rsidR="00405C3B" w:rsidRPr="00AB422B">
        <w:rPr>
          <w:rFonts w:ascii="Times New Roman" w:hAnsi="Times New Roman" w:cs="Times New Roman"/>
          <w:sz w:val="24"/>
          <w:szCs w:val="24"/>
        </w:rPr>
        <w:t xml:space="preserve">. </w:t>
      </w:r>
      <w:r w:rsidR="00824D37" w:rsidRPr="00AB422B">
        <w:rPr>
          <w:rFonts w:ascii="Times New Roman" w:hAnsi="Times New Roman" w:cs="Times New Roman"/>
          <w:sz w:val="24"/>
          <w:szCs w:val="24"/>
        </w:rPr>
        <w:t xml:space="preserve">However to increase operations profits the management of the company needs to remodeling of transshipment route that aids them to save costs in better manner.     </w:t>
      </w:r>
    </w:p>
    <w:p w:rsidR="00F605C1" w:rsidRPr="00AB422B" w:rsidRDefault="00DD1D14"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Therefore from the findings and observation is has been suggested that the organization Tesco’s plc needs to focus on the introduction and implementation of the better technology in waste management techniques that helps them to reduce operating expenses and maximize shareholders wealth. Moreover it is recommended that management needs to emphasize on the reducing its distribution costs and at same time find balance in enhancing sales performance with not compromising quality and standards. Introduction of the digital marketing techniques in promotions strategies also helps the organization to attract customers towards goods and services positively. Remodeling of transpirations routes to store helps the organization to reduce time and distribution costs, therefore that the organization Tesco plc also achieve higher profits through introduction of this concept in its management strategies</w:t>
      </w:r>
      <w:r w:rsidR="00824D37" w:rsidRPr="00AB422B">
        <w:rPr>
          <w:rFonts w:ascii="Times New Roman" w:hAnsi="Times New Roman" w:cs="Times New Roman"/>
          <w:sz w:val="24"/>
          <w:szCs w:val="24"/>
        </w:rPr>
        <w:t xml:space="preserve"> </w:t>
      </w:r>
      <w:r w:rsidR="00405C3B" w:rsidRPr="00AB422B">
        <w:rPr>
          <w:rFonts w:ascii="Times New Roman" w:hAnsi="Times New Roman" w:cs="Times New Roman"/>
          <w:sz w:val="24"/>
          <w:szCs w:val="24"/>
        </w:rPr>
        <w:t xml:space="preserve">  </w:t>
      </w:r>
      <w:r w:rsidR="00F605C1" w:rsidRPr="00AB422B">
        <w:rPr>
          <w:rFonts w:ascii="Times New Roman" w:hAnsi="Times New Roman" w:cs="Times New Roman"/>
          <w:sz w:val="24"/>
          <w:szCs w:val="24"/>
        </w:rPr>
        <w:t xml:space="preserve">  </w:t>
      </w:r>
    </w:p>
    <w:p w:rsidR="0061334B" w:rsidRPr="00AB422B" w:rsidRDefault="00CE3C7D"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The observation shows that </w:t>
      </w:r>
      <w:r w:rsidR="008D130C" w:rsidRPr="00AB422B">
        <w:rPr>
          <w:rFonts w:ascii="Times New Roman" w:hAnsi="Times New Roman" w:cs="Times New Roman"/>
          <w:sz w:val="24"/>
          <w:szCs w:val="24"/>
        </w:rPr>
        <w:t>Tesco efficenceny ratios are</w:t>
      </w:r>
      <w:r w:rsidRPr="00AB422B">
        <w:rPr>
          <w:rFonts w:ascii="Times New Roman" w:hAnsi="Times New Roman" w:cs="Times New Roman"/>
          <w:sz w:val="24"/>
          <w:szCs w:val="24"/>
        </w:rPr>
        <w:t xml:space="preserve"> not satisfactory level that increases the </w:t>
      </w:r>
      <w:r w:rsidR="008D130C" w:rsidRPr="00AB422B">
        <w:rPr>
          <w:rFonts w:ascii="Times New Roman" w:hAnsi="Times New Roman" w:cs="Times New Roman"/>
          <w:sz w:val="24"/>
          <w:szCs w:val="24"/>
        </w:rPr>
        <w:t xml:space="preserve">security issues, profitability issues and liquidity problems. On the other hand this would also lead anxiety among investors that </w:t>
      </w:r>
      <w:r w:rsidR="00AD4D5A" w:rsidRPr="00AB422B">
        <w:rPr>
          <w:rFonts w:ascii="Times New Roman" w:hAnsi="Times New Roman" w:cs="Times New Roman"/>
          <w:sz w:val="24"/>
          <w:szCs w:val="24"/>
        </w:rPr>
        <w:t>negatively impact the organization performance</w:t>
      </w:r>
      <w:r w:rsidR="000371E3" w:rsidRPr="00AB422B">
        <w:rPr>
          <w:rFonts w:ascii="Times New Roman" w:hAnsi="Times New Roman" w:cs="Times New Roman"/>
          <w:sz w:val="24"/>
          <w:szCs w:val="24"/>
        </w:rPr>
        <w:t xml:space="preserve"> (Palmer, 2009)</w:t>
      </w:r>
      <w:r w:rsidR="00AD4D5A" w:rsidRPr="00AB422B">
        <w:rPr>
          <w:rFonts w:ascii="Times New Roman" w:hAnsi="Times New Roman" w:cs="Times New Roman"/>
          <w:sz w:val="24"/>
          <w:szCs w:val="24"/>
        </w:rPr>
        <w:t xml:space="preserve">. In order to solve this issues management needs to implement discount strategies in its products or goods and introduce better training and development program to its employees that contribute high customer’s satisfaction and solve sales revenues, liquidations and profitability problems.  </w:t>
      </w:r>
    </w:p>
    <w:p w:rsidR="009B0445" w:rsidRPr="00AB422B" w:rsidRDefault="0061334B"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In addition to this, to improve gearing ratios organization Tesco need to emphasize on reduce working capital that can be accomplished by introduction of the reduce inventory level</w:t>
      </w:r>
      <w:r w:rsidR="008C3386" w:rsidRPr="00AB422B">
        <w:rPr>
          <w:rFonts w:ascii="Times New Roman" w:hAnsi="Times New Roman" w:cs="Times New Roman"/>
          <w:sz w:val="24"/>
          <w:szCs w:val="24"/>
        </w:rPr>
        <w:t xml:space="preserve"> and increase the speed of accounts receivable collections. </w:t>
      </w:r>
      <w:r w:rsidR="00451DCA" w:rsidRPr="00AB422B">
        <w:rPr>
          <w:rFonts w:ascii="Times New Roman" w:hAnsi="Times New Roman" w:cs="Times New Roman"/>
          <w:sz w:val="24"/>
          <w:szCs w:val="24"/>
        </w:rPr>
        <w:t xml:space="preserve">Apart from that management needs to use </w:t>
      </w:r>
      <w:r w:rsidR="009B0445" w:rsidRPr="00AB422B">
        <w:rPr>
          <w:rFonts w:ascii="Times New Roman" w:hAnsi="Times New Roman" w:cs="Times New Roman"/>
          <w:sz w:val="24"/>
          <w:szCs w:val="24"/>
        </w:rPr>
        <w:t>effective marketing strategies</w:t>
      </w:r>
      <w:r w:rsidR="00451DCA" w:rsidRPr="00AB422B">
        <w:rPr>
          <w:rFonts w:ascii="Times New Roman" w:hAnsi="Times New Roman" w:cs="Times New Roman"/>
          <w:sz w:val="24"/>
          <w:szCs w:val="24"/>
        </w:rPr>
        <w:t xml:space="preserve">, find cheaper suppliers, reduce staffs by introduction of the </w:t>
      </w:r>
      <w:r w:rsidR="009B0445" w:rsidRPr="00AB422B">
        <w:rPr>
          <w:rFonts w:ascii="Times New Roman" w:hAnsi="Times New Roman" w:cs="Times New Roman"/>
          <w:sz w:val="24"/>
          <w:szCs w:val="24"/>
        </w:rPr>
        <w:t xml:space="preserve">online presence and negotiate cheaper rent that helps them to increase profitability ratios in better manner. </w:t>
      </w:r>
    </w:p>
    <w:p w:rsidR="0061334B" w:rsidRPr="00AB422B" w:rsidRDefault="009B0445"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In addition to this it is seen that main reason of the degraded of efficiency ratios of Tesco plc is that it introduced wide range of goods in stores, therefore in such case the management needs to reduce range of goods offered  and offering only keeping the once that demands or highly sell.          </w:t>
      </w:r>
      <w:r w:rsidR="00451DCA" w:rsidRPr="00AB422B">
        <w:rPr>
          <w:rFonts w:ascii="Times New Roman" w:hAnsi="Times New Roman" w:cs="Times New Roman"/>
          <w:sz w:val="24"/>
          <w:szCs w:val="24"/>
        </w:rPr>
        <w:t xml:space="preserve">     </w:t>
      </w:r>
      <w:r w:rsidR="008C3386" w:rsidRPr="00AB422B">
        <w:rPr>
          <w:rFonts w:ascii="Times New Roman" w:hAnsi="Times New Roman" w:cs="Times New Roman"/>
          <w:sz w:val="24"/>
          <w:szCs w:val="24"/>
        </w:rPr>
        <w:t xml:space="preserve">   </w:t>
      </w:r>
    </w:p>
    <w:p w:rsidR="00013C8D" w:rsidRPr="00AB422B" w:rsidRDefault="0061334B"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lastRenderedPageBreak/>
        <w:t xml:space="preserve">       </w:t>
      </w:r>
      <w:r w:rsidR="00AD4D5A" w:rsidRPr="00AB422B">
        <w:rPr>
          <w:rFonts w:ascii="Times New Roman" w:hAnsi="Times New Roman" w:cs="Times New Roman"/>
          <w:sz w:val="24"/>
          <w:szCs w:val="24"/>
        </w:rPr>
        <w:t xml:space="preserve">      </w:t>
      </w:r>
      <w:r w:rsidR="008D130C" w:rsidRPr="00AB422B">
        <w:rPr>
          <w:rFonts w:ascii="Times New Roman" w:hAnsi="Times New Roman" w:cs="Times New Roman"/>
          <w:sz w:val="24"/>
          <w:szCs w:val="24"/>
        </w:rPr>
        <w:t xml:space="preserve"> </w:t>
      </w:r>
      <w:r w:rsidR="00F605C1" w:rsidRPr="00AB422B">
        <w:rPr>
          <w:rFonts w:ascii="Times New Roman" w:hAnsi="Times New Roman" w:cs="Times New Roman"/>
          <w:sz w:val="24"/>
          <w:szCs w:val="24"/>
        </w:rPr>
        <w:t xml:space="preserve">   </w:t>
      </w:r>
      <w:r w:rsidR="00DE70C9" w:rsidRPr="00AB422B">
        <w:rPr>
          <w:rFonts w:ascii="Times New Roman" w:hAnsi="Times New Roman" w:cs="Times New Roman"/>
          <w:sz w:val="24"/>
          <w:szCs w:val="24"/>
        </w:rPr>
        <w:t xml:space="preserve">   </w:t>
      </w:r>
      <w:r w:rsidR="00AF2068" w:rsidRPr="00AB422B">
        <w:rPr>
          <w:rFonts w:ascii="Times New Roman" w:hAnsi="Times New Roman" w:cs="Times New Roman"/>
          <w:sz w:val="24"/>
          <w:szCs w:val="24"/>
        </w:rPr>
        <w:t xml:space="preserve">  </w:t>
      </w:r>
      <w:r w:rsidR="000D5D2D" w:rsidRPr="00AB422B">
        <w:rPr>
          <w:rFonts w:ascii="Times New Roman" w:hAnsi="Times New Roman" w:cs="Times New Roman"/>
          <w:sz w:val="24"/>
          <w:szCs w:val="24"/>
        </w:rPr>
        <w:t xml:space="preserve">   </w:t>
      </w:r>
    </w:p>
    <w:p w:rsidR="006142E5" w:rsidRPr="00AB422B" w:rsidRDefault="00D772EF" w:rsidP="00E23BBE">
      <w:pPr>
        <w:pStyle w:val="Heading1"/>
        <w:rPr>
          <w:color w:val="auto"/>
        </w:rPr>
      </w:pPr>
      <w:bookmarkStart w:id="19" w:name="_Toc502257275"/>
      <w:r w:rsidRPr="00AB422B">
        <w:rPr>
          <w:color w:val="auto"/>
        </w:rPr>
        <w:t>5 Benefits</w:t>
      </w:r>
      <w:r w:rsidR="00103EBF" w:rsidRPr="00AB422B">
        <w:rPr>
          <w:color w:val="auto"/>
        </w:rPr>
        <w:t xml:space="preserve"> and disadvantage of ratios analysis</w:t>
      </w:r>
      <w:bookmarkEnd w:id="19"/>
      <w:r w:rsidR="00103EBF" w:rsidRPr="00AB422B">
        <w:rPr>
          <w:color w:val="auto"/>
        </w:rPr>
        <w:t xml:space="preserve">   </w:t>
      </w:r>
      <w:r w:rsidR="006142E5" w:rsidRPr="00AB422B">
        <w:rPr>
          <w:color w:val="auto"/>
        </w:rPr>
        <w:t xml:space="preserve">    </w:t>
      </w:r>
    </w:p>
    <w:p w:rsidR="00134C1F" w:rsidRPr="00AB422B" w:rsidRDefault="00134C1F"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The main advantages and disadvantage of </w:t>
      </w:r>
      <w:r w:rsidR="00274C09" w:rsidRPr="00AB422B">
        <w:rPr>
          <w:rFonts w:ascii="Times New Roman" w:hAnsi="Times New Roman" w:cs="Times New Roman"/>
          <w:sz w:val="24"/>
          <w:szCs w:val="24"/>
        </w:rPr>
        <w:t>ratios analysis is illustrated below</w:t>
      </w:r>
      <w:r w:rsidRPr="00AB422B">
        <w:rPr>
          <w:rFonts w:ascii="Times New Roman" w:hAnsi="Times New Roman" w:cs="Times New Roman"/>
          <w:sz w:val="24"/>
          <w:szCs w:val="24"/>
        </w:rPr>
        <w:t>;</w:t>
      </w:r>
    </w:p>
    <w:p w:rsidR="00134C1F" w:rsidRPr="00AB422B" w:rsidRDefault="00134C1F" w:rsidP="006142E5">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 xml:space="preserve">Benefits </w:t>
      </w:r>
    </w:p>
    <w:p w:rsidR="00134C1F" w:rsidRPr="00AB422B" w:rsidRDefault="00134C1F" w:rsidP="006142E5">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 xml:space="preserve">Forecasting and planning </w:t>
      </w:r>
    </w:p>
    <w:p w:rsidR="009407C8" w:rsidRPr="00AB422B" w:rsidRDefault="00134C1F"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  Ratios analysis helps the organization to find out the trend in sales, costs and other fact</w:t>
      </w:r>
      <w:r w:rsidR="00274C09" w:rsidRPr="00AB422B">
        <w:rPr>
          <w:rFonts w:ascii="Times New Roman" w:hAnsi="Times New Roman" w:cs="Times New Roman"/>
          <w:sz w:val="24"/>
          <w:szCs w:val="24"/>
        </w:rPr>
        <w:t>or</w:t>
      </w:r>
      <w:r w:rsidRPr="00AB422B">
        <w:rPr>
          <w:rFonts w:ascii="Times New Roman" w:hAnsi="Times New Roman" w:cs="Times New Roman"/>
          <w:sz w:val="24"/>
          <w:szCs w:val="24"/>
        </w:rPr>
        <w:t xml:space="preserve">s </w:t>
      </w:r>
      <w:r w:rsidR="009407C8" w:rsidRPr="00AB422B">
        <w:rPr>
          <w:rFonts w:ascii="Times New Roman" w:hAnsi="Times New Roman" w:cs="Times New Roman"/>
          <w:sz w:val="24"/>
          <w:szCs w:val="24"/>
        </w:rPr>
        <w:t>that helps them to forecast upcoming performance in effective manner. The trend analysis using ratios analysis is beneficial for planning and forecasting</w:t>
      </w:r>
      <w:r w:rsidR="00274C09" w:rsidRPr="00AB422B">
        <w:rPr>
          <w:rFonts w:ascii="Times New Roman" w:hAnsi="Times New Roman" w:cs="Times New Roman"/>
          <w:sz w:val="24"/>
          <w:szCs w:val="24"/>
        </w:rPr>
        <w:t xml:space="preserve"> of</w:t>
      </w:r>
      <w:r w:rsidR="009407C8" w:rsidRPr="00AB422B">
        <w:rPr>
          <w:rFonts w:ascii="Times New Roman" w:hAnsi="Times New Roman" w:cs="Times New Roman"/>
          <w:sz w:val="24"/>
          <w:szCs w:val="24"/>
        </w:rPr>
        <w:t xml:space="preserve"> upcoming business activities. </w:t>
      </w:r>
    </w:p>
    <w:p w:rsidR="009407C8" w:rsidRPr="00AB422B" w:rsidRDefault="009407C8" w:rsidP="006142E5">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Budgeting and communication</w:t>
      </w:r>
    </w:p>
    <w:p w:rsidR="00274C09" w:rsidRPr="00AB422B" w:rsidRDefault="009407C8" w:rsidP="00274C09">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Budget is estimated by the financial manager of upcoming activates on the basis of previous performance. Financial ratios aid the origination to find out the budget figures in ease manner and contribute towards success in competitive environment</w:t>
      </w:r>
      <w:r w:rsidR="000371E3" w:rsidRPr="00AB422B">
        <w:t xml:space="preserve"> (</w:t>
      </w:r>
      <w:r w:rsidR="000371E3" w:rsidRPr="00AB422B">
        <w:rPr>
          <w:rFonts w:ascii="Times New Roman" w:hAnsi="Times New Roman" w:cs="Times New Roman"/>
          <w:sz w:val="24"/>
          <w:szCs w:val="24"/>
        </w:rPr>
        <w:t>Morley, 2006)</w:t>
      </w:r>
      <w:r w:rsidRPr="00AB422B">
        <w:rPr>
          <w:rFonts w:ascii="Times New Roman" w:hAnsi="Times New Roman" w:cs="Times New Roman"/>
          <w:sz w:val="24"/>
          <w:szCs w:val="24"/>
        </w:rPr>
        <w:t xml:space="preserve">. </w:t>
      </w:r>
      <w:r w:rsidR="00460E0F" w:rsidRPr="00AB422B">
        <w:rPr>
          <w:rFonts w:ascii="Times New Roman" w:hAnsi="Times New Roman" w:cs="Times New Roman"/>
          <w:sz w:val="24"/>
          <w:szCs w:val="24"/>
        </w:rPr>
        <w:t xml:space="preserve">Ratios are effectively refers as the communication and plays significant role </w:t>
      </w:r>
      <w:r w:rsidR="00274C09" w:rsidRPr="00AB422B">
        <w:rPr>
          <w:rFonts w:ascii="Times New Roman" w:hAnsi="Times New Roman" w:cs="Times New Roman"/>
          <w:sz w:val="24"/>
          <w:szCs w:val="24"/>
        </w:rPr>
        <w:t xml:space="preserve">in informing about the business performance and position achieved by the organization to all the stakeholders in the market. </w:t>
      </w:r>
    </w:p>
    <w:p w:rsidR="00460E0F" w:rsidRPr="00AB422B" w:rsidRDefault="00460E0F"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 </w:t>
      </w:r>
    </w:p>
    <w:p w:rsidR="00460E0F" w:rsidRPr="00AB422B" w:rsidRDefault="00460E0F" w:rsidP="006142E5">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Measuring the operating efficenceny</w:t>
      </w:r>
    </w:p>
    <w:p w:rsidR="00274C09" w:rsidRPr="00AB422B" w:rsidRDefault="00274C09" w:rsidP="00274C09">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Financial analysis helps the organization to indicate the degree of efficiency with which the business resources are being </w:t>
      </w:r>
      <w:proofErr w:type="spellStart"/>
      <w:r w:rsidRPr="00AB422B">
        <w:rPr>
          <w:rFonts w:ascii="Times New Roman" w:hAnsi="Times New Roman" w:cs="Times New Roman"/>
          <w:sz w:val="24"/>
          <w:szCs w:val="24"/>
        </w:rPr>
        <w:t>utilised</w:t>
      </w:r>
      <w:proofErr w:type="spellEnd"/>
      <w:r w:rsidRPr="00AB422B">
        <w:rPr>
          <w:rFonts w:ascii="Times New Roman" w:hAnsi="Times New Roman" w:cs="Times New Roman"/>
          <w:sz w:val="24"/>
          <w:szCs w:val="24"/>
        </w:rPr>
        <w:t xml:space="preserve"> by the different functional departments within an organization. Moreover different ratios analysis helps the organization to determine its liquidity and efficenceny positions as compared to its competitors. </w:t>
      </w:r>
    </w:p>
    <w:p w:rsidR="008B1D64" w:rsidRPr="00AB422B" w:rsidRDefault="008B1D64" w:rsidP="006142E5">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 xml:space="preserve">Control of cost and performance </w:t>
      </w:r>
    </w:p>
    <w:p w:rsidR="009315A4" w:rsidRPr="00AB422B" w:rsidRDefault="008B1D64"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Financial ratios </w:t>
      </w:r>
      <w:r w:rsidR="009315A4" w:rsidRPr="00AB422B">
        <w:rPr>
          <w:rFonts w:ascii="Times New Roman" w:hAnsi="Times New Roman" w:cs="Times New Roman"/>
          <w:sz w:val="24"/>
          <w:szCs w:val="24"/>
        </w:rPr>
        <w:t>analysis utilizes</w:t>
      </w:r>
      <w:r w:rsidRPr="00AB422B">
        <w:rPr>
          <w:rFonts w:ascii="Times New Roman" w:hAnsi="Times New Roman" w:cs="Times New Roman"/>
          <w:sz w:val="24"/>
          <w:szCs w:val="24"/>
        </w:rPr>
        <w:t xml:space="preserve"> by Tesco’s manager for control of performance </w:t>
      </w:r>
      <w:r w:rsidR="009315A4" w:rsidRPr="00AB422B">
        <w:rPr>
          <w:rFonts w:ascii="Times New Roman" w:hAnsi="Times New Roman" w:cs="Times New Roman"/>
          <w:sz w:val="24"/>
          <w:szCs w:val="24"/>
        </w:rPr>
        <w:t xml:space="preserve">of </w:t>
      </w:r>
      <w:r w:rsidR="00802295" w:rsidRPr="00AB422B">
        <w:rPr>
          <w:rFonts w:ascii="Times New Roman" w:hAnsi="Times New Roman" w:cs="Times New Roman"/>
          <w:sz w:val="24"/>
          <w:szCs w:val="24"/>
        </w:rPr>
        <w:t xml:space="preserve">different </w:t>
      </w:r>
      <w:r w:rsidR="009315A4" w:rsidRPr="00AB422B">
        <w:rPr>
          <w:rFonts w:ascii="Times New Roman" w:hAnsi="Times New Roman" w:cs="Times New Roman"/>
          <w:sz w:val="24"/>
          <w:szCs w:val="24"/>
        </w:rPr>
        <w:t>department of an undertaking controls of costs</w:t>
      </w:r>
      <w:r w:rsidR="000371E3" w:rsidRPr="00AB422B">
        <w:rPr>
          <w:rFonts w:ascii="Times New Roman" w:hAnsi="Times New Roman" w:cs="Times New Roman"/>
          <w:sz w:val="24"/>
          <w:szCs w:val="24"/>
        </w:rPr>
        <w:t xml:space="preserve"> (</w:t>
      </w:r>
      <w:proofErr w:type="spellStart"/>
      <w:r w:rsidR="000371E3" w:rsidRPr="00AB422B">
        <w:rPr>
          <w:rFonts w:ascii="Times New Roman" w:hAnsi="Times New Roman" w:cs="Times New Roman"/>
          <w:sz w:val="24"/>
          <w:szCs w:val="24"/>
        </w:rPr>
        <w:t>Horngren</w:t>
      </w:r>
      <w:proofErr w:type="spellEnd"/>
      <w:r w:rsidR="000371E3" w:rsidRPr="00AB422B">
        <w:rPr>
          <w:rFonts w:ascii="Times New Roman" w:hAnsi="Times New Roman" w:cs="Times New Roman"/>
          <w:sz w:val="24"/>
          <w:szCs w:val="24"/>
        </w:rPr>
        <w:t>, 2014)</w:t>
      </w:r>
      <w:r w:rsidR="009315A4" w:rsidRPr="00AB422B">
        <w:rPr>
          <w:rFonts w:ascii="Times New Roman" w:hAnsi="Times New Roman" w:cs="Times New Roman"/>
          <w:sz w:val="24"/>
          <w:szCs w:val="24"/>
        </w:rPr>
        <w:t xml:space="preserve">. </w:t>
      </w:r>
    </w:p>
    <w:p w:rsidR="009315A4" w:rsidRPr="00AB422B" w:rsidRDefault="009315A4" w:rsidP="006142E5">
      <w:pPr>
        <w:spacing w:line="360" w:lineRule="auto"/>
        <w:jc w:val="both"/>
        <w:rPr>
          <w:rFonts w:ascii="Times New Roman" w:hAnsi="Times New Roman" w:cs="Times New Roman"/>
          <w:b/>
          <w:sz w:val="24"/>
          <w:szCs w:val="24"/>
        </w:rPr>
      </w:pPr>
      <w:r w:rsidRPr="00AB422B">
        <w:rPr>
          <w:rFonts w:ascii="Times New Roman" w:hAnsi="Times New Roman" w:cs="Times New Roman"/>
          <w:sz w:val="24"/>
          <w:szCs w:val="24"/>
        </w:rPr>
        <w:t xml:space="preserve"> </w:t>
      </w:r>
      <w:r w:rsidRPr="00AB422B">
        <w:rPr>
          <w:rFonts w:ascii="Times New Roman" w:hAnsi="Times New Roman" w:cs="Times New Roman"/>
          <w:b/>
          <w:sz w:val="24"/>
          <w:szCs w:val="24"/>
        </w:rPr>
        <w:t xml:space="preserve">Limitations of ratios analysis </w:t>
      </w:r>
    </w:p>
    <w:p w:rsidR="00CF50F3" w:rsidRPr="00AB422B" w:rsidRDefault="009315A4" w:rsidP="006142E5">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lastRenderedPageBreak/>
        <w:t xml:space="preserve"> </w:t>
      </w:r>
      <w:r w:rsidR="00CF50F3" w:rsidRPr="00AB422B">
        <w:rPr>
          <w:rFonts w:ascii="Times New Roman" w:hAnsi="Times New Roman" w:cs="Times New Roman"/>
          <w:b/>
          <w:sz w:val="24"/>
          <w:szCs w:val="24"/>
        </w:rPr>
        <w:t xml:space="preserve">Limitation of financial information </w:t>
      </w:r>
    </w:p>
    <w:p w:rsidR="00C26FCA" w:rsidRPr="00AB422B" w:rsidRDefault="00C26FCA" w:rsidP="00C26FCA">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Financial ratios is computed or calculated from the availability of past information that is provided within the financial statements. Thus, the unavailability of the past information could create greater problems and challenges towards the computation of the ratios analysis in a successful manner. </w:t>
      </w:r>
    </w:p>
    <w:p w:rsidR="00AB4F4C" w:rsidRPr="00AB422B" w:rsidRDefault="00AB4F4C" w:rsidP="006142E5">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 xml:space="preserve">Different </w:t>
      </w:r>
      <w:r w:rsidR="00C26FCA" w:rsidRPr="00AB422B">
        <w:rPr>
          <w:rFonts w:ascii="Times New Roman" w:hAnsi="Times New Roman" w:cs="Times New Roman"/>
          <w:sz w:val="24"/>
          <w:szCs w:val="24"/>
        </w:rPr>
        <w:t>accounting policies</w:t>
      </w:r>
    </w:p>
    <w:p w:rsidR="004A246C" w:rsidRPr="00AB422B" w:rsidRDefault="00AB4F4C"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 Different accounting procedures such as charging depreciation and valuation of inv</w:t>
      </w:r>
      <w:r w:rsidR="00C26FCA" w:rsidRPr="00AB422B">
        <w:rPr>
          <w:rFonts w:ascii="Times New Roman" w:hAnsi="Times New Roman" w:cs="Times New Roman"/>
          <w:sz w:val="24"/>
          <w:szCs w:val="24"/>
        </w:rPr>
        <w:t>estors</w:t>
      </w:r>
      <w:r w:rsidRPr="00AB422B">
        <w:rPr>
          <w:rFonts w:ascii="Times New Roman" w:hAnsi="Times New Roman" w:cs="Times New Roman"/>
          <w:sz w:val="24"/>
          <w:szCs w:val="24"/>
        </w:rPr>
        <w:t xml:space="preserve"> etc</w:t>
      </w:r>
      <w:r w:rsidR="004A246C" w:rsidRPr="00AB422B">
        <w:rPr>
          <w:rFonts w:ascii="Times New Roman" w:hAnsi="Times New Roman" w:cs="Times New Roman"/>
          <w:sz w:val="24"/>
          <w:szCs w:val="24"/>
        </w:rPr>
        <w:t xml:space="preserve"> make the accounting information and ratios of two organizations non comparable. </w:t>
      </w:r>
    </w:p>
    <w:p w:rsidR="004A246C" w:rsidRPr="00AB422B" w:rsidRDefault="004A246C" w:rsidP="006142E5">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 xml:space="preserve">Lack of standard </w:t>
      </w:r>
    </w:p>
    <w:p w:rsidR="0062126E" w:rsidRPr="00AB422B" w:rsidRDefault="004A246C" w:rsidP="006142E5">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 xml:space="preserve">No effective rules and regulations can be laid down for calculation of the ratios. </w:t>
      </w:r>
      <w:r w:rsidR="00E13246" w:rsidRPr="00AB422B">
        <w:rPr>
          <w:rFonts w:ascii="Times New Roman" w:hAnsi="Times New Roman" w:cs="Times New Roman"/>
          <w:sz w:val="24"/>
          <w:szCs w:val="24"/>
        </w:rPr>
        <w:t xml:space="preserve">For example current ratios is referred as to be ideal if current assets are twice of current liabilities but it may be wrong in case of </w:t>
      </w:r>
      <w:r w:rsidR="0062126E" w:rsidRPr="00AB422B">
        <w:rPr>
          <w:rFonts w:ascii="Times New Roman" w:hAnsi="Times New Roman" w:cs="Times New Roman"/>
          <w:sz w:val="24"/>
          <w:szCs w:val="24"/>
        </w:rPr>
        <w:t>those organization which have sufficient arrangements with their bankers for proving sufficient funds when they needed</w:t>
      </w:r>
      <w:r w:rsidR="003C6E55" w:rsidRPr="00AB422B">
        <w:rPr>
          <w:rFonts w:ascii="Times New Roman" w:hAnsi="Times New Roman" w:cs="Times New Roman"/>
          <w:sz w:val="24"/>
          <w:szCs w:val="24"/>
        </w:rPr>
        <w:t xml:space="preserve"> (</w:t>
      </w:r>
      <w:proofErr w:type="spellStart"/>
      <w:r w:rsidR="003C6E55" w:rsidRPr="00AB422B">
        <w:rPr>
          <w:rFonts w:ascii="Times New Roman" w:hAnsi="Times New Roman" w:cs="Times New Roman"/>
          <w:sz w:val="24"/>
          <w:szCs w:val="24"/>
        </w:rPr>
        <w:t>Horrigan</w:t>
      </w:r>
      <w:proofErr w:type="spellEnd"/>
      <w:r w:rsidR="003C6E55" w:rsidRPr="00AB422B">
        <w:rPr>
          <w:rFonts w:ascii="Times New Roman" w:hAnsi="Times New Roman" w:cs="Times New Roman"/>
          <w:sz w:val="24"/>
          <w:szCs w:val="24"/>
        </w:rPr>
        <w:t>, 2012)</w:t>
      </w:r>
      <w:r w:rsidR="0062126E" w:rsidRPr="00AB422B">
        <w:rPr>
          <w:rFonts w:ascii="Times New Roman" w:hAnsi="Times New Roman" w:cs="Times New Roman"/>
          <w:sz w:val="24"/>
          <w:szCs w:val="24"/>
        </w:rPr>
        <w:t xml:space="preserve">. </w:t>
      </w:r>
    </w:p>
    <w:p w:rsidR="0062126E" w:rsidRPr="00AB422B" w:rsidRDefault="0062126E" w:rsidP="006142E5">
      <w:pPr>
        <w:spacing w:line="360" w:lineRule="auto"/>
        <w:jc w:val="both"/>
        <w:rPr>
          <w:rFonts w:ascii="Times New Roman" w:hAnsi="Times New Roman" w:cs="Times New Roman"/>
          <w:b/>
          <w:sz w:val="24"/>
          <w:szCs w:val="24"/>
        </w:rPr>
      </w:pPr>
      <w:r w:rsidRPr="00AB422B">
        <w:rPr>
          <w:rFonts w:ascii="Times New Roman" w:hAnsi="Times New Roman" w:cs="Times New Roman"/>
          <w:b/>
          <w:sz w:val="24"/>
          <w:szCs w:val="24"/>
        </w:rPr>
        <w:t xml:space="preserve">Change in the price level </w:t>
      </w:r>
    </w:p>
    <w:p w:rsidR="006142E5" w:rsidRPr="00986B02" w:rsidRDefault="0062126E" w:rsidP="00986B02">
      <w:pPr>
        <w:spacing w:line="360" w:lineRule="auto"/>
        <w:jc w:val="both"/>
        <w:rPr>
          <w:rFonts w:ascii="Times New Roman" w:hAnsi="Times New Roman" w:cs="Times New Roman"/>
          <w:sz w:val="24"/>
          <w:szCs w:val="24"/>
        </w:rPr>
      </w:pPr>
      <w:r w:rsidRPr="00AB422B">
        <w:rPr>
          <w:rFonts w:ascii="Times New Roman" w:hAnsi="Times New Roman" w:cs="Times New Roman"/>
          <w:sz w:val="24"/>
          <w:szCs w:val="24"/>
        </w:rPr>
        <w:t>In the financial statement, fixed assists mainly represents the positions statement at expenses only therefore in does not shows the changes in price level</w:t>
      </w:r>
      <w:r w:rsidR="0070220C" w:rsidRPr="00AB422B">
        <w:rPr>
          <w:rFonts w:ascii="Times New Roman" w:hAnsi="Times New Roman" w:cs="Times New Roman"/>
          <w:sz w:val="24"/>
          <w:szCs w:val="24"/>
        </w:rPr>
        <w:t xml:space="preserve">. Thereby it make to difficult in comparison.     </w:t>
      </w:r>
      <w:r w:rsidRPr="00AB422B">
        <w:rPr>
          <w:rFonts w:ascii="Times New Roman" w:hAnsi="Times New Roman" w:cs="Times New Roman"/>
          <w:sz w:val="24"/>
          <w:szCs w:val="24"/>
        </w:rPr>
        <w:t xml:space="preserve">  </w:t>
      </w:r>
    </w:p>
    <w:p w:rsidR="00013EE2" w:rsidRPr="000E1CBC" w:rsidRDefault="00013EE2" w:rsidP="00D23265">
      <w:pPr>
        <w:pStyle w:val="Heading1"/>
        <w:rPr>
          <w:rFonts w:eastAsia="Times New Roman"/>
          <w:color w:val="auto"/>
          <w:sz w:val="36"/>
          <w:szCs w:val="36"/>
        </w:rPr>
      </w:pPr>
      <w:bookmarkStart w:id="20" w:name="_Toc502257276"/>
      <w:r w:rsidRPr="000E1CBC">
        <w:rPr>
          <w:rFonts w:eastAsia="Times New Roman"/>
          <w:color w:val="auto"/>
          <w:sz w:val="36"/>
          <w:szCs w:val="36"/>
        </w:rPr>
        <w:t>References</w:t>
      </w:r>
      <w:bookmarkEnd w:id="20"/>
    </w:p>
    <w:p w:rsidR="003C6E55" w:rsidRPr="00AB422B" w:rsidRDefault="003C6E55" w:rsidP="006142E5">
      <w:pPr>
        <w:spacing w:line="360" w:lineRule="auto"/>
        <w:jc w:val="both"/>
        <w:rPr>
          <w:rFonts w:ascii="Times New Roman" w:hAnsi="Times New Roman" w:cs="Times New Roman"/>
          <w:sz w:val="24"/>
          <w:szCs w:val="24"/>
        </w:rPr>
      </w:pPr>
    </w:p>
    <w:p w:rsidR="003C6E55" w:rsidRPr="000E1CBC" w:rsidRDefault="003C6E55" w:rsidP="00013EE2">
      <w:pPr>
        <w:widowControl w:val="0"/>
        <w:autoSpaceDE w:val="0"/>
        <w:autoSpaceDN w:val="0"/>
        <w:adjustRightInd w:val="0"/>
        <w:spacing w:line="360" w:lineRule="auto"/>
        <w:jc w:val="both"/>
        <w:rPr>
          <w:rFonts w:ascii="Times New Roman" w:hAnsi="Times New Roman" w:cs="Times New Roman"/>
          <w:color w:val="002060"/>
          <w:sz w:val="24"/>
          <w:szCs w:val="24"/>
        </w:rPr>
      </w:pPr>
      <w:proofErr w:type="spellStart"/>
      <w:r w:rsidRPr="000E1CBC">
        <w:rPr>
          <w:rFonts w:ascii="Times New Roman" w:hAnsi="Times New Roman" w:cs="Times New Roman"/>
          <w:color w:val="002060"/>
          <w:sz w:val="24"/>
          <w:szCs w:val="24"/>
        </w:rPr>
        <w:t>Brealey</w:t>
      </w:r>
      <w:proofErr w:type="spellEnd"/>
      <w:r w:rsidRPr="000E1CBC">
        <w:rPr>
          <w:rFonts w:ascii="Times New Roman" w:hAnsi="Times New Roman" w:cs="Times New Roman"/>
          <w:color w:val="002060"/>
          <w:sz w:val="24"/>
          <w:szCs w:val="24"/>
        </w:rPr>
        <w:t xml:space="preserve">, R. and Myers, S. (2010). </w:t>
      </w:r>
      <w:proofErr w:type="gramStart"/>
      <w:r w:rsidRPr="000E1CBC">
        <w:rPr>
          <w:rFonts w:ascii="Times New Roman" w:hAnsi="Times New Roman" w:cs="Times New Roman"/>
          <w:i/>
          <w:iCs/>
          <w:color w:val="002060"/>
          <w:sz w:val="24"/>
          <w:szCs w:val="24"/>
        </w:rPr>
        <w:t>Principles of corporate finance</w:t>
      </w:r>
      <w:r w:rsidRPr="000E1CBC">
        <w:rPr>
          <w:rFonts w:ascii="Times New Roman" w:hAnsi="Times New Roman" w:cs="Times New Roman"/>
          <w:color w:val="002060"/>
          <w:sz w:val="24"/>
          <w:szCs w:val="24"/>
        </w:rPr>
        <w:t>.</w:t>
      </w:r>
      <w:proofErr w:type="gramEnd"/>
      <w:r w:rsidRPr="000E1CBC">
        <w:rPr>
          <w:rFonts w:ascii="Times New Roman" w:hAnsi="Times New Roman" w:cs="Times New Roman"/>
          <w:color w:val="002060"/>
          <w:sz w:val="24"/>
          <w:szCs w:val="24"/>
        </w:rPr>
        <w:t xml:space="preserve"> New York: McGraw-Hill.</w:t>
      </w:r>
    </w:p>
    <w:p w:rsidR="003C6E55" w:rsidRPr="000E1CBC" w:rsidRDefault="003C6E55" w:rsidP="00013EE2">
      <w:pPr>
        <w:widowControl w:val="0"/>
        <w:autoSpaceDE w:val="0"/>
        <w:autoSpaceDN w:val="0"/>
        <w:adjustRightInd w:val="0"/>
        <w:spacing w:line="360" w:lineRule="auto"/>
        <w:jc w:val="both"/>
        <w:rPr>
          <w:rFonts w:ascii="Times New Roman" w:hAnsi="Times New Roman" w:cs="Times New Roman"/>
          <w:color w:val="002060"/>
          <w:sz w:val="24"/>
          <w:szCs w:val="24"/>
        </w:rPr>
      </w:pPr>
      <w:proofErr w:type="spellStart"/>
      <w:proofErr w:type="gramStart"/>
      <w:r w:rsidRPr="000E1CBC">
        <w:rPr>
          <w:rFonts w:ascii="Times New Roman" w:hAnsi="Times New Roman" w:cs="Times New Roman"/>
          <w:color w:val="002060"/>
          <w:sz w:val="24"/>
          <w:szCs w:val="24"/>
        </w:rPr>
        <w:t>Downes</w:t>
      </w:r>
      <w:proofErr w:type="spellEnd"/>
      <w:r w:rsidRPr="000E1CBC">
        <w:rPr>
          <w:rFonts w:ascii="Times New Roman" w:hAnsi="Times New Roman" w:cs="Times New Roman"/>
          <w:color w:val="002060"/>
          <w:sz w:val="24"/>
          <w:szCs w:val="24"/>
        </w:rPr>
        <w:t>, J. and Goodman, J. (2007).</w:t>
      </w:r>
      <w:proofErr w:type="gramEnd"/>
      <w:r w:rsidRPr="000E1CBC">
        <w:rPr>
          <w:rFonts w:ascii="Times New Roman" w:hAnsi="Times New Roman" w:cs="Times New Roman"/>
          <w:color w:val="002060"/>
          <w:sz w:val="24"/>
          <w:szCs w:val="24"/>
        </w:rPr>
        <w:t xml:space="preserve"> </w:t>
      </w:r>
      <w:proofErr w:type="gramStart"/>
      <w:r w:rsidRPr="000E1CBC">
        <w:rPr>
          <w:rFonts w:ascii="Times New Roman" w:hAnsi="Times New Roman" w:cs="Times New Roman"/>
          <w:i/>
          <w:iCs/>
          <w:color w:val="002060"/>
          <w:sz w:val="24"/>
          <w:szCs w:val="24"/>
        </w:rPr>
        <w:t>Barron's finance &amp; investment handbook</w:t>
      </w:r>
      <w:r w:rsidRPr="000E1CBC">
        <w:rPr>
          <w:rFonts w:ascii="Times New Roman" w:hAnsi="Times New Roman" w:cs="Times New Roman"/>
          <w:color w:val="002060"/>
          <w:sz w:val="24"/>
          <w:szCs w:val="24"/>
        </w:rPr>
        <w:t>.</w:t>
      </w:r>
      <w:proofErr w:type="gramEnd"/>
      <w:r w:rsidRPr="000E1CBC">
        <w:rPr>
          <w:rFonts w:ascii="Times New Roman" w:hAnsi="Times New Roman" w:cs="Times New Roman"/>
          <w:color w:val="002060"/>
          <w:sz w:val="24"/>
          <w:szCs w:val="24"/>
        </w:rPr>
        <w:t xml:space="preserve"> Hauppauge, N.Y.: Barron's Educational Series.</w:t>
      </w:r>
    </w:p>
    <w:p w:rsidR="003C6E55" w:rsidRPr="000E1CBC" w:rsidRDefault="003C6E55" w:rsidP="00013EE2">
      <w:pPr>
        <w:widowControl w:val="0"/>
        <w:autoSpaceDE w:val="0"/>
        <w:autoSpaceDN w:val="0"/>
        <w:adjustRightInd w:val="0"/>
        <w:spacing w:line="360" w:lineRule="auto"/>
        <w:jc w:val="both"/>
        <w:rPr>
          <w:rFonts w:ascii="Times New Roman" w:hAnsi="Times New Roman" w:cs="Times New Roman"/>
          <w:color w:val="002060"/>
          <w:sz w:val="24"/>
          <w:szCs w:val="24"/>
        </w:rPr>
      </w:pPr>
      <w:proofErr w:type="spellStart"/>
      <w:proofErr w:type="gramStart"/>
      <w:r w:rsidRPr="000E1CBC">
        <w:rPr>
          <w:rFonts w:ascii="Times New Roman" w:hAnsi="Times New Roman" w:cs="Times New Roman"/>
          <w:color w:val="002060"/>
          <w:sz w:val="24"/>
          <w:szCs w:val="24"/>
        </w:rPr>
        <w:t>Downes</w:t>
      </w:r>
      <w:proofErr w:type="spellEnd"/>
      <w:r w:rsidRPr="000E1CBC">
        <w:rPr>
          <w:rFonts w:ascii="Times New Roman" w:hAnsi="Times New Roman" w:cs="Times New Roman"/>
          <w:color w:val="002060"/>
          <w:sz w:val="24"/>
          <w:szCs w:val="24"/>
        </w:rPr>
        <w:t>, J. and Goodman, J. (2009).</w:t>
      </w:r>
      <w:proofErr w:type="gramEnd"/>
      <w:r w:rsidRPr="000E1CBC">
        <w:rPr>
          <w:rFonts w:ascii="Times New Roman" w:hAnsi="Times New Roman" w:cs="Times New Roman"/>
          <w:color w:val="002060"/>
          <w:sz w:val="24"/>
          <w:szCs w:val="24"/>
        </w:rPr>
        <w:t xml:space="preserve"> </w:t>
      </w:r>
      <w:proofErr w:type="gramStart"/>
      <w:r w:rsidRPr="000E1CBC">
        <w:rPr>
          <w:rFonts w:ascii="Times New Roman" w:hAnsi="Times New Roman" w:cs="Times New Roman"/>
          <w:i/>
          <w:iCs/>
          <w:color w:val="002060"/>
          <w:sz w:val="24"/>
          <w:szCs w:val="24"/>
        </w:rPr>
        <w:t>Dictionary of finance and investment terms</w:t>
      </w:r>
      <w:r w:rsidRPr="000E1CBC">
        <w:rPr>
          <w:rFonts w:ascii="Times New Roman" w:hAnsi="Times New Roman" w:cs="Times New Roman"/>
          <w:color w:val="002060"/>
          <w:sz w:val="24"/>
          <w:szCs w:val="24"/>
        </w:rPr>
        <w:t>.</w:t>
      </w:r>
      <w:proofErr w:type="gramEnd"/>
      <w:r w:rsidRPr="000E1CBC">
        <w:rPr>
          <w:rFonts w:ascii="Times New Roman" w:hAnsi="Times New Roman" w:cs="Times New Roman"/>
          <w:color w:val="002060"/>
          <w:sz w:val="24"/>
          <w:szCs w:val="24"/>
        </w:rPr>
        <w:t xml:space="preserve"> Hauppauge, N.Y.: Barron's Educational Series.</w:t>
      </w:r>
    </w:p>
    <w:p w:rsidR="003C6E55" w:rsidRPr="000E1CBC" w:rsidRDefault="003C6E55" w:rsidP="00013EE2">
      <w:pPr>
        <w:widowControl w:val="0"/>
        <w:autoSpaceDE w:val="0"/>
        <w:autoSpaceDN w:val="0"/>
        <w:adjustRightInd w:val="0"/>
        <w:spacing w:line="360" w:lineRule="auto"/>
        <w:jc w:val="both"/>
        <w:rPr>
          <w:rFonts w:ascii="Times New Roman" w:hAnsi="Times New Roman" w:cs="Times New Roman"/>
          <w:color w:val="002060"/>
          <w:sz w:val="24"/>
          <w:szCs w:val="24"/>
        </w:rPr>
      </w:pPr>
      <w:proofErr w:type="spellStart"/>
      <w:r w:rsidRPr="000E1CBC">
        <w:rPr>
          <w:rFonts w:ascii="Times New Roman" w:hAnsi="Times New Roman" w:cs="Times New Roman"/>
          <w:color w:val="002060"/>
          <w:sz w:val="24"/>
          <w:szCs w:val="24"/>
        </w:rPr>
        <w:lastRenderedPageBreak/>
        <w:t>Gitman</w:t>
      </w:r>
      <w:proofErr w:type="spellEnd"/>
      <w:r w:rsidRPr="000E1CBC">
        <w:rPr>
          <w:rFonts w:ascii="Times New Roman" w:hAnsi="Times New Roman" w:cs="Times New Roman"/>
          <w:color w:val="002060"/>
          <w:sz w:val="24"/>
          <w:szCs w:val="24"/>
        </w:rPr>
        <w:t xml:space="preserve">, L. (2006). </w:t>
      </w:r>
      <w:proofErr w:type="gramStart"/>
      <w:r w:rsidRPr="000E1CBC">
        <w:rPr>
          <w:rFonts w:ascii="Times New Roman" w:hAnsi="Times New Roman" w:cs="Times New Roman"/>
          <w:i/>
          <w:iCs/>
          <w:color w:val="002060"/>
          <w:sz w:val="24"/>
          <w:szCs w:val="24"/>
        </w:rPr>
        <w:t>Principles of managerial finance</w:t>
      </w:r>
      <w:r w:rsidRPr="000E1CBC">
        <w:rPr>
          <w:rFonts w:ascii="Times New Roman" w:hAnsi="Times New Roman" w:cs="Times New Roman"/>
          <w:color w:val="002060"/>
          <w:sz w:val="24"/>
          <w:szCs w:val="24"/>
        </w:rPr>
        <w:t>.</w:t>
      </w:r>
      <w:proofErr w:type="gramEnd"/>
      <w:r w:rsidRPr="000E1CBC">
        <w:rPr>
          <w:rFonts w:ascii="Times New Roman" w:hAnsi="Times New Roman" w:cs="Times New Roman"/>
          <w:color w:val="002060"/>
          <w:sz w:val="24"/>
          <w:szCs w:val="24"/>
        </w:rPr>
        <w:t xml:space="preserve"> New York: Harper &amp; Row.</w:t>
      </w:r>
    </w:p>
    <w:p w:rsidR="003C6E55" w:rsidRPr="000E1CBC" w:rsidRDefault="003C6E55" w:rsidP="00013EE2">
      <w:pPr>
        <w:widowControl w:val="0"/>
        <w:autoSpaceDE w:val="0"/>
        <w:autoSpaceDN w:val="0"/>
        <w:adjustRightInd w:val="0"/>
        <w:spacing w:line="360" w:lineRule="auto"/>
        <w:jc w:val="both"/>
        <w:rPr>
          <w:rFonts w:ascii="Times New Roman" w:hAnsi="Times New Roman" w:cs="Times New Roman"/>
          <w:color w:val="002060"/>
          <w:sz w:val="24"/>
          <w:szCs w:val="24"/>
        </w:rPr>
      </w:pPr>
      <w:proofErr w:type="spellStart"/>
      <w:r w:rsidRPr="000E1CBC">
        <w:rPr>
          <w:rFonts w:ascii="Times New Roman" w:hAnsi="Times New Roman" w:cs="Times New Roman"/>
          <w:color w:val="002060"/>
          <w:sz w:val="24"/>
          <w:szCs w:val="24"/>
        </w:rPr>
        <w:t>Helfert</w:t>
      </w:r>
      <w:proofErr w:type="spellEnd"/>
      <w:r w:rsidRPr="000E1CBC">
        <w:rPr>
          <w:rFonts w:ascii="Times New Roman" w:hAnsi="Times New Roman" w:cs="Times New Roman"/>
          <w:color w:val="002060"/>
          <w:sz w:val="24"/>
          <w:szCs w:val="24"/>
        </w:rPr>
        <w:t xml:space="preserve">, E. (2005). </w:t>
      </w:r>
      <w:proofErr w:type="gramStart"/>
      <w:r w:rsidRPr="000E1CBC">
        <w:rPr>
          <w:rFonts w:ascii="Times New Roman" w:hAnsi="Times New Roman" w:cs="Times New Roman"/>
          <w:i/>
          <w:iCs/>
          <w:color w:val="002060"/>
          <w:sz w:val="24"/>
          <w:szCs w:val="24"/>
        </w:rPr>
        <w:t>Techniques of financial analysis</w:t>
      </w:r>
      <w:r w:rsidRPr="000E1CBC">
        <w:rPr>
          <w:rFonts w:ascii="Times New Roman" w:hAnsi="Times New Roman" w:cs="Times New Roman"/>
          <w:color w:val="002060"/>
          <w:sz w:val="24"/>
          <w:szCs w:val="24"/>
        </w:rPr>
        <w:t>.</w:t>
      </w:r>
      <w:proofErr w:type="gramEnd"/>
      <w:r w:rsidRPr="000E1CBC">
        <w:rPr>
          <w:rFonts w:ascii="Times New Roman" w:hAnsi="Times New Roman" w:cs="Times New Roman"/>
          <w:color w:val="002060"/>
          <w:sz w:val="24"/>
          <w:szCs w:val="24"/>
        </w:rPr>
        <w:t xml:space="preserve"> Homewood, Ill.: Irwin.</w:t>
      </w:r>
    </w:p>
    <w:p w:rsidR="003C6E55" w:rsidRPr="000E1CBC" w:rsidRDefault="003C6E55" w:rsidP="00013EE2">
      <w:pPr>
        <w:widowControl w:val="0"/>
        <w:autoSpaceDE w:val="0"/>
        <w:autoSpaceDN w:val="0"/>
        <w:adjustRightInd w:val="0"/>
        <w:spacing w:line="360" w:lineRule="auto"/>
        <w:jc w:val="both"/>
        <w:rPr>
          <w:rFonts w:ascii="Times New Roman" w:hAnsi="Times New Roman" w:cs="Times New Roman"/>
          <w:color w:val="002060"/>
          <w:sz w:val="24"/>
          <w:szCs w:val="24"/>
        </w:rPr>
      </w:pPr>
      <w:proofErr w:type="spellStart"/>
      <w:r w:rsidRPr="000E1CBC">
        <w:rPr>
          <w:rFonts w:ascii="Times New Roman" w:hAnsi="Times New Roman" w:cs="Times New Roman"/>
          <w:color w:val="002060"/>
          <w:sz w:val="24"/>
          <w:szCs w:val="24"/>
        </w:rPr>
        <w:t>Horngren</w:t>
      </w:r>
      <w:proofErr w:type="spellEnd"/>
      <w:r w:rsidRPr="000E1CBC">
        <w:rPr>
          <w:rFonts w:ascii="Times New Roman" w:hAnsi="Times New Roman" w:cs="Times New Roman"/>
          <w:color w:val="002060"/>
          <w:sz w:val="24"/>
          <w:szCs w:val="24"/>
        </w:rPr>
        <w:t xml:space="preserve">, C. (2014). </w:t>
      </w:r>
      <w:r w:rsidRPr="000E1CBC">
        <w:rPr>
          <w:rFonts w:ascii="Times New Roman" w:hAnsi="Times New Roman" w:cs="Times New Roman"/>
          <w:i/>
          <w:iCs/>
          <w:color w:val="002060"/>
          <w:sz w:val="24"/>
          <w:szCs w:val="24"/>
        </w:rPr>
        <w:t>Introduction to management accounting =</w:t>
      </w:r>
      <w:r w:rsidRPr="000E1CBC">
        <w:rPr>
          <w:rFonts w:ascii="Times New Roman" w:hAnsi="Times New Roman" w:cs="Times New Roman"/>
          <w:color w:val="002060"/>
          <w:sz w:val="24"/>
          <w:szCs w:val="24"/>
        </w:rPr>
        <w:t>. Englewood Cliffs, N.J.: Prentice-Hall.</w:t>
      </w:r>
    </w:p>
    <w:p w:rsidR="003C6E55" w:rsidRPr="000E1CBC" w:rsidRDefault="003C6E55" w:rsidP="00013EE2">
      <w:pPr>
        <w:widowControl w:val="0"/>
        <w:autoSpaceDE w:val="0"/>
        <w:autoSpaceDN w:val="0"/>
        <w:adjustRightInd w:val="0"/>
        <w:spacing w:line="360" w:lineRule="auto"/>
        <w:jc w:val="both"/>
        <w:rPr>
          <w:rFonts w:ascii="Times New Roman" w:hAnsi="Times New Roman" w:cs="Times New Roman"/>
          <w:color w:val="002060"/>
          <w:sz w:val="24"/>
          <w:szCs w:val="24"/>
        </w:rPr>
      </w:pPr>
      <w:proofErr w:type="spellStart"/>
      <w:r w:rsidRPr="000E1CBC">
        <w:rPr>
          <w:rFonts w:ascii="Times New Roman" w:hAnsi="Times New Roman" w:cs="Times New Roman"/>
          <w:color w:val="002060"/>
          <w:sz w:val="24"/>
          <w:szCs w:val="24"/>
        </w:rPr>
        <w:t>Horrigan</w:t>
      </w:r>
      <w:proofErr w:type="spellEnd"/>
      <w:r w:rsidRPr="000E1CBC">
        <w:rPr>
          <w:rFonts w:ascii="Times New Roman" w:hAnsi="Times New Roman" w:cs="Times New Roman"/>
          <w:color w:val="002060"/>
          <w:sz w:val="24"/>
          <w:szCs w:val="24"/>
        </w:rPr>
        <w:t xml:space="preserve">, J. (2012). </w:t>
      </w:r>
      <w:proofErr w:type="gramStart"/>
      <w:r w:rsidRPr="000E1CBC">
        <w:rPr>
          <w:rFonts w:ascii="Times New Roman" w:hAnsi="Times New Roman" w:cs="Times New Roman"/>
          <w:i/>
          <w:iCs/>
          <w:color w:val="002060"/>
          <w:sz w:val="24"/>
          <w:szCs w:val="24"/>
        </w:rPr>
        <w:t>Financial ratio analysis</w:t>
      </w:r>
      <w:r w:rsidRPr="000E1CBC">
        <w:rPr>
          <w:rFonts w:ascii="Times New Roman" w:hAnsi="Times New Roman" w:cs="Times New Roman"/>
          <w:color w:val="002060"/>
          <w:sz w:val="24"/>
          <w:szCs w:val="24"/>
        </w:rPr>
        <w:t>.</w:t>
      </w:r>
      <w:proofErr w:type="gramEnd"/>
      <w:r w:rsidRPr="000E1CBC">
        <w:rPr>
          <w:rFonts w:ascii="Times New Roman" w:hAnsi="Times New Roman" w:cs="Times New Roman"/>
          <w:color w:val="002060"/>
          <w:sz w:val="24"/>
          <w:szCs w:val="24"/>
        </w:rPr>
        <w:t xml:space="preserve"> New York: Arno Press.</w:t>
      </w:r>
    </w:p>
    <w:p w:rsidR="003C6E55" w:rsidRPr="000E1CBC" w:rsidRDefault="003C6E55" w:rsidP="00013EE2">
      <w:pPr>
        <w:widowControl w:val="0"/>
        <w:autoSpaceDE w:val="0"/>
        <w:autoSpaceDN w:val="0"/>
        <w:adjustRightInd w:val="0"/>
        <w:spacing w:line="360" w:lineRule="auto"/>
        <w:jc w:val="both"/>
        <w:rPr>
          <w:rFonts w:ascii="Times New Roman" w:hAnsi="Times New Roman" w:cs="Times New Roman"/>
          <w:color w:val="002060"/>
          <w:sz w:val="24"/>
          <w:szCs w:val="24"/>
        </w:rPr>
      </w:pPr>
      <w:r w:rsidRPr="000E1CBC">
        <w:rPr>
          <w:rFonts w:ascii="Times New Roman" w:hAnsi="Times New Roman" w:cs="Times New Roman"/>
          <w:color w:val="002060"/>
          <w:sz w:val="24"/>
          <w:szCs w:val="24"/>
        </w:rPr>
        <w:t xml:space="preserve">Kaplan, R. (2011). </w:t>
      </w:r>
      <w:proofErr w:type="gramStart"/>
      <w:r w:rsidRPr="000E1CBC">
        <w:rPr>
          <w:rFonts w:ascii="Times New Roman" w:hAnsi="Times New Roman" w:cs="Times New Roman"/>
          <w:i/>
          <w:iCs/>
          <w:color w:val="002060"/>
          <w:sz w:val="24"/>
          <w:szCs w:val="24"/>
        </w:rPr>
        <w:t>Advanced management accounting</w:t>
      </w:r>
      <w:r w:rsidRPr="000E1CBC">
        <w:rPr>
          <w:rFonts w:ascii="Times New Roman" w:hAnsi="Times New Roman" w:cs="Times New Roman"/>
          <w:color w:val="002060"/>
          <w:sz w:val="24"/>
          <w:szCs w:val="24"/>
        </w:rPr>
        <w:t>.</w:t>
      </w:r>
      <w:proofErr w:type="gramEnd"/>
      <w:r w:rsidRPr="000E1CBC">
        <w:rPr>
          <w:rFonts w:ascii="Times New Roman" w:hAnsi="Times New Roman" w:cs="Times New Roman"/>
          <w:color w:val="002060"/>
          <w:sz w:val="24"/>
          <w:szCs w:val="24"/>
        </w:rPr>
        <w:t xml:space="preserve"> Englewood Cliffs, N.J.: Prentice-Hall.</w:t>
      </w:r>
    </w:p>
    <w:p w:rsidR="003C6E55" w:rsidRPr="000E1CBC" w:rsidRDefault="003C6E55" w:rsidP="00013EE2">
      <w:pPr>
        <w:widowControl w:val="0"/>
        <w:autoSpaceDE w:val="0"/>
        <w:autoSpaceDN w:val="0"/>
        <w:adjustRightInd w:val="0"/>
        <w:spacing w:line="360" w:lineRule="auto"/>
        <w:jc w:val="both"/>
        <w:rPr>
          <w:rFonts w:ascii="Times New Roman" w:hAnsi="Times New Roman" w:cs="Times New Roman"/>
          <w:color w:val="002060"/>
          <w:sz w:val="24"/>
          <w:szCs w:val="24"/>
        </w:rPr>
      </w:pPr>
      <w:proofErr w:type="gramStart"/>
      <w:r w:rsidRPr="000E1CBC">
        <w:rPr>
          <w:rFonts w:ascii="Times New Roman" w:hAnsi="Times New Roman" w:cs="Times New Roman"/>
          <w:color w:val="002060"/>
          <w:sz w:val="24"/>
          <w:szCs w:val="24"/>
        </w:rPr>
        <w:t>Morley, M. (2006).</w:t>
      </w:r>
      <w:proofErr w:type="gramEnd"/>
      <w:r w:rsidRPr="000E1CBC">
        <w:rPr>
          <w:rFonts w:ascii="Times New Roman" w:hAnsi="Times New Roman" w:cs="Times New Roman"/>
          <w:color w:val="002060"/>
          <w:sz w:val="24"/>
          <w:szCs w:val="24"/>
        </w:rPr>
        <w:t xml:space="preserve"> </w:t>
      </w:r>
      <w:proofErr w:type="gramStart"/>
      <w:r w:rsidRPr="000E1CBC">
        <w:rPr>
          <w:rFonts w:ascii="Times New Roman" w:hAnsi="Times New Roman" w:cs="Times New Roman"/>
          <w:i/>
          <w:iCs/>
          <w:color w:val="002060"/>
          <w:sz w:val="24"/>
          <w:szCs w:val="24"/>
        </w:rPr>
        <w:t>Ratio analysis</w:t>
      </w:r>
      <w:r w:rsidRPr="000E1CBC">
        <w:rPr>
          <w:rFonts w:ascii="Times New Roman" w:hAnsi="Times New Roman" w:cs="Times New Roman"/>
          <w:color w:val="002060"/>
          <w:sz w:val="24"/>
          <w:szCs w:val="24"/>
        </w:rPr>
        <w:t>.</w:t>
      </w:r>
      <w:proofErr w:type="gramEnd"/>
      <w:r w:rsidRPr="000E1CBC">
        <w:rPr>
          <w:rFonts w:ascii="Times New Roman" w:hAnsi="Times New Roman" w:cs="Times New Roman"/>
          <w:color w:val="002060"/>
          <w:sz w:val="24"/>
          <w:szCs w:val="24"/>
        </w:rPr>
        <w:t xml:space="preserve"> Berkshire, England: Published for the Institute of Chartered Accountants of Scotland by Gee &amp; Co.</w:t>
      </w:r>
    </w:p>
    <w:p w:rsidR="003C6E55" w:rsidRPr="000E1CBC" w:rsidRDefault="003C6E55" w:rsidP="00013EE2">
      <w:pPr>
        <w:widowControl w:val="0"/>
        <w:autoSpaceDE w:val="0"/>
        <w:autoSpaceDN w:val="0"/>
        <w:adjustRightInd w:val="0"/>
        <w:spacing w:line="360" w:lineRule="auto"/>
        <w:jc w:val="both"/>
        <w:rPr>
          <w:rFonts w:ascii="Times New Roman" w:hAnsi="Times New Roman" w:cs="Times New Roman"/>
          <w:color w:val="002060"/>
          <w:sz w:val="24"/>
          <w:szCs w:val="24"/>
        </w:rPr>
      </w:pPr>
      <w:r w:rsidRPr="000E1CBC">
        <w:rPr>
          <w:rFonts w:ascii="Times New Roman" w:hAnsi="Times New Roman" w:cs="Times New Roman"/>
          <w:color w:val="002060"/>
          <w:sz w:val="24"/>
          <w:szCs w:val="24"/>
        </w:rPr>
        <w:t xml:space="preserve">Palmer, J. (2009). </w:t>
      </w:r>
      <w:proofErr w:type="gramStart"/>
      <w:r w:rsidRPr="000E1CBC">
        <w:rPr>
          <w:rFonts w:ascii="Times New Roman" w:hAnsi="Times New Roman" w:cs="Times New Roman"/>
          <w:i/>
          <w:iCs/>
          <w:color w:val="002060"/>
          <w:sz w:val="24"/>
          <w:szCs w:val="24"/>
        </w:rPr>
        <w:t>Financial ratio analysis</w:t>
      </w:r>
      <w:r w:rsidRPr="000E1CBC">
        <w:rPr>
          <w:rFonts w:ascii="Times New Roman" w:hAnsi="Times New Roman" w:cs="Times New Roman"/>
          <w:color w:val="002060"/>
          <w:sz w:val="24"/>
          <w:szCs w:val="24"/>
        </w:rPr>
        <w:t>.</w:t>
      </w:r>
      <w:proofErr w:type="gramEnd"/>
      <w:r w:rsidRPr="000E1CBC">
        <w:rPr>
          <w:rFonts w:ascii="Times New Roman" w:hAnsi="Times New Roman" w:cs="Times New Roman"/>
          <w:color w:val="002060"/>
          <w:sz w:val="24"/>
          <w:szCs w:val="24"/>
        </w:rPr>
        <w:t xml:space="preserve"> New York, N.Y.: American Institute of Certified Public Accountants.</w:t>
      </w:r>
    </w:p>
    <w:p w:rsidR="003C6E55" w:rsidRPr="000E1CBC" w:rsidRDefault="003C6E55" w:rsidP="00013EE2">
      <w:pPr>
        <w:widowControl w:val="0"/>
        <w:autoSpaceDE w:val="0"/>
        <w:autoSpaceDN w:val="0"/>
        <w:adjustRightInd w:val="0"/>
        <w:spacing w:line="360" w:lineRule="auto"/>
        <w:jc w:val="both"/>
        <w:rPr>
          <w:rFonts w:ascii="Times New Roman" w:hAnsi="Times New Roman" w:cs="Times New Roman"/>
          <w:color w:val="002060"/>
          <w:sz w:val="24"/>
          <w:szCs w:val="24"/>
        </w:rPr>
      </w:pPr>
      <w:proofErr w:type="gramStart"/>
      <w:r w:rsidRPr="000E1CBC">
        <w:rPr>
          <w:rFonts w:ascii="Times New Roman" w:hAnsi="Times New Roman" w:cs="Times New Roman"/>
          <w:color w:val="002060"/>
          <w:sz w:val="24"/>
          <w:szCs w:val="24"/>
        </w:rPr>
        <w:t>Prime, J. (2011).</w:t>
      </w:r>
      <w:proofErr w:type="gramEnd"/>
      <w:r w:rsidRPr="000E1CBC">
        <w:rPr>
          <w:rFonts w:ascii="Times New Roman" w:hAnsi="Times New Roman" w:cs="Times New Roman"/>
          <w:color w:val="002060"/>
          <w:sz w:val="24"/>
          <w:szCs w:val="24"/>
        </w:rPr>
        <w:t xml:space="preserve"> </w:t>
      </w:r>
      <w:proofErr w:type="gramStart"/>
      <w:r w:rsidRPr="000E1CBC">
        <w:rPr>
          <w:rFonts w:ascii="Times New Roman" w:hAnsi="Times New Roman" w:cs="Times New Roman"/>
          <w:i/>
          <w:iCs/>
          <w:color w:val="002060"/>
          <w:sz w:val="24"/>
          <w:szCs w:val="24"/>
        </w:rPr>
        <w:t>Investment analysis</w:t>
      </w:r>
      <w:r w:rsidRPr="000E1CBC">
        <w:rPr>
          <w:rFonts w:ascii="Times New Roman" w:hAnsi="Times New Roman" w:cs="Times New Roman"/>
          <w:color w:val="002060"/>
          <w:sz w:val="24"/>
          <w:szCs w:val="24"/>
        </w:rPr>
        <w:t>.</w:t>
      </w:r>
      <w:proofErr w:type="gramEnd"/>
      <w:r w:rsidRPr="000E1CBC">
        <w:rPr>
          <w:rFonts w:ascii="Times New Roman" w:hAnsi="Times New Roman" w:cs="Times New Roman"/>
          <w:color w:val="002060"/>
          <w:sz w:val="24"/>
          <w:szCs w:val="24"/>
        </w:rPr>
        <w:t xml:space="preserve"> Englewood Cliffs, N.J.: Prentice-Hall.</w:t>
      </w:r>
    </w:p>
    <w:p w:rsidR="003C6E55" w:rsidRPr="000E1CBC" w:rsidRDefault="003C6E55" w:rsidP="00013EE2">
      <w:pPr>
        <w:widowControl w:val="0"/>
        <w:autoSpaceDE w:val="0"/>
        <w:autoSpaceDN w:val="0"/>
        <w:adjustRightInd w:val="0"/>
        <w:spacing w:line="360" w:lineRule="auto"/>
        <w:jc w:val="both"/>
        <w:rPr>
          <w:rFonts w:ascii="Times New Roman" w:hAnsi="Times New Roman" w:cs="Times New Roman"/>
          <w:color w:val="002060"/>
          <w:sz w:val="24"/>
          <w:szCs w:val="24"/>
        </w:rPr>
      </w:pPr>
      <w:r w:rsidRPr="000E1CBC">
        <w:rPr>
          <w:rFonts w:ascii="Times New Roman" w:hAnsi="Times New Roman" w:cs="Times New Roman"/>
          <w:color w:val="002060"/>
          <w:sz w:val="24"/>
          <w:szCs w:val="24"/>
        </w:rPr>
        <w:t xml:space="preserve">Rees, B. (2008). </w:t>
      </w:r>
      <w:proofErr w:type="gramStart"/>
      <w:r w:rsidRPr="000E1CBC">
        <w:rPr>
          <w:rFonts w:ascii="Times New Roman" w:hAnsi="Times New Roman" w:cs="Times New Roman"/>
          <w:i/>
          <w:iCs/>
          <w:color w:val="002060"/>
          <w:sz w:val="24"/>
          <w:szCs w:val="24"/>
        </w:rPr>
        <w:t>Financial analysis</w:t>
      </w:r>
      <w:r w:rsidRPr="000E1CBC">
        <w:rPr>
          <w:rFonts w:ascii="Times New Roman" w:hAnsi="Times New Roman" w:cs="Times New Roman"/>
          <w:color w:val="002060"/>
          <w:sz w:val="24"/>
          <w:szCs w:val="24"/>
        </w:rPr>
        <w:t>.</w:t>
      </w:r>
      <w:proofErr w:type="gramEnd"/>
      <w:r w:rsidRPr="000E1CBC">
        <w:rPr>
          <w:rFonts w:ascii="Times New Roman" w:hAnsi="Times New Roman" w:cs="Times New Roman"/>
          <w:color w:val="002060"/>
          <w:sz w:val="24"/>
          <w:szCs w:val="24"/>
        </w:rPr>
        <w:t xml:space="preserve"> London: Prentice Hall.</w:t>
      </w:r>
    </w:p>
    <w:p w:rsidR="003C6E55" w:rsidRPr="000E1CBC" w:rsidRDefault="003C6E55" w:rsidP="00013EE2">
      <w:pPr>
        <w:spacing w:line="360" w:lineRule="auto"/>
        <w:jc w:val="both"/>
        <w:rPr>
          <w:rFonts w:ascii="Times New Roman" w:hAnsi="Times New Roman" w:cs="Times New Roman"/>
          <w:color w:val="002060"/>
          <w:sz w:val="24"/>
          <w:szCs w:val="24"/>
        </w:rPr>
      </w:pPr>
      <w:proofErr w:type="gramStart"/>
      <w:r w:rsidRPr="000E1CBC">
        <w:rPr>
          <w:rFonts w:ascii="Times New Roman" w:hAnsi="Times New Roman" w:cs="Times New Roman"/>
          <w:color w:val="002060"/>
          <w:sz w:val="24"/>
          <w:szCs w:val="24"/>
        </w:rPr>
        <w:t>Robinson, T. (2009).</w:t>
      </w:r>
      <w:proofErr w:type="gramEnd"/>
      <w:r w:rsidRPr="000E1CBC">
        <w:rPr>
          <w:rFonts w:ascii="Times New Roman" w:hAnsi="Times New Roman" w:cs="Times New Roman"/>
          <w:color w:val="002060"/>
          <w:sz w:val="24"/>
          <w:szCs w:val="24"/>
        </w:rPr>
        <w:t xml:space="preserve"> </w:t>
      </w:r>
      <w:proofErr w:type="gramStart"/>
      <w:r w:rsidRPr="000E1CBC">
        <w:rPr>
          <w:rFonts w:ascii="Times New Roman" w:hAnsi="Times New Roman" w:cs="Times New Roman"/>
          <w:color w:val="002060"/>
          <w:sz w:val="24"/>
          <w:szCs w:val="24"/>
        </w:rPr>
        <w:t>International financial statement analysis.</w:t>
      </w:r>
      <w:proofErr w:type="gramEnd"/>
      <w:r w:rsidRPr="000E1CBC">
        <w:rPr>
          <w:rFonts w:ascii="Times New Roman" w:hAnsi="Times New Roman" w:cs="Times New Roman"/>
          <w:color w:val="002060"/>
          <w:sz w:val="24"/>
          <w:szCs w:val="24"/>
        </w:rPr>
        <w:t xml:space="preserve"> Hoboken, N.J.: John Wiley &amp; Sons</w:t>
      </w:r>
    </w:p>
    <w:p w:rsidR="003C6E55" w:rsidRPr="000E1CBC" w:rsidRDefault="003C6E55" w:rsidP="00013EE2">
      <w:pPr>
        <w:widowControl w:val="0"/>
        <w:autoSpaceDE w:val="0"/>
        <w:autoSpaceDN w:val="0"/>
        <w:adjustRightInd w:val="0"/>
        <w:spacing w:line="360" w:lineRule="auto"/>
        <w:jc w:val="both"/>
        <w:rPr>
          <w:rFonts w:ascii="Times New Roman" w:hAnsi="Times New Roman" w:cs="Times New Roman"/>
          <w:color w:val="002060"/>
          <w:sz w:val="24"/>
          <w:szCs w:val="24"/>
        </w:rPr>
      </w:pPr>
      <w:r w:rsidRPr="000E1CBC">
        <w:rPr>
          <w:rFonts w:ascii="Times New Roman" w:hAnsi="Times New Roman" w:cs="Times New Roman"/>
          <w:color w:val="002060"/>
          <w:sz w:val="24"/>
          <w:szCs w:val="24"/>
        </w:rPr>
        <w:t xml:space="preserve">Rodgers, P. (2008). </w:t>
      </w:r>
      <w:proofErr w:type="gramStart"/>
      <w:r w:rsidRPr="000E1CBC">
        <w:rPr>
          <w:rFonts w:ascii="Times New Roman" w:hAnsi="Times New Roman" w:cs="Times New Roman"/>
          <w:i/>
          <w:iCs/>
          <w:color w:val="002060"/>
          <w:sz w:val="24"/>
          <w:szCs w:val="24"/>
        </w:rPr>
        <w:t>Financial analysis</w:t>
      </w:r>
      <w:r w:rsidRPr="000E1CBC">
        <w:rPr>
          <w:rFonts w:ascii="Times New Roman" w:hAnsi="Times New Roman" w:cs="Times New Roman"/>
          <w:color w:val="002060"/>
          <w:sz w:val="24"/>
          <w:szCs w:val="24"/>
        </w:rPr>
        <w:t>.</w:t>
      </w:r>
      <w:proofErr w:type="gramEnd"/>
      <w:r w:rsidRPr="000E1CBC">
        <w:rPr>
          <w:rFonts w:ascii="Times New Roman" w:hAnsi="Times New Roman" w:cs="Times New Roman"/>
          <w:color w:val="002060"/>
          <w:sz w:val="24"/>
          <w:szCs w:val="24"/>
        </w:rPr>
        <w:t xml:space="preserve"> Oxford: CIMA.</w:t>
      </w:r>
    </w:p>
    <w:p w:rsidR="003C6E55" w:rsidRPr="000E1CBC" w:rsidRDefault="003C6E55" w:rsidP="00013EE2">
      <w:pPr>
        <w:widowControl w:val="0"/>
        <w:autoSpaceDE w:val="0"/>
        <w:autoSpaceDN w:val="0"/>
        <w:adjustRightInd w:val="0"/>
        <w:spacing w:line="360" w:lineRule="auto"/>
        <w:jc w:val="both"/>
        <w:rPr>
          <w:rFonts w:ascii="Times New Roman" w:hAnsi="Times New Roman" w:cs="Times New Roman"/>
          <w:color w:val="002060"/>
          <w:sz w:val="24"/>
          <w:szCs w:val="24"/>
        </w:rPr>
      </w:pPr>
      <w:proofErr w:type="gramStart"/>
      <w:r w:rsidRPr="000E1CBC">
        <w:rPr>
          <w:rFonts w:ascii="Times New Roman" w:hAnsi="Times New Roman" w:cs="Times New Roman"/>
          <w:color w:val="002060"/>
          <w:sz w:val="24"/>
          <w:szCs w:val="24"/>
        </w:rPr>
        <w:t xml:space="preserve">Ross, S., </w:t>
      </w:r>
      <w:proofErr w:type="spellStart"/>
      <w:r w:rsidRPr="000E1CBC">
        <w:rPr>
          <w:rFonts w:ascii="Times New Roman" w:hAnsi="Times New Roman" w:cs="Times New Roman"/>
          <w:color w:val="002060"/>
          <w:sz w:val="24"/>
          <w:szCs w:val="24"/>
        </w:rPr>
        <w:t>Westerfield</w:t>
      </w:r>
      <w:proofErr w:type="spellEnd"/>
      <w:r w:rsidRPr="000E1CBC">
        <w:rPr>
          <w:rFonts w:ascii="Times New Roman" w:hAnsi="Times New Roman" w:cs="Times New Roman"/>
          <w:color w:val="002060"/>
          <w:sz w:val="24"/>
          <w:szCs w:val="24"/>
        </w:rPr>
        <w:t>, R. and Jaffe, J. (2005).</w:t>
      </w:r>
      <w:proofErr w:type="gramEnd"/>
      <w:r w:rsidRPr="000E1CBC">
        <w:rPr>
          <w:rFonts w:ascii="Times New Roman" w:hAnsi="Times New Roman" w:cs="Times New Roman"/>
          <w:color w:val="002060"/>
          <w:sz w:val="24"/>
          <w:szCs w:val="24"/>
        </w:rPr>
        <w:t xml:space="preserve"> </w:t>
      </w:r>
      <w:proofErr w:type="gramStart"/>
      <w:r w:rsidRPr="000E1CBC">
        <w:rPr>
          <w:rFonts w:ascii="Times New Roman" w:hAnsi="Times New Roman" w:cs="Times New Roman"/>
          <w:i/>
          <w:iCs/>
          <w:color w:val="002060"/>
          <w:sz w:val="24"/>
          <w:szCs w:val="24"/>
        </w:rPr>
        <w:t>Corporate finance</w:t>
      </w:r>
      <w:r w:rsidRPr="000E1CBC">
        <w:rPr>
          <w:rFonts w:ascii="Times New Roman" w:hAnsi="Times New Roman" w:cs="Times New Roman"/>
          <w:color w:val="002060"/>
          <w:sz w:val="24"/>
          <w:szCs w:val="24"/>
        </w:rPr>
        <w:t>.</w:t>
      </w:r>
      <w:proofErr w:type="gramEnd"/>
      <w:r w:rsidRPr="000E1CBC">
        <w:rPr>
          <w:rFonts w:ascii="Times New Roman" w:hAnsi="Times New Roman" w:cs="Times New Roman"/>
          <w:color w:val="002060"/>
          <w:sz w:val="24"/>
          <w:szCs w:val="24"/>
        </w:rPr>
        <w:t xml:space="preserve"> Boston: McGraw-Hill/Irwin.</w:t>
      </w:r>
    </w:p>
    <w:p w:rsidR="003C6E55" w:rsidRPr="000E1CBC" w:rsidRDefault="003C6E55" w:rsidP="00013EE2">
      <w:pPr>
        <w:spacing w:line="360" w:lineRule="auto"/>
        <w:jc w:val="both"/>
        <w:rPr>
          <w:rFonts w:ascii="Times New Roman" w:hAnsi="Times New Roman" w:cs="Times New Roman"/>
          <w:color w:val="002060"/>
          <w:sz w:val="24"/>
          <w:szCs w:val="24"/>
        </w:rPr>
      </w:pPr>
      <w:proofErr w:type="gramStart"/>
      <w:r w:rsidRPr="000E1CBC">
        <w:rPr>
          <w:rFonts w:ascii="Times New Roman" w:hAnsi="Times New Roman" w:cs="Times New Roman"/>
          <w:color w:val="002060"/>
          <w:sz w:val="24"/>
          <w:szCs w:val="24"/>
        </w:rPr>
        <w:t xml:space="preserve">Ross, S., </w:t>
      </w:r>
      <w:proofErr w:type="spellStart"/>
      <w:r w:rsidRPr="000E1CBC">
        <w:rPr>
          <w:rFonts w:ascii="Times New Roman" w:hAnsi="Times New Roman" w:cs="Times New Roman"/>
          <w:color w:val="002060"/>
          <w:sz w:val="24"/>
          <w:szCs w:val="24"/>
        </w:rPr>
        <w:t>Westerfield</w:t>
      </w:r>
      <w:proofErr w:type="spellEnd"/>
      <w:r w:rsidRPr="000E1CBC">
        <w:rPr>
          <w:rFonts w:ascii="Times New Roman" w:hAnsi="Times New Roman" w:cs="Times New Roman"/>
          <w:color w:val="002060"/>
          <w:sz w:val="24"/>
          <w:szCs w:val="24"/>
        </w:rPr>
        <w:t>, R. and Jaffe, J. (2005).</w:t>
      </w:r>
      <w:proofErr w:type="gramEnd"/>
      <w:r w:rsidRPr="000E1CBC">
        <w:rPr>
          <w:rFonts w:ascii="Times New Roman" w:hAnsi="Times New Roman" w:cs="Times New Roman"/>
          <w:color w:val="002060"/>
          <w:sz w:val="24"/>
          <w:szCs w:val="24"/>
        </w:rPr>
        <w:t xml:space="preserve"> </w:t>
      </w:r>
      <w:proofErr w:type="gramStart"/>
      <w:r w:rsidRPr="000E1CBC">
        <w:rPr>
          <w:rFonts w:ascii="Times New Roman" w:hAnsi="Times New Roman" w:cs="Times New Roman"/>
          <w:color w:val="002060"/>
          <w:sz w:val="24"/>
          <w:szCs w:val="24"/>
        </w:rPr>
        <w:t>Corporate finance.</w:t>
      </w:r>
      <w:proofErr w:type="gramEnd"/>
      <w:r w:rsidRPr="000E1CBC">
        <w:rPr>
          <w:rFonts w:ascii="Times New Roman" w:hAnsi="Times New Roman" w:cs="Times New Roman"/>
          <w:color w:val="002060"/>
          <w:sz w:val="24"/>
          <w:szCs w:val="24"/>
        </w:rPr>
        <w:t xml:space="preserve"> Boston: McGraw-Hill/Irwin.</w:t>
      </w:r>
    </w:p>
    <w:p w:rsidR="003C6E55" w:rsidRPr="000E1CBC" w:rsidRDefault="003C6E55" w:rsidP="00013EE2">
      <w:pPr>
        <w:widowControl w:val="0"/>
        <w:autoSpaceDE w:val="0"/>
        <w:autoSpaceDN w:val="0"/>
        <w:adjustRightInd w:val="0"/>
        <w:spacing w:line="360" w:lineRule="auto"/>
        <w:jc w:val="both"/>
        <w:rPr>
          <w:rFonts w:ascii="Times New Roman" w:hAnsi="Times New Roman" w:cs="Times New Roman"/>
          <w:color w:val="002060"/>
          <w:sz w:val="24"/>
          <w:szCs w:val="24"/>
        </w:rPr>
      </w:pPr>
      <w:proofErr w:type="gramStart"/>
      <w:r w:rsidRPr="000E1CBC">
        <w:rPr>
          <w:rFonts w:ascii="Times New Roman" w:hAnsi="Times New Roman" w:cs="Times New Roman"/>
          <w:color w:val="002060"/>
          <w:sz w:val="24"/>
          <w:szCs w:val="24"/>
        </w:rPr>
        <w:t xml:space="preserve">Ross, S., </w:t>
      </w:r>
      <w:proofErr w:type="spellStart"/>
      <w:r w:rsidRPr="000E1CBC">
        <w:rPr>
          <w:rFonts w:ascii="Times New Roman" w:hAnsi="Times New Roman" w:cs="Times New Roman"/>
          <w:color w:val="002060"/>
          <w:sz w:val="24"/>
          <w:szCs w:val="24"/>
        </w:rPr>
        <w:t>Westerfield</w:t>
      </w:r>
      <w:proofErr w:type="spellEnd"/>
      <w:r w:rsidRPr="000E1CBC">
        <w:rPr>
          <w:rFonts w:ascii="Times New Roman" w:hAnsi="Times New Roman" w:cs="Times New Roman"/>
          <w:color w:val="002060"/>
          <w:sz w:val="24"/>
          <w:szCs w:val="24"/>
        </w:rPr>
        <w:t>, R. and Jordan, B. (2010).</w:t>
      </w:r>
      <w:proofErr w:type="gramEnd"/>
      <w:r w:rsidRPr="000E1CBC">
        <w:rPr>
          <w:rFonts w:ascii="Times New Roman" w:hAnsi="Times New Roman" w:cs="Times New Roman"/>
          <w:color w:val="002060"/>
          <w:sz w:val="24"/>
          <w:szCs w:val="24"/>
        </w:rPr>
        <w:t xml:space="preserve"> </w:t>
      </w:r>
      <w:proofErr w:type="gramStart"/>
      <w:r w:rsidRPr="000E1CBC">
        <w:rPr>
          <w:rFonts w:ascii="Times New Roman" w:hAnsi="Times New Roman" w:cs="Times New Roman"/>
          <w:i/>
          <w:iCs/>
          <w:color w:val="002060"/>
          <w:sz w:val="24"/>
          <w:szCs w:val="24"/>
        </w:rPr>
        <w:t>Fundamentals of corporate finance</w:t>
      </w:r>
      <w:r w:rsidRPr="000E1CBC">
        <w:rPr>
          <w:rFonts w:ascii="Times New Roman" w:hAnsi="Times New Roman" w:cs="Times New Roman"/>
          <w:color w:val="002060"/>
          <w:sz w:val="24"/>
          <w:szCs w:val="24"/>
        </w:rPr>
        <w:t>.</w:t>
      </w:r>
      <w:proofErr w:type="gramEnd"/>
      <w:r w:rsidRPr="000E1CBC">
        <w:rPr>
          <w:rFonts w:ascii="Times New Roman" w:hAnsi="Times New Roman" w:cs="Times New Roman"/>
          <w:color w:val="002060"/>
          <w:sz w:val="24"/>
          <w:szCs w:val="24"/>
        </w:rPr>
        <w:t xml:space="preserve"> Boston: </w:t>
      </w:r>
    </w:p>
    <w:p w:rsidR="003C6E55" w:rsidRPr="000E1CBC" w:rsidRDefault="003C6E55" w:rsidP="00013EE2">
      <w:pPr>
        <w:spacing w:after="201" w:line="402" w:lineRule="atLeast"/>
        <w:rPr>
          <w:rFonts w:ascii="Times New Roman" w:eastAsia="Times New Roman" w:hAnsi="Times New Roman" w:cs="Times New Roman"/>
          <w:color w:val="002060"/>
          <w:sz w:val="27"/>
          <w:szCs w:val="27"/>
        </w:rPr>
      </w:pPr>
      <w:proofErr w:type="spellStart"/>
      <w:proofErr w:type="gramStart"/>
      <w:r w:rsidRPr="000E1CBC">
        <w:rPr>
          <w:rFonts w:ascii="Times New Roman" w:eastAsia="Times New Roman" w:hAnsi="Times New Roman" w:cs="Times New Roman"/>
          <w:color w:val="002060"/>
          <w:sz w:val="27"/>
          <w:szCs w:val="27"/>
        </w:rPr>
        <w:t>sainsburys</w:t>
      </w:r>
      <w:proofErr w:type="spellEnd"/>
      <w:proofErr w:type="gramEnd"/>
      <w:r w:rsidRPr="000E1CBC">
        <w:rPr>
          <w:rFonts w:ascii="Times New Roman" w:eastAsia="Times New Roman" w:hAnsi="Times New Roman" w:cs="Times New Roman"/>
          <w:color w:val="002060"/>
          <w:sz w:val="27"/>
          <w:szCs w:val="27"/>
        </w:rPr>
        <w:t xml:space="preserve">. </w:t>
      </w:r>
      <w:proofErr w:type="gramStart"/>
      <w:r w:rsidRPr="000E1CBC">
        <w:rPr>
          <w:rFonts w:ascii="Times New Roman" w:eastAsia="Times New Roman" w:hAnsi="Times New Roman" w:cs="Times New Roman"/>
          <w:color w:val="002060"/>
          <w:sz w:val="27"/>
          <w:szCs w:val="27"/>
        </w:rPr>
        <w:t>(2017).</w:t>
      </w:r>
      <w:r w:rsidRPr="000E1CBC">
        <w:rPr>
          <w:rFonts w:ascii="Times New Roman" w:eastAsia="Times New Roman" w:hAnsi="Times New Roman" w:cs="Times New Roman"/>
          <w:color w:val="002060"/>
          <w:sz w:val="27"/>
        </w:rPr>
        <w:t> </w:t>
      </w:r>
      <w:proofErr w:type="spellStart"/>
      <w:r w:rsidRPr="000E1CBC">
        <w:rPr>
          <w:rFonts w:ascii="Times New Roman" w:eastAsia="Times New Roman" w:hAnsi="Times New Roman" w:cs="Times New Roman"/>
          <w:i/>
          <w:iCs/>
          <w:color w:val="002060"/>
          <w:sz w:val="27"/>
          <w:szCs w:val="27"/>
        </w:rPr>
        <w:t>sainsburys</w:t>
      </w:r>
      <w:proofErr w:type="spellEnd"/>
      <w:r w:rsidRPr="000E1CBC">
        <w:rPr>
          <w:rFonts w:ascii="Times New Roman" w:eastAsia="Times New Roman" w:hAnsi="Times New Roman" w:cs="Times New Roman"/>
          <w:color w:val="002060"/>
          <w:sz w:val="27"/>
          <w:szCs w:val="27"/>
        </w:rPr>
        <w:t>.</w:t>
      </w:r>
      <w:proofErr w:type="gramEnd"/>
      <w:r w:rsidRPr="000E1CBC">
        <w:rPr>
          <w:rFonts w:ascii="Times New Roman" w:eastAsia="Times New Roman" w:hAnsi="Times New Roman" w:cs="Times New Roman"/>
          <w:color w:val="002060"/>
          <w:sz w:val="27"/>
          <w:szCs w:val="27"/>
        </w:rPr>
        <w:t xml:space="preserve"> [</w:t>
      </w:r>
      <w:proofErr w:type="gramStart"/>
      <w:r w:rsidRPr="000E1CBC">
        <w:rPr>
          <w:rFonts w:ascii="Times New Roman" w:eastAsia="Times New Roman" w:hAnsi="Times New Roman" w:cs="Times New Roman"/>
          <w:color w:val="002060"/>
          <w:sz w:val="27"/>
          <w:szCs w:val="27"/>
        </w:rPr>
        <w:t>online</w:t>
      </w:r>
      <w:proofErr w:type="gramEnd"/>
      <w:r w:rsidRPr="000E1CBC">
        <w:rPr>
          <w:rFonts w:ascii="Times New Roman" w:eastAsia="Times New Roman" w:hAnsi="Times New Roman" w:cs="Times New Roman"/>
          <w:color w:val="002060"/>
          <w:sz w:val="27"/>
          <w:szCs w:val="27"/>
        </w:rPr>
        <w:t>] Available at: https://www.about.sainsburys.co.uk/investors/annual-report-2017 [Accessed 28 Dec. 2017].</w:t>
      </w:r>
    </w:p>
    <w:p w:rsidR="003C6E55" w:rsidRPr="000E1CBC" w:rsidRDefault="003C6E55" w:rsidP="00013EE2">
      <w:pPr>
        <w:spacing w:after="201" w:line="402" w:lineRule="atLeast"/>
        <w:rPr>
          <w:rFonts w:ascii="Times New Roman" w:eastAsia="Times New Roman" w:hAnsi="Times New Roman" w:cs="Times New Roman"/>
          <w:color w:val="002060"/>
          <w:sz w:val="27"/>
          <w:szCs w:val="27"/>
        </w:rPr>
      </w:pPr>
      <w:proofErr w:type="spellStart"/>
      <w:proofErr w:type="gramStart"/>
      <w:r w:rsidRPr="000E1CBC">
        <w:rPr>
          <w:rFonts w:ascii="Times New Roman" w:eastAsia="Times New Roman" w:hAnsi="Times New Roman" w:cs="Times New Roman"/>
          <w:color w:val="002060"/>
          <w:sz w:val="27"/>
          <w:szCs w:val="27"/>
        </w:rPr>
        <w:t>tescoplc</w:t>
      </w:r>
      <w:proofErr w:type="spellEnd"/>
      <w:proofErr w:type="gramEnd"/>
      <w:r w:rsidRPr="000E1CBC">
        <w:rPr>
          <w:rFonts w:ascii="Times New Roman" w:eastAsia="Times New Roman" w:hAnsi="Times New Roman" w:cs="Times New Roman"/>
          <w:color w:val="002060"/>
          <w:sz w:val="27"/>
          <w:szCs w:val="27"/>
        </w:rPr>
        <w:t xml:space="preserve">. </w:t>
      </w:r>
      <w:proofErr w:type="gramStart"/>
      <w:r w:rsidRPr="000E1CBC">
        <w:rPr>
          <w:rFonts w:ascii="Times New Roman" w:eastAsia="Times New Roman" w:hAnsi="Times New Roman" w:cs="Times New Roman"/>
          <w:color w:val="002060"/>
          <w:sz w:val="27"/>
          <w:szCs w:val="27"/>
        </w:rPr>
        <w:t>(2014).</w:t>
      </w:r>
      <w:r w:rsidRPr="000E1CBC">
        <w:rPr>
          <w:rFonts w:ascii="Times New Roman" w:eastAsia="Times New Roman" w:hAnsi="Times New Roman" w:cs="Times New Roman"/>
          <w:color w:val="002060"/>
          <w:sz w:val="27"/>
        </w:rPr>
        <w:t> </w:t>
      </w:r>
      <w:proofErr w:type="spellStart"/>
      <w:r w:rsidRPr="000E1CBC">
        <w:rPr>
          <w:rFonts w:ascii="Times New Roman" w:eastAsia="Times New Roman" w:hAnsi="Times New Roman" w:cs="Times New Roman"/>
          <w:i/>
          <w:iCs/>
          <w:color w:val="002060"/>
          <w:sz w:val="27"/>
          <w:szCs w:val="27"/>
        </w:rPr>
        <w:t>tescoplc</w:t>
      </w:r>
      <w:proofErr w:type="spellEnd"/>
      <w:r w:rsidRPr="000E1CBC">
        <w:rPr>
          <w:rFonts w:ascii="Times New Roman" w:eastAsia="Times New Roman" w:hAnsi="Times New Roman" w:cs="Times New Roman"/>
          <w:color w:val="002060"/>
          <w:sz w:val="27"/>
          <w:szCs w:val="27"/>
        </w:rPr>
        <w:t>.</w:t>
      </w:r>
      <w:proofErr w:type="gramEnd"/>
      <w:r w:rsidRPr="000E1CBC">
        <w:rPr>
          <w:rFonts w:ascii="Times New Roman" w:eastAsia="Times New Roman" w:hAnsi="Times New Roman" w:cs="Times New Roman"/>
          <w:color w:val="002060"/>
          <w:sz w:val="27"/>
          <w:szCs w:val="27"/>
        </w:rPr>
        <w:t xml:space="preserve"> [</w:t>
      </w:r>
      <w:proofErr w:type="gramStart"/>
      <w:r w:rsidRPr="000E1CBC">
        <w:rPr>
          <w:rFonts w:ascii="Times New Roman" w:eastAsia="Times New Roman" w:hAnsi="Times New Roman" w:cs="Times New Roman"/>
          <w:color w:val="002060"/>
          <w:sz w:val="27"/>
          <w:szCs w:val="27"/>
        </w:rPr>
        <w:t>online</w:t>
      </w:r>
      <w:proofErr w:type="gramEnd"/>
      <w:r w:rsidRPr="000E1CBC">
        <w:rPr>
          <w:rFonts w:ascii="Times New Roman" w:eastAsia="Times New Roman" w:hAnsi="Times New Roman" w:cs="Times New Roman"/>
          <w:color w:val="002060"/>
          <w:sz w:val="27"/>
          <w:szCs w:val="27"/>
        </w:rPr>
        <w:t>] Available at: https://www.tescoplc.com/media/264147/annual_report_14.pdf [Accessed 28 Dec. 2017].</w:t>
      </w:r>
    </w:p>
    <w:p w:rsidR="003C6E55" w:rsidRPr="000E1CBC" w:rsidRDefault="003C6E55" w:rsidP="00013EE2">
      <w:pPr>
        <w:spacing w:after="201" w:line="402" w:lineRule="atLeast"/>
        <w:rPr>
          <w:rFonts w:ascii="Times New Roman" w:eastAsia="Times New Roman" w:hAnsi="Times New Roman" w:cs="Times New Roman"/>
          <w:color w:val="002060"/>
          <w:sz w:val="27"/>
          <w:szCs w:val="27"/>
        </w:rPr>
      </w:pPr>
      <w:proofErr w:type="spellStart"/>
      <w:proofErr w:type="gramStart"/>
      <w:r w:rsidRPr="000E1CBC">
        <w:rPr>
          <w:rFonts w:ascii="Times New Roman" w:eastAsia="Times New Roman" w:hAnsi="Times New Roman" w:cs="Times New Roman"/>
          <w:color w:val="002060"/>
          <w:sz w:val="27"/>
          <w:szCs w:val="27"/>
        </w:rPr>
        <w:lastRenderedPageBreak/>
        <w:t>tescoplc</w:t>
      </w:r>
      <w:proofErr w:type="spellEnd"/>
      <w:proofErr w:type="gramEnd"/>
      <w:r w:rsidRPr="000E1CBC">
        <w:rPr>
          <w:rFonts w:ascii="Times New Roman" w:eastAsia="Times New Roman" w:hAnsi="Times New Roman" w:cs="Times New Roman"/>
          <w:color w:val="002060"/>
          <w:sz w:val="27"/>
          <w:szCs w:val="27"/>
        </w:rPr>
        <w:t xml:space="preserve">. </w:t>
      </w:r>
      <w:proofErr w:type="gramStart"/>
      <w:r w:rsidRPr="000E1CBC">
        <w:rPr>
          <w:rFonts w:ascii="Times New Roman" w:eastAsia="Times New Roman" w:hAnsi="Times New Roman" w:cs="Times New Roman"/>
          <w:color w:val="002060"/>
          <w:sz w:val="27"/>
          <w:szCs w:val="27"/>
        </w:rPr>
        <w:t>(2015).</w:t>
      </w:r>
      <w:r w:rsidRPr="000E1CBC">
        <w:rPr>
          <w:rFonts w:ascii="Times New Roman" w:eastAsia="Times New Roman" w:hAnsi="Times New Roman" w:cs="Times New Roman"/>
          <w:color w:val="002060"/>
          <w:sz w:val="27"/>
        </w:rPr>
        <w:t> </w:t>
      </w:r>
      <w:r w:rsidRPr="000E1CBC">
        <w:rPr>
          <w:rFonts w:ascii="Times New Roman" w:eastAsia="Times New Roman" w:hAnsi="Times New Roman" w:cs="Times New Roman"/>
          <w:i/>
          <w:iCs/>
          <w:color w:val="002060"/>
          <w:sz w:val="27"/>
          <w:szCs w:val="27"/>
        </w:rPr>
        <w:t>https://www.tescoplc.com/media/1426/tescoar15.pdf</w:t>
      </w:r>
      <w:r w:rsidRPr="000E1CBC">
        <w:rPr>
          <w:rFonts w:ascii="Times New Roman" w:eastAsia="Times New Roman" w:hAnsi="Times New Roman" w:cs="Times New Roman"/>
          <w:color w:val="002060"/>
          <w:sz w:val="27"/>
          <w:szCs w:val="27"/>
        </w:rPr>
        <w:t>.</w:t>
      </w:r>
      <w:proofErr w:type="gramEnd"/>
      <w:r w:rsidRPr="000E1CBC">
        <w:rPr>
          <w:rFonts w:ascii="Times New Roman" w:eastAsia="Times New Roman" w:hAnsi="Times New Roman" w:cs="Times New Roman"/>
          <w:color w:val="002060"/>
          <w:sz w:val="27"/>
          <w:szCs w:val="27"/>
        </w:rPr>
        <w:t xml:space="preserve"> [</w:t>
      </w:r>
      <w:proofErr w:type="gramStart"/>
      <w:r w:rsidRPr="000E1CBC">
        <w:rPr>
          <w:rFonts w:ascii="Times New Roman" w:eastAsia="Times New Roman" w:hAnsi="Times New Roman" w:cs="Times New Roman"/>
          <w:color w:val="002060"/>
          <w:sz w:val="27"/>
          <w:szCs w:val="27"/>
        </w:rPr>
        <w:t>online</w:t>
      </w:r>
      <w:proofErr w:type="gramEnd"/>
      <w:r w:rsidRPr="000E1CBC">
        <w:rPr>
          <w:rFonts w:ascii="Times New Roman" w:eastAsia="Times New Roman" w:hAnsi="Times New Roman" w:cs="Times New Roman"/>
          <w:color w:val="002060"/>
          <w:sz w:val="27"/>
          <w:szCs w:val="27"/>
        </w:rPr>
        <w:t>] Available at: https://www.tescoplc.com/media/1426/tescoar15.pdf [Accessed 28 Dec. 2017].</w:t>
      </w:r>
    </w:p>
    <w:p w:rsidR="003C6E55" w:rsidRPr="000E1CBC" w:rsidRDefault="003C6E55" w:rsidP="00013EE2">
      <w:pPr>
        <w:spacing w:after="201" w:line="402" w:lineRule="atLeast"/>
        <w:rPr>
          <w:rFonts w:ascii="Times New Roman" w:eastAsia="Times New Roman" w:hAnsi="Times New Roman" w:cs="Times New Roman"/>
          <w:color w:val="002060"/>
          <w:sz w:val="27"/>
          <w:szCs w:val="27"/>
        </w:rPr>
      </w:pPr>
      <w:proofErr w:type="spellStart"/>
      <w:proofErr w:type="gramStart"/>
      <w:r w:rsidRPr="000E1CBC">
        <w:rPr>
          <w:rFonts w:ascii="Times New Roman" w:eastAsia="Times New Roman" w:hAnsi="Times New Roman" w:cs="Times New Roman"/>
          <w:color w:val="002060"/>
          <w:sz w:val="27"/>
          <w:szCs w:val="27"/>
        </w:rPr>
        <w:t>tescoplc</w:t>
      </w:r>
      <w:proofErr w:type="spellEnd"/>
      <w:proofErr w:type="gramEnd"/>
      <w:r w:rsidRPr="000E1CBC">
        <w:rPr>
          <w:rFonts w:ascii="Times New Roman" w:eastAsia="Times New Roman" w:hAnsi="Times New Roman" w:cs="Times New Roman"/>
          <w:color w:val="002060"/>
          <w:sz w:val="27"/>
          <w:szCs w:val="27"/>
        </w:rPr>
        <w:t xml:space="preserve">. </w:t>
      </w:r>
      <w:proofErr w:type="gramStart"/>
      <w:r w:rsidRPr="000E1CBC">
        <w:rPr>
          <w:rFonts w:ascii="Times New Roman" w:eastAsia="Times New Roman" w:hAnsi="Times New Roman" w:cs="Times New Roman"/>
          <w:color w:val="002060"/>
          <w:sz w:val="27"/>
          <w:szCs w:val="27"/>
        </w:rPr>
        <w:t>(2017).</w:t>
      </w:r>
      <w:r w:rsidRPr="000E1CBC">
        <w:rPr>
          <w:rFonts w:ascii="Times New Roman" w:eastAsia="Times New Roman" w:hAnsi="Times New Roman" w:cs="Times New Roman"/>
          <w:color w:val="002060"/>
          <w:sz w:val="27"/>
        </w:rPr>
        <w:t> </w:t>
      </w:r>
      <w:proofErr w:type="spellStart"/>
      <w:r w:rsidRPr="000E1CBC">
        <w:rPr>
          <w:rFonts w:ascii="Times New Roman" w:eastAsia="Times New Roman" w:hAnsi="Times New Roman" w:cs="Times New Roman"/>
          <w:i/>
          <w:iCs/>
          <w:color w:val="002060"/>
          <w:sz w:val="27"/>
          <w:szCs w:val="27"/>
        </w:rPr>
        <w:t>tescoplc</w:t>
      </w:r>
      <w:proofErr w:type="spellEnd"/>
      <w:r w:rsidRPr="000E1CBC">
        <w:rPr>
          <w:rFonts w:ascii="Times New Roman" w:eastAsia="Times New Roman" w:hAnsi="Times New Roman" w:cs="Times New Roman"/>
          <w:color w:val="002060"/>
          <w:sz w:val="27"/>
          <w:szCs w:val="27"/>
        </w:rPr>
        <w:t>.</w:t>
      </w:r>
      <w:proofErr w:type="gramEnd"/>
      <w:r w:rsidRPr="000E1CBC">
        <w:rPr>
          <w:rFonts w:ascii="Times New Roman" w:eastAsia="Times New Roman" w:hAnsi="Times New Roman" w:cs="Times New Roman"/>
          <w:color w:val="002060"/>
          <w:sz w:val="27"/>
          <w:szCs w:val="27"/>
        </w:rPr>
        <w:t xml:space="preserve"> [</w:t>
      </w:r>
      <w:proofErr w:type="gramStart"/>
      <w:r w:rsidRPr="000E1CBC">
        <w:rPr>
          <w:rFonts w:ascii="Times New Roman" w:eastAsia="Times New Roman" w:hAnsi="Times New Roman" w:cs="Times New Roman"/>
          <w:color w:val="002060"/>
          <w:sz w:val="27"/>
          <w:szCs w:val="27"/>
        </w:rPr>
        <w:t>online</w:t>
      </w:r>
      <w:proofErr w:type="gramEnd"/>
      <w:r w:rsidRPr="000E1CBC">
        <w:rPr>
          <w:rFonts w:ascii="Times New Roman" w:eastAsia="Times New Roman" w:hAnsi="Times New Roman" w:cs="Times New Roman"/>
          <w:color w:val="002060"/>
          <w:sz w:val="27"/>
          <w:szCs w:val="27"/>
        </w:rPr>
        <w:t>] Available at: https://www.tescoplc.com/investors/reports-results-and-presentations/financial-performance/ [Accessed 28 Nov. 2017].</w:t>
      </w:r>
    </w:p>
    <w:p w:rsidR="003C6E55" w:rsidRPr="000E1CBC" w:rsidRDefault="003C6E55" w:rsidP="00013EE2">
      <w:pPr>
        <w:spacing w:after="201" w:line="402" w:lineRule="atLeast"/>
        <w:rPr>
          <w:rFonts w:ascii="Times New Roman" w:eastAsia="Times New Roman" w:hAnsi="Times New Roman" w:cs="Times New Roman"/>
          <w:color w:val="002060"/>
          <w:sz w:val="27"/>
          <w:szCs w:val="27"/>
        </w:rPr>
      </w:pPr>
      <w:proofErr w:type="spellStart"/>
      <w:proofErr w:type="gramStart"/>
      <w:r w:rsidRPr="000E1CBC">
        <w:rPr>
          <w:rFonts w:ascii="Times New Roman" w:eastAsia="Times New Roman" w:hAnsi="Times New Roman" w:cs="Times New Roman"/>
          <w:color w:val="002060"/>
          <w:sz w:val="27"/>
          <w:szCs w:val="27"/>
        </w:rPr>
        <w:t>theguardian</w:t>
      </w:r>
      <w:proofErr w:type="spellEnd"/>
      <w:proofErr w:type="gramEnd"/>
      <w:r w:rsidRPr="000E1CBC">
        <w:rPr>
          <w:rFonts w:ascii="Times New Roman" w:eastAsia="Times New Roman" w:hAnsi="Times New Roman" w:cs="Times New Roman"/>
          <w:color w:val="002060"/>
          <w:sz w:val="27"/>
          <w:szCs w:val="27"/>
        </w:rPr>
        <w:t xml:space="preserve">. </w:t>
      </w:r>
      <w:proofErr w:type="gramStart"/>
      <w:r w:rsidRPr="000E1CBC">
        <w:rPr>
          <w:rFonts w:ascii="Times New Roman" w:eastAsia="Times New Roman" w:hAnsi="Times New Roman" w:cs="Times New Roman"/>
          <w:color w:val="002060"/>
          <w:sz w:val="27"/>
          <w:szCs w:val="27"/>
        </w:rPr>
        <w:t>(2014).</w:t>
      </w:r>
      <w:r w:rsidRPr="000E1CBC">
        <w:rPr>
          <w:rFonts w:ascii="Times New Roman" w:eastAsia="Times New Roman" w:hAnsi="Times New Roman" w:cs="Times New Roman"/>
          <w:color w:val="002060"/>
          <w:sz w:val="27"/>
        </w:rPr>
        <w:t> </w:t>
      </w:r>
      <w:proofErr w:type="spellStart"/>
      <w:r w:rsidRPr="000E1CBC">
        <w:rPr>
          <w:rFonts w:ascii="Times New Roman" w:eastAsia="Times New Roman" w:hAnsi="Times New Roman" w:cs="Times New Roman"/>
          <w:i/>
          <w:iCs/>
          <w:color w:val="002060"/>
          <w:sz w:val="27"/>
          <w:szCs w:val="27"/>
        </w:rPr>
        <w:t>theguardian</w:t>
      </w:r>
      <w:proofErr w:type="spellEnd"/>
      <w:r w:rsidRPr="000E1CBC">
        <w:rPr>
          <w:rFonts w:ascii="Times New Roman" w:eastAsia="Times New Roman" w:hAnsi="Times New Roman" w:cs="Times New Roman"/>
          <w:color w:val="002060"/>
          <w:sz w:val="27"/>
          <w:szCs w:val="27"/>
        </w:rPr>
        <w:t>.</w:t>
      </w:r>
      <w:proofErr w:type="gramEnd"/>
      <w:r w:rsidRPr="000E1CBC">
        <w:rPr>
          <w:rFonts w:ascii="Times New Roman" w:eastAsia="Times New Roman" w:hAnsi="Times New Roman" w:cs="Times New Roman"/>
          <w:color w:val="002060"/>
          <w:sz w:val="27"/>
          <w:szCs w:val="27"/>
        </w:rPr>
        <w:t xml:space="preserve"> [</w:t>
      </w:r>
      <w:proofErr w:type="gramStart"/>
      <w:r w:rsidRPr="000E1CBC">
        <w:rPr>
          <w:rFonts w:ascii="Times New Roman" w:eastAsia="Times New Roman" w:hAnsi="Times New Roman" w:cs="Times New Roman"/>
          <w:color w:val="002060"/>
          <w:sz w:val="27"/>
          <w:szCs w:val="27"/>
        </w:rPr>
        <w:t>online</w:t>
      </w:r>
      <w:proofErr w:type="gramEnd"/>
      <w:r w:rsidRPr="000E1CBC">
        <w:rPr>
          <w:rFonts w:ascii="Times New Roman" w:eastAsia="Times New Roman" w:hAnsi="Times New Roman" w:cs="Times New Roman"/>
          <w:color w:val="002060"/>
          <w:sz w:val="27"/>
          <w:szCs w:val="27"/>
        </w:rPr>
        <w:t>] Available at: https://www.theguardian.com/business/2014/aug/29/tesco-profit-warning-dividend-slashed-75-per -cent [Accessed 28 Dec. 2017].</w:t>
      </w:r>
    </w:p>
    <w:p w:rsidR="003C6E55" w:rsidRPr="000E1CBC" w:rsidRDefault="003C6E55" w:rsidP="00013EE2">
      <w:pPr>
        <w:widowControl w:val="0"/>
        <w:autoSpaceDE w:val="0"/>
        <w:autoSpaceDN w:val="0"/>
        <w:adjustRightInd w:val="0"/>
        <w:spacing w:line="360" w:lineRule="auto"/>
        <w:jc w:val="both"/>
        <w:rPr>
          <w:rFonts w:ascii="Times New Roman" w:hAnsi="Times New Roman" w:cs="Times New Roman"/>
          <w:color w:val="002060"/>
          <w:sz w:val="24"/>
          <w:szCs w:val="24"/>
        </w:rPr>
      </w:pPr>
      <w:r w:rsidRPr="000E1CBC">
        <w:rPr>
          <w:rFonts w:ascii="Times New Roman" w:hAnsi="Times New Roman" w:cs="Times New Roman"/>
          <w:color w:val="002060"/>
          <w:sz w:val="24"/>
          <w:szCs w:val="24"/>
        </w:rPr>
        <w:t xml:space="preserve">Weaver, D. (2005). </w:t>
      </w:r>
      <w:proofErr w:type="gramStart"/>
      <w:r w:rsidRPr="000E1CBC">
        <w:rPr>
          <w:rFonts w:ascii="Times New Roman" w:hAnsi="Times New Roman" w:cs="Times New Roman"/>
          <w:i/>
          <w:iCs/>
          <w:color w:val="002060"/>
          <w:sz w:val="24"/>
          <w:szCs w:val="24"/>
        </w:rPr>
        <w:t>Investment analysis</w:t>
      </w:r>
      <w:r w:rsidRPr="000E1CBC">
        <w:rPr>
          <w:rFonts w:ascii="Times New Roman" w:hAnsi="Times New Roman" w:cs="Times New Roman"/>
          <w:color w:val="002060"/>
          <w:sz w:val="24"/>
          <w:szCs w:val="24"/>
        </w:rPr>
        <w:t>.</w:t>
      </w:r>
      <w:proofErr w:type="gramEnd"/>
      <w:r w:rsidRPr="000E1CBC">
        <w:rPr>
          <w:rFonts w:ascii="Times New Roman" w:hAnsi="Times New Roman" w:cs="Times New Roman"/>
          <w:color w:val="002060"/>
          <w:sz w:val="24"/>
          <w:szCs w:val="24"/>
        </w:rPr>
        <w:t xml:space="preserve"> London: Longman [for] the Society of Investment Analysts.</w:t>
      </w:r>
    </w:p>
    <w:p w:rsidR="00E23BBE" w:rsidRPr="000E1CBC" w:rsidRDefault="00E23BBE">
      <w:pPr>
        <w:rPr>
          <w:rFonts w:ascii="Times New Roman" w:hAnsi="Times New Roman" w:cs="Times New Roman"/>
          <w:color w:val="002060"/>
          <w:sz w:val="24"/>
          <w:szCs w:val="24"/>
        </w:rPr>
      </w:pPr>
      <w:r w:rsidRPr="000E1CBC">
        <w:rPr>
          <w:rFonts w:ascii="Times New Roman" w:hAnsi="Times New Roman" w:cs="Times New Roman"/>
          <w:color w:val="002060"/>
          <w:sz w:val="24"/>
          <w:szCs w:val="24"/>
        </w:rPr>
        <w:br w:type="page"/>
      </w:r>
    </w:p>
    <w:p w:rsidR="00D23265" w:rsidRPr="00AB422B" w:rsidRDefault="00E23BBE" w:rsidP="00D23265">
      <w:pPr>
        <w:pStyle w:val="Heading1"/>
        <w:rPr>
          <w:color w:val="auto"/>
        </w:rPr>
      </w:pPr>
      <w:bookmarkStart w:id="21" w:name="_Toc502257277"/>
      <w:r w:rsidRPr="00AB422B">
        <w:rPr>
          <w:color w:val="auto"/>
        </w:rPr>
        <w:lastRenderedPageBreak/>
        <w:t>Appendix</w:t>
      </w:r>
      <w:bookmarkEnd w:id="21"/>
      <w:r w:rsidRPr="00AB422B">
        <w:rPr>
          <w:color w:val="auto"/>
        </w:rPr>
        <w:t xml:space="preserve"> </w:t>
      </w:r>
    </w:p>
    <w:p w:rsidR="00D23265" w:rsidRPr="00AB422B" w:rsidRDefault="00D23265" w:rsidP="00D23265"/>
    <w:p w:rsidR="00C34CC7" w:rsidRPr="00AB422B" w:rsidRDefault="00C34CC7" w:rsidP="00D23265"/>
    <w:p w:rsidR="00053B85" w:rsidRPr="00AB422B" w:rsidRDefault="00053B85" w:rsidP="00D23265"/>
    <w:p w:rsidR="00053B85" w:rsidRPr="00AB422B" w:rsidRDefault="00053B85" w:rsidP="00D23265"/>
    <w:tbl>
      <w:tblPr>
        <w:tblW w:w="7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82"/>
        <w:gridCol w:w="1176"/>
        <w:gridCol w:w="1176"/>
        <w:gridCol w:w="1176"/>
        <w:gridCol w:w="1176"/>
        <w:gridCol w:w="1176"/>
      </w:tblGrid>
      <w:tr w:rsidR="00053B85" w:rsidRPr="00AB422B" w:rsidTr="0025781E">
        <w:trPr>
          <w:trHeight w:val="300"/>
        </w:trPr>
        <w:tc>
          <w:tcPr>
            <w:tcW w:w="7725" w:type="dxa"/>
            <w:gridSpan w:val="6"/>
            <w:shd w:val="clear" w:color="000000" w:fill="FFFF00"/>
            <w:vAlign w:val="bottom"/>
            <w:hideMark/>
          </w:tcPr>
          <w:p w:rsidR="00053B85" w:rsidRPr="00AB422B" w:rsidRDefault="00053B85" w:rsidP="00116CF8">
            <w:pPr>
              <w:pStyle w:val="Heading2"/>
              <w:jc w:val="center"/>
              <w:rPr>
                <w:rFonts w:eastAsia="Times New Roman"/>
                <w:color w:val="auto"/>
              </w:rPr>
            </w:pPr>
            <w:bookmarkStart w:id="22" w:name="_Toc502257278"/>
            <w:r w:rsidRPr="00AB422B">
              <w:rPr>
                <w:rFonts w:eastAsia="Times New Roman"/>
                <w:color w:val="auto"/>
              </w:rPr>
              <w:t>Tesco plc</w:t>
            </w:r>
            <w:r w:rsidR="00116CF8" w:rsidRPr="00AB422B">
              <w:rPr>
                <w:rFonts w:eastAsia="Times New Roman"/>
                <w:color w:val="auto"/>
              </w:rPr>
              <w:t xml:space="preserve"> ratios analysis for a period of five years from 2102 to 2016</w:t>
            </w:r>
            <w:bookmarkEnd w:id="22"/>
          </w:p>
        </w:tc>
      </w:tr>
      <w:tr w:rsidR="00053B85" w:rsidRPr="00AB422B" w:rsidTr="0025781E">
        <w:trPr>
          <w:trHeight w:val="300"/>
        </w:trPr>
        <w:tc>
          <w:tcPr>
            <w:tcW w:w="3100"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 </w:t>
            </w:r>
          </w:p>
        </w:tc>
        <w:tc>
          <w:tcPr>
            <w:tcW w:w="925"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£,million</w:t>
            </w:r>
          </w:p>
        </w:tc>
        <w:tc>
          <w:tcPr>
            <w:tcW w:w="925"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£,million</w:t>
            </w:r>
          </w:p>
        </w:tc>
        <w:tc>
          <w:tcPr>
            <w:tcW w:w="925"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£,million</w:t>
            </w:r>
          </w:p>
        </w:tc>
        <w:tc>
          <w:tcPr>
            <w:tcW w:w="925"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£,million</w:t>
            </w:r>
          </w:p>
        </w:tc>
        <w:tc>
          <w:tcPr>
            <w:tcW w:w="925"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£,million</w:t>
            </w:r>
          </w:p>
        </w:tc>
      </w:tr>
      <w:tr w:rsidR="00053B85" w:rsidRPr="00AB422B" w:rsidTr="0025781E">
        <w:trPr>
          <w:trHeight w:val="300"/>
        </w:trPr>
        <w:tc>
          <w:tcPr>
            <w:tcW w:w="3100"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 </w:t>
            </w:r>
          </w:p>
        </w:tc>
        <w:tc>
          <w:tcPr>
            <w:tcW w:w="925" w:type="dxa"/>
            <w:shd w:val="clear" w:color="000000" w:fill="EEECE1"/>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2012</w:t>
            </w:r>
          </w:p>
        </w:tc>
        <w:tc>
          <w:tcPr>
            <w:tcW w:w="925" w:type="dxa"/>
            <w:shd w:val="clear" w:color="000000" w:fill="EEECE1"/>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2013</w:t>
            </w:r>
          </w:p>
        </w:tc>
        <w:tc>
          <w:tcPr>
            <w:tcW w:w="925" w:type="dxa"/>
            <w:shd w:val="clear" w:color="000000" w:fill="EEECE1"/>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2014</w:t>
            </w:r>
          </w:p>
        </w:tc>
        <w:tc>
          <w:tcPr>
            <w:tcW w:w="925" w:type="dxa"/>
            <w:shd w:val="clear" w:color="000000" w:fill="EEECE1"/>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2015</w:t>
            </w:r>
          </w:p>
        </w:tc>
        <w:tc>
          <w:tcPr>
            <w:tcW w:w="925" w:type="dxa"/>
            <w:shd w:val="clear" w:color="000000" w:fill="EEECE1"/>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2016</w:t>
            </w:r>
          </w:p>
        </w:tc>
      </w:tr>
      <w:tr w:rsidR="00053B85" w:rsidRPr="00AB422B" w:rsidTr="0025781E">
        <w:trPr>
          <w:trHeight w:val="300"/>
        </w:trPr>
        <w:tc>
          <w:tcPr>
            <w:tcW w:w="3100"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 xml:space="preserve">Gross profit </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4014</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4,089</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4,010</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-2,112</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2,854</w:t>
            </w:r>
          </w:p>
        </w:tc>
      </w:tr>
      <w:tr w:rsidR="00053B85" w:rsidRPr="00AB422B" w:rsidTr="0025781E">
        <w:trPr>
          <w:trHeight w:val="300"/>
        </w:trPr>
        <w:tc>
          <w:tcPr>
            <w:tcW w:w="3100"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Total revenue earned</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62457</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64,826</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63,557</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62,284</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54,433</w:t>
            </w:r>
          </w:p>
        </w:tc>
      </w:tr>
      <w:tr w:rsidR="00053B85" w:rsidRPr="00AB422B" w:rsidTr="0025781E">
        <w:trPr>
          <w:trHeight w:val="300"/>
        </w:trPr>
        <w:tc>
          <w:tcPr>
            <w:tcW w:w="3100"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Net profit/PBT(profit before tax)</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27.2</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4235</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974</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-5,741</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138</w:t>
            </w:r>
          </w:p>
        </w:tc>
      </w:tr>
      <w:tr w:rsidR="00053B85" w:rsidRPr="00AB422B" w:rsidTr="0025781E">
        <w:trPr>
          <w:trHeight w:val="300"/>
        </w:trPr>
        <w:tc>
          <w:tcPr>
            <w:tcW w:w="3100"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Current asset</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12054</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bCs/>
                <w:sz w:val="24"/>
                <w:szCs w:val="24"/>
              </w:rPr>
            </w:pPr>
            <w:r w:rsidRPr="00AB422B">
              <w:rPr>
                <w:rFonts w:ascii="Times New Roman" w:eastAsia="Times New Roman" w:hAnsi="Times New Roman" w:cs="Times New Roman"/>
                <w:bCs/>
                <w:sz w:val="24"/>
                <w:szCs w:val="24"/>
              </w:rPr>
              <w:t>13,096</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bCs/>
                <w:sz w:val="24"/>
                <w:szCs w:val="24"/>
              </w:rPr>
            </w:pPr>
            <w:r w:rsidRPr="00AB422B">
              <w:rPr>
                <w:rFonts w:ascii="Times New Roman" w:eastAsia="Times New Roman" w:hAnsi="Times New Roman" w:cs="Times New Roman"/>
                <w:bCs/>
                <w:sz w:val="24"/>
                <w:szCs w:val="24"/>
              </w:rPr>
              <w:t>15,572</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bCs/>
                <w:sz w:val="24"/>
                <w:szCs w:val="24"/>
              </w:rPr>
            </w:pPr>
            <w:r w:rsidRPr="00AB422B">
              <w:rPr>
                <w:rFonts w:ascii="Times New Roman" w:eastAsia="Times New Roman" w:hAnsi="Times New Roman" w:cs="Times New Roman"/>
                <w:bCs/>
                <w:sz w:val="24"/>
                <w:szCs w:val="24"/>
              </w:rPr>
              <w:t>11,958</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bCs/>
                <w:sz w:val="24"/>
                <w:szCs w:val="24"/>
              </w:rPr>
            </w:pPr>
            <w:r w:rsidRPr="00AB422B">
              <w:rPr>
                <w:rFonts w:ascii="Times New Roman" w:eastAsia="Times New Roman" w:hAnsi="Times New Roman" w:cs="Times New Roman"/>
                <w:bCs/>
                <w:sz w:val="24"/>
                <w:szCs w:val="24"/>
              </w:rPr>
              <w:t>14,828</w:t>
            </w:r>
          </w:p>
        </w:tc>
      </w:tr>
      <w:tr w:rsidR="00053B85" w:rsidRPr="00AB422B" w:rsidTr="0025781E">
        <w:trPr>
          <w:trHeight w:val="300"/>
        </w:trPr>
        <w:tc>
          <w:tcPr>
            <w:tcW w:w="3100"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Current liability</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17,258</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bCs/>
                <w:sz w:val="24"/>
                <w:szCs w:val="24"/>
              </w:rPr>
            </w:pPr>
            <w:r w:rsidRPr="00AB422B">
              <w:rPr>
                <w:rFonts w:ascii="Times New Roman" w:eastAsia="Times New Roman" w:hAnsi="Times New Roman" w:cs="Times New Roman"/>
                <w:bCs/>
                <w:sz w:val="24"/>
                <w:szCs w:val="24"/>
              </w:rPr>
              <w:t>18,985</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bCs/>
                <w:sz w:val="24"/>
                <w:szCs w:val="24"/>
              </w:rPr>
            </w:pPr>
            <w:r w:rsidRPr="00AB422B">
              <w:rPr>
                <w:rFonts w:ascii="Times New Roman" w:eastAsia="Times New Roman" w:hAnsi="Times New Roman" w:cs="Times New Roman"/>
                <w:bCs/>
                <w:sz w:val="24"/>
                <w:szCs w:val="24"/>
              </w:rPr>
              <w:t>21,399</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bCs/>
                <w:sz w:val="24"/>
                <w:szCs w:val="24"/>
              </w:rPr>
            </w:pPr>
            <w:r w:rsidRPr="00AB422B">
              <w:rPr>
                <w:rFonts w:ascii="Times New Roman" w:eastAsia="Times New Roman" w:hAnsi="Times New Roman" w:cs="Times New Roman"/>
                <w:bCs/>
                <w:sz w:val="24"/>
                <w:szCs w:val="24"/>
              </w:rPr>
              <w:t>19,810</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bCs/>
                <w:sz w:val="24"/>
                <w:szCs w:val="24"/>
              </w:rPr>
            </w:pPr>
            <w:r w:rsidRPr="00AB422B">
              <w:rPr>
                <w:rFonts w:ascii="Times New Roman" w:eastAsia="Times New Roman" w:hAnsi="Times New Roman" w:cs="Times New Roman"/>
                <w:bCs/>
                <w:sz w:val="24"/>
                <w:szCs w:val="24"/>
              </w:rPr>
              <w:t>19,714</w:t>
            </w:r>
          </w:p>
        </w:tc>
      </w:tr>
      <w:tr w:rsidR="00053B85" w:rsidRPr="00AB422B" w:rsidTr="0025781E">
        <w:trPr>
          <w:trHeight w:val="300"/>
        </w:trPr>
        <w:tc>
          <w:tcPr>
            <w:tcW w:w="3100"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Average Inventory holding</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14.9</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3,744</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3,576</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2,957</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2,430</w:t>
            </w:r>
          </w:p>
        </w:tc>
      </w:tr>
      <w:tr w:rsidR="00053B85" w:rsidRPr="00AB422B" w:rsidTr="0025781E">
        <w:trPr>
          <w:trHeight w:val="300"/>
        </w:trPr>
        <w:tc>
          <w:tcPr>
            <w:tcW w:w="3100"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share capital</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1245</w:t>
            </w:r>
          </w:p>
        </w:tc>
        <w:tc>
          <w:tcPr>
            <w:tcW w:w="925" w:type="dxa"/>
            <w:shd w:val="clear" w:color="auto" w:fill="auto"/>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1,528</w:t>
            </w:r>
          </w:p>
        </w:tc>
        <w:tc>
          <w:tcPr>
            <w:tcW w:w="925" w:type="dxa"/>
            <w:shd w:val="clear" w:color="auto" w:fill="auto"/>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1,912</w:t>
            </w:r>
          </w:p>
        </w:tc>
        <w:tc>
          <w:tcPr>
            <w:tcW w:w="925" w:type="dxa"/>
            <w:shd w:val="clear" w:color="auto" w:fill="auto"/>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-5,664</w:t>
            </w:r>
          </w:p>
        </w:tc>
        <w:tc>
          <w:tcPr>
            <w:tcW w:w="925" w:type="dxa"/>
            <w:shd w:val="clear" w:color="auto" w:fill="auto"/>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256</w:t>
            </w:r>
          </w:p>
        </w:tc>
      </w:tr>
      <w:tr w:rsidR="00053B85" w:rsidRPr="00AB422B" w:rsidTr="0025781E">
        <w:trPr>
          <w:trHeight w:val="300"/>
        </w:trPr>
        <w:tc>
          <w:tcPr>
            <w:tcW w:w="3100"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 xml:space="preserve">Retained </w:t>
            </w:r>
            <w:proofErr w:type="spellStart"/>
            <w:r w:rsidRPr="00AB422B">
              <w:rPr>
                <w:rFonts w:ascii="Times New Roman" w:eastAsia="Times New Roman" w:hAnsi="Times New Roman" w:cs="Times New Roman"/>
                <w:sz w:val="24"/>
                <w:szCs w:val="24"/>
              </w:rPr>
              <w:t>earnning</w:t>
            </w:r>
            <w:proofErr w:type="spellEnd"/>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10521</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10,535</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9,728</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1,985</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3,265</w:t>
            </w:r>
          </w:p>
        </w:tc>
      </w:tr>
      <w:tr w:rsidR="00053B85" w:rsidRPr="00AB422B" w:rsidTr="0025781E">
        <w:trPr>
          <w:trHeight w:val="300"/>
        </w:trPr>
        <w:tc>
          <w:tcPr>
            <w:tcW w:w="3100"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long term liabilities</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13402</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bCs/>
                <w:sz w:val="24"/>
                <w:szCs w:val="24"/>
              </w:rPr>
            </w:pPr>
            <w:r w:rsidRPr="00AB422B">
              <w:rPr>
                <w:rFonts w:ascii="Times New Roman" w:eastAsia="Times New Roman" w:hAnsi="Times New Roman" w:cs="Times New Roman"/>
                <w:bCs/>
                <w:sz w:val="24"/>
                <w:szCs w:val="24"/>
              </w:rPr>
              <w:t>14,501</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bCs/>
                <w:sz w:val="24"/>
                <w:szCs w:val="24"/>
              </w:rPr>
            </w:pPr>
            <w:r w:rsidRPr="00AB422B">
              <w:rPr>
                <w:rFonts w:ascii="Times New Roman" w:eastAsia="Times New Roman" w:hAnsi="Times New Roman" w:cs="Times New Roman"/>
                <w:bCs/>
                <w:sz w:val="24"/>
                <w:szCs w:val="24"/>
              </w:rPr>
              <w:t>14,050</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bCs/>
                <w:sz w:val="24"/>
                <w:szCs w:val="24"/>
              </w:rPr>
            </w:pPr>
            <w:r w:rsidRPr="00AB422B">
              <w:rPr>
                <w:rFonts w:ascii="Times New Roman" w:eastAsia="Times New Roman" w:hAnsi="Times New Roman" w:cs="Times New Roman"/>
                <w:bCs/>
                <w:sz w:val="24"/>
                <w:szCs w:val="24"/>
              </w:rPr>
              <w:t>17,333</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bCs/>
                <w:sz w:val="24"/>
                <w:szCs w:val="24"/>
              </w:rPr>
            </w:pPr>
            <w:r w:rsidRPr="00AB422B">
              <w:rPr>
                <w:rFonts w:ascii="Times New Roman" w:eastAsia="Times New Roman" w:hAnsi="Times New Roman" w:cs="Times New Roman"/>
                <w:bCs/>
                <w:sz w:val="24"/>
                <w:szCs w:val="24"/>
              </w:rPr>
              <w:t>15,564</w:t>
            </w:r>
          </w:p>
        </w:tc>
      </w:tr>
      <w:tr w:rsidR="00053B85" w:rsidRPr="00AB422B" w:rsidTr="0025781E">
        <w:trPr>
          <w:trHeight w:val="300"/>
        </w:trPr>
        <w:tc>
          <w:tcPr>
            <w:tcW w:w="3100"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capital employed</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25,168.00</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26,564.00</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25,690.00</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13,654.00</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19,085.00</w:t>
            </w:r>
          </w:p>
        </w:tc>
      </w:tr>
      <w:tr w:rsidR="00053B85" w:rsidRPr="00AB422B" w:rsidTr="0025781E">
        <w:trPr>
          <w:trHeight w:val="300"/>
        </w:trPr>
        <w:tc>
          <w:tcPr>
            <w:tcW w:w="3100"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Total average asset</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47125</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bCs/>
                <w:sz w:val="24"/>
                <w:szCs w:val="24"/>
              </w:rPr>
            </w:pPr>
            <w:r w:rsidRPr="00AB422B">
              <w:rPr>
                <w:rFonts w:ascii="Times New Roman" w:eastAsia="Times New Roman" w:hAnsi="Times New Roman" w:cs="Times New Roman"/>
                <w:bCs/>
                <w:sz w:val="24"/>
                <w:szCs w:val="24"/>
              </w:rPr>
              <w:t>50,129</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bCs/>
                <w:sz w:val="24"/>
                <w:szCs w:val="24"/>
              </w:rPr>
            </w:pPr>
            <w:r w:rsidRPr="00AB422B">
              <w:rPr>
                <w:rFonts w:ascii="Times New Roman" w:eastAsia="Times New Roman" w:hAnsi="Times New Roman" w:cs="Times New Roman"/>
                <w:bCs/>
                <w:sz w:val="24"/>
                <w:szCs w:val="24"/>
              </w:rPr>
              <w:t>50,164</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bCs/>
                <w:sz w:val="24"/>
                <w:szCs w:val="24"/>
              </w:rPr>
            </w:pPr>
            <w:r w:rsidRPr="00AB422B">
              <w:rPr>
                <w:rFonts w:ascii="Times New Roman" w:eastAsia="Times New Roman" w:hAnsi="Times New Roman" w:cs="Times New Roman"/>
                <w:bCs/>
                <w:sz w:val="24"/>
                <w:szCs w:val="24"/>
              </w:rPr>
              <w:t>44,214</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bCs/>
                <w:sz w:val="24"/>
                <w:szCs w:val="24"/>
              </w:rPr>
            </w:pPr>
            <w:r w:rsidRPr="00AB422B">
              <w:rPr>
                <w:rFonts w:ascii="Times New Roman" w:eastAsia="Times New Roman" w:hAnsi="Times New Roman" w:cs="Times New Roman"/>
                <w:bCs/>
                <w:sz w:val="24"/>
                <w:szCs w:val="24"/>
              </w:rPr>
              <w:t>43,904</w:t>
            </w:r>
          </w:p>
        </w:tc>
      </w:tr>
      <w:tr w:rsidR="00053B85" w:rsidRPr="00AB422B" w:rsidTr="0025781E">
        <w:trPr>
          <w:trHeight w:val="300"/>
        </w:trPr>
        <w:tc>
          <w:tcPr>
            <w:tcW w:w="3100"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EBIT</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3815</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2,188</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2,631</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1,012</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1,600</w:t>
            </w:r>
          </w:p>
        </w:tc>
      </w:tr>
      <w:tr w:rsidR="00053B85" w:rsidRPr="00AB422B" w:rsidTr="0025781E">
        <w:trPr>
          <w:trHeight w:val="300"/>
        </w:trPr>
        <w:tc>
          <w:tcPr>
            <w:tcW w:w="3100"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interest expense</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375</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415</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564</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-87</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994</w:t>
            </w:r>
          </w:p>
        </w:tc>
      </w:tr>
      <w:tr w:rsidR="00053B85" w:rsidRPr="00AB422B" w:rsidTr="0025781E">
        <w:trPr>
          <w:trHeight w:val="300"/>
        </w:trPr>
        <w:tc>
          <w:tcPr>
            <w:tcW w:w="3100"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 </w:t>
            </w:r>
          </w:p>
        </w:tc>
        <w:tc>
          <w:tcPr>
            <w:tcW w:w="925" w:type="dxa"/>
            <w:shd w:val="clear" w:color="000000" w:fill="EEECE1"/>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2012</w:t>
            </w:r>
          </w:p>
        </w:tc>
        <w:tc>
          <w:tcPr>
            <w:tcW w:w="925" w:type="dxa"/>
            <w:shd w:val="clear" w:color="000000" w:fill="EEECE1"/>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2013</w:t>
            </w:r>
          </w:p>
        </w:tc>
        <w:tc>
          <w:tcPr>
            <w:tcW w:w="925" w:type="dxa"/>
            <w:shd w:val="clear" w:color="000000" w:fill="EEECE1"/>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2014</w:t>
            </w:r>
          </w:p>
        </w:tc>
        <w:tc>
          <w:tcPr>
            <w:tcW w:w="925" w:type="dxa"/>
            <w:shd w:val="clear" w:color="000000" w:fill="EEECE1"/>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2015</w:t>
            </w:r>
          </w:p>
        </w:tc>
        <w:tc>
          <w:tcPr>
            <w:tcW w:w="925" w:type="dxa"/>
            <w:shd w:val="clear" w:color="000000" w:fill="EEECE1"/>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2016</w:t>
            </w:r>
          </w:p>
        </w:tc>
      </w:tr>
      <w:tr w:rsidR="00053B85" w:rsidRPr="00AB422B" w:rsidTr="0025781E">
        <w:trPr>
          <w:trHeight w:val="300"/>
        </w:trPr>
        <w:tc>
          <w:tcPr>
            <w:tcW w:w="7725" w:type="dxa"/>
            <w:gridSpan w:val="6"/>
            <w:shd w:val="clear" w:color="000000" w:fill="FFFF00"/>
            <w:noWrap/>
            <w:vAlign w:val="bottom"/>
            <w:hideMark/>
          </w:tcPr>
          <w:p w:rsidR="00053B85" w:rsidRPr="00AB422B" w:rsidRDefault="00053B85" w:rsidP="00053B85">
            <w:pPr>
              <w:spacing w:after="0" w:line="360" w:lineRule="auto"/>
              <w:jc w:val="center"/>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Profitability Ratios</w:t>
            </w:r>
          </w:p>
        </w:tc>
      </w:tr>
      <w:tr w:rsidR="00053B85" w:rsidRPr="00AB422B" w:rsidTr="0025781E">
        <w:trPr>
          <w:trHeight w:val="2445"/>
        </w:trPr>
        <w:tc>
          <w:tcPr>
            <w:tcW w:w="3100" w:type="dxa"/>
            <w:shd w:val="clear" w:color="auto" w:fill="auto"/>
            <w:vAlign w:val="bottom"/>
            <w:hideMark/>
          </w:tcPr>
          <w:p w:rsidR="00053B85" w:rsidRPr="00AB422B" w:rsidRDefault="00053B85" w:rsidP="00053B85">
            <w:pPr>
              <w:spacing w:after="0" w:line="360" w:lineRule="auto"/>
              <w:rPr>
                <w:rFonts w:ascii="Times New Roman" w:eastAsia="Times New Roman" w:hAnsi="Times New Roman" w:cs="Times New Roman"/>
                <w:bCs/>
                <w:i/>
                <w:iCs/>
                <w:sz w:val="24"/>
                <w:szCs w:val="24"/>
              </w:rPr>
            </w:pPr>
            <w:r w:rsidRPr="00AB422B">
              <w:rPr>
                <w:rFonts w:ascii="Times New Roman" w:eastAsia="Times New Roman" w:hAnsi="Times New Roman" w:cs="Times New Roman"/>
                <w:bCs/>
                <w:i/>
                <w:iCs/>
                <w:sz w:val="24"/>
                <w:szCs w:val="24"/>
              </w:rPr>
              <w:lastRenderedPageBreak/>
              <w:t>Gross profit margin</w:t>
            </w:r>
            <w:r w:rsidRPr="00AB422B">
              <w:rPr>
                <w:rFonts w:ascii="Times New Roman" w:eastAsia="Times New Roman" w:hAnsi="Times New Roman" w:cs="Times New Roman"/>
                <w:sz w:val="24"/>
                <w:szCs w:val="24"/>
              </w:rPr>
              <w:t xml:space="preserve"> ([Gross profit /Net sales]*100) </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6.02%</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6.55%</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6.31%</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-3.39%</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5.26%</w:t>
            </w:r>
          </w:p>
        </w:tc>
      </w:tr>
      <w:tr w:rsidR="00053B85" w:rsidRPr="00AB422B" w:rsidTr="0025781E">
        <w:trPr>
          <w:trHeight w:val="945"/>
        </w:trPr>
        <w:tc>
          <w:tcPr>
            <w:tcW w:w="3100" w:type="dxa"/>
            <w:shd w:val="clear" w:color="auto" w:fill="auto"/>
            <w:vAlign w:val="bottom"/>
            <w:hideMark/>
          </w:tcPr>
          <w:p w:rsidR="00053B85" w:rsidRPr="00AB422B" w:rsidRDefault="00053B85" w:rsidP="00053B85">
            <w:pPr>
              <w:spacing w:after="0" w:line="360" w:lineRule="auto"/>
              <w:rPr>
                <w:rFonts w:ascii="Times New Roman" w:eastAsia="Times New Roman" w:hAnsi="Times New Roman" w:cs="Times New Roman"/>
                <w:bCs/>
                <w:i/>
                <w:iCs/>
                <w:sz w:val="24"/>
                <w:szCs w:val="24"/>
              </w:rPr>
            </w:pPr>
            <w:r w:rsidRPr="00AB422B">
              <w:rPr>
                <w:rFonts w:ascii="Times New Roman" w:eastAsia="Times New Roman" w:hAnsi="Times New Roman" w:cs="Times New Roman"/>
                <w:bCs/>
                <w:i/>
                <w:iCs/>
                <w:sz w:val="24"/>
                <w:szCs w:val="24"/>
              </w:rPr>
              <w:t xml:space="preserve">net profit margin </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4.35%</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0.19%</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1.53%</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-9.22%</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0.25%</w:t>
            </w:r>
          </w:p>
        </w:tc>
      </w:tr>
      <w:tr w:rsidR="00053B85" w:rsidRPr="00AB422B" w:rsidTr="0025781E">
        <w:trPr>
          <w:trHeight w:val="2415"/>
        </w:trPr>
        <w:tc>
          <w:tcPr>
            <w:tcW w:w="3100" w:type="dxa"/>
            <w:shd w:val="clear" w:color="auto" w:fill="auto"/>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bCs/>
                <w:sz w:val="24"/>
                <w:szCs w:val="24"/>
              </w:rPr>
              <w:t>Operating Profit margin</w:t>
            </w:r>
            <w:r w:rsidRPr="00AB422B">
              <w:rPr>
                <w:rFonts w:ascii="Times New Roman" w:eastAsia="Times New Roman" w:hAnsi="Times New Roman" w:cs="Times New Roman"/>
                <w:sz w:val="24"/>
                <w:szCs w:val="24"/>
              </w:rPr>
              <w:t xml:space="preserve"> (Operating profit or EBIT/Net sales): </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6.54%</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3.76%</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4.14%</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-9.30%</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1.99%</w:t>
            </w:r>
          </w:p>
        </w:tc>
      </w:tr>
      <w:tr w:rsidR="00053B85" w:rsidRPr="00AB422B" w:rsidTr="0025781E">
        <w:trPr>
          <w:trHeight w:val="600"/>
        </w:trPr>
        <w:tc>
          <w:tcPr>
            <w:tcW w:w="7725" w:type="dxa"/>
            <w:gridSpan w:val="6"/>
            <w:shd w:val="clear" w:color="000000" w:fill="FFFF00"/>
            <w:vAlign w:val="bottom"/>
            <w:hideMark/>
          </w:tcPr>
          <w:p w:rsidR="00053B85" w:rsidRPr="00AB422B" w:rsidRDefault="00053B85" w:rsidP="00053B85">
            <w:pPr>
              <w:spacing w:after="0" w:line="360" w:lineRule="auto"/>
              <w:jc w:val="center"/>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Liquidity ratio</w:t>
            </w:r>
          </w:p>
        </w:tc>
      </w:tr>
      <w:tr w:rsidR="00053B85" w:rsidRPr="00AB422B" w:rsidTr="0025781E">
        <w:trPr>
          <w:trHeight w:val="2100"/>
        </w:trPr>
        <w:tc>
          <w:tcPr>
            <w:tcW w:w="3100" w:type="dxa"/>
            <w:shd w:val="clear" w:color="auto" w:fill="auto"/>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bCs/>
                <w:sz w:val="24"/>
                <w:szCs w:val="24"/>
              </w:rPr>
              <w:t>Current Ratio</w:t>
            </w:r>
            <w:r w:rsidRPr="00AB422B">
              <w:rPr>
                <w:rFonts w:ascii="Times New Roman" w:eastAsia="Times New Roman" w:hAnsi="Times New Roman" w:cs="Times New Roman"/>
                <w:sz w:val="24"/>
                <w:szCs w:val="24"/>
              </w:rPr>
              <w:t xml:space="preserve"> ([Current asset/Current liability]*100): </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0.67</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0.70</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0.77</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0.60</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0.75</w:t>
            </w:r>
          </w:p>
        </w:tc>
      </w:tr>
      <w:tr w:rsidR="00053B85" w:rsidRPr="00AB422B" w:rsidTr="0025781E">
        <w:trPr>
          <w:trHeight w:val="2730"/>
        </w:trPr>
        <w:tc>
          <w:tcPr>
            <w:tcW w:w="3100" w:type="dxa"/>
            <w:shd w:val="clear" w:color="auto" w:fill="auto"/>
            <w:vAlign w:val="bottom"/>
            <w:hideMark/>
          </w:tcPr>
          <w:p w:rsidR="00053B85" w:rsidRPr="00AB422B" w:rsidRDefault="00053B85" w:rsidP="00053B85">
            <w:pPr>
              <w:spacing w:after="0" w:line="360" w:lineRule="auto"/>
              <w:rPr>
                <w:rFonts w:ascii="Times New Roman" w:eastAsia="Times New Roman" w:hAnsi="Times New Roman" w:cs="Times New Roman"/>
                <w:bCs/>
                <w:sz w:val="24"/>
                <w:szCs w:val="24"/>
              </w:rPr>
            </w:pPr>
            <w:r w:rsidRPr="00AB422B">
              <w:rPr>
                <w:rFonts w:ascii="Times New Roman" w:eastAsia="Times New Roman" w:hAnsi="Times New Roman" w:cs="Times New Roman"/>
                <w:bCs/>
                <w:sz w:val="24"/>
                <w:szCs w:val="24"/>
              </w:rPr>
              <w:t>Quick Ratio</w:t>
            </w:r>
            <w:r w:rsidRPr="00AB422B">
              <w:rPr>
                <w:rFonts w:ascii="Times New Roman" w:eastAsia="Times New Roman" w:hAnsi="Times New Roman" w:cs="Times New Roman"/>
                <w:sz w:val="24"/>
                <w:szCs w:val="24"/>
              </w:rPr>
              <w:t xml:space="preserve"> ([Current asset-Inventories]/ Current liability*100) </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0.67</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0.5002</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0.5937</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0.4545</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0.59</w:t>
            </w:r>
          </w:p>
        </w:tc>
      </w:tr>
      <w:tr w:rsidR="00053B85" w:rsidRPr="00AB422B" w:rsidTr="0025781E">
        <w:trPr>
          <w:trHeight w:val="630"/>
        </w:trPr>
        <w:tc>
          <w:tcPr>
            <w:tcW w:w="3100" w:type="dxa"/>
            <w:shd w:val="clear" w:color="000000" w:fill="FFFF00"/>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Efficiency ratio</w:t>
            </w:r>
          </w:p>
        </w:tc>
        <w:tc>
          <w:tcPr>
            <w:tcW w:w="925"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 </w:t>
            </w:r>
          </w:p>
        </w:tc>
        <w:tc>
          <w:tcPr>
            <w:tcW w:w="925"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 </w:t>
            </w:r>
          </w:p>
        </w:tc>
        <w:tc>
          <w:tcPr>
            <w:tcW w:w="925"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 </w:t>
            </w:r>
          </w:p>
        </w:tc>
        <w:tc>
          <w:tcPr>
            <w:tcW w:w="925"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 </w:t>
            </w:r>
          </w:p>
        </w:tc>
        <w:tc>
          <w:tcPr>
            <w:tcW w:w="925" w:type="dxa"/>
            <w:shd w:val="clear" w:color="auto" w:fill="auto"/>
            <w:noWrap/>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 </w:t>
            </w:r>
          </w:p>
        </w:tc>
      </w:tr>
      <w:tr w:rsidR="00053B85" w:rsidRPr="00AB422B" w:rsidTr="0025781E">
        <w:trPr>
          <w:trHeight w:val="2535"/>
        </w:trPr>
        <w:tc>
          <w:tcPr>
            <w:tcW w:w="3100" w:type="dxa"/>
            <w:shd w:val="clear" w:color="auto" w:fill="auto"/>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lastRenderedPageBreak/>
              <w:t>Return on capital employed(ROCE)[EBIT/capital employed]</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15.17%</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8.22%</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11%</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7.08%</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8.01%</w:t>
            </w:r>
          </w:p>
        </w:tc>
      </w:tr>
      <w:tr w:rsidR="00053B85" w:rsidRPr="00AB422B" w:rsidTr="0025781E">
        <w:trPr>
          <w:trHeight w:val="3165"/>
        </w:trPr>
        <w:tc>
          <w:tcPr>
            <w:tcW w:w="3100" w:type="dxa"/>
            <w:shd w:val="clear" w:color="auto" w:fill="auto"/>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Total asset turnover ratio(net sales or revenue/Total average asset)</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1.32</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1.28</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1.27</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1.32</w:t>
            </w:r>
          </w:p>
        </w:tc>
        <w:tc>
          <w:tcPr>
            <w:tcW w:w="925" w:type="dxa"/>
            <w:shd w:val="clear" w:color="auto" w:fill="auto"/>
            <w:noWrap/>
            <w:vAlign w:val="bottom"/>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1.24</w:t>
            </w:r>
          </w:p>
        </w:tc>
      </w:tr>
      <w:tr w:rsidR="00053B85" w:rsidRPr="00AB422B" w:rsidTr="0025781E">
        <w:trPr>
          <w:trHeight w:val="645"/>
        </w:trPr>
        <w:tc>
          <w:tcPr>
            <w:tcW w:w="7725" w:type="dxa"/>
            <w:gridSpan w:val="6"/>
            <w:shd w:val="clear" w:color="000000" w:fill="FFFF00"/>
            <w:vAlign w:val="bottom"/>
            <w:hideMark/>
          </w:tcPr>
          <w:p w:rsidR="00053B85" w:rsidRPr="00AB422B" w:rsidRDefault="00053B85" w:rsidP="00053B85">
            <w:pPr>
              <w:spacing w:after="0" w:line="360" w:lineRule="auto"/>
              <w:jc w:val="center"/>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Gearing Ratio</w:t>
            </w:r>
          </w:p>
        </w:tc>
      </w:tr>
      <w:tr w:rsidR="00053B85" w:rsidRPr="00AB422B" w:rsidTr="0025781E">
        <w:trPr>
          <w:trHeight w:val="2850"/>
        </w:trPr>
        <w:tc>
          <w:tcPr>
            <w:tcW w:w="3100" w:type="dxa"/>
            <w:shd w:val="clear" w:color="auto" w:fill="auto"/>
            <w:vAlign w:val="bottom"/>
            <w:hideMark/>
          </w:tcPr>
          <w:p w:rsidR="00053B85" w:rsidRPr="00AB422B" w:rsidRDefault="00053B85" w:rsidP="00053B85">
            <w:pPr>
              <w:spacing w:after="0" w:line="36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interest coverage(earnings before interest and tax/interest expense)</w:t>
            </w:r>
          </w:p>
        </w:tc>
        <w:tc>
          <w:tcPr>
            <w:tcW w:w="925" w:type="dxa"/>
            <w:shd w:val="clear" w:color="auto" w:fill="auto"/>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10.2</w:t>
            </w:r>
          </w:p>
        </w:tc>
        <w:tc>
          <w:tcPr>
            <w:tcW w:w="925" w:type="dxa"/>
            <w:shd w:val="clear" w:color="auto" w:fill="auto"/>
            <w:noWrap/>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5.4</w:t>
            </w:r>
          </w:p>
        </w:tc>
        <w:tc>
          <w:tcPr>
            <w:tcW w:w="925" w:type="dxa"/>
            <w:shd w:val="clear" w:color="auto" w:fill="auto"/>
            <w:noWrap/>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6.05</w:t>
            </w:r>
          </w:p>
        </w:tc>
        <w:tc>
          <w:tcPr>
            <w:tcW w:w="925" w:type="dxa"/>
            <w:shd w:val="clear" w:color="auto" w:fill="auto"/>
            <w:noWrap/>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-11.78</w:t>
            </w:r>
          </w:p>
        </w:tc>
        <w:tc>
          <w:tcPr>
            <w:tcW w:w="925" w:type="dxa"/>
            <w:shd w:val="clear" w:color="auto" w:fill="auto"/>
            <w:hideMark/>
          </w:tcPr>
          <w:p w:rsidR="00053B85" w:rsidRPr="00AB422B" w:rsidRDefault="00053B85" w:rsidP="00053B85">
            <w:pPr>
              <w:spacing w:after="0" w:line="36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1.33</w:t>
            </w:r>
          </w:p>
        </w:tc>
      </w:tr>
    </w:tbl>
    <w:p w:rsidR="00053B85" w:rsidRPr="00AB422B" w:rsidRDefault="00053B85" w:rsidP="00D23265"/>
    <w:tbl>
      <w:tblPr>
        <w:tblW w:w="9199" w:type="dxa"/>
        <w:tblInd w:w="89" w:type="dxa"/>
        <w:tblLook w:val="04A0"/>
      </w:tblPr>
      <w:tblGrid>
        <w:gridCol w:w="3282"/>
        <w:gridCol w:w="1107"/>
        <w:gridCol w:w="1107"/>
        <w:gridCol w:w="1107"/>
        <w:gridCol w:w="1107"/>
        <w:gridCol w:w="1489"/>
      </w:tblGrid>
      <w:tr w:rsidR="005801FF" w:rsidRPr="00AB422B" w:rsidTr="00D9394F">
        <w:trPr>
          <w:trHeight w:val="300"/>
        </w:trPr>
        <w:tc>
          <w:tcPr>
            <w:tcW w:w="9199" w:type="dxa"/>
            <w:gridSpan w:val="6"/>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5801FF" w:rsidRPr="00AB422B" w:rsidRDefault="005801FF" w:rsidP="00D9394F">
            <w:pPr>
              <w:pStyle w:val="Heading2"/>
              <w:rPr>
                <w:rFonts w:ascii="Calibri" w:eastAsia="Times New Roman" w:hAnsi="Calibri" w:cs="Times New Roman"/>
                <w:color w:val="auto"/>
              </w:rPr>
            </w:pPr>
            <w:bookmarkStart w:id="23" w:name="_Toc502257279"/>
            <w:r w:rsidRPr="00AB422B">
              <w:rPr>
                <w:color w:val="auto"/>
              </w:rPr>
              <w:t xml:space="preserve">SAINSBURY PLC </w:t>
            </w:r>
            <w:r w:rsidR="00116CF8" w:rsidRPr="00AB422B">
              <w:rPr>
                <w:color w:val="auto"/>
              </w:rPr>
              <w:t>ratios</w:t>
            </w:r>
            <w:r w:rsidR="00116CF8" w:rsidRPr="00AB422B">
              <w:rPr>
                <w:rFonts w:eastAsia="Times New Roman"/>
                <w:color w:val="auto"/>
              </w:rPr>
              <w:t xml:space="preserve"> analysis for a period of five years from 2102 to 2016</w:t>
            </w:r>
            <w:bookmarkEnd w:id="23"/>
          </w:p>
        </w:tc>
      </w:tr>
      <w:tr w:rsidR="005801FF" w:rsidRPr="00AB422B" w:rsidTr="00D9394F">
        <w:trPr>
          <w:trHeight w:val="300"/>
        </w:trPr>
        <w:tc>
          <w:tcPr>
            <w:tcW w:w="3282" w:type="dxa"/>
            <w:tcBorders>
              <w:top w:val="nil"/>
              <w:left w:val="single" w:sz="4" w:space="0" w:color="auto"/>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 </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£,million</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£,million</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£,million</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£,million</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£,million</w:t>
            </w:r>
          </w:p>
        </w:tc>
      </w:tr>
      <w:tr w:rsidR="005801FF" w:rsidRPr="00AB422B" w:rsidTr="00D9394F">
        <w:trPr>
          <w:trHeight w:val="300"/>
        </w:trPr>
        <w:tc>
          <w:tcPr>
            <w:tcW w:w="3282" w:type="dxa"/>
            <w:tcBorders>
              <w:top w:val="nil"/>
              <w:left w:val="single" w:sz="4" w:space="0" w:color="auto"/>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 </w:t>
            </w:r>
          </w:p>
        </w:tc>
        <w:tc>
          <w:tcPr>
            <w:tcW w:w="1107" w:type="dxa"/>
            <w:tcBorders>
              <w:top w:val="nil"/>
              <w:left w:val="nil"/>
              <w:bottom w:val="single" w:sz="4" w:space="0" w:color="auto"/>
              <w:right w:val="single" w:sz="4" w:space="0" w:color="auto"/>
            </w:tcBorders>
            <w:shd w:val="clear" w:color="000000" w:fill="EEECE1"/>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2012</w:t>
            </w:r>
          </w:p>
        </w:tc>
        <w:tc>
          <w:tcPr>
            <w:tcW w:w="1107" w:type="dxa"/>
            <w:tcBorders>
              <w:top w:val="nil"/>
              <w:left w:val="nil"/>
              <w:bottom w:val="single" w:sz="4" w:space="0" w:color="auto"/>
              <w:right w:val="single" w:sz="4" w:space="0" w:color="auto"/>
            </w:tcBorders>
            <w:shd w:val="clear" w:color="000000" w:fill="EEECE1"/>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2013</w:t>
            </w:r>
          </w:p>
        </w:tc>
        <w:tc>
          <w:tcPr>
            <w:tcW w:w="1107" w:type="dxa"/>
            <w:tcBorders>
              <w:top w:val="nil"/>
              <w:left w:val="nil"/>
              <w:bottom w:val="single" w:sz="4" w:space="0" w:color="auto"/>
              <w:right w:val="single" w:sz="4" w:space="0" w:color="auto"/>
            </w:tcBorders>
            <w:shd w:val="clear" w:color="000000" w:fill="EEECE1"/>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2014</w:t>
            </w:r>
          </w:p>
        </w:tc>
        <w:tc>
          <w:tcPr>
            <w:tcW w:w="1107" w:type="dxa"/>
            <w:tcBorders>
              <w:top w:val="nil"/>
              <w:left w:val="nil"/>
              <w:bottom w:val="single" w:sz="4" w:space="0" w:color="auto"/>
              <w:right w:val="single" w:sz="4" w:space="0" w:color="auto"/>
            </w:tcBorders>
            <w:shd w:val="clear" w:color="000000" w:fill="EEECE1"/>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2015</w:t>
            </w:r>
          </w:p>
        </w:tc>
        <w:tc>
          <w:tcPr>
            <w:tcW w:w="1489" w:type="dxa"/>
            <w:tcBorders>
              <w:top w:val="nil"/>
              <w:left w:val="nil"/>
              <w:bottom w:val="single" w:sz="4" w:space="0" w:color="auto"/>
              <w:right w:val="single" w:sz="4" w:space="0" w:color="auto"/>
            </w:tcBorders>
            <w:shd w:val="clear" w:color="000000" w:fill="EEECE1"/>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2016</w:t>
            </w:r>
          </w:p>
        </w:tc>
      </w:tr>
      <w:tr w:rsidR="005801FF" w:rsidRPr="00AB422B" w:rsidTr="00D9394F">
        <w:trPr>
          <w:trHeight w:val="300"/>
        </w:trPr>
        <w:tc>
          <w:tcPr>
            <w:tcW w:w="3282" w:type="dxa"/>
            <w:tcBorders>
              <w:top w:val="nil"/>
              <w:left w:val="single" w:sz="4" w:space="0" w:color="auto"/>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 xml:space="preserve">Gross profit </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3214</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1,277</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1,387</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1,208</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1,242</w:t>
            </w:r>
          </w:p>
        </w:tc>
      </w:tr>
      <w:tr w:rsidR="005801FF" w:rsidRPr="00AB422B" w:rsidTr="00D9394F">
        <w:trPr>
          <w:trHeight w:val="300"/>
        </w:trPr>
        <w:tc>
          <w:tcPr>
            <w:tcW w:w="3282" w:type="dxa"/>
            <w:tcBorders>
              <w:top w:val="nil"/>
              <w:left w:val="single" w:sz="4" w:space="0" w:color="auto"/>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Total revenue earned</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22120</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23,303</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23,949</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23,775</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23,506</w:t>
            </w:r>
          </w:p>
        </w:tc>
      </w:tr>
      <w:tr w:rsidR="005801FF" w:rsidRPr="00AB422B" w:rsidTr="00D9394F">
        <w:trPr>
          <w:trHeight w:val="300"/>
        </w:trPr>
        <w:tc>
          <w:tcPr>
            <w:tcW w:w="3282" w:type="dxa"/>
            <w:tcBorders>
              <w:top w:val="nil"/>
              <w:left w:val="single" w:sz="4" w:space="0" w:color="auto"/>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Net profit/PBT(profit before tax)</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590</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614</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716</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-166</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471</w:t>
            </w:r>
          </w:p>
        </w:tc>
      </w:tr>
      <w:tr w:rsidR="005801FF" w:rsidRPr="00AB422B" w:rsidTr="00D9394F">
        <w:trPr>
          <w:trHeight w:val="300"/>
        </w:trPr>
        <w:tc>
          <w:tcPr>
            <w:tcW w:w="3282" w:type="dxa"/>
            <w:tcBorders>
              <w:top w:val="nil"/>
              <w:left w:val="single" w:sz="4" w:space="0" w:color="auto"/>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Current asset</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1654</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b/>
                <w:bCs/>
                <w:sz w:val="16"/>
                <w:szCs w:val="16"/>
              </w:rPr>
            </w:pPr>
            <w:r w:rsidRPr="00AB422B">
              <w:rPr>
                <w:rFonts w:ascii="Verdana" w:eastAsia="Times New Roman" w:hAnsi="Verdana" w:cs="Times New Roman"/>
                <w:b/>
                <w:bCs/>
                <w:sz w:val="16"/>
                <w:szCs w:val="16"/>
              </w:rPr>
              <w:t>1,901</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b/>
                <w:bCs/>
                <w:sz w:val="16"/>
                <w:szCs w:val="16"/>
              </w:rPr>
            </w:pPr>
            <w:r w:rsidRPr="00AB422B">
              <w:rPr>
                <w:rFonts w:ascii="Verdana" w:eastAsia="Times New Roman" w:hAnsi="Verdana" w:cs="Times New Roman"/>
                <w:b/>
                <w:bCs/>
                <w:sz w:val="16"/>
                <w:szCs w:val="16"/>
              </w:rPr>
              <w:t>4,362</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b/>
                <w:bCs/>
                <w:sz w:val="16"/>
                <w:szCs w:val="16"/>
              </w:rPr>
            </w:pPr>
            <w:r w:rsidRPr="00AB422B">
              <w:rPr>
                <w:rFonts w:ascii="Verdana" w:eastAsia="Times New Roman" w:hAnsi="Verdana" w:cs="Times New Roman"/>
                <w:b/>
                <w:bCs/>
                <w:sz w:val="16"/>
                <w:szCs w:val="16"/>
              </w:rPr>
              <w:t>4,421</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b/>
                <w:bCs/>
                <w:sz w:val="16"/>
                <w:szCs w:val="16"/>
              </w:rPr>
            </w:pPr>
            <w:r w:rsidRPr="00AB422B">
              <w:rPr>
                <w:rFonts w:ascii="Verdana" w:eastAsia="Times New Roman" w:hAnsi="Verdana" w:cs="Times New Roman"/>
                <w:b/>
                <w:bCs/>
                <w:sz w:val="16"/>
                <w:szCs w:val="16"/>
              </w:rPr>
              <w:t>4,426</w:t>
            </w:r>
          </w:p>
        </w:tc>
      </w:tr>
      <w:tr w:rsidR="005801FF" w:rsidRPr="00AB422B" w:rsidTr="00D9394F">
        <w:trPr>
          <w:trHeight w:val="300"/>
        </w:trPr>
        <w:tc>
          <w:tcPr>
            <w:tcW w:w="3282" w:type="dxa"/>
            <w:tcBorders>
              <w:top w:val="nil"/>
              <w:left w:val="single" w:sz="4" w:space="0" w:color="auto"/>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Current liability</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3,098</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b/>
                <w:bCs/>
                <w:sz w:val="16"/>
                <w:szCs w:val="16"/>
              </w:rPr>
            </w:pPr>
            <w:r w:rsidRPr="00AB422B">
              <w:rPr>
                <w:rFonts w:ascii="Verdana" w:eastAsia="Times New Roman" w:hAnsi="Verdana" w:cs="Times New Roman"/>
                <w:b/>
                <w:bCs/>
                <w:sz w:val="16"/>
                <w:szCs w:val="16"/>
              </w:rPr>
              <w:t>3,115</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b/>
                <w:bCs/>
                <w:sz w:val="16"/>
                <w:szCs w:val="16"/>
              </w:rPr>
            </w:pPr>
            <w:r w:rsidRPr="00AB422B">
              <w:rPr>
                <w:rFonts w:ascii="Verdana" w:eastAsia="Times New Roman" w:hAnsi="Verdana" w:cs="Times New Roman"/>
                <w:b/>
                <w:bCs/>
                <w:sz w:val="16"/>
                <w:szCs w:val="16"/>
              </w:rPr>
              <w:t>6,765</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b/>
                <w:bCs/>
                <w:sz w:val="16"/>
                <w:szCs w:val="16"/>
              </w:rPr>
            </w:pPr>
            <w:r w:rsidRPr="00AB422B">
              <w:rPr>
                <w:rFonts w:ascii="Verdana" w:eastAsia="Times New Roman" w:hAnsi="Verdana" w:cs="Times New Roman"/>
                <w:b/>
                <w:bCs/>
                <w:sz w:val="16"/>
                <w:szCs w:val="16"/>
              </w:rPr>
              <w:t>6,923</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b/>
                <w:bCs/>
                <w:sz w:val="16"/>
                <w:szCs w:val="16"/>
              </w:rPr>
            </w:pPr>
            <w:r w:rsidRPr="00AB422B">
              <w:rPr>
                <w:rFonts w:ascii="Verdana" w:eastAsia="Times New Roman" w:hAnsi="Verdana" w:cs="Times New Roman"/>
                <w:b/>
                <w:bCs/>
                <w:sz w:val="16"/>
                <w:szCs w:val="16"/>
              </w:rPr>
              <w:t>7,915</w:t>
            </w:r>
          </w:p>
        </w:tc>
      </w:tr>
      <w:tr w:rsidR="005801FF" w:rsidRPr="00AB422B" w:rsidTr="00D9394F">
        <w:trPr>
          <w:trHeight w:val="300"/>
        </w:trPr>
        <w:tc>
          <w:tcPr>
            <w:tcW w:w="3282" w:type="dxa"/>
            <w:tcBorders>
              <w:top w:val="nil"/>
              <w:left w:val="single" w:sz="4" w:space="0" w:color="auto"/>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Average Inventory holding</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655</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987</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1,005</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997</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968</w:t>
            </w:r>
          </w:p>
        </w:tc>
      </w:tr>
      <w:tr w:rsidR="005801FF" w:rsidRPr="00AB422B" w:rsidTr="00D9394F">
        <w:trPr>
          <w:trHeight w:val="300"/>
        </w:trPr>
        <w:tc>
          <w:tcPr>
            <w:tcW w:w="3282" w:type="dxa"/>
            <w:tcBorders>
              <w:top w:val="nil"/>
              <w:left w:val="single" w:sz="4" w:space="0" w:color="auto"/>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lastRenderedPageBreak/>
              <w:t>share capital</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614</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598</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716</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-166</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471</w:t>
            </w:r>
          </w:p>
        </w:tc>
      </w:tr>
      <w:tr w:rsidR="005801FF" w:rsidRPr="00AB422B" w:rsidTr="00D9394F">
        <w:trPr>
          <w:trHeight w:val="300"/>
        </w:trPr>
        <w:tc>
          <w:tcPr>
            <w:tcW w:w="3282" w:type="dxa"/>
            <w:tcBorders>
              <w:top w:val="nil"/>
              <w:left w:val="single" w:sz="4" w:space="0" w:color="auto"/>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 xml:space="preserve">Retained </w:t>
            </w:r>
            <w:proofErr w:type="spellStart"/>
            <w:r w:rsidRPr="00AB422B">
              <w:rPr>
                <w:rFonts w:ascii="Calibri" w:eastAsia="Times New Roman" w:hAnsi="Calibri" w:cs="Times New Roman"/>
              </w:rPr>
              <w:t>earnning</w:t>
            </w:r>
            <w:proofErr w:type="spellEnd"/>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3025</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4,060</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3,560</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3,057</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3,370</w:t>
            </w:r>
          </w:p>
        </w:tc>
      </w:tr>
      <w:tr w:rsidR="005801FF" w:rsidRPr="00AB422B" w:rsidTr="00D9394F">
        <w:trPr>
          <w:trHeight w:val="300"/>
        </w:trPr>
        <w:tc>
          <w:tcPr>
            <w:tcW w:w="3282" w:type="dxa"/>
            <w:tcBorders>
              <w:top w:val="nil"/>
              <w:left w:val="single" w:sz="4" w:space="0" w:color="auto"/>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long term liabilities</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13025</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b/>
                <w:bCs/>
                <w:sz w:val="16"/>
                <w:szCs w:val="16"/>
              </w:rPr>
            </w:pPr>
            <w:r w:rsidRPr="00AB422B">
              <w:rPr>
                <w:rFonts w:ascii="Verdana" w:eastAsia="Times New Roman" w:hAnsi="Verdana" w:cs="Times New Roman"/>
                <w:b/>
                <w:bCs/>
                <w:sz w:val="16"/>
                <w:szCs w:val="16"/>
              </w:rPr>
              <w:t>14,501</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b/>
                <w:bCs/>
                <w:sz w:val="16"/>
                <w:szCs w:val="16"/>
              </w:rPr>
            </w:pPr>
            <w:r w:rsidRPr="00AB422B">
              <w:rPr>
                <w:rFonts w:ascii="Verdana" w:eastAsia="Times New Roman" w:hAnsi="Verdana" w:cs="Times New Roman"/>
                <w:b/>
                <w:bCs/>
                <w:sz w:val="16"/>
                <w:szCs w:val="16"/>
              </w:rPr>
              <w:t>14,050</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b/>
                <w:bCs/>
                <w:sz w:val="16"/>
                <w:szCs w:val="16"/>
              </w:rPr>
            </w:pPr>
            <w:r w:rsidRPr="00AB422B">
              <w:rPr>
                <w:rFonts w:ascii="Verdana" w:eastAsia="Times New Roman" w:hAnsi="Verdana" w:cs="Times New Roman"/>
                <w:b/>
                <w:bCs/>
                <w:sz w:val="16"/>
                <w:szCs w:val="16"/>
              </w:rPr>
              <w:t>17,333</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b/>
                <w:bCs/>
                <w:sz w:val="16"/>
                <w:szCs w:val="16"/>
              </w:rPr>
            </w:pPr>
            <w:r w:rsidRPr="00AB422B">
              <w:rPr>
                <w:rFonts w:ascii="Verdana" w:eastAsia="Times New Roman" w:hAnsi="Verdana" w:cs="Times New Roman"/>
                <w:b/>
                <w:bCs/>
                <w:sz w:val="16"/>
                <w:szCs w:val="16"/>
              </w:rPr>
              <w:t>15,564</w:t>
            </w:r>
          </w:p>
        </w:tc>
      </w:tr>
      <w:tr w:rsidR="005801FF" w:rsidRPr="00AB422B" w:rsidTr="00D9394F">
        <w:trPr>
          <w:trHeight w:val="300"/>
        </w:trPr>
        <w:tc>
          <w:tcPr>
            <w:tcW w:w="3282" w:type="dxa"/>
            <w:tcBorders>
              <w:top w:val="nil"/>
              <w:left w:val="single" w:sz="4" w:space="0" w:color="auto"/>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capital employed</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17,145.00</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19,159.00</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18,326.00</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20,224.00</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19,405.00</w:t>
            </w:r>
          </w:p>
        </w:tc>
      </w:tr>
      <w:tr w:rsidR="005801FF" w:rsidRPr="00AB422B" w:rsidTr="00D9394F">
        <w:trPr>
          <w:trHeight w:val="300"/>
        </w:trPr>
        <w:tc>
          <w:tcPr>
            <w:tcW w:w="3282" w:type="dxa"/>
            <w:tcBorders>
              <w:top w:val="nil"/>
              <w:left w:val="single" w:sz="4" w:space="0" w:color="auto"/>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Total average asset</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11642</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b/>
                <w:bCs/>
                <w:sz w:val="16"/>
                <w:szCs w:val="16"/>
              </w:rPr>
            </w:pPr>
            <w:r w:rsidRPr="00AB422B">
              <w:rPr>
                <w:rFonts w:ascii="Verdana" w:eastAsia="Times New Roman" w:hAnsi="Verdana" w:cs="Times New Roman"/>
                <w:b/>
                <w:bCs/>
                <w:sz w:val="16"/>
                <w:szCs w:val="16"/>
              </w:rPr>
              <w:t>12,695</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b/>
                <w:bCs/>
                <w:sz w:val="16"/>
                <w:szCs w:val="16"/>
              </w:rPr>
            </w:pPr>
            <w:r w:rsidRPr="00AB422B">
              <w:rPr>
                <w:rFonts w:ascii="Verdana" w:eastAsia="Times New Roman" w:hAnsi="Verdana" w:cs="Times New Roman"/>
                <w:b/>
                <w:bCs/>
                <w:sz w:val="16"/>
                <w:szCs w:val="16"/>
              </w:rPr>
              <w:t>16,540</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b/>
                <w:bCs/>
                <w:sz w:val="16"/>
                <w:szCs w:val="16"/>
              </w:rPr>
            </w:pPr>
            <w:r w:rsidRPr="00AB422B">
              <w:rPr>
                <w:rFonts w:ascii="Verdana" w:eastAsia="Times New Roman" w:hAnsi="Verdana" w:cs="Times New Roman"/>
                <w:b/>
                <w:bCs/>
                <w:sz w:val="16"/>
                <w:szCs w:val="16"/>
              </w:rPr>
              <w:t>16,537</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b/>
                <w:bCs/>
                <w:sz w:val="16"/>
                <w:szCs w:val="16"/>
              </w:rPr>
            </w:pPr>
            <w:r w:rsidRPr="00AB422B">
              <w:rPr>
                <w:rFonts w:ascii="Verdana" w:eastAsia="Times New Roman" w:hAnsi="Verdana" w:cs="Times New Roman"/>
                <w:b/>
                <w:bCs/>
                <w:sz w:val="16"/>
                <w:szCs w:val="16"/>
              </w:rPr>
              <w:t>16,973</w:t>
            </w:r>
          </w:p>
        </w:tc>
      </w:tr>
      <w:tr w:rsidR="005801FF" w:rsidRPr="00AB422B" w:rsidTr="00D9394F">
        <w:trPr>
          <w:trHeight w:val="300"/>
        </w:trPr>
        <w:tc>
          <w:tcPr>
            <w:tcW w:w="3282" w:type="dxa"/>
            <w:tcBorders>
              <w:top w:val="nil"/>
              <w:left w:val="single" w:sz="4" w:space="0" w:color="auto"/>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EBIT</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1810</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1928</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1924</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2546</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256</w:t>
            </w:r>
          </w:p>
        </w:tc>
      </w:tr>
      <w:tr w:rsidR="005801FF" w:rsidRPr="00AB422B" w:rsidTr="00D9394F">
        <w:trPr>
          <w:trHeight w:val="300"/>
        </w:trPr>
        <w:tc>
          <w:tcPr>
            <w:tcW w:w="3282" w:type="dxa"/>
            <w:tcBorders>
              <w:top w:val="nil"/>
              <w:left w:val="single" w:sz="4" w:space="0" w:color="auto"/>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interest expense</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120</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128</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131</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123</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120</w:t>
            </w:r>
          </w:p>
        </w:tc>
      </w:tr>
      <w:tr w:rsidR="005801FF" w:rsidRPr="00AB422B" w:rsidTr="00D9394F">
        <w:trPr>
          <w:trHeight w:val="300"/>
        </w:trPr>
        <w:tc>
          <w:tcPr>
            <w:tcW w:w="3282" w:type="dxa"/>
            <w:tcBorders>
              <w:top w:val="nil"/>
              <w:left w:val="single" w:sz="4" w:space="0" w:color="auto"/>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rPr>
              <w:t> </w:t>
            </w:r>
          </w:p>
        </w:tc>
        <w:tc>
          <w:tcPr>
            <w:tcW w:w="1107" w:type="dxa"/>
            <w:tcBorders>
              <w:top w:val="nil"/>
              <w:left w:val="nil"/>
              <w:bottom w:val="single" w:sz="4" w:space="0" w:color="auto"/>
              <w:right w:val="single" w:sz="4" w:space="0" w:color="auto"/>
            </w:tcBorders>
            <w:shd w:val="clear" w:color="000000" w:fill="EEECE1"/>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2012</w:t>
            </w:r>
          </w:p>
        </w:tc>
        <w:tc>
          <w:tcPr>
            <w:tcW w:w="1107" w:type="dxa"/>
            <w:tcBorders>
              <w:top w:val="nil"/>
              <w:left w:val="nil"/>
              <w:bottom w:val="single" w:sz="4" w:space="0" w:color="auto"/>
              <w:right w:val="single" w:sz="4" w:space="0" w:color="auto"/>
            </w:tcBorders>
            <w:shd w:val="clear" w:color="000000" w:fill="EEECE1"/>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2013</w:t>
            </w:r>
          </w:p>
        </w:tc>
        <w:tc>
          <w:tcPr>
            <w:tcW w:w="1107" w:type="dxa"/>
            <w:tcBorders>
              <w:top w:val="nil"/>
              <w:left w:val="nil"/>
              <w:bottom w:val="single" w:sz="4" w:space="0" w:color="auto"/>
              <w:right w:val="single" w:sz="4" w:space="0" w:color="auto"/>
            </w:tcBorders>
            <w:shd w:val="clear" w:color="000000" w:fill="EEECE1"/>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2014</w:t>
            </w:r>
          </w:p>
        </w:tc>
        <w:tc>
          <w:tcPr>
            <w:tcW w:w="1107" w:type="dxa"/>
            <w:tcBorders>
              <w:top w:val="nil"/>
              <w:left w:val="nil"/>
              <w:bottom w:val="single" w:sz="4" w:space="0" w:color="auto"/>
              <w:right w:val="single" w:sz="4" w:space="0" w:color="auto"/>
            </w:tcBorders>
            <w:shd w:val="clear" w:color="000000" w:fill="EEECE1"/>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2015</w:t>
            </w:r>
          </w:p>
        </w:tc>
        <w:tc>
          <w:tcPr>
            <w:tcW w:w="1489" w:type="dxa"/>
            <w:tcBorders>
              <w:top w:val="nil"/>
              <w:left w:val="nil"/>
              <w:bottom w:val="single" w:sz="4" w:space="0" w:color="auto"/>
              <w:right w:val="single" w:sz="4" w:space="0" w:color="auto"/>
            </w:tcBorders>
            <w:shd w:val="clear" w:color="000000" w:fill="EEECE1"/>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2016</w:t>
            </w:r>
          </w:p>
        </w:tc>
      </w:tr>
      <w:tr w:rsidR="005801FF" w:rsidRPr="00AB422B" w:rsidTr="00D9394F">
        <w:trPr>
          <w:trHeight w:val="300"/>
        </w:trPr>
        <w:tc>
          <w:tcPr>
            <w:tcW w:w="9199" w:type="dxa"/>
            <w:gridSpan w:val="6"/>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5801FF" w:rsidRPr="00AB422B" w:rsidRDefault="00D9394F" w:rsidP="005801FF">
            <w:pPr>
              <w:spacing w:after="0" w:line="240" w:lineRule="auto"/>
              <w:jc w:val="center"/>
              <w:rPr>
                <w:rFonts w:ascii="Calibri" w:eastAsia="Times New Roman" w:hAnsi="Calibri" w:cs="Times New Roman"/>
              </w:rPr>
            </w:pPr>
            <w:r w:rsidRPr="00AB422B">
              <w:rPr>
                <w:rFonts w:ascii="Calibri" w:eastAsia="Times New Roman" w:hAnsi="Calibri" w:cs="Times New Roman"/>
              </w:rPr>
              <w:t>Profitability</w:t>
            </w:r>
            <w:r w:rsidR="005801FF" w:rsidRPr="00AB422B">
              <w:rPr>
                <w:rFonts w:ascii="Calibri" w:eastAsia="Times New Roman" w:hAnsi="Calibri" w:cs="Times New Roman"/>
              </w:rPr>
              <w:t xml:space="preserve"> Ratios</w:t>
            </w:r>
          </w:p>
        </w:tc>
      </w:tr>
      <w:tr w:rsidR="005801FF" w:rsidRPr="00AB422B" w:rsidTr="00D9394F">
        <w:trPr>
          <w:trHeight w:val="1230"/>
        </w:trPr>
        <w:tc>
          <w:tcPr>
            <w:tcW w:w="3282" w:type="dxa"/>
            <w:tcBorders>
              <w:top w:val="nil"/>
              <w:left w:val="single" w:sz="4" w:space="0" w:color="auto"/>
              <w:bottom w:val="single" w:sz="4" w:space="0" w:color="auto"/>
              <w:right w:val="single" w:sz="4" w:space="0" w:color="auto"/>
            </w:tcBorders>
            <w:shd w:val="clear" w:color="auto" w:fill="auto"/>
            <w:vAlign w:val="center"/>
            <w:hideMark/>
          </w:tcPr>
          <w:p w:rsidR="005801FF" w:rsidRPr="00AB422B" w:rsidRDefault="005801FF" w:rsidP="005801FF">
            <w:pPr>
              <w:spacing w:after="0" w:line="240" w:lineRule="auto"/>
              <w:rPr>
                <w:rFonts w:ascii="Times New Roman" w:eastAsia="Times New Roman" w:hAnsi="Times New Roman" w:cs="Times New Roman"/>
                <w:b/>
                <w:bCs/>
                <w:i/>
                <w:iCs/>
                <w:sz w:val="24"/>
                <w:szCs w:val="24"/>
              </w:rPr>
            </w:pPr>
            <w:r w:rsidRPr="00AB422B">
              <w:rPr>
                <w:rFonts w:ascii="Times New Roman" w:eastAsia="Times New Roman" w:hAnsi="Times New Roman" w:cs="Times New Roman"/>
                <w:b/>
                <w:bCs/>
                <w:i/>
                <w:iCs/>
                <w:sz w:val="24"/>
                <w:szCs w:val="24"/>
              </w:rPr>
              <w:t>Gross profit margin</w:t>
            </w:r>
            <w:r w:rsidRPr="00AB422B">
              <w:rPr>
                <w:rFonts w:ascii="Calibri" w:eastAsia="Times New Roman" w:hAnsi="Calibri" w:cs="Times New Roman"/>
              </w:rPr>
              <w:t xml:space="preserve"> ([Gross profit /Net sales]*100) </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5.14%</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5.48%</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5.79%</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5.08%</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5.27%</w:t>
            </w:r>
          </w:p>
        </w:tc>
      </w:tr>
      <w:tr w:rsidR="005801FF" w:rsidRPr="00AB422B" w:rsidTr="00D9394F">
        <w:trPr>
          <w:trHeight w:val="945"/>
        </w:trPr>
        <w:tc>
          <w:tcPr>
            <w:tcW w:w="3282" w:type="dxa"/>
            <w:tcBorders>
              <w:top w:val="nil"/>
              <w:left w:val="single" w:sz="4" w:space="0" w:color="auto"/>
              <w:bottom w:val="single" w:sz="4" w:space="0" w:color="auto"/>
              <w:right w:val="single" w:sz="4" w:space="0" w:color="auto"/>
            </w:tcBorders>
            <w:shd w:val="clear" w:color="auto" w:fill="auto"/>
            <w:vAlign w:val="bottom"/>
            <w:hideMark/>
          </w:tcPr>
          <w:p w:rsidR="005801FF" w:rsidRPr="00AB422B" w:rsidRDefault="005801FF" w:rsidP="005801FF">
            <w:pPr>
              <w:spacing w:after="0" w:line="240" w:lineRule="auto"/>
              <w:rPr>
                <w:rFonts w:ascii="Times New Roman" w:eastAsia="Times New Roman" w:hAnsi="Times New Roman" w:cs="Times New Roman"/>
                <w:sz w:val="24"/>
                <w:szCs w:val="24"/>
              </w:rPr>
            </w:pPr>
            <w:r w:rsidRPr="00AB422B">
              <w:rPr>
                <w:rFonts w:ascii="Times New Roman" w:eastAsia="Times New Roman" w:hAnsi="Times New Roman" w:cs="Times New Roman"/>
                <w:b/>
                <w:bCs/>
                <w:sz w:val="24"/>
                <w:szCs w:val="24"/>
              </w:rPr>
              <w:t>net profit margin</w:t>
            </w:r>
            <w:r w:rsidRPr="00AB422B">
              <w:rPr>
                <w:rFonts w:ascii="Times New Roman" w:eastAsia="Times New Roman" w:hAnsi="Times New Roman" w:cs="Times New Roman"/>
                <w:sz w:val="24"/>
                <w:szCs w:val="24"/>
              </w:rPr>
              <w:t xml:space="preserve"> (Net profit / net sales x 100</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2.67%</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2.63%</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2.99%</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-0.70%</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2.00%</w:t>
            </w:r>
          </w:p>
        </w:tc>
      </w:tr>
      <w:tr w:rsidR="005801FF" w:rsidRPr="00AB422B" w:rsidTr="00D9394F">
        <w:trPr>
          <w:trHeight w:val="1200"/>
        </w:trPr>
        <w:tc>
          <w:tcPr>
            <w:tcW w:w="3282" w:type="dxa"/>
            <w:tcBorders>
              <w:top w:val="nil"/>
              <w:left w:val="single" w:sz="4" w:space="0" w:color="auto"/>
              <w:bottom w:val="single" w:sz="4" w:space="0" w:color="auto"/>
              <w:right w:val="single" w:sz="4" w:space="0" w:color="auto"/>
            </w:tcBorders>
            <w:shd w:val="clear" w:color="auto" w:fill="auto"/>
            <w:vAlign w:val="center"/>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b/>
                <w:bCs/>
              </w:rPr>
              <w:t>Operating Profit margin</w:t>
            </w:r>
            <w:r w:rsidRPr="00AB422B">
              <w:rPr>
                <w:rFonts w:ascii="Calibri" w:eastAsia="Times New Roman" w:hAnsi="Calibri" w:cs="Times New Roman"/>
              </w:rPr>
              <w:t xml:space="preserve"> (Operating profit or EBIT/Net sales): </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3.92%</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3.81%</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4.21%</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0.34%</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3.01%</w:t>
            </w:r>
          </w:p>
        </w:tc>
      </w:tr>
      <w:tr w:rsidR="005801FF" w:rsidRPr="00AB422B" w:rsidTr="00D9394F">
        <w:trPr>
          <w:trHeight w:val="600"/>
        </w:trPr>
        <w:tc>
          <w:tcPr>
            <w:tcW w:w="9199" w:type="dxa"/>
            <w:gridSpan w:val="6"/>
            <w:tcBorders>
              <w:top w:val="single" w:sz="4" w:space="0" w:color="auto"/>
              <w:left w:val="single" w:sz="4" w:space="0" w:color="auto"/>
              <w:bottom w:val="single" w:sz="4" w:space="0" w:color="auto"/>
              <w:right w:val="single" w:sz="4" w:space="0" w:color="auto"/>
            </w:tcBorders>
            <w:shd w:val="clear" w:color="000000" w:fill="92D050"/>
            <w:vAlign w:val="center"/>
            <w:hideMark/>
          </w:tcPr>
          <w:p w:rsidR="005801FF" w:rsidRPr="00AB422B" w:rsidRDefault="005801FF" w:rsidP="005801FF">
            <w:pPr>
              <w:spacing w:after="0" w:line="240" w:lineRule="auto"/>
              <w:jc w:val="center"/>
              <w:rPr>
                <w:rFonts w:ascii="Calibri" w:eastAsia="Times New Roman" w:hAnsi="Calibri" w:cs="Times New Roman"/>
              </w:rPr>
            </w:pPr>
            <w:r w:rsidRPr="00AB422B">
              <w:rPr>
                <w:rFonts w:ascii="Calibri" w:eastAsia="Times New Roman" w:hAnsi="Calibri" w:cs="Times New Roman"/>
              </w:rPr>
              <w:t>Liquidity ratio</w:t>
            </w:r>
          </w:p>
        </w:tc>
      </w:tr>
      <w:tr w:rsidR="005801FF" w:rsidRPr="00AB422B" w:rsidTr="00D9394F">
        <w:trPr>
          <w:trHeight w:val="1200"/>
        </w:trPr>
        <w:tc>
          <w:tcPr>
            <w:tcW w:w="3282" w:type="dxa"/>
            <w:tcBorders>
              <w:top w:val="nil"/>
              <w:left w:val="single" w:sz="4" w:space="0" w:color="auto"/>
              <w:bottom w:val="single" w:sz="4" w:space="0" w:color="auto"/>
              <w:right w:val="single" w:sz="4" w:space="0" w:color="auto"/>
            </w:tcBorders>
            <w:shd w:val="clear" w:color="auto" w:fill="auto"/>
            <w:vAlign w:val="center"/>
            <w:hideMark/>
          </w:tcPr>
          <w:p w:rsidR="005801FF" w:rsidRPr="00AB422B" w:rsidRDefault="005801FF" w:rsidP="005801FF">
            <w:pPr>
              <w:spacing w:after="0" w:line="240" w:lineRule="auto"/>
              <w:rPr>
                <w:rFonts w:ascii="Calibri" w:eastAsia="Times New Roman" w:hAnsi="Calibri" w:cs="Times New Roman"/>
              </w:rPr>
            </w:pPr>
            <w:r w:rsidRPr="00AB422B">
              <w:rPr>
                <w:rFonts w:ascii="Calibri" w:eastAsia="Times New Roman" w:hAnsi="Calibri" w:cs="Times New Roman"/>
                <w:b/>
                <w:bCs/>
              </w:rPr>
              <w:t>Current Ratio</w:t>
            </w:r>
            <w:r w:rsidRPr="00AB422B">
              <w:rPr>
                <w:rFonts w:ascii="Calibri" w:eastAsia="Times New Roman" w:hAnsi="Calibri" w:cs="Times New Roman"/>
              </w:rPr>
              <w:t xml:space="preserve"> ([Current asset/Current liability]*100): </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0.53</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0.61</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0.64</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0.64</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0.56</w:t>
            </w:r>
          </w:p>
        </w:tc>
      </w:tr>
      <w:tr w:rsidR="005801FF" w:rsidRPr="00AB422B" w:rsidTr="00D9394F">
        <w:trPr>
          <w:trHeight w:val="1515"/>
        </w:trPr>
        <w:tc>
          <w:tcPr>
            <w:tcW w:w="3282" w:type="dxa"/>
            <w:tcBorders>
              <w:top w:val="nil"/>
              <w:left w:val="single" w:sz="4" w:space="0" w:color="auto"/>
              <w:bottom w:val="single" w:sz="4" w:space="0" w:color="auto"/>
              <w:right w:val="single" w:sz="4" w:space="0" w:color="auto"/>
            </w:tcBorders>
            <w:shd w:val="clear" w:color="auto" w:fill="auto"/>
            <w:vAlign w:val="bottom"/>
            <w:hideMark/>
          </w:tcPr>
          <w:p w:rsidR="005801FF" w:rsidRPr="00AB422B" w:rsidRDefault="005801FF" w:rsidP="005801FF">
            <w:pPr>
              <w:spacing w:after="0" w:line="240" w:lineRule="auto"/>
              <w:rPr>
                <w:rFonts w:ascii="Times New Roman" w:eastAsia="Times New Roman" w:hAnsi="Times New Roman" w:cs="Times New Roman"/>
                <w:b/>
                <w:bCs/>
                <w:sz w:val="24"/>
                <w:szCs w:val="24"/>
              </w:rPr>
            </w:pPr>
            <w:r w:rsidRPr="00AB422B">
              <w:rPr>
                <w:rFonts w:ascii="Times New Roman" w:eastAsia="Times New Roman" w:hAnsi="Times New Roman" w:cs="Times New Roman"/>
                <w:b/>
                <w:bCs/>
                <w:sz w:val="24"/>
                <w:szCs w:val="24"/>
              </w:rPr>
              <w:t>Quick Ratio</w:t>
            </w:r>
            <w:r w:rsidRPr="00AB422B">
              <w:rPr>
                <w:rFonts w:ascii="Calibri" w:eastAsia="Times New Roman" w:hAnsi="Calibri" w:cs="Times New Roman"/>
              </w:rPr>
              <w:t xml:space="preserve"> ([Current asset-Inventories]/ Current liability*100) </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0.33</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0.2976</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0.4973</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0.5067</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0.5</w:t>
            </w:r>
          </w:p>
        </w:tc>
      </w:tr>
      <w:tr w:rsidR="005801FF" w:rsidRPr="00AB422B" w:rsidTr="00D9394F">
        <w:trPr>
          <w:trHeight w:val="630"/>
        </w:trPr>
        <w:tc>
          <w:tcPr>
            <w:tcW w:w="9199" w:type="dxa"/>
            <w:gridSpan w:val="6"/>
            <w:tcBorders>
              <w:top w:val="single" w:sz="4" w:space="0" w:color="auto"/>
              <w:left w:val="single" w:sz="4" w:space="0" w:color="auto"/>
              <w:bottom w:val="single" w:sz="4" w:space="0" w:color="auto"/>
              <w:right w:val="single" w:sz="4" w:space="0" w:color="auto"/>
            </w:tcBorders>
            <w:shd w:val="clear" w:color="000000" w:fill="92D050"/>
            <w:vAlign w:val="center"/>
            <w:hideMark/>
          </w:tcPr>
          <w:p w:rsidR="005801FF" w:rsidRPr="00AB422B" w:rsidRDefault="005801FF" w:rsidP="005801FF">
            <w:pPr>
              <w:spacing w:after="0" w:line="240" w:lineRule="auto"/>
              <w:jc w:val="center"/>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Efficiency ratio</w:t>
            </w:r>
          </w:p>
        </w:tc>
      </w:tr>
      <w:tr w:rsidR="005801FF" w:rsidRPr="00AB422B" w:rsidTr="00D9394F">
        <w:trPr>
          <w:trHeight w:val="1260"/>
        </w:trPr>
        <w:tc>
          <w:tcPr>
            <w:tcW w:w="3282" w:type="dxa"/>
            <w:tcBorders>
              <w:top w:val="nil"/>
              <w:left w:val="single" w:sz="4" w:space="0" w:color="auto"/>
              <w:bottom w:val="single" w:sz="4" w:space="0" w:color="auto"/>
              <w:right w:val="single" w:sz="4" w:space="0" w:color="auto"/>
            </w:tcBorders>
            <w:shd w:val="clear" w:color="auto" w:fill="auto"/>
            <w:vAlign w:val="bottom"/>
            <w:hideMark/>
          </w:tcPr>
          <w:p w:rsidR="005801FF" w:rsidRPr="00AB422B" w:rsidRDefault="005801FF" w:rsidP="005801FF">
            <w:pPr>
              <w:spacing w:after="0" w:line="24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 xml:space="preserve">Return on capital employed(ROCE)[EBIT/capital </w:t>
            </w:r>
            <w:r w:rsidR="00D9394F" w:rsidRPr="00AB422B">
              <w:rPr>
                <w:rFonts w:ascii="Times New Roman" w:eastAsia="Times New Roman" w:hAnsi="Times New Roman" w:cs="Times New Roman"/>
                <w:sz w:val="24"/>
                <w:szCs w:val="24"/>
              </w:rPr>
              <w:t>employed</w:t>
            </w:r>
            <w:r w:rsidRPr="00AB422B">
              <w:rPr>
                <w:rFonts w:ascii="Times New Roman" w:eastAsia="Times New Roman" w:hAnsi="Times New Roman" w:cs="Times New Roman"/>
                <w:sz w:val="24"/>
                <w:szCs w:val="24"/>
              </w:rPr>
              <w:t>]</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10.60%</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10.62%</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12.22%</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12.36%</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1.36%</w:t>
            </w:r>
          </w:p>
        </w:tc>
      </w:tr>
      <w:tr w:rsidR="005801FF" w:rsidRPr="00AB422B" w:rsidTr="00D9394F">
        <w:trPr>
          <w:trHeight w:val="2085"/>
        </w:trPr>
        <w:tc>
          <w:tcPr>
            <w:tcW w:w="3282" w:type="dxa"/>
            <w:tcBorders>
              <w:top w:val="nil"/>
              <w:left w:val="single" w:sz="4" w:space="0" w:color="auto"/>
              <w:bottom w:val="single" w:sz="4" w:space="0" w:color="auto"/>
              <w:right w:val="single" w:sz="4" w:space="0" w:color="auto"/>
            </w:tcBorders>
            <w:shd w:val="clear" w:color="auto" w:fill="auto"/>
            <w:vAlign w:val="center"/>
            <w:hideMark/>
          </w:tcPr>
          <w:p w:rsidR="005801FF" w:rsidRPr="00AB422B" w:rsidRDefault="005801FF" w:rsidP="005801FF">
            <w:pPr>
              <w:spacing w:after="0" w:line="24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lastRenderedPageBreak/>
              <w:t xml:space="preserve">Total asset </w:t>
            </w:r>
            <w:r w:rsidR="00D9394F" w:rsidRPr="00AB422B">
              <w:rPr>
                <w:rFonts w:ascii="Times New Roman" w:eastAsia="Times New Roman" w:hAnsi="Times New Roman" w:cs="Times New Roman"/>
                <w:sz w:val="24"/>
                <w:szCs w:val="24"/>
              </w:rPr>
              <w:t>turnover</w:t>
            </w:r>
            <w:r w:rsidRPr="00AB422B">
              <w:rPr>
                <w:rFonts w:ascii="Times New Roman" w:eastAsia="Times New Roman" w:hAnsi="Times New Roman" w:cs="Times New Roman"/>
                <w:sz w:val="24"/>
                <w:szCs w:val="24"/>
              </w:rPr>
              <w:t xml:space="preserve"> ratio(net sales or revenue/Total average asset)</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1.88</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1.86</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1.64</w:t>
            </w:r>
          </w:p>
        </w:tc>
        <w:tc>
          <w:tcPr>
            <w:tcW w:w="1107"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1.44</w:t>
            </w:r>
          </w:p>
        </w:tc>
        <w:tc>
          <w:tcPr>
            <w:tcW w:w="1489" w:type="dxa"/>
            <w:tcBorders>
              <w:top w:val="nil"/>
              <w:left w:val="nil"/>
              <w:bottom w:val="single" w:sz="4" w:space="0" w:color="auto"/>
              <w:right w:val="single" w:sz="4" w:space="0" w:color="auto"/>
            </w:tcBorders>
            <w:shd w:val="clear" w:color="auto" w:fill="auto"/>
            <w:noWrap/>
            <w:vAlign w:val="bottom"/>
            <w:hideMark/>
          </w:tcPr>
          <w:p w:rsidR="005801FF" w:rsidRPr="00AB422B" w:rsidRDefault="005801FF" w:rsidP="005801FF">
            <w:pPr>
              <w:spacing w:after="0" w:line="240" w:lineRule="auto"/>
              <w:jc w:val="right"/>
              <w:rPr>
                <w:rFonts w:ascii="Calibri" w:eastAsia="Times New Roman" w:hAnsi="Calibri" w:cs="Times New Roman"/>
              </w:rPr>
            </w:pPr>
            <w:r w:rsidRPr="00AB422B">
              <w:rPr>
                <w:rFonts w:ascii="Calibri" w:eastAsia="Times New Roman" w:hAnsi="Calibri" w:cs="Times New Roman"/>
              </w:rPr>
              <w:t>1.4</w:t>
            </w:r>
          </w:p>
        </w:tc>
      </w:tr>
      <w:tr w:rsidR="005801FF" w:rsidRPr="00AB422B" w:rsidTr="00D9394F">
        <w:trPr>
          <w:trHeight w:val="630"/>
        </w:trPr>
        <w:tc>
          <w:tcPr>
            <w:tcW w:w="9199" w:type="dxa"/>
            <w:gridSpan w:val="6"/>
            <w:tcBorders>
              <w:top w:val="single" w:sz="4" w:space="0" w:color="auto"/>
              <w:left w:val="single" w:sz="4" w:space="0" w:color="auto"/>
              <w:bottom w:val="single" w:sz="4" w:space="0" w:color="auto"/>
              <w:right w:val="single" w:sz="4" w:space="0" w:color="auto"/>
            </w:tcBorders>
            <w:shd w:val="clear" w:color="000000" w:fill="92D050"/>
            <w:vAlign w:val="center"/>
            <w:hideMark/>
          </w:tcPr>
          <w:p w:rsidR="005801FF" w:rsidRPr="00AB422B" w:rsidRDefault="005801FF" w:rsidP="005801FF">
            <w:pPr>
              <w:spacing w:after="0" w:line="240" w:lineRule="auto"/>
              <w:jc w:val="center"/>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Gearing Ratio</w:t>
            </w:r>
          </w:p>
        </w:tc>
      </w:tr>
      <w:tr w:rsidR="005801FF" w:rsidRPr="00AB422B" w:rsidTr="00D9394F">
        <w:trPr>
          <w:trHeight w:val="1890"/>
        </w:trPr>
        <w:tc>
          <w:tcPr>
            <w:tcW w:w="3282" w:type="dxa"/>
            <w:tcBorders>
              <w:top w:val="nil"/>
              <w:left w:val="single" w:sz="4" w:space="0" w:color="auto"/>
              <w:bottom w:val="single" w:sz="4" w:space="0" w:color="auto"/>
              <w:right w:val="single" w:sz="4" w:space="0" w:color="auto"/>
            </w:tcBorders>
            <w:shd w:val="clear" w:color="auto" w:fill="auto"/>
            <w:vAlign w:val="bottom"/>
            <w:hideMark/>
          </w:tcPr>
          <w:p w:rsidR="005801FF" w:rsidRPr="00AB422B" w:rsidRDefault="005801FF" w:rsidP="005801FF">
            <w:pPr>
              <w:spacing w:after="0" w:line="240" w:lineRule="auto"/>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 xml:space="preserve">interest </w:t>
            </w:r>
            <w:proofErr w:type="spellStart"/>
            <w:r w:rsidRPr="00AB422B">
              <w:rPr>
                <w:rFonts w:ascii="Times New Roman" w:eastAsia="Times New Roman" w:hAnsi="Times New Roman" w:cs="Times New Roman"/>
                <w:sz w:val="24"/>
                <w:szCs w:val="24"/>
              </w:rPr>
              <w:t>covrage</w:t>
            </w:r>
            <w:proofErr w:type="spellEnd"/>
            <w:r w:rsidRPr="00AB422B">
              <w:rPr>
                <w:rFonts w:ascii="Times New Roman" w:eastAsia="Times New Roman" w:hAnsi="Times New Roman" w:cs="Times New Roman"/>
                <w:sz w:val="24"/>
                <w:szCs w:val="24"/>
              </w:rPr>
              <w:t>(</w:t>
            </w:r>
            <w:proofErr w:type="spellStart"/>
            <w:r w:rsidRPr="00AB422B">
              <w:rPr>
                <w:rFonts w:ascii="Times New Roman" w:eastAsia="Times New Roman" w:hAnsi="Times New Roman" w:cs="Times New Roman"/>
                <w:sz w:val="24"/>
                <w:szCs w:val="24"/>
              </w:rPr>
              <w:t>earning</w:t>
            </w:r>
            <w:proofErr w:type="spellEnd"/>
            <w:r w:rsidRPr="00AB422B">
              <w:rPr>
                <w:rFonts w:ascii="Times New Roman" w:eastAsia="Times New Roman" w:hAnsi="Times New Roman" w:cs="Times New Roman"/>
                <w:sz w:val="24"/>
                <w:szCs w:val="24"/>
              </w:rPr>
              <w:t xml:space="preserve"> before interest and tax/interest expense)</w:t>
            </w:r>
          </w:p>
        </w:tc>
        <w:tc>
          <w:tcPr>
            <w:tcW w:w="1107" w:type="dxa"/>
            <w:tcBorders>
              <w:top w:val="nil"/>
              <w:left w:val="nil"/>
              <w:bottom w:val="single" w:sz="4" w:space="0" w:color="auto"/>
              <w:right w:val="single" w:sz="4" w:space="0" w:color="auto"/>
            </w:tcBorders>
            <w:shd w:val="clear" w:color="auto" w:fill="auto"/>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7.44</w:t>
            </w:r>
          </w:p>
        </w:tc>
        <w:tc>
          <w:tcPr>
            <w:tcW w:w="1107" w:type="dxa"/>
            <w:tcBorders>
              <w:top w:val="nil"/>
              <w:left w:val="nil"/>
              <w:bottom w:val="single" w:sz="4" w:space="0" w:color="auto"/>
              <w:right w:val="single" w:sz="4" w:space="0" w:color="auto"/>
            </w:tcBorders>
            <w:shd w:val="clear" w:color="auto" w:fill="auto"/>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7.16</w:t>
            </w:r>
          </w:p>
        </w:tc>
        <w:tc>
          <w:tcPr>
            <w:tcW w:w="1107" w:type="dxa"/>
            <w:tcBorders>
              <w:top w:val="nil"/>
              <w:left w:val="nil"/>
              <w:bottom w:val="single" w:sz="4" w:space="0" w:color="auto"/>
              <w:right w:val="single" w:sz="4" w:space="0" w:color="auto"/>
            </w:tcBorders>
            <w:shd w:val="clear" w:color="auto" w:fill="auto"/>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7.86</w:t>
            </w:r>
          </w:p>
        </w:tc>
        <w:tc>
          <w:tcPr>
            <w:tcW w:w="1107" w:type="dxa"/>
            <w:tcBorders>
              <w:top w:val="nil"/>
              <w:left w:val="nil"/>
              <w:bottom w:val="single" w:sz="4" w:space="0" w:color="auto"/>
              <w:right w:val="single" w:sz="4" w:space="0" w:color="auto"/>
            </w:tcBorders>
            <w:shd w:val="clear" w:color="auto" w:fill="auto"/>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0.41</w:t>
            </w:r>
          </w:p>
        </w:tc>
        <w:tc>
          <w:tcPr>
            <w:tcW w:w="1489" w:type="dxa"/>
            <w:tcBorders>
              <w:top w:val="nil"/>
              <w:left w:val="nil"/>
              <w:bottom w:val="single" w:sz="4" w:space="0" w:color="auto"/>
              <w:right w:val="single" w:sz="4" w:space="0" w:color="auto"/>
            </w:tcBorders>
            <w:shd w:val="clear" w:color="auto" w:fill="auto"/>
            <w:hideMark/>
          </w:tcPr>
          <w:p w:rsidR="005801FF" w:rsidRPr="00AB422B" w:rsidRDefault="005801FF" w:rsidP="005801FF">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5.57</w:t>
            </w:r>
          </w:p>
        </w:tc>
      </w:tr>
    </w:tbl>
    <w:p w:rsidR="00053B85" w:rsidRPr="00AB422B" w:rsidRDefault="00053B85" w:rsidP="00D23265"/>
    <w:p w:rsidR="00053B85" w:rsidRPr="00AB422B" w:rsidRDefault="00053B85" w:rsidP="00D23265"/>
    <w:p w:rsidR="00053B85" w:rsidRPr="00AB422B" w:rsidRDefault="00053B85" w:rsidP="00D23265">
      <w:pPr>
        <w:rPr>
          <w:b/>
        </w:rPr>
      </w:pPr>
      <w:r w:rsidRPr="00AB422B">
        <w:rPr>
          <w:b/>
        </w:rPr>
        <w:t xml:space="preserve">Ratios findings </w:t>
      </w:r>
    </w:p>
    <w:tbl>
      <w:tblPr>
        <w:tblW w:w="8735" w:type="dxa"/>
        <w:tblInd w:w="103" w:type="dxa"/>
        <w:tblLook w:val="04A0"/>
      </w:tblPr>
      <w:tblGrid>
        <w:gridCol w:w="1398"/>
        <w:gridCol w:w="938"/>
        <w:gridCol w:w="898"/>
        <w:gridCol w:w="875"/>
        <w:gridCol w:w="2286"/>
        <w:gridCol w:w="2340"/>
      </w:tblGrid>
      <w:tr w:rsidR="00053B85" w:rsidRPr="00AB422B" w:rsidTr="00116CF8">
        <w:trPr>
          <w:trHeight w:val="300"/>
        </w:trPr>
        <w:tc>
          <w:tcPr>
            <w:tcW w:w="873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 xml:space="preserve">Gross profit margin </w:t>
            </w:r>
          </w:p>
        </w:tc>
      </w:tr>
      <w:tr w:rsidR="00053B85" w:rsidRPr="00AB422B" w:rsidTr="00116CF8">
        <w:trPr>
          <w:trHeight w:val="300"/>
        </w:trPr>
        <w:tc>
          <w:tcPr>
            <w:tcW w:w="1398" w:type="dxa"/>
            <w:tcBorders>
              <w:top w:val="nil"/>
              <w:left w:val="single" w:sz="4" w:space="0" w:color="auto"/>
              <w:bottom w:val="single" w:sz="4" w:space="0" w:color="auto"/>
              <w:right w:val="nil"/>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 </w:t>
            </w:r>
          </w:p>
        </w:tc>
        <w:tc>
          <w:tcPr>
            <w:tcW w:w="938" w:type="dxa"/>
            <w:tcBorders>
              <w:top w:val="nil"/>
              <w:left w:val="single" w:sz="4" w:space="0" w:color="auto"/>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2012</w:t>
            </w:r>
          </w:p>
        </w:tc>
        <w:tc>
          <w:tcPr>
            <w:tcW w:w="89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2013</w:t>
            </w:r>
          </w:p>
        </w:tc>
        <w:tc>
          <w:tcPr>
            <w:tcW w:w="875"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2014</w:t>
            </w:r>
          </w:p>
        </w:tc>
        <w:tc>
          <w:tcPr>
            <w:tcW w:w="2286"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2015</w:t>
            </w:r>
          </w:p>
        </w:tc>
        <w:tc>
          <w:tcPr>
            <w:tcW w:w="2340"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2016</w:t>
            </w:r>
          </w:p>
        </w:tc>
      </w:tr>
      <w:tr w:rsidR="00053B85" w:rsidRPr="00AB422B" w:rsidTr="00116CF8">
        <w:trPr>
          <w:trHeight w:val="600"/>
        </w:trPr>
        <w:tc>
          <w:tcPr>
            <w:tcW w:w="1398" w:type="dxa"/>
            <w:tcBorders>
              <w:top w:val="nil"/>
              <w:left w:val="single" w:sz="4" w:space="0" w:color="auto"/>
              <w:bottom w:val="single" w:sz="4" w:space="0" w:color="auto"/>
              <w:right w:val="single" w:sz="4" w:space="0" w:color="auto"/>
            </w:tcBorders>
            <w:shd w:val="clear" w:color="auto" w:fill="auto"/>
            <w:vAlign w:val="bottom"/>
            <w:hideMark/>
          </w:tcPr>
          <w:p w:rsidR="00053B85" w:rsidRPr="00AB422B" w:rsidRDefault="00053B85" w:rsidP="00116CF8">
            <w:pPr>
              <w:spacing w:after="0" w:line="240" w:lineRule="auto"/>
              <w:rPr>
                <w:rFonts w:ascii="Calibri" w:eastAsia="Times New Roman" w:hAnsi="Calibri" w:cs="Times New Roman"/>
              </w:rPr>
            </w:pPr>
            <w:r w:rsidRPr="00AB422B">
              <w:rPr>
                <w:rFonts w:ascii="Calibri" w:eastAsia="Times New Roman" w:hAnsi="Calibri" w:cs="Times New Roman"/>
              </w:rPr>
              <w:t>TESCO PLC</w:t>
            </w:r>
          </w:p>
        </w:tc>
        <w:tc>
          <w:tcPr>
            <w:tcW w:w="93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6.02%</w:t>
            </w:r>
          </w:p>
        </w:tc>
        <w:tc>
          <w:tcPr>
            <w:tcW w:w="89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6.55%</w:t>
            </w:r>
          </w:p>
        </w:tc>
        <w:tc>
          <w:tcPr>
            <w:tcW w:w="875"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6.31%</w:t>
            </w:r>
          </w:p>
        </w:tc>
        <w:tc>
          <w:tcPr>
            <w:tcW w:w="2286"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-3.39%</w:t>
            </w:r>
          </w:p>
        </w:tc>
        <w:tc>
          <w:tcPr>
            <w:tcW w:w="2340"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5.26%</w:t>
            </w:r>
          </w:p>
        </w:tc>
      </w:tr>
      <w:tr w:rsidR="00053B85" w:rsidRPr="00AB422B" w:rsidTr="00116CF8">
        <w:trPr>
          <w:trHeight w:val="600"/>
        </w:trPr>
        <w:tc>
          <w:tcPr>
            <w:tcW w:w="1398" w:type="dxa"/>
            <w:tcBorders>
              <w:top w:val="nil"/>
              <w:left w:val="single" w:sz="4" w:space="0" w:color="auto"/>
              <w:bottom w:val="single" w:sz="4" w:space="0" w:color="auto"/>
              <w:right w:val="single" w:sz="4" w:space="0" w:color="auto"/>
            </w:tcBorders>
            <w:shd w:val="clear" w:color="auto" w:fill="auto"/>
            <w:vAlign w:val="bottom"/>
            <w:hideMark/>
          </w:tcPr>
          <w:p w:rsidR="00053B85" w:rsidRPr="00AB422B" w:rsidRDefault="00EC30C9" w:rsidP="00116CF8">
            <w:pPr>
              <w:spacing w:after="0" w:line="240" w:lineRule="auto"/>
              <w:rPr>
                <w:rFonts w:ascii="Calibri" w:eastAsia="Times New Roman" w:hAnsi="Calibri" w:cs="Times New Roman"/>
              </w:rPr>
            </w:pPr>
            <w:r w:rsidRPr="00AB422B">
              <w:rPr>
                <w:rFonts w:ascii="Calibri" w:eastAsia="Times New Roman" w:hAnsi="Calibri" w:cs="Times New Roman"/>
              </w:rPr>
              <w:t>Sainsbury plc</w:t>
            </w:r>
          </w:p>
        </w:tc>
        <w:tc>
          <w:tcPr>
            <w:tcW w:w="93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5.14%</w:t>
            </w:r>
          </w:p>
        </w:tc>
        <w:tc>
          <w:tcPr>
            <w:tcW w:w="89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5.48%</w:t>
            </w:r>
          </w:p>
        </w:tc>
        <w:tc>
          <w:tcPr>
            <w:tcW w:w="875"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5.79%</w:t>
            </w:r>
          </w:p>
        </w:tc>
        <w:tc>
          <w:tcPr>
            <w:tcW w:w="2286"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5.08%</w:t>
            </w:r>
          </w:p>
        </w:tc>
        <w:tc>
          <w:tcPr>
            <w:tcW w:w="2340"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5.27%</w:t>
            </w:r>
          </w:p>
        </w:tc>
      </w:tr>
      <w:tr w:rsidR="00053B85" w:rsidRPr="00AB422B" w:rsidTr="00116CF8">
        <w:trPr>
          <w:trHeight w:val="315"/>
        </w:trPr>
        <w:tc>
          <w:tcPr>
            <w:tcW w:w="873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Net Profit margin</w:t>
            </w:r>
          </w:p>
        </w:tc>
      </w:tr>
      <w:tr w:rsidR="00053B85" w:rsidRPr="00AB422B" w:rsidTr="00116CF8">
        <w:trPr>
          <w:trHeight w:val="300"/>
        </w:trPr>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 </w:t>
            </w:r>
          </w:p>
        </w:tc>
        <w:tc>
          <w:tcPr>
            <w:tcW w:w="93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2012</w:t>
            </w:r>
          </w:p>
        </w:tc>
        <w:tc>
          <w:tcPr>
            <w:tcW w:w="89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2013</w:t>
            </w:r>
          </w:p>
        </w:tc>
        <w:tc>
          <w:tcPr>
            <w:tcW w:w="875"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2014</w:t>
            </w:r>
          </w:p>
        </w:tc>
        <w:tc>
          <w:tcPr>
            <w:tcW w:w="2286"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2015</w:t>
            </w:r>
          </w:p>
        </w:tc>
        <w:tc>
          <w:tcPr>
            <w:tcW w:w="2340"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2016</w:t>
            </w:r>
          </w:p>
        </w:tc>
      </w:tr>
      <w:tr w:rsidR="00053B85" w:rsidRPr="00AB422B" w:rsidTr="00116CF8">
        <w:trPr>
          <w:trHeight w:val="315"/>
        </w:trPr>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r w:rsidRPr="00AB422B">
              <w:rPr>
                <w:rFonts w:ascii="Calibri" w:eastAsia="Times New Roman" w:hAnsi="Calibri" w:cs="Times New Roman"/>
              </w:rPr>
              <w:t>TESCO PLC</w:t>
            </w:r>
          </w:p>
        </w:tc>
        <w:tc>
          <w:tcPr>
            <w:tcW w:w="938" w:type="dxa"/>
            <w:tcBorders>
              <w:top w:val="nil"/>
              <w:left w:val="nil"/>
              <w:bottom w:val="single" w:sz="4" w:space="0" w:color="auto"/>
              <w:right w:val="single" w:sz="4" w:space="0" w:color="auto"/>
            </w:tcBorders>
            <w:shd w:val="clear" w:color="auto" w:fill="auto"/>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4.35%</w:t>
            </w:r>
          </w:p>
        </w:tc>
        <w:tc>
          <w:tcPr>
            <w:tcW w:w="898" w:type="dxa"/>
            <w:tcBorders>
              <w:top w:val="nil"/>
              <w:left w:val="nil"/>
              <w:bottom w:val="single" w:sz="4" w:space="0" w:color="auto"/>
              <w:right w:val="single" w:sz="4" w:space="0" w:color="auto"/>
            </w:tcBorders>
            <w:shd w:val="clear" w:color="auto" w:fill="auto"/>
            <w:noWrap/>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0.19%</w:t>
            </w:r>
          </w:p>
        </w:tc>
        <w:tc>
          <w:tcPr>
            <w:tcW w:w="875" w:type="dxa"/>
            <w:tcBorders>
              <w:top w:val="nil"/>
              <w:left w:val="nil"/>
              <w:bottom w:val="single" w:sz="4" w:space="0" w:color="auto"/>
              <w:right w:val="single" w:sz="4" w:space="0" w:color="auto"/>
            </w:tcBorders>
            <w:shd w:val="clear" w:color="auto" w:fill="auto"/>
            <w:noWrap/>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1.53%</w:t>
            </w:r>
          </w:p>
        </w:tc>
        <w:tc>
          <w:tcPr>
            <w:tcW w:w="2286" w:type="dxa"/>
            <w:tcBorders>
              <w:top w:val="nil"/>
              <w:left w:val="nil"/>
              <w:bottom w:val="single" w:sz="4" w:space="0" w:color="auto"/>
              <w:right w:val="single" w:sz="4" w:space="0" w:color="auto"/>
            </w:tcBorders>
            <w:shd w:val="clear" w:color="auto" w:fill="auto"/>
            <w:noWrap/>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-9.22%</w:t>
            </w:r>
          </w:p>
        </w:tc>
        <w:tc>
          <w:tcPr>
            <w:tcW w:w="2340" w:type="dxa"/>
            <w:tcBorders>
              <w:top w:val="nil"/>
              <w:left w:val="nil"/>
              <w:bottom w:val="single" w:sz="4" w:space="0" w:color="auto"/>
              <w:right w:val="single" w:sz="4" w:space="0" w:color="auto"/>
            </w:tcBorders>
            <w:shd w:val="clear" w:color="auto" w:fill="auto"/>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0.25%</w:t>
            </w:r>
          </w:p>
        </w:tc>
      </w:tr>
      <w:tr w:rsidR="00053B85" w:rsidRPr="00AB422B" w:rsidTr="00116CF8">
        <w:trPr>
          <w:trHeight w:val="315"/>
        </w:trPr>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r w:rsidRPr="00AB422B">
              <w:rPr>
                <w:rFonts w:ascii="Calibri" w:eastAsia="Times New Roman" w:hAnsi="Calibri" w:cs="Times New Roman"/>
              </w:rPr>
              <w:t xml:space="preserve">SAINSBURY PLC </w:t>
            </w:r>
          </w:p>
        </w:tc>
        <w:tc>
          <w:tcPr>
            <w:tcW w:w="938" w:type="dxa"/>
            <w:tcBorders>
              <w:top w:val="nil"/>
              <w:left w:val="nil"/>
              <w:bottom w:val="single" w:sz="4" w:space="0" w:color="auto"/>
              <w:right w:val="single" w:sz="4" w:space="0" w:color="auto"/>
            </w:tcBorders>
            <w:shd w:val="clear" w:color="auto" w:fill="auto"/>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2.68%</w:t>
            </w:r>
          </w:p>
        </w:tc>
        <w:tc>
          <w:tcPr>
            <w:tcW w:w="898" w:type="dxa"/>
            <w:tcBorders>
              <w:top w:val="nil"/>
              <w:left w:val="nil"/>
              <w:bottom w:val="single" w:sz="4" w:space="0" w:color="auto"/>
              <w:right w:val="single" w:sz="4" w:space="0" w:color="auto"/>
            </w:tcBorders>
            <w:shd w:val="clear" w:color="auto" w:fill="auto"/>
            <w:noWrap/>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2.63%</w:t>
            </w:r>
          </w:p>
        </w:tc>
        <w:tc>
          <w:tcPr>
            <w:tcW w:w="875" w:type="dxa"/>
            <w:tcBorders>
              <w:top w:val="nil"/>
              <w:left w:val="nil"/>
              <w:bottom w:val="single" w:sz="4" w:space="0" w:color="auto"/>
              <w:right w:val="single" w:sz="4" w:space="0" w:color="auto"/>
            </w:tcBorders>
            <w:shd w:val="clear" w:color="auto" w:fill="auto"/>
            <w:noWrap/>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2.99%</w:t>
            </w:r>
          </w:p>
        </w:tc>
        <w:tc>
          <w:tcPr>
            <w:tcW w:w="2286" w:type="dxa"/>
            <w:tcBorders>
              <w:top w:val="nil"/>
              <w:left w:val="nil"/>
              <w:bottom w:val="single" w:sz="4" w:space="0" w:color="auto"/>
              <w:right w:val="single" w:sz="4" w:space="0" w:color="auto"/>
            </w:tcBorders>
            <w:shd w:val="clear" w:color="auto" w:fill="auto"/>
            <w:noWrap/>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-0.70%</w:t>
            </w:r>
          </w:p>
        </w:tc>
        <w:tc>
          <w:tcPr>
            <w:tcW w:w="2340" w:type="dxa"/>
            <w:tcBorders>
              <w:top w:val="nil"/>
              <w:left w:val="nil"/>
              <w:bottom w:val="single" w:sz="4" w:space="0" w:color="auto"/>
              <w:right w:val="single" w:sz="4" w:space="0" w:color="auto"/>
            </w:tcBorders>
            <w:shd w:val="clear" w:color="auto" w:fill="auto"/>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2.00%</w:t>
            </w:r>
          </w:p>
        </w:tc>
      </w:tr>
      <w:tr w:rsidR="00053B85" w:rsidRPr="00AB422B" w:rsidTr="00116CF8">
        <w:trPr>
          <w:trHeight w:val="315"/>
        </w:trPr>
        <w:tc>
          <w:tcPr>
            <w:tcW w:w="1398" w:type="dxa"/>
            <w:tcBorders>
              <w:top w:val="nil"/>
              <w:left w:val="single" w:sz="4" w:space="0" w:color="auto"/>
              <w:bottom w:val="single" w:sz="4" w:space="0" w:color="auto"/>
              <w:right w:val="nil"/>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r w:rsidRPr="00AB422B">
              <w:rPr>
                <w:rFonts w:ascii="Calibri" w:eastAsia="Times New Roman" w:hAnsi="Calibri" w:cs="Times New Roman"/>
              </w:rPr>
              <w:t> </w:t>
            </w:r>
          </w:p>
        </w:tc>
        <w:tc>
          <w:tcPr>
            <w:tcW w:w="938" w:type="dxa"/>
            <w:tcBorders>
              <w:top w:val="nil"/>
              <w:left w:val="nil"/>
              <w:bottom w:val="single" w:sz="4" w:space="0" w:color="auto"/>
              <w:right w:val="nil"/>
            </w:tcBorders>
            <w:shd w:val="clear" w:color="auto" w:fill="auto"/>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 </w:t>
            </w:r>
          </w:p>
        </w:tc>
        <w:tc>
          <w:tcPr>
            <w:tcW w:w="898" w:type="dxa"/>
            <w:tcBorders>
              <w:top w:val="nil"/>
              <w:left w:val="nil"/>
              <w:bottom w:val="single" w:sz="4" w:space="0" w:color="auto"/>
              <w:right w:val="nil"/>
            </w:tcBorders>
            <w:shd w:val="clear" w:color="auto" w:fill="auto"/>
            <w:noWrap/>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 </w:t>
            </w:r>
          </w:p>
        </w:tc>
        <w:tc>
          <w:tcPr>
            <w:tcW w:w="875" w:type="dxa"/>
            <w:tcBorders>
              <w:top w:val="nil"/>
              <w:left w:val="nil"/>
              <w:bottom w:val="single" w:sz="4" w:space="0" w:color="auto"/>
              <w:right w:val="nil"/>
            </w:tcBorders>
            <w:shd w:val="clear" w:color="auto" w:fill="auto"/>
            <w:noWrap/>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 </w:t>
            </w:r>
          </w:p>
        </w:tc>
        <w:tc>
          <w:tcPr>
            <w:tcW w:w="2286" w:type="dxa"/>
            <w:tcBorders>
              <w:top w:val="nil"/>
              <w:left w:val="nil"/>
              <w:bottom w:val="single" w:sz="4" w:space="0" w:color="auto"/>
              <w:right w:val="nil"/>
            </w:tcBorders>
            <w:shd w:val="clear" w:color="auto" w:fill="auto"/>
            <w:noWrap/>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 </w:t>
            </w:r>
          </w:p>
        </w:tc>
        <w:tc>
          <w:tcPr>
            <w:tcW w:w="2340" w:type="dxa"/>
            <w:tcBorders>
              <w:top w:val="nil"/>
              <w:left w:val="nil"/>
              <w:bottom w:val="single" w:sz="4" w:space="0" w:color="auto"/>
              <w:right w:val="single" w:sz="4" w:space="0" w:color="auto"/>
            </w:tcBorders>
            <w:shd w:val="clear" w:color="auto" w:fill="auto"/>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 </w:t>
            </w:r>
          </w:p>
        </w:tc>
      </w:tr>
      <w:tr w:rsidR="00053B85" w:rsidRPr="00AB422B" w:rsidTr="00116CF8">
        <w:trPr>
          <w:trHeight w:val="300"/>
        </w:trPr>
        <w:tc>
          <w:tcPr>
            <w:tcW w:w="873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 xml:space="preserve">Operating profit margin </w:t>
            </w:r>
          </w:p>
        </w:tc>
      </w:tr>
      <w:tr w:rsidR="00053B85" w:rsidRPr="00AB422B" w:rsidTr="00116CF8">
        <w:trPr>
          <w:trHeight w:val="300"/>
        </w:trPr>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 </w:t>
            </w:r>
          </w:p>
        </w:tc>
        <w:tc>
          <w:tcPr>
            <w:tcW w:w="93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2012</w:t>
            </w:r>
          </w:p>
        </w:tc>
        <w:tc>
          <w:tcPr>
            <w:tcW w:w="89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2013</w:t>
            </w:r>
          </w:p>
        </w:tc>
        <w:tc>
          <w:tcPr>
            <w:tcW w:w="875"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2014</w:t>
            </w:r>
          </w:p>
        </w:tc>
        <w:tc>
          <w:tcPr>
            <w:tcW w:w="2286"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2015</w:t>
            </w:r>
          </w:p>
        </w:tc>
        <w:tc>
          <w:tcPr>
            <w:tcW w:w="2340"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2016</w:t>
            </w:r>
          </w:p>
        </w:tc>
      </w:tr>
      <w:tr w:rsidR="00053B85" w:rsidRPr="00AB422B" w:rsidTr="00116CF8">
        <w:trPr>
          <w:trHeight w:val="300"/>
        </w:trPr>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r w:rsidRPr="00AB422B">
              <w:rPr>
                <w:rFonts w:ascii="Calibri" w:eastAsia="Times New Roman" w:hAnsi="Calibri" w:cs="Times New Roman"/>
              </w:rPr>
              <w:t>TESCO PLC</w:t>
            </w:r>
          </w:p>
        </w:tc>
        <w:tc>
          <w:tcPr>
            <w:tcW w:w="93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6.54%</w:t>
            </w:r>
          </w:p>
        </w:tc>
        <w:tc>
          <w:tcPr>
            <w:tcW w:w="89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3.76%</w:t>
            </w:r>
          </w:p>
        </w:tc>
        <w:tc>
          <w:tcPr>
            <w:tcW w:w="875"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4.14%</w:t>
            </w:r>
          </w:p>
        </w:tc>
        <w:tc>
          <w:tcPr>
            <w:tcW w:w="2286"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-9.30%</w:t>
            </w:r>
          </w:p>
        </w:tc>
        <w:tc>
          <w:tcPr>
            <w:tcW w:w="2340"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1.99%</w:t>
            </w:r>
          </w:p>
        </w:tc>
      </w:tr>
      <w:tr w:rsidR="00053B85" w:rsidRPr="00AB422B" w:rsidTr="00116CF8">
        <w:trPr>
          <w:trHeight w:val="300"/>
        </w:trPr>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r w:rsidRPr="00AB422B">
              <w:rPr>
                <w:rFonts w:ascii="Calibri" w:eastAsia="Times New Roman" w:hAnsi="Calibri" w:cs="Times New Roman"/>
              </w:rPr>
              <w:t xml:space="preserve">SAINSBURY PLC </w:t>
            </w:r>
          </w:p>
        </w:tc>
        <w:tc>
          <w:tcPr>
            <w:tcW w:w="93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3.92%</w:t>
            </w:r>
          </w:p>
        </w:tc>
        <w:tc>
          <w:tcPr>
            <w:tcW w:w="89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3.81%</w:t>
            </w:r>
          </w:p>
        </w:tc>
        <w:tc>
          <w:tcPr>
            <w:tcW w:w="875"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4.21%</w:t>
            </w:r>
          </w:p>
        </w:tc>
        <w:tc>
          <w:tcPr>
            <w:tcW w:w="2286"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0.34%</w:t>
            </w:r>
          </w:p>
        </w:tc>
        <w:tc>
          <w:tcPr>
            <w:tcW w:w="2340"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3.01%</w:t>
            </w:r>
          </w:p>
        </w:tc>
      </w:tr>
      <w:tr w:rsidR="00053B85" w:rsidRPr="00AB422B" w:rsidTr="00116CF8">
        <w:trPr>
          <w:trHeight w:val="300"/>
        </w:trPr>
        <w:tc>
          <w:tcPr>
            <w:tcW w:w="873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current ratios</w:t>
            </w:r>
          </w:p>
        </w:tc>
      </w:tr>
      <w:tr w:rsidR="00053B85" w:rsidRPr="00AB422B" w:rsidTr="00116CF8">
        <w:trPr>
          <w:trHeight w:val="300"/>
        </w:trPr>
        <w:tc>
          <w:tcPr>
            <w:tcW w:w="1398" w:type="dxa"/>
            <w:tcBorders>
              <w:top w:val="nil"/>
              <w:left w:val="single" w:sz="4" w:space="0" w:color="auto"/>
              <w:bottom w:val="single" w:sz="4" w:space="0" w:color="auto"/>
              <w:right w:val="nil"/>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 </w:t>
            </w:r>
          </w:p>
        </w:tc>
        <w:tc>
          <w:tcPr>
            <w:tcW w:w="938" w:type="dxa"/>
            <w:tcBorders>
              <w:top w:val="nil"/>
              <w:left w:val="single" w:sz="4" w:space="0" w:color="auto"/>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2012</w:t>
            </w:r>
          </w:p>
        </w:tc>
        <w:tc>
          <w:tcPr>
            <w:tcW w:w="89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2013</w:t>
            </w:r>
          </w:p>
        </w:tc>
        <w:tc>
          <w:tcPr>
            <w:tcW w:w="875"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2014</w:t>
            </w:r>
          </w:p>
        </w:tc>
        <w:tc>
          <w:tcPr>
            <w:tcW w:w="2286"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2015</w:t>
            </w:r>
          </w:p>
        </w:tc>
        <w:tc>
          <w:tcPr>
            <w:tcW w:w="2340"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2016</w:t>
            </w:r>
          </w:p>
        </w:tc>
      </w:tr>
      <w:tr w:rsidR="00053B85" w:rsidRPr="00AB422B" w:rsidTr="00116CF8">
        <w:trPr>
          <w:trHeight w:val="300"/>
        </w:trPr>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r w:rsidRPr="00AB422B">
              <w:rPr>
                <w:rFonts w:ascii="Calibri" w:eastAsia="Times New Roman" w:hAnsi="Calibri" w:cs="Times New Roman"/>
              </w:rPr>
              <w:t>TESCO PLC</w:t>
            </w:r>
          </w:p>
        </w:tc>
        <w:tc>
          <w:tcPr>
            <w:tcW w:w="93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0.67</w:t>
            </w:r>
          </w:p>
        </w:tc>
        <w:tc>
          <w:tcPr>
            <w:tcW w:w="89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0.7</w:t>
            </w:r>
          </w:p>
        </w:tc>
        <w:tc>
          <w:tcPr>
            <w:tcW w:w="875"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0.77</w:t>
            </w:r>
          </w:p>
        </w:tc>
        <w:tc>
          <w:tcPr>
            <w:tcW w:w="2286"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0.6</w:t>
            </w:r>
          </w:p>
        </w:tc>
        <w:tc>
          <w:tcPr>
            <w:tcW w:w="2340"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0.75</w:t>
            </w:r>
          </w:p>
        </w:tc>
      </w:tr>
      <w:tr w:rsidR="00053B85" w:rsidRPr="00AB422B" w:rsidTr="00116CF8">
        <w:trPr>
          <w:trHeight w:val="300"/>
        </w:trPr>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r w:rsidRPr="00AB422B">
              <w:rPr>
                <w:rFonts w:ascii="Calibri" w:eastAsia="Times New Roman" w:hAnsi="Calibri" w:cs="Times New Roman"/>
              </w:rPr>
              <w:t xml:space="preserve">SAINSBURY PLC </w:t>
            </w:r>
          </w:p>
        </w:tc>
        <w:tc>
          <w:tcPr>
            <w:tcW w:w="93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0.65</w:t>
            </w:r>
          </w:p>
        </w:tc>
        <w:tc>
          <w:tcPr>
            <w:tcW w:w="89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0.61</w:t>
            </w:r>
          </w:p>
        </w:tc>
        <w:tc>
          <w:tcPr>
            <w:tcW w:w="875"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0.64</w:t>
            </w:r>
          </w:p>
        </w:tc>
        <w:tc>
          <w:tcPr>
            <w:tcW w:w="2286"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0.65</w:t>
            </w:r>
          </w:p>
        </w:tc>
        <w:tc>
          <w:tcPr>
            <w:tcW w:w="2340"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0.5</w:t>
            </w:r>
          </w:p>
        </w:tc>
      </w:tr>
      <w:tr w:rsidR="00053B85" w:rsidRPr="00AB422B" w:rsidTr="00116CF8">
        <w:trPr>
          <w:trHeight w:val="300"/>
        </w:trPr>
        <w:tc>
          <w:tcPr>
            <w:tcW w:w="873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lastRenderedPageBreak/>
              <w:t>Quick Ratio</w:t>
            </w:r>
          </w:p>
        </w:tc>
      </w:tr>
      <w:tr w:rsidR="00053B85" w:rsidRPr="00AB422B" w:rsidTr="00116CF8">
        <w:trPr>
          <w:trHeight w:val="300"/>
        </w:trPr>
        <w:tc>
          <w:tcPr>
            <w:tcW w:w="1398" w:type="dxa"/>
            <w:tcBorders>
              <w:top w:val="nil"/>
              <w:left w:val="single" w:sz="4" w:space="0" w:color="auto"/>
              <w:bottom w:val="single" w:sz="4" w:space="0" w:color="auto"/>
              <w:right w:val="nil"/>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 </w:t>
            </w:r>
          </w:p>
        </w:tc>
        <w:tc>
          <w:tcPr>
            <w:tcW w:w="938" w:type="dxa"/>
            <w:tcBorders>
              <w:top w:val="nil"/>
              <w:left w:val="single" w:sz="4" w:space="0" w:color="auto"/>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2012</w:t>
            </w:r>
          </w:p>
        </w:tc>
        <w:tc>
          <w:tcPr>
            <w:tcW w:w="89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2013</w:t>
            </w:r>
          </w:p>
        </w:tc>
        <w:tc>
          <w:tcPr>
            <w:tcW w:w="875"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2014</w:t>
            </w:r>
          </w:p>
        </w:tc>
        <w:tc>
          <w:tcPr>
            <w:tcW w:w="2286"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2015</w:t>
            </w:r>
          </w:p>
        </w:tc>
        <w:tc>
          <w:tcPr>
            <w:tcW w:w="2340"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2016</w:t>
            </w:r>
          </w:p>
        </w:tc>
      </w:tr>
      <w:tr w:rsidR="00053B85" w:rsidRPr="00AB422B" w:rsidTr="00116CF8">
        <w:trPr>
          <w:trHeight w:val="300"/>
        </w:trPr>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r w:rsidRPr="00AB422B">
              <w:rPr>
                <w:rFonts w:ascii="Calibri" w:eastAsia="Times New Roman" w:hAnsi="Calibri" w:cs="Times New Roman"/>
              </w:rPr>
              <w:t>TESCO PLC</w:t>
            </w:r>
          </w:p>
        </w:tc>
        <w:tc>
          <w:tcPr>
            <w:tcW w:w="93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0.67</w:t>
            </w:r>
          </w:p>
        </w:tc>
        <w:tc>
          <w:tcPr>
            <w:tcW w:w="89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0.5002</w:t>
            </w:r>
          </w:p>
        </w:tc>
        <w:tc>
          <w:tcPr>
            <w:tcW w:w="875"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0.5937</w:t>
            </w:r>
          </w:p>
        </w:tc>
        <w:tc>
          <w:tcPr>
            <w:tcW w:w="2286"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0.4545</w:t>
            </w:r>
          </w:p>
        </w:tc>
        <w:tc>
          <w:tcPr>
            <w:tcW w:w="2340"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0.59</w:t>
            </w:r>
          </w:p>
        </w:tc>
      </w:tr>
      <w:tr w:rsidR="00053B85" w:rsidRPr="00AB422B" w:rsidTr="00116CF8">
        <w:trPr>
          <w:trHeight w:val="300"/>
        </w:trPr>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r w:rsidRPr="00AB422B">
              <w:rPr>
                <w:rFonts w:ascii="Calibri" w:eastAsia="Times New Roman" w:hAnsi="Calibri" w:cs="Times New Roman"/>
              </w:rPr>
              <w:t xml:space="preserve">SAINSBURY PLC </w:t>
            </w:r>
          </w:p>
        </w:tc>
        <w:tc>
          <w:tcPr>
            <w:tcW w:w="93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0.33</w:t>
            </w:r>
          </w:p>
        </w:tc>
        <w:tc>
          <w:tcPr>
            <w:tcW w:w="89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0.2976</w:t>
            </w:r>
          </w:p>
        </w:tc>
        <w:tc>
          <w:tcPr>
            <w:tcW w:w="875"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0.4973</w:t>
            </w:r>
          </w:p>
        </w:tc>
        <w:tc>
          <w:tcPr>
            <w:tcW w:w="2286"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0.5067</w:t>
            </w:r>
          </w:p>
        </w:tc>
        <w:tc>
          <w:tcPr>
            <w:tcW w:w="2340"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0.5</w:t>
            </w:r>
          </w:p>
        </w:tc>
      </w:tr>
      <w:tr w:rsidR="00053B85" w:rsidRPr="00AB422B" w:rsidTr="00116CF8">
        <w:trPr>
          <w:trHeight w:val="300"/>
        </w:trPr>
        <w:tc>
          <w:tcPr>
            <w:tcW w:w="873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Return on capital employed(ROCE)</w:t>
            </w:r>
          </w:p>
        </w:tc>
      </w:tr>
      <w:tr w:rsidR="00053B85" w:rsidRPr="00AB422B" w:rsidTr="00116CF8">
        <w:trPr>
          <w:trHeight w:val="300"/>
        </w:trPr>
        <w:tc>
          <w:tcPr>
            <w:tcW w:w="1398" w:type="dxa"/>
            <w:tcBorders>
              <w:top w:val="nil"/>
              <w:left w:val="single" w:sz="4" w:space="0" w:color="auto"/>
              <w:bottom w:val="single" w:sz="4" w:space="0" w:color="auto"/>
              <w:right w:val="nil"/>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 </w:t>
            </w:r>
          </w:p>
        </w:tc>
        <w:tc>
          <w:tcPr>
            <w:tcW w:w="938" w:type="dxa"/>
            <w:tcBorders>
              <w:top w:val="nil"/>
              <w:left w:val="single" w:sz="4" w:space="0" w:color="auto"/>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2012</w:t>
            </w:r>
          </w:p>
        </w:tc>
        <w:tc>
          <w:tcPr>
            <w:tcW w:w="89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2013</w:t>
            </w:r>
          </w:p>
        </w:tc>
        <w:tc>
          <w:tcPr>
            <w:tcW w:w="875"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2014</w:t>
            </w:r>
          </w:p>
        </w:tc>
        <w:tc>
          <w:tcPr>
            <w:tcW w:w="2286"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2015</w:t>
            </w:r>
          </w:p>
        </w:tc>
        <w:tc>
          <w:tcPr>
            <w:tcW w:w="2340"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2016</w:t>
            </w:r>
          </w:p>
        </w:tc>
      </w:tr>
      <w:tr w:rsidR="00053B85" w:rsidRPr="00AB422B" w:rsidTr="00116CF8">
        <w:trPr>
          <w:trHeight w:val="300"/>
        </w:trPr>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r w:rsidRPr="00AB422B">
              <w:rPr>
                <w:rFonts w:ascii="Calibri" w:eastAsia="Times New Roman" w:hAnsi="Calibri" w:cs="Times New Roman"/>
              </w:rPr>
              <w:t>TESCO PLC</w:t>
            </w:r>
          </w:p>
        </w:tc>
        <w:tc>
          <w:tcPr>
            <w:tcW w:w="93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15.17%</w:t>
            </w:r>
          </w:p>
        </w:tc>
        <w:tc>
          <w:tcPr>
            <w:tcW w:w="89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8.22%</w:t>
            </w:r>
          </w:p>
        </w:tc>
        <w:tc>
          <w:tcPr>
            <w:tcW w:w="875"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11%</w:t>
            </w:r>
          </w:p>
        </w:tc>
        <w:tc>
          <w:tcPr>
            <w:tcW w:w="2286"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7.08%</w:t>
            </w:r>
          </w:p>
        </w:tc>
        <w:tc>
          <w:tcPr>
            <w:tcW w:w="2340"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8.01%</w:t>
            </w:r>
          </w:p>
        </w:tc>
      </w:tr>
      <w:tr w:rsidR="00053B85" w:rsidRPr="00AB422B" w:rsidTr="00116CF8">
        <w:trPr>
          <w:trHeight w:val="300"/>
        </w:trPr>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r w:rsidRPr="00AB422B">
              <w:rPr>
                <w:rFonts w:ascii="Calibri" w:eastAsia="Times New Roman" w:hAnsi="Calibri" w:cs="Times New Roman"/>
              </w:rPr>
              <w:t xml:space="preserve">SAINSBURY PLC </w:t>
            </w:r>
          </w:p>
        </w:tc>
        <w:tc>
          <w:tcPr>
            <w:tcW w:w="93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10.60%</w:t>
            </w:r>
          </w:p>
        </w:tc>
        <w:tc>
          <w:tcPr>
            <w:tcW w:w="89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10.62%</w:t>
            </w:r>
          </w:p>
        </w:tc>
        <w:tc>
          <w:tcPr>
            <w:tcW w:w="875"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12.22%</w:t>
            </w:r>
          </w:p>
        </w:tc>
        <w:tc>
          <w:tcPr>
            <w:tcW w:w="2286"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12.36%</w:t>
            </w:r>
          </w:p>
        </w:tc>
        <w:tc>
          <w:tcPr>
            <w:tcW w:w="2340"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1.36%</w:t>
            </w:r>
          </w:p>
        </w:tc>
      </w:tr>
      <w:tr w:rsidR="00053B85" w:rsidRPr="00AB422B" w:rsidTr="00116CF8">
        <w:trPr>
          <w:trHeight w:val="300"/>
        </w:trPr>
        <w:tc>
          <w:tcPr>
            <w:tcW w:w="873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Total asset turnover ratio</w:t>
            </w:r>
          </w:p>
        </w:tc>
      </w:tr>
      <w:tr w:rsidR="00053B85" w:rsidRPr="00AB422B" w:rsidTr="00116CF8">
        <w:trPr>
          <w:trHeight w:val="300"/>
        </w:trPr>
        <w:tc>
          <w:tcPr>
            <w:tcW w:w="1398" w:type="dxa"/>
            <w:tcBorders>
              <w:top w:val="nil"/>
              <w:left w:val="single" w:sz="4" w:space="0" w:color="auto"/>
              <w:bottom w:val="single" w:sz="4" w:space="0" w:color="auto"/>
              <w:right w:val="nil"/>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 </w:t>
            </w:r>
          </w:p>
        </w:tc>
        <w:tc>
          <w:tcPr>
            <w:tcW w:w="938" w:type="dxa"/>
            <w:tcBorders>
              <w:top w:val="nil"/>
              <w:left w:val="single" w:sz="4" w:space="0" w:color="auto"/>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2012</w:t>
            </w:r>
          </w:p>
        </w:tc>
        <w:tc>
          <w:tcPr>
            <w:tcW w:w="89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2013</w:t>
            </w:r>
          </w:p>
        </w:tc>
        <w:tc>
          <w:tcPr>
            <w:tcW w:w="875"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2014</w:t>
            </w:r>
          </w:p>
        </w:tc>
        <w:tc>
          <w:tcPr>
            <w:tcW w:w="2286"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2015</w:t>
            </w:r>
          </w:p>
        </w:tc>
        <w:tc>
          <w:tcPr>
            <w:tcW w:w="2340"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2016</w:t>
            </w:r>
          </w:p>
        </w:tc>
      </w:tr>
      <w:tr w:rsidR="00053B85" w:rsidRPr="00AB422B" w:rsidTr="00116CF8">
        <w:trPr>
          <w:trHeight w:val="300"/>
        </w:trPr>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r w:rsidRPr="00AB422B">
              <w:rPr>
                <w:rFonts w:ascii="Calibri" w:eastAsia="Times New Roman" w:hAnsi="Calibri" w:cs="Times New Roman"/>
              </w:rPr>
              <w:t>TESCO PLC</w:t>
            </w:r>
          </w:p>
        </w:tc>
        <w:tc>
          <w:tcPr>
            <w:tcW w:w="93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1.32</w:t>
            </w:r>
          </w:p>
        </w:tc>
        <w:tc>
          <w:tcPr>
            <w:tcW w:w="89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1.28</w:t>
            </w:r>
          </w:p>
        </w:tc>
        <w:tc>
          <w:tcPr>
            <w:tcW w:w="875"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1.27</w:t>
            </w:r>
          </w:p>
        </w:tc>
        <w:tc>
          <w:tcPr>
            <w:tcW w:w="2286"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1.32</w:t>
            </w:r>
          </w:p>
        </w:tc>
        <w:tc>
          <w:tcPr>
            <w:tcW w:w="2340"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1.24</w:t>
            </w:r>
          </w:p>
        </w:tc>
      </w:tr>
      <w:tr w:rsidR="00053B85" w:rsidRPr="00AB422B" w:rsidTr="00116CF8">
        <w:trPr>
          <w:trHeight w:val="300"/>
        </w:trPr>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r w:rsidRPr="00AB422B">
              <w:rPr>
                <w:rFonts w:ascii="Calibri" w:eastAsia="Times New Roman" w:hAnsi="Calibri" w:cs="Times New Roman"/>
              </w:rPr>
              <w:t xml:space="preserve">SAINSBURY PLC </w:t>
            </w:r>
          </w:p>
        </w:tc>
        <w:tc>
          <w:tcPr>
            <w:tcW w:w="93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1.88</w:t>
            </w:r>
          </w:p>
        </w:tc>
        <w:tc>
          <w:tcPr>
            <w:tcW w:w="898"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1.86</w:t>
            </w:r>
          </w:p>
        </w:tc>
        <w:tc>
          <w:tcPr>
            <w:tcW w:w="875"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1.64</w:t>
            </w:r>
          </w:p>
        </w:tc>
        <w:tc>
          <w:tcPr>
            <w:tcW w:w="2286"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1.44</w:t>
            </w:r>
          </w:p>
        </w:tc>
        <w:tc>
          <w:tcPr>
            <w:tcW w:w="2340" w:type="dxa"/>
            <w:tcBorders>
              <w:top w:val="nil"/>
              <w:left w:val="nil"/>
              <w:bottom w:val="single" w:sz="4" w:space="0" w:color="auto"/>
              <w:right w:val="single" w:sz="4" w:space="0" w:color="auto"/>
            </w:tcBorders>
            <w:shd w:val="clear" w:color="auto" w:fill="auto"/>
            <w:noWrap/>
            <w:vAlign w:val="bottom"/>
            <w:hideMark/>
          </w:tcPr>
          <w:p w:rsidR="00053B85" w:rsidRPr="00AB422B" w:rsidRDefault="00053B85" w:rsidP="00116CF8">
            <w:pPr>
              <w:spacing w:after="0" w:line="240" w:lineRule="auto"/>
              <w:jc w:val="right"/>
              <w:rPr>
                <w:rFonts w:ascii="Calibri" w:eastAsia="Times New Roman" w:hAnsi="Calibri" w:cs="Times New Roman"/>
              </w:rPr>
            </w:pPr>
            <w:r w:rsidRPr="00AB422B">
              <w:rPr>
                <w:rFonts w:ascii="Calibri" w:eastAsia="Times New Roman" w:hAnsi="Calibri" w:cs="Times New Roman"/>
              </w:rPr>
              <w:t>1.4</w:t>
            </w:r>
          </w:p>
        </w:tc>
      </w:tr>
      <w:tr w:rsidR="00053B85" w:rsidRPr="00AB422B" w:rsidTr="00116CF8">
        <w:trPr>
          <w:trHeight w:val="300"/>
        </w:trPr>
        <w:tc>
          <w:tcPr>
            <w:tcW w:w="873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Interest Coverage</w:t>
            </w:r>
          </w:p>
        </w:tc>
      </w:tr>
      <w:tr w:rsidR="00053B85" w:rsidRPr="00AB422B" w:rsidTr="00116CF8">
        <w:trPr>
          <w:trHeight w:val="300"/>
        </w:trPr>
        <w:tc>
          <w:tcPr>
            <w:tcW w:w="1398" w:type="dxa"/>
            <w:tcBorders>
              <w:top w:val="nil"/>
              <w:left w:val="single" w:sz="4" w:space="0" w:color="auto"/>
              <w:bottom w:val="single" w:sz="4" w:space="0" w:color="auto"/>
              <w:right w:val="nil"/>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 </w:t>
            </w:r>
          </w:p>
        </w:tc>
        <w:tc>
          <w:tcPr>
            <w:tcW w:w="938" w:type="dxa"/>
            <w:tcBorders>
              <w:top w:val="nil"/>
              <w:left w:val="single" w:sz="4" w:space="0" w:color="auto"/>
              <w:bottom w:val="nil"/>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2012</w:t>
            </w:r>
          </w:p>
        </w:tc>
        <w:tc>
          <w:tcPr>
            <w:tcW w:w="898" w:type="dxa"/>
            <w:tcBorders>
              <w:top w:val="nil"/>
              <w:left w:val="nil"/>
              <w:bottom w:val="nil"/>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2013</w:t>
            </w:r>
          </w:p>
        </w:tc>
        <w:tc>
          <w:tcPr>
            <w:tcW w:w="875" w:type="dxa"/>
            <w:tcBorders>
              <w:top w:val="nil"/>
              <w:left w:val="nil"/>
              <w:bottom w:val="nil"/>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2014</w:t>
            </w:r>
          </w:p>
        </w:tc>
        <w:tc>
          <w:tcPr>
            <w:tcW w:w="2286" w:type="dxa"/>
            <w:tcBorders>
              <w:top w:val="nil"/>
              <w:left w:val="nil"/>
              <w:bottom w:val="nil"/>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2015</w:t>
            </w:r>
          </w:p>
        </w:tc>
        <w:tc>
          <w:tcPr>
            <w:tcW w:w="2340" w:type="dxa"/>
            <w:tcBorders>
              <w:top w:val="nil"/>
              <w:left w:val="nil"/>
              <w:bottom w:val="nil"/>
              <w:right w:val="single" w:sz="4" w:space="0" w:color="auto"/>
            </w:tcBorders>
            <w:shd w:val="clear" w:color="auto" w:fill="auto"/>
            <w:noWrap/>
            <w:vAlign w:val="bottom"/>
            <w:hideMark/>
          </w:tcPr>
          <w:p w:rsidR="00053B85" w:rsidRPr="00AB422B" w:rsidRDefault="00053B85" w:rsidP="00116CF8">
            <w:pPr>
              <w:spacing w:after="0" w:line="240" w:lineRule="auto"/>
              <w:jc w:val="center"/>
              <w:rPr>
                <w:rFonts w:ascii="Calibri" w:eastAsia="Times New Roman" w:hAnsi="Calibri" w:cs="Times New Roman"/>
                <w:b/>
                <w:bCs/>
              </w:rPr>
            </w:pPr>
            <w:r w:rsidRPr="00AB422B">
              <w:rPr>
                <w:rFonts w:ascii="Calibri" w:eastAsia="Times New Roman" w:hAnsi="Calibri" w:cs="Times New Roman"/>
                <w:b/>
                <w:bCs/>
              </w:rPr>
              <w:t>2016</w:t>
            </w:r>
          </w:p>
        </w:tc>
      </w:tr>
      <w:tr w:rsidR="00053B85" w:rsidRPr="00AB422B" w:rsidTr="00116CF8">
        <w:trPr>
          <w:trHeight w:val="315"/>
        </w:trPr>
        <w:tc>
          <w:tcPr>
            <w:tcW w:w="1398" w:type="dxa"/>
            <w:tcBorders>
              <w:top w:val="nil"/>
              <w:left w:val="single" w:sz="4" w:space="0" w:color="auto"/>
              <w:bottom w:val="single" w:sz="4" w:space="0" w:color="auto"/>
              <w:right w:val="nil"/>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r w:rsidRPr="00AB422B">
              <w:rPr>
                <w:rFonts w:ascii="Calibri" w:eastAsia="Times New Roman" w:hAnsi="Calibri" w:cs="Times New Roman"/>
              </w:rPr>
              <w:t>TESCO PLC</w:t>
            </w:r>
          </w:p>
        </w:tc>
        <w:tc>
          <w:tcPr>
            <w:tcW w:w="938" w:type="dxa"/>
            <w:tcBorders>
              <w:top w:val="single" w:sz="4" w:space="0" w:color="auto"/>
              <w:left w:val="single" w:sz="4" w:space="0" w:color="auto"/>
              <w:bottom w:val="single" w:sz="4" w:space="0" w:color="auto"/>
              <w:right w:val="single" w:sz="4" w:space="0" w:color="auto"/>
            </w:tcBorders>
            <w:shd w:val="clear" w:color="auto" w:fill="auto"/>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10.2</w:t>
            </w:r>
          </w:p>
        </w:tc>
        <w:tc>
          <w:tcPr>
            <w:tcW w:w="898" w:type="dxa"/>
            <w:tcBorders>
              <w:top w:val="single" w:sz="4" w:space="0" w:color="auto"/>
              <w:left w:val="nil"/>
              <w:bottom w:val="single" w:sz="4" w:space="0" w:color="auto"/>
              <w:right w:val="single" w:sz="4" w:space="0" w:color="auto"/>
            </w:tcBorders>
            <w:shd w:val="clear" w:color="auto" w:fill="auto"/>
            <w:noWrap/>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5.4</w:t>
            </w:r>
          </w:p>
        </w:tc>
        <w:tc>
          <w:tcPr>
            <w:tcW w:w="875" w:type="dxa"/>
            <w:tcBorders>
              <w:top w:val="single" w:sz="4" w:space="0" w:color="auto"/>
              <w:left w:val="nil"/>
              <w:bottom w:val="single" w:sz="4" w:space="0" w:color="auto"/>
              <w:right w:val="single" w:sz="4" w:space="0" w:color="auto"/>
            </w:tcBorders>
            <w:shd w:val="clear" w:color="auto" w:fill="auto"/>
            <w:noWrap/>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6.05</w:t>
            </w:r>
          </w:p>
        </w:tc>
        <w:tc>
          <w:tcPr>
            <w:tcW w:w="2286" w:type="dxa"/>
            <w:tcBorders>
              <w:top w:val="single" w:sz="4" w:space="0" w:color="auto"/>
              <w:left w:val="nil"/>
              <w:bottom w:val="single" w:sz="4" w:space="0" w:color="auto"/>
              <w:right w:val="single" w:sz="4" w:space="0" w:color="auto"/>
            </w:tcBorders>
            <w:shd w:val="clear" w:color="auto" w:fill="auto"/>
            <w:noWrap/>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-11.78</w:t>
            </w:r>
          </w:p>
        </w:tc>
        <w:tc>
          <w:tcPr>
            <w:tcW w:w="2340" w:type="dxa"/>
            <w:tcBorders>
              <w:top w:val="single" w:sz="4" w:space="0" w:color="auto"/>
              <w:left w:val="nil"/>
              <w:bottom w:val="single" w:sz="4" w:space="0" w:color="auto"/>
              <w:right w:val="single" w:sz="4" w:space="0" w:color="auto"/>
            </w:tcBorders>
            <w:shd w:val="clear" w:color="auto" w:fill="auto"/>
            <w:hideMark/>
          </w:tcPr>
          <w:p w:rsidR="00053B85" w:rsidRPr="00AB422B" w:rsidRDefault="00053B85" w:rsidP="00116CF8">
            <w:pPr>
              <w:spacing w:after="0" w:line="240" w:lineRule="auto"/>
              <w:jc w:val="right"/>
              <w:rPr>
                <w:rFonts w:ascii="Times New Roman" w:eastAsia="Times New Roman" w:hAnsi="Times New Roman" w:cs="Times New Roman"/>
                <w:sz w:val="24"/>
                <w:szCs w:val="24"/>
              </w:rPr>
            </w:pPr>
            <w:r w:rsidRPr="00AB422B">
              <w:rPr>
                <w:rFonts w:ascii="Times New Roman" w:eastAsia="Times New Roman" w:hAnsi="Times New Roman" w:cs="Times New Roman"/>
                <w:sz w:val="24"/>
                <w:szCs w:val="24"/>
              </w:rPr>
              <w:t>1.33</w:t>
            </w:r>
          </w:p>
        </w:tc>
      </w:tr>
      <w:tr w:rsidR="00053B85" w:rsidRPr="00AB422B" w:rsidTr="00116CF8">
        <w:trPr>
          <w:trHeight w:val="300"/>
        </w:trPr>
        <w:tc>
          <w:tcPr>
            <w:tcW w:w="1398" w:type="dxa"/>
            <w:tcBorders>
              <w:top w:val="nil"/>
              <w:left w:val="single" w:sz="4" w:space="0" w:color="auto"/>
              <w:bottom w:val="single" w:sz="4" w:space="0" w:color="auto"/>
              <w:right w:val="nil"/>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r w:rsidRPr="00AB422B">
              <w:rPr>
                <w:rFonts w:ascii="Calibri" w:eastAsia="Times New Roman" w:hAnsi="Calibri" w:cs="Times New Roman"/>
              </w:rPr>
              <w:t xml:space="preserve">SAINSBURY PLC </w:t>
            </w:r>
          </w:p>
        </w:tc>
        <w:tc>
          <w:tcPr>
            <w:tcW w:w="938" w:type="dxa"/>
            <w:tcBorders>
              <w:top w:val="nil"/>
              <w:left w:val="single" w:sz="4" w:space="0" w:color="auto"/>
              <w:bottom w:val="single" w:sz="4" w:space="0" w:color="auto"/>
              <w:right w:val="single" w:sz="4" w:space="0" w:color="auto"/>
            </w:tcBorders>
            <w:shd w:val="clear" w:color="auto" w:fill="auto"/>
            <w:hideMark/>
          </w:tcPr>
          <w:p w:rsidR="00053B85" w:rsidRPr="00AB422B" w:rsidRDefault="00053B85" w:rsidP="00116CF8">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7.44</w:t>
            </w:r>
          </w:p>
        </w:tc>
        <w:tc>
          <w:tcPr>
            <w:tcW w:w="898" w:type="dxa"/>
            <w:tcBorders>
              <w:top w:val="nil"/>
              <w:left w:val="nil"/>
              <w:bottom w:val="single" w:sz="4" w:space="0" w:color="auto"/>
              <w:right w:val="single" w:sz="4" w:space="0" w:color="auto"/>
            </w:tcBorders>
            <w:shd w:val="clear" w:color="auto" w:fill="auto"/>
            <w:hideMark/>
          </w:tcPr>
          <w:p w:rsidR="00053B85" w:rsidRPr="00AB422B" w:rsidRDefault="00053B85" w:rsidP="00116CF8">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7.16</w:t>
            </w:r>
          </w:p>
        </w:tc>
        <w:tc>
          <w:tcPr>
            <w:tcW w:w="875" w:type="dxa"/>
            <w:tcBorders>
              <w:top w:val="nil"/>
              <w:left w:val="nil"/>
              <w:bottom w:val="single" w:sz="4" w:space="0" w:color="auto"/>
              <w:right w:val="single" w:sz="4" w:space="0" w:color="auto"/>
            </w:tcBorders>
            <w:shd w:val="clear" w:color="auto" w:fill="auto"/>
            <w:hideMark/>
          </w:tcPr>
          <w:p w:rsidR="00053B85" w:rsidRPr="00AB422B" w:rsidRDefault="00053B85" w:rsidP="00116CF8">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7.86</w:t>
            </w:r>
          </w:p>
        </w:tc>
        <w:tc>
          <w:tcPr>
            <w:tcW w:w="2286" w:type="dxa"/>
            <w:tcBorders>
              <w:top w:val="nil"/>
              <w:left w:val="nil"/>
              <w:bottom w:val="single" w:sz="4" w:space="0" w:color="auto"/>
              <w:right w:val="single" w:sz="4" w:space="0" w:color="auto"/>
            </w:tcBorders>
            <w:shd w:val="clear" w:color="auto" w:fill="auto"/>
            <w:hideMark/>
          </w:tcPr>
          <w:p w:rsidR="00053B85" w:rsidRPr="00AB422B" w:rsidRDefault="00053B85" w:rsidP="00116CF8">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0.41</w:t>
            </w:r>
          </w:p>
        </w:tc>
        <w:tc>
          <w:tcPr>
            <w:tcW w:w="2340" w:type="dxa"/>
            <w:tcBorders>
              <w:top w:val="nil"/>
              <w:left w:val="nil"/>
              <w:bottom w:val="single" w:sz="4" w:space="0" w:color="auto"/>
              <w:right w:val="single" w:sz="4" w:space="0" w:color="auto"/>
            </w:tcBorders>
            <w:shd w:val="clear" w:color="auto" w:fill="auto"/>
            <w:hideMark/>
          </w:tcPr>
          <w:p w:rsidR="00053B85" w:rsidRPr="00AB422B" w:rsidRDefault="00053B85" w:rsidP="00116CF8">
            <w:pPr>
              <w:spacing w:after="0" w:line="240" w:lineRule="auto"/>
              <w:jc w:val="right"/>
              <w:rPr>
                <w:rFonts w:ascii="Verdana" w:eastAsia="Times New Roman" w:hAnsi="Verdana" w:cs="Times New Roman"/>
                <w:sz w:val="16"/>
                <w:szCs w:val="16"/>
              </w:rPr>
            </w:pPr>
            <w:r w:rsidRPr="00AB422B">
              <w:rPr>
                <w:rFonts w:ascii="Verdana" w:eastAsia="Times New Roman" w:hAnsi="Verdana" w:cs="Times New Roman"/>
                <w:sz w:val="16"/>
                <w:szCs w:val="16"/>
              </w:rPr>
              <w:t>5.57</w:t>
            </w:r>
          </w:p>
        </w:tc>
      </w:tr>
      <w:tr w:rsidR="00053B85" w:rsidRPr="00AB422B" w:rsidTr="00116CF8">
        <w:trPr>
          <w:trHeight w:val="300"/>
        </w:trPr>
        <w:tc>
          <w:tcPr>
            <w:tcW w:w="1398" w:type="dxa"/>
            <w:tcBorders>
              <w:top w:val="nil"/>
              <w:left w:val="nil"/>
              <w:bottom w:val="nil"/>
              <w:right w:val="nil"/>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p>
        </w:tc>
        <w:tc>
          <w:tcPr>
            <w:tcW w:w="938" w:type="dxa"/>
            <w:tcBorders>
              <w:top w:val="nil"/>
              <w:left w:val="nil"/>
              <w:bottom w:val="nil"/>
              <w:right w:val="nil"/>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p>
        </w:tc>
        <w:tc>
          <w:tcPr>
            <w:tcW w:w="898" w:type="dxa"/>
            <w:tcBorders>
              <w:top w:val="nil"/>
              <w:left w:val="nil"/>
              <w:bottom w:val="nil"/>
              <w:right w:val="nil"/>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p>
        </w:tc>
        <w:tc>
          <w:tcPr>
            <w:tcW w:w="875" w:type="dxa"/>
            <w:tcBorders>
              <w:top w:val="nil"/>
              <w:left w:val="nil"/>
              <w:bottom w:val="nil"/>
              <w:right w:val="nil"/>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p>
        </w:tc>
        <w:tc>
          <w:tcPr>
            <w:tcW w:w="2286" w:type="dxa"/>
            <w:tcBorders>
              <w:top w:val="nil"/>
              <w:left w:val="nil"/>
              <w:bottom w:val="nil"/>
              <w:right w:val="nil"/>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p>
        </w:tc>
        <w:tc>
          <w:tcPr>
            <w:tcW w:w="2340" w:type="dxa"/>
            <w:tcBorders>
              <w:top w:val="nil"/>
              <w:left w:val="nil"/>
              <w:bottom w:val="nil"/>
              <w:right w:val="nil"/>
            </w:tcBorders>
            <w:shd w:val="clear" w:color="auto" w:fill="auto"/>
            <w:noWrap/>
            <w:vAlign w:val="bottom"/>
            <w:hideMark/>
          </w:tcPr>
          <w:p w:rsidR="00053B85" w:rsidRPr="00AB422B" w:rsidRDefault="00053B85" w:rsidP="00116CF8">
            <w:pPr>
              <w:spacing w:after="0" w:line="240" w:lineRule="auto"/>
              <w:rPr>
                <w:rFonts w:ascii="Calibri" w:eastAsia="Times New Roman" w:hAnsi="Calibri" w:cs="Times New Roman"/>
              </w:rPr>
            </w:pPr>
          </w:p>
        </w:tc>
      </w:tr>
    </w:tbl>
    <w:p w:rsidR="00053B85" w:rsidRPr="00AB422B" w:rsidRDefault="00053B85" w:rsidP="00D23265"/>
    <w:p w:rsidR="00D23265" w:rsidRPr="00AB422B" w:rsidRDefault="00D23265" w:rsidP="00D23265">
      <w:pPr>
        <w:pStyle w:val="Heading1"/>
        <w:rPr>
          <w:color w:val="auto"/>
        </w:rPr>
      </w:pPr>
      <w:bookmarkStart w:id="24" w:name="_Toc502257280"/>
      <w:r w:rsidRPr="00AB422B">
        <w:rPr>
          <w:color w:val="auto"/>
        </w:rPr>
        <w:lastRenderedPageBreak/>
        <w:t>Lists of figures</w:t>
      </w:r>
      <w:bookmarkEnd w:id="24"/>
      <w:r w:rsidRPr="00AB422B">
        <w:rPr>
          <w:color w:val="auto"/>
        </w:rPr>
        <w:t xml:space="preserve"> </w:t>
      </w:r>
    </w:p>
    <w:p w:rsidR="00D23265" w:rsidRPr="00AB422B" w:rsidRDefault="00D23265" w:rsidP="00D23265">
      <w:pPr>
        <w:pStyle w:val="Heading3"/>
        <w:rPr>
          <w:color w:val="auto"/>
        </w:rPr>
      </w:pPr>
      <w:bookmarkStart w:id="25" w:name="_Toc502257281"/>
      <w:r w:rsidRPr="00AB422B">
        <w:rPr>
          <w:color w:val="auto"/>
        </w:rPr>
        <w:t>Fig 1.1: Tesco plc stores</w:t>
      </w:r>
      <w:bookmarkEnd w:id="25"/>
      <w:r w:rsidRPr="00AB422B">
        <w:rPr>
          <w:color w:val="auto"/>
        </w:rPr>
        <w:t xml:space="preserve"> </w:t>
      </w:r>
    </w:p>
    <w:p w:rsidR="00D23265" w:rsidRPr="00AB422B" w:rsidRDefault="00D23265" w:rsidP="00D23265">
      <w:pPr>
        <w:pStyle w:val="Heading3"/>
        <w:rPr>
          <w:color w:val="auto"/>
        </w:rPr>
      </w:pPr>
      <w:bookmarkStart w:id="26" w:name="_Toc502257282"/>
      <w:r w:rsidRPr="00AB422B">
        <w:rPr>
          <w:color w:val="auto"/>
        </w:rPr>
        <w:t>Fig 1.2: Tesco plc stores</w:t>
      </w:r>
      <w:bookmarkEnd w:id="26"/>
      <w:r w:rsidRPr="00AB422B">
        <w:rPr>
          <w:color w:val="auto"/>
        </w:rPr>
        <w:t xml:space="preserve"> </w:t>
      </w:r>
    </w:p>
    <w:p w:rsidR="00D23265" w:rsidRPr="00AB422B" w:rsidRDefault="00D23265" w:rsidP="00D23265">
      <w:pPr>
        <w:pStyle w:val="Heading3"/>
        <w:rPr>
          <w:color w:val="auto"/>
        </w:rPr>
      </w:pPr>
      <w:bookmarkStart w:id="27" w:name="_Toc502257283"/>
      <w:r w:rsidRPr="00AB422B">
        <w:rPr>
          <w:color w:val="auto"/>
        </w:rPr>
        <w:t>Fig1.3. Sales performance</w:t>
      </w:r>
      <w:bookmarkEnd w:id="27"/>
      <w:r w:rsidRPr="00AB422B">
        <w:rPr>
          <w:color w:val="auto"/>
        </w:rPr>
        <w:t xml:space="preserve"> </w:t>
      </w:r>
      <w:r w:rsidRPr="00AB422B">
        <w:rPr>
          <w:color w:val="auto"/>
        </w:rPr>
        <w:tab/>
      </w:r>
    </w:p>
    <w:p w:rsidR="00D23265" w:rsidRPr="00AB422B" w:rsidRDefault="00D23265" w:rsidP="00D23265">
      <w:pPr>
        <w:pStyle w:val="Heading3"/>
        <w:rPr>
          <w:color w:val="auto"/>
        </w:rPr>
      </w:pPr>
      <w:bookmarkStart w:id="28" w:name="_Toc502257284"/>
      <w:r w:rsidRPr="00AB422B">
        <w:rPr>
          <w:color w:val="auto"/>
        </w:rPr>
        <w:t>Fig 1.4: profits performance</w:t>
      </w:r>
      <w:bookmarkEnd w:id="28"/>
      <w:r w:rsidRPr="00AB422B">
        <w:rPr>
          <w:color w:val="auto"/>
        </w:rPr>
        <w:t xml:space="preserve"> </w:t>
      </w:r>
    </w:p>
    <w:p w:rsidR="00D23265" w:rsidRPr="00AB422B" w:rsidRDefault="00D23265" w:rsidP="00D23265">
      <w:pPr>
        <w:pStyle w:val="Heading3"/>
        <w:rPr>
          <w:color w:val="auto"/>
        </w:rPr>
      </w:pPr>
      <w:bookmarkStart w:id="29" w:name="_Toc502257285"/>
      <w:r w:rsidRPr="00AB422B">
        <w:rPr>
          <w:color w:val="auto"/>
        </w:rPr>
        <w:t>Fig 1.5: cash flow performance</w:t>
      </w:r>
      <w:bookmarkEnd w:id="29"/>
      <w:r w:rsidRPr="00AB422B">
        <w:rPr>
          <w:color w:val="auto"/>
        </w:rPr>
        <w:t xml:space="preserve"> </w:t>
      </w:r>
    </w:p>
    <w:p w:rsidR="00D23265" w:rsidRPr="00AB422B" w:rsidRDefault="00D23265" w:rsidP="00D23265">
      <w:pPr>
        <w:pStyle w:val="Heading3"/>
        <w:rPr>
          <w:i/>
          <w:color w:val="auto"/>
        </w:rPr>
      </w:pPr>
      <w:bookmarkStart w:id="30" w:name="_Toc502257286"/>
      <w:r w:rsidRPr="00AB422B">
        <w:rPr>
          <w:i/>
          <w:color w:val="auto"/>
        </w:rPr>
        <w:t>Fig2.1: profatilbity ratios</w:t>
      </w:r>
      <w:bookmarkEnd w:id="30"/>
      <w:r w:rsidRPr="00AB422B">
        <w:rPr>
          <w:i/>
          <w:color w:val="auto"/>
        </w:rPr>
        <w:t xml:space="preserve">  </w:t>
      </w:r>
    </w:p>
    <w:p w:rsidR="00D23265" w:rsidRPr="00AB422B" w:rsidRDefault="00D23265" w:rsidP="00D23265">
      <w:pPr>
        <w:pStyle w:val="Heading3"/>
        <w:rPr>
          <w:color w:val="auto"/>
        </w:rPr>
      </w:pPr>
      <w:bookmarkStart w:id="31" w:name="_Toc502257287"/>
      <w:r w:rsidRPr="00AB422B">
        <w:rPr>
          <w:color w:val="auto"/>
        </w:rPr>
        <w:t>Fig2.2: liquidity ratios</w:t>
      </w:r>
      <w:bookmarkEnd w:id="31"/>
    </w:p>
    <w:p w:rsidR="00D23265" w:rsidRPr="00AB422B" w:rsidRDefault="00D23265" w:rsidP="00D23265">
      <w:pPr>
        <w:pStyle w:val="Heading3"/>
        <w:rPr>
          <w:noProof/>
          <w:color w:val="auto"/>
        </w:rPr>
      </w:pPr>
      <w:bookmarkStart w:id="32" w:name="_Toc502257288"/>
      <w:r w:rsidRPr="00AB422B">
        <w:rPr>
          <w:noProof/>
          <w:color w:val="auto"/>
        </w:rPr>
        <w:t>Fig2.3:</w:t>
      </w:r>
      <w:r w:rsidRPr="00AB422B">
        <w:rPr>
          <w:color w:val="auto"/>
        </w:rPr>
        <w:t xml:space="preserve"> Efficiency ratios</w:t>
      </w:r>
      <w:bookmarkEnd w:id="32"/>
    </w:p>
    <w:p w:rsidR="00D23265" w:rsidRPr="00AB422B" w:rsidRDefault="00D23265" w:rsidP="00D23265">
      <w:pPr>
        <w:pStyle w:val="Heading3"/>
        <w:rPr>
          <w:color w:val="auto"/>
        </w:rPr>
      </w:pPr>
      <w:bookmarkStart w:id="33" w:name="_Toc502257289"/>
      <w:r w:rsidRPr="00AB422B">
        <w:rPr>
          <w:color w:val="auto"/>
        </w:rPr>
        <w:t>Fig2.4 gearing ratios</w:t>
      </w:r>
      <w:bookmarkEnd w:id="33"/>
    </w:p>
    <w:p w:rsidR="00D23265" w:rsidRPr="00AB422B" w:rsidRDefault="00D23265" w:rsidP="00D23265">
      <w:pPr>
        <w:pStyle w:val="Heading3"/>
        <w:rPr>
          <w:color w:val="auto"/>
        </w:rPr>
      </w:pPr>
      <w:bookmarkStart w:id="34" w:name="_Toc502257290"/>
      <w:r w:rsidRPr="00AB422B">
        <w:rPr>
          <w:color w:val="auto"/>
        </w:rPr>
        <w:t>Fig3.1 profitability ratios of Tesco plc and Sainsbury plc</w:t>
      </w:r>
      <w:bookmarkEnd w:id="34"/>
      <w:r w:rsidRPr="00AB422B">
        <w:rPr>
          <w:color w:val="auto"/>
        </w:rPr>
        <w:t xml:space="preserve">  </w:t>
      </w:r>
    </w:p>
    <w:p w:rsidR="00D23265" w:rsidRPr="00AB422B" w:rsidRDefault="00D23265" w:rsidP="00D23265">
      <w:pPr>
        <w:pStyle w:val="Heading3"/>
        <w:rPr>
          <w:color w:val="auto"/>
        </w:rPr>
      </w:pPr>
      <w:bookmarkStart w:id="35" w:name="_Toc502257291"/>
      <w:r w:rsidRPr="00AB422B">
        <w:rPr>
          <w:color w:val="auto"/>
        </w:rPr>
        <w:t>Fig3.2 liquidity ratios of Tesco plc and Sainsbury plc</w:t>
      </w:r>
      <w:bookmarkEnd w:id="35"/>
      <w:r w:rsidRPr="00AB422B">
        <w:rPr>
          <w:color w:val="auto"/>
        </w:rPr>
        <w:t xml:space="preserve">  </w:t>
      </w:r>
    </w:p>
    <w:p w:rsidR="00D23265" w:rsidRPr="00AB422B" w:rsidRDefault="00D23265" w:rsidP="00D23265">
      <w:pPr>
        <w:pStyle w:val="Heading3"/>
        <w:rPr>
          <w:color w:val="auto"/>
        </w:rPr>
      </w:pPr>
      <w:bookmarkStart w:id="36" w:name="_Toc502257292"/>
      <w:r w:rsidRPr="00AB422B">
        <w:rPr>
          <w:color w:val="auto"/>
        </w:rPr>
        <w:t>Fig3.3 Efficiency ratios of Tesco plc and Sainsbury plc</w:t>
      </w:r>
      <w:bookmarkEnd w:id="36"/>
      <w:r w:rsidRPr="00AB422B">
        <w:rPr>
          <w:color w:val="auto"/>
        </w:rPr>
        <w:t xml:space="preserve">  </w:t>
      </w:r>
    </w:p>
    <w:p w:rsidR="00D23265" w:rsidRPr="00AB422B" w:rsidRDefault="00D23265" w:rsidP="00D23265">
      <w:pPr>
        <w:pStyle w:val="Heading3"/>
        <w:rPr>
          <w:color w:val="auto"/>
        </w:rPr>
      </w:pPr>
      <w:bookmarkStart w:id="37" w:name="_Toc502257293"/>
      <w:r w:rsidRPr="00AB422B">
        <w:rPr>
          <w:color w:val="auto"/>
        </w:rPr>
        <w:t>Fig3.4 Gearing ratios of Tesco plc and Sainsbury plc</w:t>
      </w:r>
      <w:bookmarkEnd w:id="37"/>
      <w:r w:rsidRPr="00AB422B">
        <w:rPr>
          <w:color w:val="auto"/>
        </w:rPr>
        <w:t xml:space="preserve">  </w:t>
      </w:r>
    </w:p>
    <w:p w:rsidR="00D23265" w:rsidRPr="00AB422B" w:rsidRDefault="00D23265" w:rsidP="00D23265"/>
    <w:sectPr w:rsidR="00D23265" w:rsidRPr="00AB422B" w:rsidSect="00FE712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mailMerge>
    <w:mainDocumentType w:val="formLetters"/>
    <w:dataType w:val="textFile"/>
    <w:activeRecord w:val="-1"/>
  </w:mailMerge>
  <w:defaultTabStop w:val="720"/>
  <w:characterSpacingControl w:val="doNotCompress"/>
  <w:compat>
    <w:useFELayout/>
  </w:compat>
  <w:rsids>
    <w:rsidRoot w:val="004111AE"/>
    <w:rsid w:val="00000C43"/>
    <w:rsid w:val="00002276"/>
    <w:rsid w:val="00013C8D"/>
    <w:rsid w:val="00013EE2"/>
    <w:rsid w:val="00017685"/>
    <w:rsid w:val="00032C91"/>
    <w:rsid w:val="000371E3"/>
    <w:rsid w:val="00042D44"/>
    <w:rsid w:val="00045749"/>
    <w:rsid w:val="00046190"/>
    <w:rsid w:val="00052B19"/>
    <w:rsid w:val="00053B85"/>
    <w:rsid w:val="00055889"/>
    <w:rsid w:val="000628E7"/>
    <w:rsid w:val="000702A5"/>
    <w:rsid w:val="0007521A"/>
    <w:rsid w:val="00083D6E"/>
    <w:rsid w:val="000947D5"/>
    <w:rsid w:val="00096834"/>
    <w:rsid w:val="00096B2C"/>
    <w:rsid w:val="000A170A"/>
    <w:rsid w:val="000C051C"/>
    <w:rsid w:val="000D4A16"/>
    <w:rsid w:val="000D5D2D"/>
    <w:rsid w:val="000D6EDD"/>
    <w:rsid w:val="000E1CBC"/>
    <w:rsid w:val="000E6214"/>
    <w:rsid w:val="00103EBF"/>
    <w:rsid w:val="00107E56"/>
    <w:rsid w:val="001103DA"/>
    <w:rsid w:val="00112F56"/>
    <w:rsid w:val="001140DD"/>
    <w:rsid w:val="0011569A"/>
    <w:rsid w:val="00116CF8"/>
    <w:rsid w:val="001212DB"/>
    <w:rsid w:val="00121569"/>
    <w:rsid w:val="00121B5B"/>
    <w:rsid w:val="00124BAC"/>
    <w:rsid w:val="00125210"/>
    <w:rsid w:val="00125569"/>
    <w:rsid w:val="00134C1F"/>
    <w:rsid w:val="001367F0"/>
    <w:rsid w:val="00143583"/>
    <w:rsid w:val="00146EBF"/>
    <w:rsid w:val="00150155"/>
    <w:rsid w:val="00151712"/>
    <w:rsid w:val="00152B0C"/>
    <w:rsid w:val="00162375"/>
    <w:rsid w:val="0017090B"/>
    <w:rsid w:val="00172FEC"/>
    <w:rsid w:val="00185251"/>
    <w:rsid w:val="00196351"/>
    <w:rsid w:val="00196722"/>
    <w:rsid w:val="00197975"/>
    <w:rsid w:val="001B352A"/>
    <w:rsid w:val="001B7F85"/>
    <w:rsid w:val="001C422E"/>
    <w:rsid w:val="001C71FB"/>
    <w:rsid w:val="001C77F5"/>
    <w:rsid w:val="001D72A3"/>
    <w:rsid w:val="001D7B38"/>
    <w:rsid w:val="001E0962"/>
    <w:rsid w:val="001E199A"/>
    <w:rsid w:val="001E2700"/>
    <w:rsid w:val="001F34BD"/>
    <w:rsid w:val="001F6806"/>
    <w:rsid w:val="001F79DC"/>
    <w:rsid w:val="0020198E"/>
    <w:rsid w:val="00203E63"/>
    <w:rsid w:val="00206621"/>
    <w:rsid w:val="002324B9"/>
    <w:rsid w:val="002327A4"/>
    <w:rsid w:val="0023389B"/>
    <w:rsid w:val="002358DB"/>
    <w:rsid w:val="002519EE"/>
    <w:rsid w:val="0025390F"/>
    <w:rsid w:val="002543AA"/>
    <w:rsid w:val="002568CB"/>
    <w:rsid w:val="0025781E"/>
    <w:rsid w:val="00265CB2"/>
    <w:rsid w:val="002726F7"/>
    <w:rsid w:val="0027461B"/>
    <w:rsid w:val="00274C09"/>
    <w:rsid w:val="002819A2"/>
    <w:rsid w:val="002855A0"/>
    <w:rsid w:val="00285635"/>
    <w:rsid w:val="002858A6"/>
    <w:rsid w:val="00291360"/>
    <w:rsid w:val="00292450"/>
    <w:rsid w:val="002A4941"/>
    <w:rsid w:val="002B3B73"/>
    <w:rsid w:val="002B4113"/>
    <w:rsid w:val="002C1054"/>
    <w:rsid w:val="002C56DC"/>
    <w:rsid w:val="002D48E2"/>
    <w:rsid w:val="00303703"/>
    <w:rsid w:val="00303ABA"/>
    <w:rsid w:val="003251E1"/>
    <w:rsid w:val="00325D50"/>
    <w:rsid w:val="00327640"/>
    <w:rsid w:val="00336077"/>
    <w:rsid w:val="0033672F"/>
    <w:rsid w:val="00337259"/>
    <w:rsid w:val="0035259F"/>
    <w:rsid w:val="00362406"/>
    <w:rsid w:val="0036476A"/>
    <w:rsid w:val="00376A77"/>
    <w:rsid w:val="00381259"/>
    <w:rsid w:val="00383D59"/>
    <w:rsid w:val="0038434E"/>
    <w:rsid w:val="00387FF0"/>
    <w:rsid w:val="00390AEF"/>
    <w:rsid w:val="003A3665"/>
    <w:rsid w:val="003B75B1"/>
    <w:rsid w:val="003C0A8E"/>
    <w:rsid w:val="003C210E"/>
    <w:rsid w:val="003C6E55"/>
    <w:rsid w:val="003D0F32"/>
    <w:rsid w:val="003E15D7"/>
    <w:rsid w:val="00405C3B"/>
    <w:rsid w:val="0041035F"/>
    <w:rsid w:val="004111AE"/>
    <w:rsid w:val="00425188"/>
    <w:rsid w:val="0042789F"/>
    <w:rsid w:val="00451DCA"/>
    <w:rsid w:val="00452F78"/>
    <w:rsid w:val="00460E0F"/>
    <w:rsid w:val="00461E3C"/>
    <w:rsid w:val="00494D72"/>
    <w:rsid w:val="004A2174"/>
    <w:rsid w:val="004A246C"/>
    <w:rsid w:val="004A57F2"/>
    <w:rsid w:val="004B4AB1"/>
    <w:rsid w:val="004C333D"/>
    <w:rsid w:val="004C4D91"/>
    <w:rsid w:val="004C69CD"/>
    <w:rsid w:val="004E5B10"/>
    <w:rsid w:val="004F412C"/>
    <w:rsid w:val="004F4C09"/>
    <w:rsid w:val="004F7325"/>
    <w:rsid w:val="00507249"/>
    <w:rsid w:val="00514FB8"/>
    <w:rsid w:val="005160F6"/>
    <w:rsid w:val="005265BB"/>
    <w:rsid w:val="00532040"/>
    <w:rsid w:val="00532784"/>
    <w:rsid w:val="00532910"/>
    <w:rsid w:val="00544D88"/>
    <w:rsid w:val="00547025"/>
    <w:rsid w:val="005801FF"/>
    <w:rsid w:val="005905A6"/>
    <w:rsid w:val="00595FAC"/>
    <w:rsid w:val="005960A7"/>
    <w:rsid w:val="00597808"/>
    <w:rsid w:val="005A0162"/>
    <w:rsid w:val="005A0B2C"/>
    <w:rsid w:val="005A6C57"/>
    <w:rsid w:val="005B203A"/>
    <w:rsid w:val="005B2269"/>
    <w:rsid w:val="005B377E"/>
    <w:rsid w:val="005C408A"/>
    <w:rsid w:val="005D3BBC"/>
    <w:rsid w:val="005D430C"/>
    <w:rsid w:val="005E3F6D"/>
    <w:rsid w:val="005E6755"/>
    <w:rsid w:val="006100A1"/>
    <w:rsid w:val="0061334B"/>
    <w:rsid w:val="006142E5"/>
    <w:rsid w:val="0062126E"/>
    <w:rsid w:val="00621546"/>
    <w:rsid w:val="006239EF"/>
    <w:rsid w:val="00636641"/>
    <w:rsid w:val="00643EEF"/>
    <w:rsid w:val="006469A5"/>
    <w:rsid w:val="006473CE"/>
    <w:rsid w:val="0065070D"/>
    <w:rsid w:val="006523A4"/>
    <w:rsid w:val="006B2A60"/>
    <w:rsid w:val="006B3519"/>
    <w:rsid w:val="006C0BC2"/>
    <w:rsid w:val="006C204A"/>
    <w:rsid w:val="006D2F95"/>
    <w:rsid w:val="006D66B8"/>
    <w:rsid w:val="006D6910"/>
    <w:rsid w:val="006D6FE6"/>
    <w:rsid w:val="006E2AAB"/>
    <w:rsid w:val="006F2719"/>
    <w:rsid w:val="006F6185"/>
    <w:rsid w:val="006F7256"/>
    <w:rsid w:val="0070220C"/>
    <w:rsid w:val="00711E7E"/>
    <w:rsid w:val="00712812"/>
    <w:rsid w:val="007138C4"/>
    <w:rsid w:val="00714198"/>
    <w:rsid w:val="00743BFE"/>
    <w:rsid w:val="00753DC1"/>
    <w:rsid w:val="00754187"/>
    <w:rsid w:val="007611B5"/>
    <w:rsid w:val="00763A2A"/>
    <w:rsid w:val="00773540"/>
    <w:rsid w:val="00786D9C"/>
    <w:rsid w:val="007A51A5"/>
    <w:rsid w:val="007A56FD"/>
    <w:rsid w:val="007A6D31"/>
    <w:rsid w:val="007B445D"/>
    <w:rsid w:val="007B5EF8"/>
    <w:rsid w:val="007B654D"/>
    <w:rsid w:val="007C1894"/>
    <w:rsid w:val="007C585F"/>
    <w:rsid w:val="007D3205"/>
    <w:rsid w:val="007E143B"/>
    <w:rsid w:val="007E33F5"/>
    <w:rsid w:val="007F3748"/>
    <w:rsid w:val="007F5333"/>
    <w:rsid w:val="00802295"/>
    <w:rsid w:val="0081534F"/>
    <w:rsid w:val="00816B62"/>
    <w:rsid w:val="00816E61"/>
    <w:rsid w:val="0082489E"/>
    <w:rsid w:val="00824D37"/>
    <w:rsid w:val="00842686"/>
    <w:rsid w:val="00867A5C"/>
    <w:rsid w:val="00883E25"/>
    <w:rsid w:val="00885932"/>
    <w:rsid w:val="00886334"/>
    <w:rsid w:val="00890EB8"/>
    <w:rsid w:val="00892C7C"/>
    <w:rsid w:val="00892D37"/>
    <w:rsid w:val="008A10C3"/>
    <w:rsid w:val="008B169A"/>
    <w:rsid w:val="008B1D64"/>
    <w:rsid w:val="008C3386"/>
    <w:rsid w:val="008C6CAC"/>
    <w:rsid w:val="008D0C16"/>
    <w:rsid w:val="008D130C"/>
    <w:rsid w:val="008F09FA"/>
    <w:rsid w:val="008F4FA2"/>
    <w:rsid w:val="008F7887"/>
    <w:rsid w:val="009021B7"/>
    <w:rsid w:val="00904B05"/>
    <w:rsid w:val="00905941"/>
    <w:rsid w:val="00906F17"/>
    <w:rsid w:val="00913CE6"/>
    <w:rsid w:val="00915A13"/>
    <w:rsid w:val="00923266"/>
    <w:rsid w:val="00923CD6"/>
    <w:rsid w:val="00926521"/>
    <w:rsid w:val="00930F5F"/>
    <w:rsid w:val="009315A4"/>
    <w:rsid w:val="00933BA6"/>
    <w:rsid w:val="00940116"/>
    <w:rsid w:val="009407C8"/>
    <w:rsid w:val="0094259A"/>
    <w:rsid w:val="0097073E"/>
    <w:rsid w:val="00970E37"/>
    <w:rsid w:val="00982E0D"/>
    <w:rsid w:val="00986B02"/>
    <w:rsid w:val="00991B1B"/>
    <w:rsid w:val="00995461"/>
    <w:rsid w:val="009A3869"/>
    <w:rsid w:val="009A77A3"/>
    <w:rsid w:val="009B0445"/>
    <w:rsid w:val="009B4C84"/>
    <w:rsid w:val="009C3248"/>
    <w:rsid w:val="009C58B7"/>
    <w:rsid w:val="009C6435"/>
    <w:rsid w:val="009D41BE"/>
    <w:rsid w:val="009E547F"/>
    <w:rsid w:val="009E62F1"/>
    <w:rsid w:val="00A060C5"/>
    <w:rsid w:val="00A124FB"/>
    <w:rsid w:val="00A12B98"/>
    <w:rsid w:val="00A22F31"/>
    <w:rsid w:val="00A31209"/>
    <w:rsid w:val="00A315D1"/>
    <w:rsid w:val="00A34A8A"/>
    <w:rsid w:val="00A465D6"/>
    <w:rsid w:val="00A509C2"/>
    <w:rsid w:val="00A5363F"/>
    <w:rsid w:val="00A66B7D"/>
    <w:rsid w:val="00A7053B"/>
    <w:rsid w:val="00A75EC0"/>
    <w:rsid w:val="00A842C0"/>
    <w:rsid w:val="00A86538"/>
    <w:rsid w:val="00A867F8"/>
    <w:rsid w:val="00A91D17"/>
    <w:rsid w:val="00A95A4C"/>
    <w:rsid w:val="00A95A5B"/>
    <w:rsid w:val="00AA0626"/>
    <w:rsid w:val="00AA3367"/>
    <w:rsid w:val="00AA7179"/>
    <w:rsid w:val="00AB1619"/>
    <w:rsid w:val="00AB422B"/>
    <w:rsid w:val="00AB4F4C"/>
    <w:rsid w:val="00AB50F6"/>
    <w:rsid w:val="00AC27BB"/>
    <w:rsid w:val="00AD26CA"/>
    <w:rsid w:val="00AD4D5A"/>
    <w:rsid w:val="00AE48CA"/>
    <w:rsid w:val="00AE741F"/>
    <w:rsid w:val="00AF2068"/>
    <w:rsid w:val="00B0358F"/>
    <w:rsid w:val="00B17714"/>
    <w:rsid w:val="00B17E0D"/>
    <w:rsid w:val="00B21305"/>
    <w:rsid w:val="00B279CA"/>
    <w:rsid w:val="00B3005B"/>
    <w:rsid w:val="00B300E8"/>
    <w:rsid w:val="00B33577"/>
    <w:rsid w:val="00B37984"/>
    <w:rsid w:val="00B42997"/>
    <w:rsid w:val="00B43151"/>
    <w:rsid w:val="00B4386F"/>
    <w:rsid w:val="00B443E8"/>
    <w:rsid w:val="00B55774"/>
    <w:rsid w:val="00B60939"/>
    <w:rsid w:val="00B70A66"/>
    <w:rsid w:val="00B70E9F"/>
    <w:rsid w:val="00B8414E"/>
    <w:rsid w:val="00B84F02"/>
    <w:rsid w:val="00B9464F"/>
    <w:rsid w:val="00B95D0E"/>
    <w:rsid w:val="00B9709F"/>
    <w:rsid w:val="00B97D5B"/>
    <w:rsid w:val="00BA42F7"/>
    <w:rsid w:val="00BB5F3A"/>
    <w:rsid w:val="00BC0781"/>
    <w:rsid w:val="00BC3C16"/>
    <w:rsid w:val="00BC7D16"/>
    <w:rsid w:val="00BD14F5"/>
    <w:rsid w:val="00BD5F85"/>
    <w:rsid w:val="00BE148E"/>
    <w:rsid w:val="00BE1D91"/>
    <w:rsid w:val="00BE2EC5"/>
    <w:rsid w:val="00C26FCA"/>
    <w:rsid w:val="00C32DDB"/>
    <w:rsid w:val="00C34CC7"/>
    <w:rsid w:val="00C413BD"/>
    <w:rsid w:val="00C568D1"/>
    <w:rsid w:val="00C60498"/>
    <w:rsid w:val="00C67EF4"/>
    <w:rsid w:val="00C77441"/>
    <w:rsid w:val="00C83078"/>
    <w:rsid w:val="00C97494"/>
    <w:rsid w:val="00CA2070"/>
    <w:rsid w:val="00CA356F"/>
    <w:rsid w:val="00CA4D74"/>
    <w:rsid w:val="00CB4CA5"/>
    <w:rsid w:val="00CC3C77"/>
    <w:rsid w:val="00CC5942"/>
    <w:rsid w:val="00CE04AB"/>
    <w:rsid w:val="00CE2CB7"/>
    <w:rsid w:val="00CE3C7D"/>
    <w:rsid w:val="00CF50F3"/>
    <w:rsid w:val="00D03403"/>
    <w:rsid w:val="00D05C34"/>
    <w:rsid w:val="00D118B1"/>
    <w:rsid w:val="00D23265"/>
    <w:rsid w:val="00D27735"/>
    <w:rsid w:val="00D31164"/>
    <w:rsid w:val="00D3553E"/>
    <w:rsid w:val="00D36663"/>
    <w:rsid w:val="00D41799"/>
    <w:rsid w:val="00D50A08"/>
    <w:rsid w:val="00D613BD"/>
    <w:rsid w:val="00D628BA"/>
    <w:rsid w:val="00D73532"/>
    <w:rsid w:val="00D747D1"/>
    <w:rsid w:val="00D772EF"/>
    <w:rsid w:val="00D871A1"/>
    <w:rsid w:val="00D91EE3"/>
    <w:rsid w:val="00D9394F"/>
    <w:rsid w:val="00DA0D3D"/>
    <w:rsid w:val="00DA4348"/>
    <w:rsid w:val="00DB0F1D"/>
    <w:rsid w:val="00DB3783"/>
    <w:rsid w:val="00DB398C"/>
    <w:rsid w:val="00DC5DAA"/>
    <w:rsid w:val="00DD1D14"/>
    <w:rsid w:val="00DE0490"/>
    <w:rsid w:val="00DE1713"/>
    <w:rsid w:val="00DE70C9"/>
    <w:rsid w:val="00DF5AC7"/>
    <w:rsid w:val="00E13246"/>
    <w:rsid w:val="00E23BBE"/>
    <w:rsid w:val="00E35137"/>
    <w:rsid w:val="00E41916"/>
    <w:rsid w:val="00E42A04"/>
    <w:rsid w:val="00E43F3F"/>
    <w:rsid w:val="00E53ED9"/>
    <w:rsid w:val="00E55115"/>
    <w:rsid w:val="00E613D9"/>
    <w:rsid w:val="00E63AC3"/>
    <w:rsid w:val="00E7025F"/>
    <w:rsid w:val="00E77C99"/>
    <w:rsid w:val="00E97B04"/>
    <w:rsid w:val="00EA6374"/>
    <w:rsid w:val="00EB3BE2"/>
    <w:rsid w:val="00EC20EA"/>
    <w:rsid w:val="00EC30C9"/>
    <w:rsid w:val="00EC4CD1"/>
    <w:rsid w:val="00EC7610"/>
    <w:rsid w:val="00ED2319"/>
    <w:rsid w:val="00EE188A"/>
    <w:rsid w:val="00EE1F61"/>
    <w:rsid w:val="00EE58A2"/>
    <w:rsid w:val="00EE5CA2"/>
    <w:rsid w:val="00EF0FB3"/>
    <w:rsid w:val="00EF341C"/>
    <w:rsid w:val="00F10700"/>
    <w:rsid w:val="00F13722"/>
    <w:rsid w:val="00F37101"/>
    <w:rsid w:val="00F42ACA"/>
    <w:rsid w:val="00F4582A"/>
    <w:rsid w:val="00F605C1"/>
    <w:rsid w:val="00F62380"/>
    <w:rsid w:val="00F6243D"/>
    <w:rsid w:val="00F6466D"/>
    <w:rsid w:val="00F66EC8"/>
    <w:rsid w:val="00F73FA2"/>
    <w:rsid w:val="00F74B38"/>
    <w:rsid w:val="00F86457"/>
    <w:rsid w:val="00F95F6C"/>
    <w:rsid w:val="00FA1F38"/>
    <w:rsid w:val="00FB0E6B"/>
    <w:rsid w:val="00FB5A77"/>
    <w:rsid w:val="00FD1FD4"/>
    <w:rsid w:val="00FD6FFB"/>
    <w:rsid w:val="00FD7A86"/>
    <w:rsid w:val="00FE311B"/>
    <w:rsid w:val="00FE7126"/>
    <w:rsid w:val="00FF7A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126"/>
  </w:style>
  <w:style w:type="paragraph" w:styleId="Heading1">
    <w:name w:val="heading 1"/>
    <w:basedOn w:val="Normal"/>
    <w:next w:val="Normal"/>
    <w:link w:val="Heading1Char"/>
    <w:uiPriority w:val="9"/>
    <w:qFormat/>
    <w:rsid w:val="00A95A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5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5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8645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111AE"/>
    <w:pPr>
      <w:spacing w:after="0" w:line="240" w:lineRule="auto"/>
    </w:pPr>
    <w:rPr>
      <w:rFonts w:eastAsia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B5E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5EF8"/>
    <w:rPr>
      <w:rFonts w:ascii="Tahoma" w:hAnsi="Tahoma" w:cs="Tahoma"/>
      <w:sz w:val="16"/>
      <w:szCs w:val="16"/>
    </w:rPr>
  </w:style>
  <w:style w:type="character" w:customStyle="1" w:styleId="Heading2Char">
    <w:name w:val="Heading 2 Char"/>
    <w:basedOn w:val="DefaultParagraphFont"/>
    <w:link w:val="Heading2"/>
    <w:uiPriority w:val="9"/>
    <w:rsid w:val="00F8645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5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F86457"/>
    <w:rPr>
      <w:rFonts w:asciiTheme="majorHAnsi" w:eastAsiaTheme="majorEastAsia" w:hAnsiTheme="majorHAnsi" w:cstheme="majorBidi"/>
      <w:b/>
      <w:bCs/>
      <w:i/>
      <w:iCs/>
      <w:color w:val="4F81BD" w:themeColor="accent1"/>
    </w:rPr>
  </w:style>
  <w:style w:type="paragraph" w:styleId="Title">
    <w:name w:val="Title"/>
    <w:basedOn w:val="Normal"/>
    <w:next w:val="Normal"/>
    <w:link w:val="TitleChar"/>
    <w:uiPriority w:val="10"/>
    <w:qFormat/>
    <w:rsid w:val="00D2773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27735"/>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D2773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27735"/>
    <w:rPr>
      <w:rFonts w:asciiTheme="majorHAnsi" w:eastAsiaTheme="majorEastAsia" w:hAnsiTheme="majorHAnsi" w:cstheme="majorBidi"/>
      <w:i/>
      <w:iCs/>
      <w:color w:val="4F81BD" w:themeColor="accent1"/>
      <w:spacing w:val="15"/>
      <w:sz w:val="24"/>
      <w:szCs w:val="24"/>
    </w:rPr>
  </w:style>
  <w:style w:type="paragraph" w:styleId="Caption">
    <w:name w:val="caption"/>
    <w:basedOn w:val="Normal"/>
    <w:next w:val="Normal"/>
    <w:uiPriority w:val="35"/>
    <w:unhideWhenUsed/>
    <w:qFormat/>
    <w:rsid w:val="008C6CAC"/>
    <w:pPr>
      <w:spacing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A95A5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C0A8E"/>
    <w:pPr>
      <w:outlineLvl w:val="9"/>
    </w:pPr>
  </w:style>
  <w:style w:type="paragraph" w:styleId="TOC1">
    <w:name w:val="toc 1"/>
    <w:basedOn w:val="Normal"/>
    <w:next w:val="Normal"/>
    <w:autoRedefine/>
    <w:uiPriority w:val="39"/>
    <w:unhideWhenUsed/>
    <w:rsid w:val="003C0A8E"/>
    <w:pPr>
      <w:spacing w:after="100"/>
    </w:pPr>
  </w:style>
  <w:style w:type="paragraph" w:styleId="TOC2">
    <w:name w:val="toc 2"/>
    <w:basedOn w:val="Normal"/>
    <w:next w:val="Normal"/>
    <w:autoRedefine/>
    <w:uiPriority w:val="39"/>
    <w:unhideWhenUsed/>
    <w:rsid w:val="003C0A8E"/>
    <w:pPr>
      <w:spacing w:after="100"/>
      <w:ind w:left="220"/>
    </w:pPr>
  </w:style>
  <w:style w:type="paragraph" w:styleId="TOC3">
    <w:name w:val="toc 3"/>
    <w:basedOn w:val="Normal"/>
    <w:next w:val="Normal"/>
    <w:autoRedefine/>
    <w:uiPriority w:val="39"/>
    <w:unhideWhenUsed/>
    <w:rsid w:val="003C0A8E"/>
    <w:pPr>
      <w:spacing w:after="100"/>
      <w:ind w:left="440"/>
    </w:pPr>
  </w:style>
  <w:style w:type="character" w:styleId="Hyperlink">
    <w:name w:val="Hyperlink"/>
    <w:basedOn w:val="DefaultParagraphFont"/>
    <w:uiPriority w:val="99"/>
    <w:unhideWhenUsed/>
    <w:rsid w:val="003C0A8E"/>
    <w:rPr>
      <w:color w:val="0000FF" w:themeColor="hyperlink"/>
      <w:u w:val="single"/>
    </w:rPr>
  </w:style>
  <w:style w:type="character" w:styleId="FollowedHyperlink">
    <w:name w:val="FollowedHyperlink"/>
    <w:basedOn w:val="DefaultParagraphFont"/>
    <w:uiPriority w:val="99"/>
    <w:semiHidden/>
    <w:unhideWhenUsed/>
    <w:rsid w:val="00802295"/>
    <w:rPr>
      <w:color w:val="800080" w:themeColor="followedHyperlink"/>
      <w:u w:val="single"/>
    </w:rPr>
  </w:style>
  <w:style w:type="paragraph" w:styleId="NoSpacing">
    <w:name w:val="No Spacing"/>
    <w:link w:val="NoSpacingChar"/>
    <w:uiPriority w:val="1"/>
    <w:qFormat/>
    <w:rsid w:val="00986B02"/>
    <w:pPr>
      <w:spacing w:after="0" w:line="240" w:lineRule="auto"/>
    </w:pPr>
  </w:style>
  <w:style w:type="character" w:customStyle="1" w:styleId="NoSpacingChar">
    <w:name w:val="No Spacing Char"/>
    <w:basedOn w:val="DefaultParagraphFont"/>
    <w:link w:val="NoSpacing"/>
    <w:uiPriority w:val="1"/>
    <w:rsid w:val="00986B02"/>
  </w:style>
</w:styles>
</file>

<file path=word/webSettings.xml><?xml version="1.0" encoding="utf-8"?>
<w:webSettings xmlns:r="http://schemas.openxmlformats.org/officeDocument/2006/relationships" xmlns:w="http://schemas.openxmlformats.org/wordprocessingml/2006/main">
  <w:divs>
    <w:div w:id="290597375">
      <w:bodyDiv w:val="1"/>
      <w:marLeft w:val="0"/>
      <w:marRight w:val="0"/>
      <w:marTop w:val="0"/>
      <w:marBottom w:val="0"/>
      <w:divBdr>
        <w:top w:val="none" w:sz="0" w:space="0" w:color="auto"/>
        <w:left w:val="none" w:sz="0" w:space="0" w:color="auto"/>
        <w:bottom w:val="none" w:sz="0" w:space="0" w:color="auto"/>
        <w:right w:val="none" w:sz="0" w:space="0" w:color="auto"/>
      </w:divBdr>
      <w:divsChild>
        <w:div w:id="6061104">
          <w:marLeft w:val="0"/>
          <w:marRight w:val="0"/>
          <w:marTop w:val="0"/>
          <w:marBottom w:val="0"/>
          <w:divBdr>
            <w:top w:val="none" w:sz="0" w:space="0" w:color="auto"/>
            <w:left w:val="none" w:sz="0" w:space="0" w:color="auto"/>
            <w:bottom w:val="none" w:sz="0" w:space="0" w:color="auto"/>
            <w:right w:val="none" w:sz="0" w:space="0" w:color="auto"/>
          </w:divBdr>
        </w:div>
        <w:div w:id="42681363">
          <w:marLeft w:val="0"/>
          <w:marRight w:val="0"/>
          <w:marTop w:val="0"/>
          <w:marBottom w:val="0"/>
          <w:divBdr>
            <w:top w:val="none" w:sz="0" w:space="0" w:color="auto"/>
            <w:left w:val="none" w:sz="0" w:space="0" w:color="auto"/>
            <w:bottom w:val="none" w:sz="0" w:space="0" w:color="auto"/>
            <w:right w:val="none" w:sz="0" w:space="0" w:color="auto"/>
          </w:divBdr>
        </w:div>
        <w:div w:id="85687119">
          <w:marLeft w:val="0"/>
          <w:marRight w:val="0"/>
          <w:marTop w:val="0"/>
          <w:marBottom w:val="0"/>
          <w:divBdr>
            <w:top w:val="none" w:sz="0" w:space="0" w:color="auto"/>
            <w:left w:val="none" w:sz="0" w:space="0" w:color="auto"/>
            <w:bottom w:val="none" w:sz="0" w:space="0" w:color="auto"/>
            <w:right w:val="none" w:sz="0" w:space="0" w:color="auto"/>
          </w:divBdr>
        </w:div>
        <w:div w:id="88042764">
          <w:marLeft w:val="0"/>
          <w:marRight w:val="0"/>
          <w:marTop w:val="0"/>
          <w:marBottom w:val="0"/>
          <w:divBdr>
            <w:top w:val="none" w:sz="0" w:space="0" w:color="auto"/>
            <w:left w:val="none" w:sz="0" w:space="0" w:color="auto"/>
            <w:bottom w:val="none" w:sz="0" w:space="0" w:color="auto"/>
            <w:right w:val="none" w:sz="0" w:space="0" w:color="auto"/>
          </w:divBdr>
        </w:div>
        <w:div w:id="104157700">
          <w:marLeft w:val="0"/>
          <w:marRight w:val="0"/>
          <w:marTop w:val="0"/>
          <w:marBottom w:val="0"/>
          <w:divBdr>
            <w:top w:val="none" w:sz="0" w:space="0" w:color="auto"/>
            <w:left w:val="none" w:sz="0" w:space="0" w:color="auto"/>
            <w:bottom w:val="none" w:sz="0" w:space="0" w:color="auto"/>
            <w:right w:val="none" w:sz="0" w:space="0" w:color="auto"/>
          </w:divBdr>
        </w:div>
        <w:div w:id="119760777">
          <w:marLeft w:val="0"/>
          <w:marRight w:val="0"/>
          <w:marTop w:val="0"/>
          <w:marBottom w:val="0"/>
          <w:divBdr>
            <w:top w:val="none" w:sz="0" w:space="0" w:color="auto"/>
            <w:left w:val="none" w:sz="0" w:space="0" w:color="auto"/>
            <w:bottom w:val="none" w:sz="0" w:space="0" w:color="auto"/>
            <w:right w:val="none" w:sz="0" w:space="0" w:color="auto"/>
          </w:divBdr>
        </w:div>
        <w:div w:id="148444979">
          <w:marLeft w:val="0"/>
          <w:marRight w:val="0"/>
          <w:marTop w:val="0"/>
          <w:marBottom w:val="0"/>
          <w:divBdr>
            <w:top w:val="none" w:sz="0" w:space="0" w:color="auto"/>
            <w:left w:val="none" w:sz="0" w:space="0" w:color="auto"/>
            <w:bottom w:val="none" w:sz="0" w:space="0" w:color="auto"/>
            <w:right w:val="none" w:sz="0" w:space="0" w:color="auto"/>
          </w:divBdr>
        </w:div>
        <w:div w:id="223683147">
          <w:marLeft w:val="0"/>
          <w:marRight w:val="0"/>
          <w:marTop w:val="0"/>
          <w:marBottom w:val="0"/>
          <w:divBdr>
            <w:top w:val="none" w:sz="0" w:space="0" w:color="auto"/>
            <w:left w:val="none" w:sz="0" w:space="0" w:color="auto"/>
            <w:bottom w:val="none" w:sz="0" w:space="0" w:color="auto"/>
            <w:right w:val="none" w:sz="0" w:space="0" w:color="auto"/>
          </w:divBdr>
        </w:div>
        <w:div w:id="310528697">
          <w:marLeft w:val="0"/>
          <w:marRight w:val="0"/>
          <w:marTop w:val="0"/>
          <w:marBottom w:val="0"/>
          <w:divBdr>
            <w:top w:val="none" w:sz="0" w:space="0" w:color="auto"/>
            <w:left w:val="none" w:sz="0" w:space="0" w:color="auto"/>
            <w:bottom w:val="none" w:sz="0" w:space="0" w:color="auto"/>
            <w:right w:val="none" w:sz="0" w:space="0" w:color="auto"/>
          </w:divBdr>
        </w:div>
        <w:div w:id="332148400">
          <w:marLeft w:val="0"/>
          <w:marRight w:val="0"/>
          <w:marTop w:val="0"/>
          <w:marBottom w:val="0"/>
          <w:divBdr>
            <w:top w:val="none" w:sz="0" w:space="0" w:color="auto"/>
            <w:left w:val="none" w:sz="0" w:space="0" w:color="auto"/>
            <w:bottom w:val="none" w:sz="0" w:space="0" w:color="auto"/>
            <w:right w:val="none" w:sz="0" w:space="0" w:color="auto"/>
          </w:divBdr>
        </w:div>
        <w:div w:id="403652297">
          <w:marLeft w:val="0"/>
          <w:marRight w:val="0"/>
          <w:marTop w:val="0"/>
          <w:marBottom w:val="0"/>
          <w:divBdr>
            <w:top w:val="none" w:sz="0" w:space="0" w:color="auto"/>
            <w:left w:val="none" w:sz="0" w:space="0" w:color="auto"/>
            <w:bottom w:val="none" w:sz="0" w:space="0" w:color="auto"/>
            <w:right w:val="none" w:sz="0" w:space="0" w:color="auto"/>
          </w:divBdr>
        </w:div>
        <w:div w:id="441462165">
          <w:marLeft w:val="0"/>
          <w:marRight w:val="0"/>
          <w:marTop w:val="0"/>
          <w:marBottom w:val="0"/>
          <w:divBdr>
            <w:top w:val="none" w:sz="0" w:space="0" w:color="auto"/>
            <w:left w:val="none" w:sz="0" w:space="0" w:color="auto"/>
            <w:bottom w:val="none" w:sz="0" w:space="0" w:color="auto"/>
            <w:right w:val="none" w:sz="0" w:space="0" w:color="auto"/>
          </w:divBdr>
        </w:div>
        <w:div w:id="577255930">
          <w:marLeft w:val="0"/>
          <w:marRight w:val="0"/>
          <w:marTop w:val="0"/>
          <w:marBottom w:val="0"/>
          <w:divBdr>
            <w:top w:val="none" w:sz="0" w:space="0" w:color="auto"/>
            <w:left w:val="none" w:sz="0" w:space="0" w:color="auto"/>
            <w:bottom w:val="none" w:sz="0" w:space="0" w:color="auto"/>
            <w:right w:val="none" w:sz="0" w:space="0" w:color="auto"/>
          </w:divBdr>
        </w:div>
        <w:div w:id="579100104">
          <w:marLeft w:val="0"/>
          <w:marRight w:val="0"/>
          <w:marTop w:val="0"/>
          <w:marBottom w:val="0"/>
          <w:divBdr>
            <w:top w:val="none" w:sz="0" w:space="0" w:color="auto"/>
            <w:left w:val="none" w:sz="0" w:space="0" w:color="auto"/>
            <w:bottom w:val="none" w:sz="0" w:space="0" w:color="auto"/>
            <w:right w:val="none" w:sz="0" w:space="0" w:color="auto"/>
          </w:divBdr>
        </w:div>
        <w:div w:id="696807870">
          <w:marLeft w:val="0"/>
          <w:marRight w:val="0"/>
          <w:marTop w:val="0"/>
          <w:marBottom w:val="0"/>
          <w:divBdr>
            <w:top w:val="none" w:sz="0" w:space="0" w:color="auto"/>
            <w:left w:val="none" w:sz="0" w:space="0" w:color="auto"/>
            <w:bottom w:val="none" w:sz="0" w:space="0" w:color="auto"/>
            <w:right w:val="none" w:sz="0" w:space="0" w:color="auto"/>
          </w:divBdr>
        </w:div>
        <w:div w:id="754476396">
          <w:marLeft w:val="0"/>
          <w:marRight w:val="0"/>
          <w:marTop w:val="0"/>
          <w:marBottom w:val="0"/>
          <w:divBdr>
            <w:top w:val="none" w:sz="0" w:space="0" w:color="auto"/>
            <w:left w:val="none" w:sz="0" w:space="0" w:color="auto"/>
            <w:bottom w:val="none" w:sz="0" w:space="0" w:color="auto"/>
            <w:right w:val="none" w:sz="0" w:space="0" w:color="auto"/>
          </w:divBdr>
          <w:divsChild>
            <w:div w:id="572591153">
              <w:marLeft w:val="0"/>
              <w:marRight w:val="0"/>
              <w:marTop w:val="0"/>
              <w:marBottom w:val="0"/>
              <w:divBdr>
                <w:top w:val="none" w:sz="0" w:space="0" w:color="auto"/>
                <w:left w:val="none" w:sz="0" w:space="0" w:color="auto"/>
                <w:bottom w:val="none" w:sz="0" w:space="0" w:color="auto"/>
                <w:right w:val="none" w:sz="0" w:space="0" w:color="auto"/>
              </w:divBdr>
            </w:div>
          </w:divsChild>
        </w:div>
        <w:div w:id="766196575">
          <w:marLeft w:val="0"/>
          <w:marRight w:val="0"/>
          <w:marTop w:val="0"/>
          <w:marBottom w:val="0"/>
          <w:divBdr>
            <w:top w:val="none" w:sz="0" w:space="0" w:color="auto"/>
            <w:left w:val="none" w:sz="0" w:space="0" w:color="auto"/>
            <w:bottom w:val="none" w:sz="0" w:space="0" w:color="auto"/>
            <w:right w:val="none" w:sz="0" w:space="0" w:color="auto"/>
          </w:divBdr>
        </w:div>
        <w:div w:id="772822023">
          <w:marLeft w:val="0"/>
          <w:marRight w:val="0"/>
          <w:marTop w:val="0"/>
          <w:marBottom w:val="0"/>
          <w:divBdr>
            <w:top w:val="none" w:sz="0" w:space="0" w:color="auto"/>
            <w:left w:val="none" w:sz="0" w:space="0" w:color="auto"/>
            <w:bottom w:val="none" w:sz="0" w:space="0" w:color="auto"/>
            <w:right w:val="none" w:sz="0" w:space="0" w:color="auto"/>
          </w:divBdr>
        </w:div>
        <w:div w:id="802384123">
          <w:marLeft w:val="0"/>
          <w:marRight w:val="0"/>
          <w:marTop w:val="0"/>
          <w:marBottom w:val="0"/>
          <w:divBdr>
            <w:top w:val="none" w:sz="0" w:space="0" w:color="auto"/>
            <w:left w:val="none" w:sz="0" w:space="0" w:color="auto"/>
            <w:bottom w:val="none" w:sz="0" w:space="0" w:color="auto"/>
            <w:right w:val="none" w:sz="0" w:space="0" w:color="auto"/>
          </w:divBdr>
        </w:div>
        <w:div w:id="810908860">
          <w:marLeft w:val="0"/>
          <w:marRight w:val="0"/>
          <w:marTop w:val="0"/>
          <w:marBottom w:val="0"/>
          <w:divBdr>
            <w:top w:val="none" w:sz="0" w:space="0" w:color="auto"/>
            <w:left w:val="none" w:sz="0" w:space="0" w:color="auto"/>
            <w:bottom w:val="none" w:sz="0" w:space="0" w:color="auto"/>
            <w:right w:val="none" w:sz="0" w:space="0" w:color="auto"/>
          </w:divBdr>
        </w:div>
        <w:div w:id="912470774">
          <w:marLeft w:val="0"/>
          <w:marRight w:val="0"/>
          <w:marTop w:val="0"/>
          <w:marBottom w:val="0"/>
          <w:divBdr>
            <w:top w:val="none" w:sz="0" w:space="0" w:color="auto"/>
            <w:left w:val="none" w:sz="0" w:space="0" w:color="auto"/>
            <w:bottom w:val="none" w:sz="0" w:space="0" w:color="auto"/>
            <w:right w:val="none" w:sz="0" w:space="0" w:color="auto"/>
          </w:divBdr>
        </w:div>
        <w:div w:id="970092579">
          <w:marLeft w:val="0"/>
          <w:marRight w:val="0"/>
          <w:marTop w:val="0"/>
          <w:marBottom w:val="0"/>
          <w:divBdr>
            <w:top w:val="none" w:sz="0" w:space="0" w:color="auto"/>
            <w:left w:val="none" w:sz="0" w:space="0" w:color="auto"/>
            <w:bottom w:val="none" w:sz="0" w:space="0" w:color="auto"/>
            <w:right w:val="none" w:sz="0" w:space="0" w:color="auto"/>
          </w:divBdr>
        </w:div>
        <w:div w:id="1045182418">
          <w:marLeft w:val="0"/>
          <w:marRight w:val="0"/>
          <w:marTop w:val="0"/>
          <w:marBottom w:val="0"/>
          <w:divBdr>
            <w:top w:val="none" w:sz="0" w:space="0" w:color="auto"/>
            <w:left w:val="none" w:sz="0" w:space="0" w:color="auto"/>
            <w:bottom w:val="none" w:sz="0" w:space="0" w:color="auto"/>
            <w:right w:val="none" w:sz="0" w:space="0" w:color="auto"/>
          </w:divBdr>
        </w:div>
        <w:div w:id="1089428483">
          <w:marLeft w:val="0"/>
          <w:marRight w:val="0"/>
          <w:marTop w:val="0"/>
          <w:marBottom w:val="0"/>
          <w:divBdr>
            <w:top w:val="none" w:sz="0" w:space="0" w:color="auto"/>
            <w:left w:val="none" w:sz="0" w:space="0" w:color="auto"/>
            <w:bottom w:val="none" w:sz="0" w:space="0" w:color="auto"/>
            <w:right w:val="none" w:sz="0" w:space="0" w:color="auto"/>
          </w:divBdr>
        </w:div>
        <w:div w:id="1134526251">
          <w:marLeft w:val="0"/>
          <w:marRight w:val="0"/>
          <w:marTop w:val="0"/>
          <w:marBottom w:val="0"/>
          <w:divBdr>
            <w:top w:val="none" w:sz="0" w:space="0" w:color="auto"/>
            <w:left w:val="none" w:sz="0" w:space="0" w:color="auto"/>
            <w:bottom w:val="none" w:sz="0" w:space="0" w:color="auto"/>
            <w:right w:val="none" w:sz="0" w:space="0" w:color="auto"/>
          </w:divBdr>
        </w:div>
        <w:div w:id="1202284414">
          <w:marLeft w:val="0"/>
          <w:marRight w:val="0"/>
          <w:marTop w:val="0"/>
          <w:marBottom w:val="0"/>
          <w:divBdr>
            <w:top w:val="none" w:sz="0" w:space="0" w:color="auto"/>
            <w:left w:val="none" w:sz="0" w:space="0" w:color="auto"/>
            <w:bottom w:val="none" w:sz="0" w:space="0" w:color="auto"/>
            <w:right w:val="none" w:sz="0" w:space="0" w:color="auto"/>
          </w:divBdr>
        </w:div>
        <w:div w:id="1210605061">
          <w:marLeft w:val="0"/>
          <w:marRight w:val="0"/>
          <w:marTop w:val="0"/>
          <w:marBottom w:val="0"/>
          <w:divBdr>
            <w:top w:val="none" w:sz="0" w:space="0" w:color="auto"/>
            <w:left w:val="none" w:sz="0" w:space="0" w:color="auto"/>
            <w:bottom w:val="none" w:sz="0" w:space="0" w:color="auto"/>
            <w:right w:val="none" w:sz="0" w:space="0" w:color="auto"/>
          </w:divBdr>
        </w:div>
        <w:div w:id="1214121910">
          <w:marLeft w:val="0"/>
          <w:marRight w:val="0"/>
          <w:marTop w:val="0"/>
          <w:marBottom w:val="0"/>
          <w:divBdr>
            <w:top w:val="none" w:sz="0" w:space="0" w:color="auto"/>
            <w:left w:val="none" w:sz="0" w:space="0" w:color="auto"/>
            <w:bottom w:val="none" w:sz="0" w:space="0" w:color="auto"/>
            <w:right w:val="none" w:sz="0" w:space="0" w:color="auto"/>
          </w:divBdr>
        </w:div>
        <w:div w:id="1457673550">
          <w:marLeft w:val="0"/>
          <w:marRight w:val="0"/>
          <w:marTop w:val="0"/>
          <w:marBottom w:val="0"/>
          <w:divBdr>
            <w:top w:val="none" w:sz="0" w:space="0" w:color="auto"/>
            <w:left w:val="none" w:sz="0" w:space="0" w:color="auto"/>
            <w:bottom w:val="none" w:sz="0" w:space="0" w:color="auto"/>
            <w:right w:val="none" w:sz="0" w:space="0" w:color="auto"/>
          </w:divBdr>
        </w:div>
        <w:div w:id="1466775658">
          <w:marLeft w:val="0"/>
          <w:marRight w:val="0"/>
          <w:marTop w:val="0"/>
          <w:marBottom w:val="0"/>
          <w:divBdr>
            <w:top w:val="none" w:sz="0" w:space="0" w:color="auto"/>
            <w:left w:val="none" w:sz="0" w:space="0" w:color="auto"/>
            <w:bottom w:val="none" w:sz="0" w:space="0" w:color="auto"/>
            <w:right w:val="none" w:sz="0" w:space="0" w:color="auto"/>
          </w:divBdr>
        </w:div>
        <w:div w:id="1475490886">
          <w:marLeft w:val="0"/>
          <w:marRight w:val="0"/>
          <w:marTop w:val="0"/>
          <w:marBottom w:val="0"/>
          <w:divBdr>
            <w:top w:val="none" w:sz="0" w:space="0" w:color="auto"/>
            <w:left w:val="none" w:sz="0" w:space="0" w:color="auto"/>
            <w:bottom w:val="none" w:sz="0" w:space="0" w:color="auto"/>
            <w:right w:val="none" w:sz="0" w:space="0" w:color="auto"/>
          </w:divBdr>
        </w:div>
        <w:div w:id="1510633289">
          <w:marLeft w:val="0"/>
          <w:marRight w:val="0"/>
          <w:marTop w:val="0"/>
          <w:marBottom w:val="0"/>
          <w:divBdr>
            <w:top w:val="none" w:sz="0" w:space="0" w:color="auto"/>
            <w:left w:val="none" w:sz="0" w:space="0" w:color="auto"/>
            <w:bottom w:val="none" w:sz="0" w:space="0" w:color="auto"/>
            <w:right w:val="none" w:sz="0" w:space="0" w:color="auto"/>
          </w:divBdr>
        </w:div>
        <w:div w:id="1584141329">
          <w:marLeft w:val="0"/>
          <w:marRight w:val="0"/>
          <w:marTop w:val="0"/>
          <w:marBottom w:val="0"/>
          <w:divBdr>
            <w:top w:val="none" w:sz="0" w:space="0" w:color="auto"/>
            <w:left w:val="none" w:sz="0" w:space="0" w:color="auto"/>
            <w:bottom w:val="none" w:sz="0" w:space="0" w:color="auto"/>
            <w:right w:val="none" w:sz="0" w:space="0" w:color="auto"/>
          </w:divBdr>
        </w:div>
        <w:div w:id="1591960666">
          <w:marLeft w:val="0"/>
          <w:marRight w:val="0"/>
          <w:marTop w:val="0"/>
          <w:marBottom w:val="0"/>
          <w:divBdr>
            <w:top w:val="none" w:sz="0" w:space="0" w:color="auto"/>
            <w:left w:val="none" w:sz="0" w:space="0" w:color="auto"/>
            <w:bottom w:val="none" w:sz="0" w:space="0" w:color="auto"/>
            <w:right w:val="none" w:sz="0" w:space="0" w:color="auto"/>
          </w:divBdr>
        </w:div>
        <w:div w:id="1635870219">
          <w:marLeft w:val="0"/>
          <w:marRight w:val="0"/>
          <w:marTop w:val="0"/>
          <w:marBottom w:val="0"/>
          <w:divBdr>
            <w:top w:val="none" w:sz="0" w:space="0" w:color="auto"/>
            <w:left w:val="none" w:sz="0" w:space="0" w:color="auto"/>
            <w:bottom w:val="none" w:sz="0" w:space="0" w:color="auto"/>
            <w:right w:val="none" w:sz="0" w:space="0" w:color="auto"/>
          </w:divBdr>
        </w:div>
        <w:div w:id="1752581589">
          <w:marLeft w:val="0"/>
          <w:marRight w:val="0"/>
          <w:marTop w:val="0"/>
          <w:marBottom w:val="0"/>
          <w:divBdr>
            <w:top w:val="none" w:sz="0" w:space="0" w:color="auto"/>
            <w:left w:val="none" w:sz="0" w:space="0" w:color="auto"/>
            <w:bottom w:val="none" w:sz="0" w:space="0" w:color="auto"/>
            <w:right w:val="none" w:sz="0" w:space="0" w:color="auto"/>
          </w:divBdr>
        </w:div>
        <w:div w:id="1763184050">
          <w:marLeft w:val="0"/>
          <w:marRight w:val="0"/>
          <w:marTop w:val="0"/>
          <w:marBottom w:val="0"/>
          <w:divBdr>
            <w:top w:val="none" w:sz="0" w:space="0" w:color="auto"/>
            <w:left w:val="none" w:sz="0" w:space="0" w:color="auto"/>
            <w:bottom w:val="none" w:sz="0" w:space="0" w:color="auto"/>
            <w:right w:val="none" w:sz="0" w:space="0" w:color="auto"/>
          </w:divBdr>
        </w:div>
        <w:div w:id="1845777110">
          <w:marLeft w:val="0"/>
          <w:marRight w:val="0"/>
          <w:marTop w:val="0"/>
          <w:marBottom w:val="0"/>
          <w:divBdr>
            <w:top w:val="none" w:sz="0" w:space="0" w:color="auto"/>
            <w:left w:val="none" w:sz="0" w:space="0" w:color="auto"/>
            <w:bottom w:val="none" w:sz="0" w:space="0" w:color="auto"/>
            <w:right w:val="none" w:sz="0" w:space="0" w:color="auto"/>
          </w:divBdr>
        </w:div>
        <w:div w:id="1847941569">
          <w:marLeft w:val="0"/>
          <w:marRight w:val="0"/>
          <w:marTop w:val="0"/>
          <w:marBottom w:val="0"/>
          <w:divBdr>
            <w:top w:val="none" w:sz="0" w:space="0" w:color="auto"/>
            <w:left w:val="none" w:sz="0" w:space="0" w:color="auto"/>
            <w:bottom w:val="none" w:sz="0" w:space="0" w:color="auto"/>
            <w:right w:val="none" w:sz="0" w:space="0" w:color="auto"/>
          </w:divBdr>
        </w:div>
        <w:div w:id="1869752228">
          <w:marLeft w:val="0"/>
          <w:marRight w:val="0"/>
          <w:marTop w:val="0"/>
          <w:marBottom w:val="0"/>
          <w:divBdr>
            <w:top w:val="none" w:sz="0" w:space="0" w:color="auto"/>
            <w:left w:val="none" w:sz="0" w:space="0" w:color="auto"/>
            <w:bottom w:val="none" w:sz="0" w:space="0" w:color="auto"/>
            <w:right w:val="none" w:sz="0" w:space="0" w:color="auto"/>
          </w:divBdr>
        </w:div>
        <w:div w:id="1909807076">
          <w:marLeft w:val="0"/>
          <w:marRight w:val="0"/>
          <w:marTop w:val="0"/>
          <w:marBottom w:val="0"/>
          <w:divBdr>
            <w:top w:val="none" w:sz="0" w:space="0" w:color="auto"/>
            <w:left w:val="none" w:sz="0" w:space="0" w:color="auto"/>
            <w:bottom w:val="none" w:sz="0" w:space="0" w:color="auto"/>
            <w:right w:val="none" w:sz="0" w:space="0" w:color="auto"/>
          </w:divBdr>
        </w:div>
        <w:div w:id="1924989422">
          <w:marLeft w:val="0"/>
          <w:marRight w:val="0"/>
          <w:marTop w:val="0"/>
          <w:marBottom w:val="0"/>
          <w:divBdr>
            <w:top w:val="none" w:sz="0" w:space="0" w:color="auto"/>
            <w:left w:val="none" w:sz="0" w:space="0" w:color="auto"/>
            <w:bottom w:val="none" w:sz="0" w:space="0" w:color="auto"/>
            <w:right w:val="none" w:sz="0" w:space="0" w:color="auto"/>
          </w:divBdr>
        </w:div>
        <w:div w:id="1946768879">
          <w:marLeft w:val="0"/>
          <w:marRight w:val="0"/>
          <w:marTop w:val="0"/>
          <w:marBottom w:val="0"/>
          <w:divBdr>
            <w:top w:val="none" w:sz="0" w:space="0" w:color="auto"/>
            <w:left w:val="none" w:sz="0" w:space="0" w:color="auto"/>
            <w:bottom w:val="none" w:sz="0" w:space="0" w:color="auto"/>
            <w:right w:val="none" w:sz="0" w:space="0" w:color="auto"/>
          </w:divBdr>
        </w:div>
        <w:div w:id="1958483088">
          <w:marLeft w:val="0"/>
          <w:marRight w:val="0"/>
          <w:marTop w:val="0"/>
          <w:marBottom w:val="0"/>
          <w:divBdr>
            <w:top w:val="none" w:sz="0" w:space="0" w:color="auto"/>
            <w:left w:val="none" w:sz="0" w:space="0" w:color="auto"/>
            <w:bottom w:val="none" w:sz="0" w:space="0" w:color="auto"/>
            <w:right w:val="none" w:sz="0" w:space="0" w:color="auto"/>
          </w:divBdr>
        </w:div>
        <w:div w:id="2104302716">
          <w:marLeft w:val="0"/>
          <w:marRight w:val="0"/>
          <w:marTop w:val="0"/>
          <w:marBottom w:val="0"/>
          <w:divBdr>
            <w:top w:val="none" w:sz="0" w:space="0" w:color="auto"/>
            <w:left w:val="none" w:sz="0" w:space="0" w:color="auto"/>
            <w:bottom w:val="none" w:sz="0" w:space="0" w:color="auto"/>
            <w:right w:val="none" w:sz="0" w:space="0" w:color="auto"/>
          </w:divBdr>
        </w:div>
      </w:divsChild>
    </w:div>
    <w:div w:id="465583196">
      <w:bodyDiv w:val="1"/>
      <w:marLeft w:val="0"/>
      <w:marRight w:val="0"/>
      <w:marTop w:val="0"/>
      <w:marBottom w:val="0"/>
      <w:divBdr>
        <w:top w:val="none" w:sz="0" w:space="0" w:color="auto"/>
        <w:left w:val="none" w:sz="0" w:space="0" w:color="auto"/>
        <w:bottom w:val="none" w:sz="0" w:space="0" w:color="auto"/>
        <w:right w:val="none" w:sz="0" w:space="0" w:color="auto"/>
      </w:divBdr>
      <w:divsChild>
        <w:div w:id="168910047">
          <w:marLeft w:val="0"/>
          <w:marRight w:val="0"/>
          <w:marTop w:val="0"/>
          <w:marBottom w:val="0"/>
          <w:divBdr>
            <w:top w:val="none" w:sz="0" w:space="0" w:color="auto"/>
            <w:left w:val="none" w:sz="0" w:space="0" w:color="auto"/>
            <w:bottom w:val="none" w:sz="0" w:space="0" w:color="auto"/>
            <w:right w:val="none" w:sz="0" w:space="0" w:color="auto"/>
          </w:divBdr>
        </w:div>
        <w:div w:id="179442459">
          <w:marLeft w:val="0"/>
          <w:marRight w:val="0"/>
          <w:marTop w:val="0"/>
          <w:marBottom w:val="0"/>
          <w:divBdr>
            <w:top w:val="none" w:sz="0" w:space="0" w:color="auto"/>
            <w:left w:val="none" w:sz="0" w:space="0" w:color="auto"/>
            <w:bottom w:val="none" w:sz="0" w:space="0" w:color="auto"/>
            <w:right w:val="none" w:sz="0" w:space="0" w:color="auto"/>
          </w:divBdr>
        </w:div>
        <w:div w:id="183592620">
          <w:marLeft w:val="0"/>
          <w:marRight w:val="0"/>
          <w:marTop w:val="0"/>
          <w:marBottom w:val="0"/>
          <w:divBdr>
            <w:top w:val="none" w:sz="0" w:space="0" w:color="auto"/>
            <w:left w:val="none" w:sz="0" w:space="0" w:color="auto"/>
            <w:bottom w:val="none" w:sz="0" w:space="0" w:color="auto"/>
            <w:right w:val="none" w:sz="0" w:space="0" w:color="auto"/>
          </w:divBdr>
        </w:div>
        <w:div w:id="185414280">
          <w:marLeft w:val="0"/>
          <w:marRight w:val="0"/>
          <w:marTop w:val="0"/>
          <w:marBottom w:val="0"/>
          <w:divBdr>
            <w:top w:val="none" w:sz="0" w:space="0" w:color="auto"/>
            <w:left w:val="none" w:sz="0" w:space="0" w:color="auto"/>
            <w:bottom w:val="none" w:sz="0" w:space="0" w:color="auto"/>
            <w:right w:val="none" w:sz="0" w:space="0" w:color="auto"/>
          </w:divBdr>
        </w:div>
        <w:div w:id="206071520">
          <w:marLeft w:val="0"/>
          <w:marRight w:val="0"/>
          <w:marTop w:val="0"/>
          <w:marBottom w:val="0"/>
          <w:divBdr>
            <w:top w:val="none" w:sz="0" w:space="0" w:color="auto"/>
            <w:left w:val="none" w:sz="0" w:space="0" w:color="auto"/>
            <w:bottom w:val="none" w:sz="0" w:space="0" w:color="auto"/>
            <w:right w:val="none" w:sz="0" w:space="0" w:color="auto"/>
          </w:divBdr>
        </w:div>
        <w:div w:id="351417100">
          <w:marLeft w:val="0"/>
          <w:marRight w:val="0"/>
          <w:marTop w:val="0"/>
          <w:marBottom w:val="0"/>
          <w:divBdr>
            <w:top w:val="none" w:sz="0" w:space="0" w:color="auto"/>
            <w:left w:val="none" w:sz="0" w:space="0" w:color="auto"/>
            <w:bottom w:val="none" w:sz="0" w:space="0" w:color="auto"/>
            <w:right w:val="none" w:sz="0" w:space="0" w:color="auto"/>
          </w:divBdr>
        </w:div>
        <w:div w:id="379323022">
          <w:marLeft w:val="0"/>
          <w:marRight w:val="0"/>
          <w:marTop w:val="0"/>
          <w:marBottom w:val="0"/>
          <w:divBdr>
            <w:top w:val="none" w:sz="0" w:space="0" w:color="auto"/>
            <w:left w:val="none" w:sz="0" w:space="0" w:color="auto"/>
            <w:bottom w:val="none" w:sz="0" w:space="0" w:color="auto"/>
            <w:right w:val="none" w:sz="0" w:space="0" w:color="auto"/>
          </w:divBdr>
        </w:div>
        <w:div w:id="421948046">
          <w:marLeft w:val="0"/>
          <w:marRight w:val="0"/>
          <w:marTop w:val="0"/>
          <w:marBottom w:val="0"/>
          <w:divBdr>
            <w:top w:val="none" w:sz="0" w:space="0" w:color="auto"/>
            <w:left w:val="none" w:sz="0" w:space="0" w:color="auto"/>
            <w:bottom w:val="none" w:sz="0" w:space="0" w:color="auto"/>
            <w:right w:val="none" w:sz="0" w:space="0" w:color="auto"/>
          </w:divBdr>
        </w:div>
        <w:div w:id="436675112">
          <w:marLeft w:val="0"/>
          <w:marRight w:val="0"/>
          <w:marTop w:val="0"/>
          <w:marBottom w:val="0"/>
          <w:divBdr>
            <w:top w:val="none" w:sz="0" w:space="0" w:color="auto"/>
            <w:left w:val="none" w:sz="0" w:space="0" w:color="auto"/>
            <w:bottom w:val="none" w:sz="0" w:space="0" w:color="auto"/>
            <w:right w:val="none" w:sz="0" w:space="0" w:color="auto"/>
          </w:divBdr>
        </w:div>
        <w:div w:id="487022501">
          <w:marLeft w:val="0"/>
          <w:marRight w:val="0"/>
          <w:marTop w:val="0"/>
          <w:marBottom w:val="0"/>
          <w:divBdr>
            <w:top w:val="none" w:sz="0" w:space="0" w:color="auto"/>
            <w:left w:val="none" w:sz="0" w:space="0" w:color="auto"/>
            <w:bottom w:val="none" w:sz="0" w:space="0" w:color="auto"/>
            <w:right w:val="none" w:sz="0" w:space="0" w:color="auto"/>
          </w:divBdr>
        </w:div>
        <w:div w:id="516891276">
          <w:marLeft w:val="0"/>
          <w:marRight w:val="0"/>
          <w:marTop w:val="0"/>
          <w:marBottom w:val="0"/>
          <w:divBdr>
            <w:top w:val="none" w:sz="0" w:space="0" w:color="auto"/>
            <w:left w:val="none" w:sz="0" w:space="0" w:color="auto"/>
            <w:bottom w:val="none" w:sz="0" w:space="0" w:color="auto"/>
            <w:right w:val="none" w:sz="0" w:space="0" w:color="auto"/>
          </w:divBdr>
        </w:div>
        <w:div w:id="548686177">
          <w:marLeft w:val="0"/>
          <w:marRight w:val="0"/>
          <w:marTop w:val="0"/>
          <w:marBottom w:val="0"/>
          <w:divBdr>
            <w:top w:val="none" w:sz="0" w:space="0" w:color="auto"/>
            <w:left w:val="none" w:sz="0" w:space="0" w:color="auto"/>
            <w:bottom w:val="none" w:sz="0" w:space="0" w:color="auto"/>
            <w:right w:val="none" w:sz="0" w:space="0" w:color="auto"/>
          </w:divBdr>
        </w:div>
        <w:div w:id="656037424">
          <w:marLeft w:val="0"/>
          <w:marRight w:val="0"/>
          <w:marTop w:val="0"/>
          <w:marBottom w:val="0"/>
          <w:divBdr>
            <w:top w:val="none" w:sz="0" w:space="0" w:color="auto"/>
            <w:left w:val="none" w:sz="0" w:space="0" w:color="auto"/>
            <w:bottom w:val="none" w:sz="0" w:space="0" w:color="auto"/>
            <w:right w:val="none" w:sz="0" w:space="0" w:color="auto"/>
          </w:divBdr>
        </w:div>
        <w:div w:id="662197654">
          <w:marLeft w:val="0"/>
          <w:marRight w:val="0"/>
          <w:marTop w:val="0"/>
          <w:marBottom w:val="0"/>
          <w:divBdr>
            <w:top w:val="none" w:sz="0" w:space="0" w:color="auto"/>
            <w:left w:val="none" w:sz="0" w:space="0" w:color="auto"/>
            <w:bottom w:val="none" w:sz="0" w:space="0" w:color="auto"/>
            <w:right w:val="none" w:sz="0" w:space="0" w:color="auto"/>
          </w:divBdr>
        </w:div>
        <w:div w:id="798913322">
          <w:marLeft w:val="0"/>
          <w:marRight w:val="0"/>
          <w:marTop w:val="0"/>
          <w:marBottom w:val="0"/>
          <w:divBdr>
            <w:top w:val="none" w:sz="0" w:space="0" w:color="auto"/>
            <w:left w:val="none" w:sz="0" w:space="0" w:color="auto"/>
            <w:bottom w:val="none" w:sz="0" w:space="0" w:color="auto"/>
            <w:right w:val="none" w:sz="0" w:space="0" w:color="auto"/>
          </w:divBdr>
        </w:div>
        <w:div w:id="878205766">
          <w:marLeft w:val="0"/>
          <w:marRight w:val="0"/>
          <w:marTop w:val="0"/>
          <w:marBottom w:val="0"/>
          <w:divBdr>
            <w:top w:val="none" w:sz="0" w:space="0" w:color="auto"/>
            <w:left w:val="none" w:sz="0" w:space="0" w:color="auto"/>
            <w:bottom w:val="none" w:sz="0" w:space="0" w:color="auto"/>
            <w:right w:val="none" w:sz="0" w:space="0" w:color="auto"/>
          </w:divBdr>
        </w:div>
        <w:div w:id="899444440">
          <w:marLeft w:val="0"/>
          <w:marRight w:val="0"/>
          <w:marTop w:val="0"/>
          <w:marBottom w:val="0"/>
          <w:divBdr>
            <w:top w:val="none" w:sz="0" w:space="0" w:color="auto"/>
            <w:left w:val="none" w:sz="0" w:space="0" w:color="auto"/>
            <w:bottom w:val="none" w:sz="0" w:space="0" w:color="auto"/>
            <w:right w:val="none" w:sz="0" w:space="0" w:color="auto"/>
          </w:divBdr>
        </w:div>
        <w:div w:id="1051418280">
          <w:marLeft w:val="0"/>
          <w:marRight w:val="0"/>
          <w:marTop w:val="0"/>
          <w:marBottom w:val="0"/>
          <w:divBdr>
            <w:top w:val="none" w:sz="0" w:space="0" w:color="auto"/>
            <w:left w:val="none" w:sz="0" w:space="0" w:color="auto"/>
            <w:bottom w:val="none" w:sz="0" w:space="0" w:color="auto"/>
            <w:right w:val="none" w:sz="0" w:space="0" w:color="auto"/>
          </w:divBdr>
        </w:div>
        <w:div w:id="1133252339">
          <w:marLeft w:val="0"/>
          <w:marRight w:val="0"/>
          <w:marTop w:val="0"/>
          <w:marBottom w:val="0"/>
          <w:divBdr>
            <w:top w:val="none" w:sz="0" w:space="0" w:color="auto"/>
            <w:left w:val="none" w:sz="0" w:space="0" w:color="auto"/>
            <w:bottom w:val="none" w:sz="0" w:space="0" w:color="auto"/>
            <w:right w:val="none" w:sz="0" w:space="0" w:color="auto"/>
          </w:divBdr>
        </w:div>
        <w:div w:id="1250383118">
          <w:marLeft w:val="0"/>
          <w:marRight w:val="0"/>
          <w:marTop w:val="0"/>
          <w:marBottom w:val="0"/>
          <w:divBdr>
            <w:top w:val="none" w:sz="0" w:space="0" w:color="auto"/>
            <w:left w:val="none" w:sz="0" w:space="0" w:color="auto"/>
            <w:bottom w:val="none" w:sz="0" w:space="0" w:color="auto"/>
            <w:right w:val="none" w:sz="0" w:space="0" w:color="auto"/>
          </w:divBdr>
        </w:div>
        <w:div w:id="1252394124">
          <w:marLeft w:val="0"/>
          <w:marRight w:val="0"/>
          <w:marTop w:val="0"/>
          <w:marBottom w:val="0"/>
          <w:divBdr>
            <w:top w:val="none" w:sz="0" w:space="0" w:color="auto"/>
            <w:left w:val="none" w:sz="0" w:space="0" w:color="auto"/>
            <w:bottom w:val="none" w:sz="0" w:space="0" w:color="auto"/>
            <w:right w:val="none" w:sz="0" w:space="0" w:color="auto"/>
          </w:divBdr>
        </w:div>
        <w:div w:id="1336573302">
          <w:marLeft w:val="0"/>
          <w:marRight w:val="0"/>
          <w:marTop w:val="0"/>
          <w:marBottom w:val="0"/>
          <w:divBdr>
            <w:top w:val="none" w:sz="0" w:space="0" w:color="auto"/>
            <w:left w:val="none" w:sz="0" w:space="0" w:color="auto"/>
            <w:bottom w:val="none" w:sz="0" w:space="0" w:color="auto"/>
            <w:right w:val="none" w:sz="0" w:space="0" w:color="auto"/>
          </w:divBdr>
        </w:div>
        <w:div w:id="1336573586">
          <w:marLeft w:val="0"/>
          <w:marRight w:val="0"/>
          <w:marTop w:val="0"/>
          <w:marBottom w:val="0"/>
          <w:divBdr>
            <w:top w:val="none" w:sz="0" w:space="0" w:color="auto"/>
            <w:left w:val="none" w:sz="0" w:space="0" w:color="auto"/>
            <w:bottom w:val="none" w:sz="0" w:space="0" w:color="auto"/>
            <w:right w:val="none" w:sz="0" w:space="0" w:color="auto"/>
          </w:divBdr>
        </w:div>
        <w:div w:id="1467963522">
          <w:marLeft w:val="0"/>
          <w:marRight w:val="0"/>
          <w:marTop w:val="0"/>
          <w:marBottom w:val="0"/>
          <w:divBdr>
            <w:top w:val="none" w:sz="0" w:space="0" w:color="auto"/>
            <w:left w:val="none" w:sz="0" w:space="0" w:color="auto"/>
            <w:bottom w:val="none" w:sz="0" w:space="0" w:color="auto"/>
            <w:right w:val="none" w:sz="0" w:space="0" w:color="auto"/>
          </w:divBdr>
        </w:div>
        <w:div w:id="1493254091">
          <w:marLeft w:val="0"/>
          <w:marRight w:val="0"/>
          <w:marTop w:val="0"/>
          <w:marBottom w:val="0"/>
          <w:divBdr>
            <w:top w:val="none" w:sz="0" w:space="0" w:color="auto"/>
            <w:left w:val="none" w:sz="0" w:space="0" w:color="auto"/>
            <w:bottom w:val="none" w:sz="0" w:space="0" w:color="auto"/>
            <w:right w:val="none" w:sz="0" w:space="0" w:color="auto"/>
          </w:divBdr>
        </w:div>
        <w:div w:id="1515344159">
          <w:marLeft w:val="0"/>
          <w:marRight w:val="0"/>
          <w:marTop w:val="0"/>
          <w:marBottom w:val="0"/>
          <w:divBdr>
            <w:top w:val="none" w:sz="0" w:space="0" w:color="auto"/>
            <w:left w:val="none" w:sz="0" w:space="0" w:color="auto"/>
            <w:bottom w:val="none" w:sz="0" w:space="0" w:color="auto"/>
            <w:right w:val="none" w:sz="0" w:space="0" w:color="auto"/>
          </w:divBdr>
        </w:div>
        <w:div w:id="1581060261">
          <w:marLeft w:val="0"/>
          <w:marRight w:val="0"/>
          <w:marTop w:val="0"/>
          <w:marBottom w:val="0"/>
          <w:divBdr>
            <w:top w:val="none" w:sz="0" w:space="0" w:color="auto"/>
            <w:left w:val="none" w:sz="0" w:space="0" w:color="auto"/>
            <w:bottom w:val="none" w:sz="0" w:space="0" w:color="auto"/>
            <w:right w:val="none" w:sz="0" w:space="0" w:color="auto"/>
          </w:divBdr>
        </w:div>
        <w:div w:id="1670018867">
          <w:marLeft w:val="0"/>
          <w:marRight w:val="0"/>
          <w:marTop w:val="0"/>
          <w:marBottom w:val="0"/>
          <w:divBdr>
            <w:top w:val="none" w:sz="0" w:space="0" w:color="auto"/>
            <w:left w:val="none" w:sz="0" w:space="0" w:color="auto"/>
            <w:bottom w:val="none" w:sz="0" w:space="0" w:color="auto"/>
            <w:right w:val="none" w:sz="0" w:space="0" w:color="auto"/>
          </w:divBdr>
        </w:div>
        <w:div w:id="1754620001">
          <w:marLeft w:val="0"/>
          <w:marRight w:val="0"/>
          <w:marTop w:val="0"/>
          <w:marBottom w:val="0"/>
          <w:divBdr>
            <w:top w:val="none" w:sz="0" w:space="0" w:color="auto"/>
            <w:left w:val="none" w:sz="0" w:space="0" w:color="auto"/>
            <w:bottom w:val="none" w:sz="0" w:space="0" w:color="auto"/>
            <w:right w:val="none" w:sz="0" w:space="0" w:color="auto"/>
          </w:divBdr>
        </w:div>
        <w:div w:id="1789078989">
          <w:marLeft w:val="0"/>
          <w:marRight w:val="0"/>
          <w:marTop w:val="0"/>
          <w:marBottom w:val="0"/>
          <w:divBdr>
            <w:top w:val="none" w:sz="0" w:space="0" w:color="auto"/>
            <w:left w:val="none" w:sz="0" w:space="0" w:color="auto"/>
            <w:bottom w:val="none" w:sz="0" w:space="0" w:color="auto"/>
            <w:right w:val="none" w:sz="0" w:space="0" w:color="auto"/>
          </w:divBdr>
        </w:div>
        <w:div w:id="1856184806">
          <w:marLeft w:val="0"/>
          <w:marRight w:val="0"/>
          <w:marTop w:val="0"/>
          <w:marBottom w:val="0"/>
          <w:divBdr>
            <w:top w:val="none" w:sz="0" w:space="0" w:color="auto"/>
            <w:left w:val="none" w:sz="0" w:space="0" w:color="auto"/>
            <w:bottom w:val="none" w:sz="0" w:space="0" w:color="auto"/>
            <w:right w:val="none" w:sz="0" w:space="0" w:color="auto"/>
          </w:divBdr>
        </w:div>
        <w:div w:id="1928810763">
          <w:marLeft w:val="0"/>
          <w:marRight w:val="0"/>
          <w:marTop w:val="0"/>
          <w:marBottom w:val="0"/>
          <w:divBdr>
            <w:top w:val="none" w:sz="0" w:space="0" w:color="auto"/>
            <w:left w:val="none" w:sz="0" w:space="0" w:color="auto"/>
            <w:bottom w:val="none" w:sz="0" w:space="0" w:color="auto"/>
            <w:right w:val="none" w:sz="0" w:space="0" w:color="auto"/>
          </w:divBdr>
        </w:div>
        <w:div w:id="1938362241">
          <w:marLeft w:val="0"/>
          <w:marRight w:val="0"/>
          <w:marTop w:val="0"/>
          <w:marBottom w:val="0"/>
          <w:divBdr>
            <w:top w:val="none" w:sz="0" w:space="0" w:color="auto"/>
            <w:left w:val="none" w:sz="0" w:space="0" w:color="auto"/>
            <w:bottom w:val="none" w:sz="0" w:space="0" w:color="auto"/>
            <w:right w:val="none" w:sz="0" w:space="0" w:color="auto"/>
          </w:divBdr>
        </w:div>
        <w:div w:id="1995841238">
          <w:marLeft w:val="0"/>
          <w:marRight w:val="0"/>
          <w:marTop w:val="0"/>
          <w:marBottom w:val="0"/>
          <w:divBdr>
            <w:top w:val="none" w:sz="0" w:space="0" w:color="auto"/>
            <w:left w:val="none" w:sz="0" w:space="0" w:color="auto"/>
            <w:bottom w:val="none" w:sz="0" w:space="0" w:color="auto"/>
            <w:right w:val="none" w:sz="0" w:space="0" w:color="auto"/>
          </w:divBdr>
        </w:div>
        <w:div w:id="2011324375">
          <w:marLeft w:val="0"/>
          <w:marRight w:val="0"/>
          <w:marTop w:val="0"/>
          <w:marBottom w:val="0"/>
          <w:divBdr>
            <w:top w:val="none" w:sz="0" w:space="0" w:color="auto"/>
            <w:left w:val="none" w:sz="0" w:space="0" w:color="auto"/>
            <w:bottom w:val="none" w:sz="0" w:space="0" w:color="auto"/>
            <w:right w:val="none" w:sz="0" w:space="0" w:color="auto"/>
          </w:divBdr>
        </w:div>
        <w:div w:id="2023315161">
          <w:marLeft w:val="0"/>
          <w:marRight w:val="0"/>
          <w:marTop w:val="0"/>
          <w:marBottom w:val="0"/>
          <w:divBdr>
            <w:top w:val="none" w:sz="0" w:space="0" w:color="auto"/>
            <w:left w:val="none" w:sz="0" w:space="0" w:color="auto"/>
            <w:bottom w:val="none" w:sz="0" w:space="0" w:color="auto"/>
            <w:right w:val="none" w:sz="0" w:space="0" w:color="auto"/>
          </w:divBdr>
        </w:div>
        <w:div w:id="2034845605">
          <w:marLeft w:val="0"/>
          <w:marRight w:val="0"/>
          <w:marTop w:val="0"/>
          <w:marBottom w:val="0"/>
          <w:divBdr>
            <w:top w:val="none" w:sz="0" w:space="0" w:color="auto"/>
            <w:left w:val="none" w:sz="0" w:space="0" w:color="auto"/>
            <w:bottom w:val="none" w:sz="0" w:space="0" w:color="auto"/>
            <w:right w:val="none" w:sz="0" w:space="0" w:color="auto"/>
          </w:divBdr>
        </w:div>
        <w:div w:id="2106227028">
          <w:marLeft w:val="0"/>
          <w:marRight w:val="0"/>
          <w:marTop w:val="0"/>
          <w:marBottom w:val="0"/>
          <w:divBdr>
            <w:top w:val="none" w:sz="0" w:space="0" w:color="auto"/>
            <w:left w:val="none" w:sz="0" w:space="0" w:color="auto"/>
            <w:bottom w:val="none" w:sz="0" w:space="0" w:color="auto"/>
            <w:right w:val="none" w:sz="0" w:space="0" w:color="auto"/>
          </w:divBdr>
        </w:div>
        <w:div w:id="2109350518">
          <w:marLeft w:val="0"/>
          <w:marRight w:val="0"/>
          <w:marTop w:val="0"/>
          <w:marBottom w:val="0"/>
          <w:divBdr>
            <w:top w:val="none" w:sz="0" w:space="0" w:color="auto"/>
            <w:left w:val="none" w:sz="0" w:space="0" w:color="auto"/>
            <w:bottom w:val="none" w:sz="0" w:space="0" w:color="auto"/>
            <w:right w:val="none" w:sz="0" w:space="0" w:color="auto"/>
          </w:divBdr>
        </w:div>
        <w:div w:id="2118718177">
          <w:marLeft w:val="0"/>
          <w:marRight w:val="0"/>
          <w:marTop w:val="0"/>
          <w:marBottom w:val="0"/>
          <w:divBdr>
            <w:top w:val="none" w:sz="0" w:space="0" w:color="auto"/>
            <w:left w:val="none" w:sz="0" w:space="0" w:color="auto"/>
            <w:bottom w:val="none" w:sz="0" w:space="0" w:color="auto"/>
            <w:right w:val="none" w:sz="0" w:space="0" w:color="auto"/>
          </w:divBdr>
        </w:div>
      </w:divsChild>
    </w:div>
    <w:div w:id="822742416">
      <w:bodyDiv w:val="1"/>
      <w:marLeft w:val="0"/>
      <w:marRight w:val="0"/>
      <w:marTop w:val="0"/>
      <w:marBottom w:val="0"/>
      <w:divBdr>
        <w:top w:val="none" w:sz="0" w:space="0" w:color="auto"/>
        <w:left w:val="none" w:sz="0" w:space="0" w:color="auto"/>
        <w:bottom w:val="none" w:sz="0" w:space="0" w:color="auto"/>
        <w:right w:val="none" w:sz="0" w:space="0" w:color="auto"/>
      </w:divBdr>
    </w:div>
    <w:div w:id="856117555">
      <w:bodyDiv w:val="1"/>
      <w:marLeft w:val="0"/>
      <w:marRight w:val="0"/>
      <w:marTop w:val="0"/>
      <w:marBottom w:val="0"/>
      <w:divBdr>
        <w:top w:val="none" w:sz="0" w:space="0" w:color="auto"/>
        <w:left w:val="none" w:sz="0" w:space="0" w:color="auto"/>
        <w:bottom w:val="none" w:sz="0" w:space="0" w:color="auto"/>
        <w:right w:val="none" w:sz="0" w:space="0" w:color="auto"/>
      </w:divBdr>
    </w:div>
    <w:div w:id="871261462">
      <w:bodyDiv w:val="1"/>
      <w:marLeft w:val="0"/>
      <w:marRight w:val="0"/>
      <w:marTop w:val="0"/>
      <w:marBottom w:val="0"/>
      <w:divBdr>
        <w:top w:val="none" w:sz="0" w:space="0" w:color="auto"/>
        <w:left w:val="none" w:sz="0" w:space="0" w:color="auto"/>
        <w:bottom w:val="none" w:sz="0" w:space="0" w:color="auto"/>
        <w:right w:val="none" w:sz="0" w:space="0" w:color="auto"/>
      </w:divBdr>
    </w:div>
    <w:div w:id="1100294783">
      <w:bodyDiv w:val="1"/>
      <w:marLeft w:val="0"/>
      <w:marRight w:val="0"/>
      <w:marTop w:val="0"/>
      <w:marBottom w:val="0"/>
      <w:divBdr>
        <w:top w:val="none" w:sz="0" w:space="0" w:color="auto"/>
        <w:left w:val="none" w:sz="0" w:space="0" w:color="auto"/>
        <w:bottom w:val="none" w:sz="0" w:space="0" w:color="auto"/>
        <w:right w:val="none" w:sz="0" w:space="0" w:color="auto"/>
      </w:divBdr>
    </w:div>
    <w:div w:id="1355032152">
      <w:bodyDiv w:val="1"/>
      <w:marLeft w:val="0"/>
      <w:marRight w:val="0"/>
      <w:marTop w:val="0"/>
      <w:marBottom w:val="0"/>
      <w:divBdr>
        <w:top w:val="none" w:sz="0" w:space="0" w:color="auto"/>
        <w:left w:val="none" w:sz="0" w:space="0" w:color="auto"/>
        <w:bottom w:val="none" w:sz="0" w:space="0" w:color="auto"/>
        <w:right w:val="none" w:sz="0" w:space="0" w:color="auto"/>
      </w:divBdr>
    </w:div>
    <w:div w:id="1366250001">
      <w:bodyDiv w:val="1"/>
      <w:marLeft w:val="0"/>
      <w:marRight w:val="0"/>
      <w:marTop w:val="0"/>
      <w:marBottom w:val="0"/>
      <w:divBdr>
        <w:top w:val="none" w:sz="0" w:space="0" w:color="auto"/>
        <w:left w:val="none" w:sz="0" w:space="0" w:color="auto"/>
        <w:bottom w:val="none" w:sz="0" w:space="0" w:color="auto"/>
        <w:right w:val="none" w:sz="0" w:space="0" w:color="auto"/>
      </w:divBdr>
    </w:div>
    <w:div w:id="1508639917">
      <w:bodyDiv w:val="1"/>
      <w:marLeft w:val="0"/>
      <w:marRight w:val="0"/>
      <w:marTop w:val="0"/>
      <w:marBottom w:val="0"/>
      <w:divBdr>
        <w:top w:val="none" w:sz="0" w:space="0" w:color="auto"/>
        <w:left w:val="none" w:sz="0" w:space="0" w:color="auto"/>
        <w:bottom w:val="none" w:sz="0" w:space="0" w:color="auto"/>
        <w:right w:val="none" w:sz="0" w:space="0" w:color="auto"/>
      </w:divBdr>
    </w:div>
    <w:div w:id="1563297424">
      <w:bodyDiv w:val="1"/>
      <w:marLeft w:val="0"/>
      <w:marRight w:val="0"/>
      <w:marTop w:val="0"/>
      <w:marBottom w:val="0"/>
      <w:divBdr>
        <w:top w:val="none" w:sz="0" w:space="0" w:color="auto"/>
        <w:left w:val="none" w:sz="0" w:space="0" w:color="auto"/>
        <w:bottom w:val="none" w:sz="0" w:space="0" w:color="auto"/>
        <w:right w:val="none" w:sz="0" w:space="0" w:color="auto"/>
      </w:divBdr>
    </w:div>
    <w:div w:id="1686442289">
      <w:bodyDiv w:val="1"/>
      <w:marLeft w:val="0"/>
      <w:marRight w:val="0"/>
      <w:marTop w:val="0"/>
      <w:marBottom w:val="0"/>
      <w:divBdr>
        <w:top w:val="none" w:sz="0" w:space="0" w:color="auto"/>
        <w:left w:val="none" w:sz="0" w:space="0" w:color="auto"/>
        <w:bottom w:val="none" w:sz="0" w:space="0" w:color="auto"/>
        <w:right w:val="none" w:sz="0" w:space="0" w:color="auto"/>
      </w:divBdr>
    </w:div>
    <w:div w:id="1913195615">
      <w:bodyDiv w:val="1"/>
      <w:marLeft w:val="0"/>
      <w:marRight w:val="0"/>
      <w:marTop w:val="0"/>
      <w:marBottom w:val="0"/>
      <w:divBdr>
        <w:top w:val="none" w:sz="0" w:space="0" w:color="auto"/>
        <w:left w:val="none" w:sz="0" w:space="0" w:color="auto"/>
        <w:bottom w:val="none" w:sz="0" w:space="0" w:color="auto"/>
        <w:right w:val="none" w:sz="0" w:space="0" w:color="auto"/>
      </w:divBdr>
    </w:div>
    <w:div w:id="1967616626">
      <w:bodyDiv w:val="1"/>
      <w:marLeft w:val="0"/>
      <w:marRight w:val="0"/>
      <w:marTop w:val="0"/>
      <w:marBottom w:val="0"/>
      <w:divBdr>
        <w:top w:val="none" w:sz="0" w:space="0" w:color="auto"/>
        <w:left w:val="none" w:sz="0" w:space="0" w:color="auto"/>
        <w:bottom w:val="none" w:sz="0" w:space="0" w:color="auto"/>
        <w:right w:val="none" w:sz="0" w:space="0" w:color="auto"/>
      </w:divBdr>
    </w:div>
    <w:div w:id="2085905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hart" Target="charts/chart3.xml"/><Relationship Id="rId18" Type="http://schemas.openxmlformats.org/officeDocument/2006/relationships/chart" Target="charts/chart8.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styles" Target="styles.xml"/><Relationship Id="rId16" Type="http://schemas.openxmlformats.org/officeDocument/2006/relationships/chart" Target="charts/chart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chart" Target="charts/chart1.xml"/><Relationship Id="rId5" Type="http://schemas.openxmlformats.org/officeDocument/2006/relationships/image" Target="media/image1.jpeg"/><Relationship Id="rId15" Type="http://schemas.openxmlformats.org/officeDocument/2006/relationships/chart" Target="charts/chart5.xml"/><Relationship Id="rId10" Type="http://schemas.openxmlformats.org/officeDocument/2006/relationships/image" Target="media/image6.png"/><Relationship Id="rId19" Type="http://schemas.openxmlformats.org/officeDocument/2006/relationships/chart" Target="charts/chart9.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file:///D:\job\2017\dec\26.12.17_finance%20management\PS10922-calulation-8.12.2017-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job\2017\dec\26.12.17_finance%20management\PS10922-calulation-8.12.2017-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job\2017\dec\26.12.17_finance%20management\PS10922-calulation-8.12.2017-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job\2017\dec\26.12.17_finance%20management\PS10922-calulation-8.12.2017-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job\2017\dec\26.12.17_finance%20management\PS10922-calulation-8.12.2017-2.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job\2017\dec\26.12.17_finance%20management\PS10922-calulation-8.12.2017-2.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job\2017\dec\26.12.17_finance%20management\PS10922-calulation-8.12.2017-2.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job\2017\dec\26.12.17_finance%20management\PS10922-calulation-8.12.2017-2.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job\2017\dec\26.12.17_finance%20management\PS10922-calulation-8.12.2017-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IN"/>
  <c:chart>
    <c:title>
      <c:tx>
        <c:rich>
          <a:bodyPr/>
          <a:lstStyle/>
          <a:p>
            <a:pPr>
              <a:defRPr lang="en-US"/>
            </a:pPr>
            <a:r>
              <a:rPr lang="en-US"/>
              <a:t>profitablity analysis </a:t>
            </a:r>
          </a:p>
        </c:rich>
      </c:tx>
      <c:layout/>
    </c:title>
    <c:plotArea>
      <c:layout/>
      <c:barChart>
        <c:barDir val="col"/>
        <c:grouping val="clustered"/>
        <c:ser>
          <c:idx val="0"/>
          <c:order val="0"/>
          <c:tx>
            <c:strRef>
              <c:f>Sheet3!$B$3</c:f>
              <c:strCache>
                <c:ptCount val="1"/>
                <c:pt idx="0">
                  <c:v>Gross profit margin </c:v>
                </c:pt>
              </c:strCache>
            </c:strRef>
          </c:tx>
          <c:cat>
            <c:numRef>
              <c:f>Sheet3!$A$4:$A$8</c:f>
              <c:numCache>
                <c:formatCode>General</c:formatCode>
                <c:ptCount val="5"/>
                <c:pt idx="0">
                  <c:v>2012</c:v>
                </c:pt>
                <c:pt idx="1">
                  <c:v>2013</c:v>
                </c:pt>
                <c:pt idx="2">
                  <c:v>2014</c:v>
                </c:pt>
                <c:pt idx="3">
                  <c:v>2015</c:v>
                </c:pt>
                <c:pt idx="4">
                  <c:v>2016</c:v>
                </c:pt>
              </c:numCache>
            </c:numRef>
          </c:cat>
          <c:val>
            <c:numRef>
              <c:f>Sheet3!$B$4:$B$8</c:f>
              <c:numCache>
                <c:formatCode>0.00%</c:formatCode>
                <c:ptCount val="5"/>
                <c:pt idx="0">
                  <c:v>6.0200000000000017E-2</c:v>
                </c:pt>
                <c:pt idx="1">
                  <c:v>6.550000000000003E-2</c:v>
                </c:pt>
                <c:pt idx="2">
                  <c:v>6.3100000000000003E-2</c:v>
                </c:pt>
                <c:pt idx="3">
                  <c:v>-3.3900000000000013E-2</c:v>
                </c:pt>
                <c:pt idx="4">
                  <c:v>5.2600000000000015E-2</c:v>
                </c:pt>
              </c:numCache>
            </c:numRef>
          </c:val>
        </c:ser>
        <c:ser>
          <c:idx val="1"/>
          <c:order val="1"/>
          <c:tx>
            <c:strRef>
              <c:f>Sheet3!$C$3</c:f>
              <c:strCache>
                <c:ptCount val="1"/>
                <c:pt idx="0">
                  <c:v>Net Profit margin</c:v>
                </c:pt>
              </c:strCache>
            </c:strRef>
          </c:tx>
          <c:cat>
            <c:numRef>
              <c:f>Sheet3!$A$4:$A$8</c:f>
              <c:numCache>
                <c:formatCode>General</c:formatCode>
                <c:ptCount val="5"/>
                <c:pt idx="0">
                  <c:v>2012</c:v>
                </c:pt>
                <c:pt idx="1">
                  <c:v>2013</c:v>
                </c:pt>
                <c:pt idx="2">
                  <c:v>2014</c:v>
                </c:pt>
                <c:pt idx="3">
                  <c:v>2015</c:v>
                </c:pt>
                <c:pt idx="4">
                  <c:v>2016</c:v>
                </c:pt>
              </c:numCache>
            </c:numRef>
          </c:cat>
          <c:val>
            <c:numRef>
              <c:f>Sheet3!$C$4:$C$8</c:f>
              <c:numCache>
                <c:formatCode>0.00%</c:formatCode>
                <c:ptCount val="5"/>
                <c:pt idx="0">
                  <c:v>4.3500000000000004E-2</c:v>
                </c:pt>
                <c:pt idx="1">
                  <c:v>1.9000000000000026E-3</c:v>
                </c:pt>
                <c:pt idx="2">
                  <c:v>1.5299999999999999E-2</c:v>
                </c:pt>
                <c:pt idx="3">
                  <c:v>-9.2200000000000004E-2</c:v>
                </c:pt>
                <c:pt idx="4">
                  <c:v>2.5000000000000027E-3</c:v>
                </c:pt>
              </c:numCache>
            </c:numRef>
          </c:val>
        </c:ser>
        <c:ser>
          <c:idx val="2"/>
          <c:order val="2"/>
          <c:tx>
            <c:strRef>
              <c:f>Sheet3!$D$3</c:f>
              <c:strCache>
                <c:ptCount val="1"/>
                <c:pt idx="0">
                  <c:v>Operating profit margin </c:v>
                </c:pt>
              </c:strCache>
            </c:strRef>
          </c:tx>
          <c:cat>
            <c:numRef>
              <c:f>Sheet3!$A$4:$A$8</c:f>
              <c:numCache>
                <c:formatCode>General</c:formatCode>
                <c:ptCount val="5"/>
                <c:pt idx="0">
                  <c:v>2012</c:v>
                </c:pt>
                <c:pt idx="1">
                  <c:v>2013</c:v>
                </c:pt>
                <c:pt idx="2">
                  <c:v>2014</c:v>
                </c:pt>
                <c:pt idx="3">
                  <c:v>2015</c:v>
                </c:pt>
                <c:pt idx="4">
                  <c:v>2016</c:v>
                </c:pt>
              </c:numCache>
            </c:numRef>
          </c:cat>
          <c:val>
            <c:numRef>
              <c:f>Sheet3!$D$4:$D$8</c:f>
              <c:numCache>
                <c:formatCode>0.00%</c:formatCode>
                <c:ptCount val="5"/>
                <c:pt idx="0">
                  <c:v>6.5400000000000041E-2</c:v>
                </c:pt>
                <c:pt idx="1">
                  <c:v>3.7600000000000057E-2</c:v>
                </c:pt>
                <c:pt idx="2">
                  <c:v>4.1400000000000013E-2</c:v>
                </c:pt>
                <c:pt idx="3">
                  <c:v>-9.3000000000000152E-2</c:v>
                </c:pt>
                <c:pt idx="4">
                  <c:v>1.9900000000000029E-2</c:v>
                </c:pt>
              </c:numCache>
            </c:numRef>
          </c:val>
        </c:ser>
        <c:axId val="99019392"/>
        <c:axId val="73208192"/>
      </c:barChart>
      <c:catAx>
        <c:axId val="99019392"/>
        <c:scaling>
          <c:orientation val="minMax"/>
        </c:scaling>
        <c:axPos val="b"/>
        <c:numFmt formatCode="General" sourceLinked="1"/>
        <c:majorTickMark val="none"/>
        <c:tickLblPos val="nextTo"/>
        <c:txPr>
          <a:bodyPr/>
          <a:lstStyle/>
          <a:p>
            <a:pPr>
              <a:defRPr lang="en-US"/>
            </a:pPr>
            <a:endParaRPr lang="en-US"/>
          </a:p>
        </c:txPr>
        <c:crossAx val="73208192"/>
        <c:crosses val="autoZero"/>
        <c:auto val="1"/>
        <c:lblAlgn val="ctr"/>
        <c:lblOffset val="100"/>
      </c:catAx>
      <c:valAx>
        <c:axId val="73208192"/>
        <c:scaling>
          <c:orientation val="minMax"/>
        </c:scaling>
        <c:axPos val="l"/>
        <c:majorGridlines/>
        <c:numFmt formatCode="0.00%" sourceLinked="1"/>
        <c:majorTickMark val="none"/>
        <c:tickLblPos val="nextTo"/>
        <c:txPr>
          <a:bodyPr/>
          <a:lstStyle/>
          <a:p>
            <a:pPr>
              <a:defRPr lang="en-US"/>
            </a:pPr>
            <a:endParaRPr lang="en-US"/>
          </a:p>
        </c:txPr>
        <c:crossAx val="99019392"/>
        <c:crosses val="autoZero"/>
        <c:crossBetween val="between"/>
      </c:valAx>
    </c:plotArea>
    <c:legend>
      <c:legendPos val="r"/>
      <c:layout/>
      <c:txPr>
        <a:bodyPr/>
        <a:lstStyle/>
        <a:p>
          <a:pPr>
            <a:defRPr lang="en-US"/>
          </a:pPr>
          <a:endParaRPr lang="en-US"/>
        </a:p>
      </c:txP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IN"/>
  <c:chart>
    <c:title>
      <c:tx>
        <c:rich>
          <a:bodyPr/>
          <a:lstStyle/>
          <a:p>
            <a:pPr>
              <a:defRPr lang="en-US"/>
            </a:pPr>
            <a:r>
              <a:rPr lang="en-GB" sz="1800" b="1" i="0" u="none" strike="noStrike" baseline="0"/>
              <a:t>Liquidity Ratios Analysis</a:t>
            </a:r>
            <a:endParaRPr lang="en-US"/>
          </a:p>
        </c:rich>
      </c:tx>
      <c:layout/>
    </c:title>
    <c:plotArea>
      <c:layout/>
      <c:lineChart>
        <c:grouping val="stacked"/>
        <c:ser>
          <c:idx val="0"/>
          <c:order val="0"/>
          <c:tx>
            <c:strRef>
              <c:f>Sheet3!$B$19</c:f>
              <c:strCache>
                <c:ptCount val="1"/>
                <c:pt idx="0">
                  <c:v>current ratios</c:v>
                </c:pt>
              </c:strCache>
            </c:strRef>
          </c:tx>
          <c:marker>
            <c:symbol val="none"/>
          </c:marker>
          <c:dLbls>
            <c:txPr>
              <a:bodyPr/>
              <a:lstStyle/>
              <a:p>
                <a:pPr>
                  <a:defRPr lang="en-US"/>
                </a:pPr>
                <a:endParaRPr lang="en-US"/>
              </a:p>
            </c:txPr>
            <c:showVal val="1"/>
          </c:dLbls>
          <c:cat>
            <c:numRef>
              <c:f>Sheet3!$A$20:$A$24</c:f>
              <c:numCache>
                <c:formatCode>General</c:formatCode>
                <c:ptCount val="5"/>
                <c:pt idx="0">
                  <c:v>2012</c:v>
                </c:pt>
                <c:pt idx="1">
                  <c:v>2013</c:v>
                </c:pt>
                <c:pt idx="2">
                  <c:v>2014</c:v>
                </c:pt>
                <c:pt idx="3">
                  <c:v>2015</c:v>
                </c:pt>
                <c:pt idx="4">
                  <c:v>2016</c:v>
                </c:pt>
              </c:numCache>
            </c:numRef>
          </c:cat>
          <c:val>
            <c:numRef>
              <c:f>Sheet3!$B$20:$B$24</c:f>
              <c:numCache>
                <c:formatCode>General</c:formatCode>
                <c:ptCount val="5"/>
                <c:pt idx="0">
                  <c:v>0.67000000000000182</c:v>
                </c:pt>
                <c:pt idx="1">
                  <c:v>0.70000000000000062</c:v>
                </c:pt>
                <c:pt idx="2">
                  <c:v>0.77000000000000146</c:v>
                </c:pt>
                <c:pt idx="3">
                  <c:v>0.60000000000000064</c:v>
                </c:pt>
                <c:pt idx="4">
                  <c:v>0.75000000000000144</c:v>
                </c:pt>
              </c:numCache>
            </c:numRef>
          </c:val>
        </c:ser>
        <c:ser>
          <c:idx val="1"/>
          <c:order val="1"/>
          <c:tx>
            <c:strRef>
              <c:f>Sheet3!$C$19</c:f>
              <c:strCache>
                <c:ptCount val="1"/>
                <c:pt idx="0">
                  <c:v>Quick Ratio</c:v>
                </c:pt>
              </c:strCache>
            </c:strRef>
          </c:tx>
          <c:marker>
            <c:symbol val="none"/>
          </c:marker>
          <c:dLbls>
            <c:txPr>
              <a:bodyPr/>
              <a:lstStyle/>
              <a:p>
                <a:pPr>
                  <a:defRPr lang="en-US"/>
                </a:pPr>
                <a:endParaRPr lang="en-US"/>
              </a:p>
            </c:txPr>
            <c:showVal val="1"/>
          </c:dLbls>
          <c:cat>
            <c:numRef>
              <c:f>Sheet3!$A$20:$A$24</c:f>
              <c:numCache>
                <c:formatCode>General</c:formatCode>
                <c:ptCount val="5"/>
                <c:pt idx="0">
                  <c:v>2012</c:v>
                </c:pt>
                <c:pt idx="1">
                  <c:v>2013</c:v>
                </c:pt>
                <c:pt idx="2">
                  <c:v>2014</c:v>
                </c:pt>
                <c:pt idx="3">
                  <c:v>2015</c:v>
                </c:pt>
                <c:pt idx="4">
                  <c:v>2016</c:v>
                </c:pt>
              </c:numCache>
            </c:numRef>
          </c:cat>
          <c:val>
            <c:numRef>
              <c:f>Sheet3!$C$20:$C$24</c:f>
              <c:numCache>
                <c:formatCode>General</c:formatCode>
                <c:ptCount val="5"/>
                <c:pt idx="0">
                  <c:v>0.67000000000000182</c:v>
                </c:pt>
                <c:pt idx="1">
                  <c:v>0.50019999999999998</c:v>
                </c:pt>
                <c:pt idx="2">
                  <c:v>0.59370000000000001</c:v>
                </c:pt>
                <c:pt idx="3">
                  <c:v>0.45450000000000002</c:v>
                </c:pt>
                <c:pt idx="4">
                  <c:v>0.59</c:v>
                </c:pt>
              </c:numCache>
            </c:numRef>
          </c:val>
        </c:ser>
        <c:dLbls>
          <c:showVal val="1"/>
        </c:dLbls>
        <c:marker val="1"/>
        <c:axId val="73234304"/>
        <c:axId val="73235840"/>
      </c:lineChart>
      <c:catAx>
        <c:axId val="73234304"/>
        <c:scaling>
          <c:orientation val="minMax"/>
        </c:scaling>
        <c:axPos val="b"/>
        <c:numFmt formatCode="General" sourceLinked="1"/>
        <c:majorTickMark val="none"/>
        <c:tickLblPos val="nextTo"/>
        <c:txPr>
          <a:bodyPr/>
          <a:lstStyle/>
          <a:p>
            <a:pPr>
              <a:defRPr lang="en-US"/>
            </a:pPr>
            <a:endParaRPr lang="en-US"/>
          </a:p>
        </c:txPr>
        <c:crossAx val="73235840"/>
        <c:crosses val="autoZero"/>
        <c:auto val="1"/>
        <c:lblAlgn val="ctr"/>
        <c:lblOffset val="100"/>
      </c:catAx>
      <c:valAx>
        <c:axId val="73235840"/>
        <c:scaling>
          <c:orientation val="minMax"/>
        </c:scaling>
        <c:delete val="1"/>
        <c:axPos val="l"/>
        <c:numFmt formatCode="General" sourceLinked="1"/>
        <c:majorTickMark val="none"/>
        <c:tickLblPos val="nextTo"/>
        <c:crossAx val="73234304"/>
        <c:crosses val="autoZero"/>
        <c:crossBetween val="between"/>
      </c:valAx>
    </c:plotArea>
    <c:legend>
      <c:legendPos val="t"/>
      <c:layout/>
      <c:txPr>
        <a:bodyPr/>
        <a:lstStyle/>
        <a:p>
          <a:pPr>
            <a:defRPr lang="en-US"/>
          </a:pPr>
          <a:endParaRPr lang="en-US"/>
        </a:p>
      </c:txP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IN"/>
  <c:chart>
    <c:title>
      <c:tx>
        <c:rich>
          <a:bodyPr/>
          <a:lstStyle/>
          <a:p>
            <a:pPr>
              <a:defRPr lang="en-US"/>
            </a:pPr>
            <a:r>
              <a:rPr lang="en-US"/>
              <a:t>Return on capital employed(ROCE)</a:t>
            </a:r>
          </a:p>
        </c:rich>
      </c:tx>
      <c:layout/>
    </c:title>
    <c:plotArea>
      <c:layout/>
      <c:lineChart>
        <c:grouping val="standard"/>
        <c:ser>
          <c:idx val="0"/>
          <c:order val="0"/>
          <c:marker>
            <c:symbol val="none"/>
          </c:marker>
          <c:dLbls>
            <c:txPr>
              <a:bodyPr/>
              <a:lstStyle/>
              <a:p>
                <a:pPr>
                  <a:defRPr lang="en-US"/>
                </a:pPr>
                <a:endParaRPr lang="en-US"/>
              </a:p>
            </c:txPr>
            <c:showVal val="1"/>
          </c:dLbls>
          <c:cat>
            <c:numRef>
              <c:f>Sheet3!$A$30:$A$34</c:f>
              <c:numCache>
                <c:formatCode>General</c:formatCode>
                <c:ptCount val="5"/>
                <c:pt idx="0">
                  <c:v>2012</c:v>
                </c:pt>
                <c:pt idx="1">
                  <c:v>2013</c:v>
                </c:pt>
                <c:pt idx="2">
                  <c:v>2014</c:v>
                </c:pt>
                <c:pt idx="3">
                  <c:v>2015</c:v>
                </c:pt>
                <c:pt idx="4">
                  <c:v>2016</c:v>
                </c:pt>
              </c:numCache>
            </c:numRef>
          </c:cat>
          <c:val>
            <c:numRef>
              <c:f>Sheet3!$B$30:$B$34</c:f>
              <c:numCache>
                <c:formatCode>0.00%</c:formatCode>
                <c:ptCount val="5"/>
                <c:pt idx="0">
                  <c:v>0.15170000000000036</c:v>
                </c:pt>
                <c:pt idx="1">
                  <c:v>8.2200000000000009E-2</c:v>
                </c:pt>
                <c:pt idx="2" formatCode="0%">
                  <c:v>0.11</c:v>
                </c:pt>
                <c:pt idx="3">
                  <c:v>7.0800000000000002E-2</c:v>
                </c:pt>
                <c:pt idx="4">
                  <c:v>8.0100000000000005E-2</c:v>
                </c:pt>
              </c:numCache>
            </c:numRef>
          </c:val>
        </c:ser>
        <c:dLbls>
          <c:showVal val="1"/>
        </c:dLbls>
        <c:marker val="1"/>
        <c:axId val="73265152"/>
        <c:axId val="73266688"/>
      </c:lineChart>
      <c:catAx>
        <c:axId val="73265152"/>
        <c:scaling>
          <c:orientation val="minMax"/>
        </c:scaling>
        <c:axPos val="b"/>
        <c:numFmt formatCode="General" sourceLinked="1"/>
        <c:majorTickMark val="none"/>
        <c:tickLblPos val="nextTo"/>
        <c:txPr>
          <a:bodyPr/>
          <a:lstStyle/>
          <a:p>
            <a:pPr>
              <a:defRPr lang="en-US"/>
            </a:pPr>
            <a:endParaRPr lang="en-US"/>
          </a:p>
        </c:txPr>
        <c:crossAx val="73266688"/>
        <c:crosses val="autoZero"/>
        <c:auto val="1"/>
        <c:lblAlgn val="ctr"/>
        <c:lblOffset val="100"/>
      </c:catAx>
      <c:valAx>
        <c:axId val="73266688"/>
        <c:scaling>
          <c:orientation val="minMax"/>
        </c:scaling>
        <c:delete val="1"/>
        <c:axPos val="l"/>
        <c:numFmt formatCode="0.00%" sourceLinked="1"/>
        <c:tickLblPos val="nextTo"/>
        <c:crossAx val="73265152"/>
        <c:crosses val="autoZero"/>
        <c:crossBetween val="between"/>
      </c:valAx>
    </c:plotArea>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IN"/>
  <c:chart>
    <c:title>
      <c:tx>
        <c:rich>
          <a:bodyPr/>
          <a:lstStyle/>
          <a:p>
            <a:pPr>
              <a:defRPr lang="en-US"/>
            </a:pPr>
            <a:r>
              <a:rPr lang="en-US"/>
              <a:t>Total asset turm over ratio</a:t>
            </a:r>
          </a:p>
        </c:rich>
      </c:tx>
      <c:layout/>
    </c:title>
    <c:plotArea>
      <c:layout/>
      <c:barChart>
        <c:barDir val="col"/>
        <c:grouping val="clustered"/>
        <c:ser>
          <c:idx val="0"/>
          <c:order val="0"/>
          <c:dLbls>
            <c:txPr>
              <a:bodyPr/>
              <a:lstStyle/>
              <a:p>
                <a:pPr>
                  <a:defRPr lang="en-US"/>
                </a:pPr>
                <a:endParaRPr lang="en-US"/>
              </a:p>
            </c:txPr>
            <c:showVal val="1"/>
          </c:dLbls>
          <c:cat>
            <c:numRef>
              <c:f>Sheet3!$A$30:$A$34</c:f>
              <c:numCache>
                <c:formatCode>General</c:formatCode>
                <c:ptCount val="5"/>
                <c:pt idx="0">
                  <c:v>2012</c:v>
                </c:pt>
                <c:pt idx="1">
                  <c:v>2013</c:v>
                </c:pt>
                <c:pt idx="2">
                  <c:v>2014</c:v>
                </c:pt>
                <c:pt idx="3">
                  <c:v>2015</c:v>
                </c:pt>
                <c:pt idx="4">
                  <c:v>2016</c:v>
                </c:pt>
              </c:numCache>
            </c:numRef>
          </c:cat>
          <c:val>
            <c:numRef>
              <c:f>Sheet3!$C$30:$C$34</c:f>
              <c:numCache>
                <c:formatCode>General</c:formatCode>
                <c:ptCount val="5"/>
                <c:pt idx="0">
                  <c:v>1.32</c:v>
                </c:pt>
                <c:pt idx="1">
                  <c:v>1.28</c:v>
                </c:pt>
                <c:pt idx="2">
                  <c:v>1.27</c:v>
                </c:pt>
                <c:pt idx="3">
                  <c:v>1.32</c:v>
                </c:pt>
                <c:pt idx="4">
                  <c:v>1.24</c:v>
                </c:pt>
              </c:numCache>
            </c:numRef>
          </c:val>
        </c:ser>
        <c:dLbls>
          <c:showVal val="1"/>
        </c:dLbls>
        <c:overlap val="-25"/>
        <c:axId val="101803136"/>
        <c:axId val="101804672"/>
      </c:barChart>
      <c:catAx>
        <c:axId val="101803136"/>
        <c:scaling>
          <c:orientation val="minMax"/>
        </c:scaling>
        <c:axPos val="b"/>
        <c:numFmt formatCode="General" sourceLinked="1"/>
        <c:majorTickMark val="none"/>
        <c:tickLblPos val="nextTo"/>
        <c:txPr>
          <a:bodyPr/>
          <a:lstStyle/>
          <a:p>
            <a:pPr>
              <a:defRPr lang="en-US"/>
            </a:pPr>
            <a:endParaRPr lang="en-US"/>
          </a:p>
        </c:txPr>
        <c:crossAx val="101804672"/>
        <c:crosses val="autoZero"/>
        <c:auto val="1"/>
        <c:lblAlgn val="ctr"/>
        <c:lblOffset val="100"/>
      </c:catAx>
      <c:valAx>
        <c:axId val="101804672"/>
        <c:scaling>
          <c:orientation val="minMax"/>
        </c:scaling>
        <c:delete val="1"/>
        <c:axPos val="l"/>
        <c:numFmt formatCode="General" sourceLinked="1"/>
        <c:majorTickMark val="none"/>
        <c:tickLblPos val="nextTo"/>
        <c:crossAx val="101803136"/>
        <c:crosses val="autoZero"/>
        <c:crossBetween val="between"/>
      </c:valAx>
    </c:plotArea>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IN"/>
  <c:chart>
    <c:title>
      <c:tx>
        <c:rich>
          <a:bodyPr/>
          <a:lstStyle/>
          <a:p>
            <a:pPr>
              <a:defRPr lang="en-US"/>
            </a:pPr>
            <a:r>
              <a:rPr lang="en-US" sz="1800" b="1" i="0" u="none" strike="noStrike" baseline="0"/>
              <a:t>Gearing ratios</a:t>
            </a:r>
            <a:endParaRPr lang="en-US"/>
          </a:p>
        </c:rich>
      </c:tx>
      <c:layout/>
    </c:title>
    <c:plotArea>
      <c:layout/>
      <c:barChart>
        <c:barDir val="col"/>
        <c:grouping val="clustered"/>
        <c:ser>
          <c:idx val="0"/>
          <c:order val="0"/>
          <c:tx>
            <c:strRef>
              <c:f>Sheet3!$B$37</c:f>
              <c:strCache>
                <c:ptCount val="1"/>
                <c:pt idx="0">
                  <c:v>Interest Coverage</c:v>
                </c:pt>
              </c:strCache>
            </c:strRef>
          </c:tx>
          <c:dLbls>
            <c:txPr>
              <a:bodyPr/>
              <a:lstStyle/>
              <a:p>
                <a:pPr>
                  <a:defRPr lang="en-US"/>
                </a:pPr>
                <a:endParaRPr lang="en-US"/>
              </a:p>
            </c:txPr>
            <c:showVal val="1"/>
          </c:dLbls>
          <c:cat>
            <c:numRef>
              <c:f>Sheet3!$A$38:$A$42</c:f>
              <c:numCache>
                <c:formatCode>General</c:formatCode>
                <c:ptCount val="5"/>
                <c:pt idx="0">
                  <c:v>2012</c:v>
                </c:pt>
                <c:pt idx="1">
                  <c:v>2013</c:v>
                </c:pt>
                <c:pt idx="2">
                  <c:v>2014</c:v>
                </c:pt>
                <c:pt idx="3">
                  <c:v>2015</c:v>
                </c:pt>
                <c:pt idx="4">
                  <c:v>2016</c:v>
                </c:pt>
              </c:numCache>
            </c:numRef>
          </c:cat>
          <c:val>
            <c:numRef>
              <c:f>Sheet3!$B$38:$B$42</c:f>
              <c:numCache>
                <c:formatCode>General</c:formatCode>
                <c:ptCount val="5"/>
                <c:pt idx="0">
                  <c:v>10.200000000000001</c:v>
                </c:pt>
                <c:pt idx="1">
                  <c:v>5.4</c:v>
                </c:pt>
                <c:pt idx="2">
                  <c:v>6.05</c:v>
                </c:pt>
                <c:pt idx="3">
                  <c:v>-11.78</c:v>
                </c:pt>
                <c:pt idx="4">
                  <c:v>1.33</c:v>
                </c:pt>
              </c:numCache>
            </c:numRef>
          </c:val>
        </c:ser>
        <c:ser>
          <c:idx val="1"/>
          <c:order val="1"/>
          <c:tx>
            <c:strRef>
              <c:f>Sheet3!$C$37</c:f>
              <c:strCache>
                <c:ptCount val="1"/>
              </c:strCache>
            </c:strRef>
          </c:tx>
          <c:dLbls>
            <c:txPr>
              <a:bodyPr/>
              <a:lstStyle/>
              <a:p>
                <a:pPr>
                  <a:defRPr lang="en-US"/>
                </a:pPr>
                <a:endParaRPr lang="en-US"/>
              </a:p>
            </c:txPr>
            <c:showVal val="1"/>
          </c:dLbls>
          <c:cat>
            <c:numRef>
              <c:f>Sheet3!$A$38:$A$42</c:f>
              <c:numCache>
                <c:formatCode>General</c:formatCode>
                <c:ptCount val="5"/>
                <c:pt idx="0">
                  <c:v>2012</c:v>
                </c:pt>
                <c:pt idx="1">
                  <c:v>2013</c:v>
                </c:pt>
                <c:pt idx="2">
                  <c:v>2014</c:v>
                </c:pt>
                <c:pt idx="3">
                  <c:v>2015</c:v>
                </c:pt>
                <c:pt idx="4">
                  <c:v>2016</c:v>
                </c:pt>
              </c:numCache>
            </c:numRef>
          </c:cat>
          <c:val>
            <c:numRef>
              <c:f>Sheet3!$C$38:$C$42</c:f>
              <c:numCache>
                <c:formatCode>General</c:formatCode>
                <c:ptCount val="5"/>
              </c:numCache>
            </c:numRef>
          </c:val>
        </c:ser>
        <c:dLbls>
          <c:showVal val="1"/>
        </c:dLbls>
        <c:axId val="101838208"/>
        <c:axId val="101983360"/>
      </c:barChart>
      <c:catAx>
        <c:axId val="101838208"/>
        <c:scaling>
          <c:orientation val="minMax"/>
        </c:scaling>
        <c:axPos val="b"/>
        <c:numFmt formatCode="General" sourceLinked="1"/>
        <c:majorTickMark val="none"/>
        <c:tickLblPos val="nextTo"/>
        <c:txPr>
          <a:bodyPr/>
          <a:lstStyle/>
          <a:p>
            <a:pPr>
              <a:defRPr lang="en-US"/>
            </a:pPr>
            <a:endParaRPr lang="en-US"/>
          </a:p>
        </c:txPr>
        <c:crossAx val="101983360"/>
        <c:crosses val="autoZero"/>
        <c:auto val="1"/>
        <c:lblAlgn val="ctr"/>
        <c:lblOffset val="100"/>
      </c:catAx>
      <c:valAx>
        <c:axId val="101983360"/>
        <c:scaling>
          <c:orientation val="minMax"/>
        </c:scaling>
        <c:delete val="1"/>
        <c:axPos val="l"/>
        <c:numFmt formatCode="General" sourceLinked="1"/>
        <c:tickLblPos val="nextTo"/>
        <c:crossAx val="101838208"/>
        <c:crosses val="autoZero"/>
        <c:crossBetween val="between"/>
      </c:valAx>
    </c:plotArea>
    <c:legend>
      <c:legendPos val="t"/>
      <c:layout/>
      <c:txPr>
        <a:bodyPr/>
        <a:lstStyle/>
        <a:p>
          <a:pPr>
            <a:defRPr lang="en-US"/>
          </a:pPr>
          <a:endParaRPr lang="en-US"/>
        </a:p>
      </c:txP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IN"/>
  <c:chart>
    <c:title>
      <c:tx>
        <c:rich>
          <a:bodyPr/>
          <a:lstStyle/>
          <a:p>
            <a:pPr>
              <a:defRPr lang="en-US"/>
            </a:pPr>
            <a:r>
              <a:rPr lang="en-US"/>
              <a:t>Profitability ratios </a:t>
            </a:r>
          </a:p>
        </c:rich>
      </c:tx>
      <c:layout/>
    </c:title>
    <c:plotArea>
      <c:layout/>
      <c:barChart>
        <c:barDir val="col"/>
        <c:grouping val="clustered"/>
        <c:ser>
          <c:idx val="2"/>
          <c:order val="2"/>
          <c:tx>
            <c:v>TEscoNPM</c:v>
          </c:tx>
          <c:dLbls>
            <c:txPr>
              <a:bodyPr/>
              <a:lstStyle/>
              <a:p>
                <a:pPr>
                  <a:defRPr lang="en-US"/>
                </a:pPr>
                <a:endParaRPr lang="en-US"/>
              </a:p>
            </c:txPr>
            <c:showVal val="1"/>
          </c:dLbls>
          <c:cat>
            <c:numRef>
              <c:f>Sheet2!$B$31:$F$31</c:f>
              <c:numCache>
                <c:formatCode>General</c:formatCode>
                <c:ptCount val="5"/>
                <c:pt idx="0">
                  <c:v>2012</c:v>
                </c:pt>
                <c:pt idx="1">
                  <c:v>2013</c:v>
                </c:pt>
                <c:pt idx="2">
                  <c:v>2014</c:v>
                </c:pt>
                <c:pt idx="3">
                  <c:v>2015</c:v>
                </c:pt>
                <c:pt idx="4">
                  <c:v>2016</c:v>
                </c:pt>
              </c:numCache>
            </c:numRef>
          </c:cat>
          <c:val>
            <c:numRef>
              <c:f>Sheet2!$B$7:$F$7</c:f>
              <c:numCache>
                <c:formatCode>0.00%</c:formatCode>
                <c:ptCount val="5"/>
                <c:pt idx="0">
                  <c:v>4.3500000000000004E-2</c:v>
                </c:pt>
                <c:pt idx="1">
                  <c:v>1.9000000000000026E-3</c:v>
                </c:pt>
                <c:pt idx="2">
                  <c:v>1.5299999999999998E-2</c:v>
                </c:pt>
                <c:pt idx="3">
                  <c:v>-9.2200000000000004E-2</c:v>
                </c:pt>
                <c:pt idx="4">
                  <c:v>2.5000000000000027E-3</c:v>
                </c:pt>
              </c:numCache>
            </c:numRef>
          </c:val>
        </c:ser>
        <c:ser>
          <c:idx val="3"/>
          <c:order val="3"/>
          <c:tx>
            <c:v>SainsburyNPM</c:v>
          </c:tx>
          <c:dLbls>
            <c:txPr>
              <a:bodyPr/>
              <a:lstStyle/>
              <a:p>
                <a:pPr>
                  <a:defRPr lang="en-US"/>
                </a:pPr>
                <a:endParaRPr lang="en-US"/>
              </a:p>
            </c:txPr>
            <c:showVal val="1"/>
          </c:dLbls>
          <c:cat>
            <c:numRef>
              <c:f>Sheet2!$B$31:$F$31</c:f>
              <c:numCache>
                <c:formatCode>General</c:formatCode>
                <c:ptCount val="5"/>
                <c:pt idx="0">
                  <c:v>2012</c:v>
                </c:pt>
                <c:pt idx="1">
                  <c:v>2013</c:v>
                </c:pt>
                <c:pt idx="2">
                  <c:v>2014</c:v>
                </c:pt>
                <c:pt idx="3">
                  <c:v>2015</c:v>
                </c:pt>
                <c:pt idx="4">
                  <c:v>2016</c:v>
                </c:pt>
              </c:numCache>
            </c:numRef>
          </c:cat>
          <c:val>
            <c:numRef>
              <c:f>Sheet2!$B$8:$F$8</c:f>
              <c:numCache>
                <c:formatCode>0.00%</c:formatCode>
                <c:ptCount val="5"/>
                <c:pt idx="0">
                  <c:v>2.6800000000000025E-2</c:v>
                </c:pt>
                <c:pt idx="1">
                  <c:v>2.63E-2</c:v>
                </c:pt>
                <c:pt idx="2">
                  <c:v>2.9899999999999999E-2</c:v>
                </c:pt>
                <c:pt idx="3">
                  <c:v>-7.0000000000000062E-3</c:v>
                </c:pt>
                <c:pt idx="4">
                  <c:v>2.0000000000000011E-2</c:v>
                </c:pt>
              </c:numCache>
            </c:numRef>
          </c:val>
        </c:ser>
        <c:ser>
          <c:idx val="4"/>
          <c:order val="4"/>
          <c:tx>
            <c:strRef>
              <c:f>Sheet2!$A$3</c:f>
              <c:strCache>
                <c:ptCount val="1"/>
                <c:pt idx="0">
                  <c:v>TESCO PLC</c:v>
                </c:pt>
              </c:strCache>
            </c:strRef>
          </c:tx>
          <c:dLbls>
            <c:txPr>
              <a:bodyPr/>
              <a:lstStyle/>
              <a:p>
                <a:pPr>
                  <a:defRPr lang="en-US"/>
                </a:pPr>
                <a:endParaRPr lang="en-US"/>
              </a:p>
            </c:txPr>
            <c:showVal val="1"/>
          </c:dLbls>
          <c:cat>
            <c:numRef>
              <c:f>Sheet2!$B$31:$F$31</c:f>
              <c:numCache>
                <c:formatCode>General</c:formatCode>
                <c:ptCount val="5"/>
                <c:pt idx="0">
                  <c:v>2012</c:v>
                </c:pt>
                <c:pt idx="1">
                  <c:v>2013</c:v>
                </c:pt>
                <c:pt idx="2">
                  <c:v>2014</c:v>
                </c:pt>
                <c:pt idx="3">
                  <c:v>2015</c:v>
                </c:pt>
                <c:pt idx="4">
                  <c:v>2016</c:v>
                </c:pt>
              </c:numCache>
            </c:numRef>
          </c:cat>
          <c:val>
            <c:numRef>
              <c:f>Sheet2!$B$3:$F$3</c:f>
              <c:numCache>
                <c:formatCode>0.00%</c:formatCode>
                <c:ptCount val="5"/>
                <c:pt idx="0">
                  <c:v>6.0200000000000004E-2</c:v>
                </c:pt>
                <c:pt idx="1">
                  <c:v>6.5500000000000003E-2</c:v>
                </c:pt>
                <c:pt idx="2">
                  <c:v>6.3100000000000003E-2</c:v>
                </c:pt>
                <c:pt idx="3">
                  <c:v>-3.39E-2</c:v>
                </c:pt>
                <c:pt idx="4">
                  <c:v>5.2600000000000001E-2</c:v>
                </c:pt>
              </c:numCache>
            </c:numRef>
          </c:val>
        </c:ser>
        <c:ser>
          <c:idx val="5"/>
          <c:order val="5"/>
          <c:tx>
            <c:strRef>
              <c:f>Sheet2!$A$8</c:f>
              <c:strCache>
                <c:ptCount val="1"/>
                <c:pt idx="0">
                  <c:v>SAINSBURY PLC </c:v>
                </c:pt>
              </c:strCache>
            </c:strRef>
          </c:tx>
          <c:dLbls>
            <c:txPr>
              <a:bodyPr/>
              <a:lstStyle/>
              <a:p>
                <a:pPr>
                  <a:defRPr lang="en-US"/>
                </a:pPr>
                <a:endParaRPr lang="en-US"/>
              </a:p>
            </c:txPr>
            <c:showVal val="1"/>
          </c:dLbls>
          <c:cat>
            <c:numRef>
              <c:f>Sheet2!$B$31:$F$31</c:f>
              <c:numCache>
                <c:formatCode>General</c:formatCode>
                <c:ptCount val="5"/>
                <c:pt idx="0">
                  <c:v>2012</c:v>
                </c:pt>
                <c:pt idx="1">
                  <c:v>2013</c:v>
                </c:pt>
                <c:pt idx="2">
                  <c:v>2014</c:v>
                </c:pt>
                <c:pt idx="3">
                  <c:v>2015</c:v>
                </c:pt>
                <c:pt idx="4">
                  <c:v>2016</c:v>
                </c:pt>
              </c:numCache>
            </c:numRef>
          </c:cat>
          <c:val>
            <c:numRef>
              <c:f>Sheet2!$B$4:$F$4</c:f>
              <c:numCache>
                <c:formatCode>0.00%</c:formatCode>
                <c:ptCount val="5"/>
                <c:pt idx="0">
                  <c:v>5.1400000000000001E-2</c:v>
                </c:pt>
                <c:pt idx="1">
                  <c:v>5.4800000000000057E-2</c:v>
                </c:pt>
                <c:pt idx="2">
                  <c:v>5.7900000000000014E-2</c:v>
                </c:pt>
                <c:pt idx="3">
                  <c:v>5.0800000000000012E-2</c:v>
                </c:pt>
                <c:pt idx="4">
                  <c:v>5.2700000000000045E-2</c:v>
                </c:pt>
              </c:numCache>
            </c:numRef>
          </c:val>
        </c:ser>
        <c:ser>
          <c:idx val="0"/>
          <c:order val="0"/>
          <c:tx>
            <c:v>tescoOPM</c:v>
          </c:tx>
          <c:dLbls>
            <c:txPr>
              <a:bodyPr/>
              <a:lstStyle/>
              <a:p>
                <a:pPr>
                  <a:defRPr lang="en-US"/>
                </a:pPr>
                <a:endParaRPr lang="en-US"/>
              </a:p>
            </c:txPr>
            <c:showVal val="1"/>
          </c:dLbls>
          <c:cat>
            <c:numRef>
              <c:f>Sheet2!$B$31:$F$31</c:f>
              <c:numCache>
                <c:formatCode>General</c:formatCode>
                <c:ptCount val="5"/>
                <c:pt idx="0">
                  <c:v>2012</c:v>
                </c:pt>
                <c:pt idx="1">
                  <c:v>2013</c:v>
                </c:pt>
                <c:pt idx="2">
                  <c:v>2014</c:v>
                </c:pt>
                <c:pt idx="3">
                  <c:v>2015</c:v>
                </c:pt>
                <c:pt idx="4">
                  <c:v>2016</c:v>
                </c:pt>
              </c:numCache>
            </c:numRef>
          </c:cat>
          <c:val>
            <c:numRef>
              <c:f>Sheet2!$B$12:$F$12</c:f>
              <c:numCache>
                <c:formatCode>0.00%</c:formatCode>
                <c:ptCount val="5"/>
                <c:pt idx="0">
                  <c:v>6.5400000000000014E-2</c:v>
                </c:pt>
                <c:pt idx="1">
                  <c:v>3.7600000000000043E-2</c:v>
                </c:pt>
                <c:pt idx="2">
                  <c:v>4.1399999999999999E-2</c:v>
                </c:pt>
                <c:pt idx="3">
                  <c:v>-9.3000000000000138E-2</c:v>
                </c:pt>
                <c:pt idx="4">
                  <c:v>1.9900000000000029E-2</c:v>
                </c:pt>
              </c:numCache>
            </c:numRef>
          </c:val>
        </c:ser>
        <c:ser>
          <c:idx val="1"/>
          <c:order val="1"/>
          <c:tx>
            <c:v>sainsburyOPM</c:v>
          </c:tx>
          <c:dLbls>
            <c:txPr>
              <a:bodyPr/>
              <a:lstStyle/>
              <a:p>
                <a:pPr>
                  <a:defRPr lang="en-US"/>
                </a:pPr>
                <a:endParaRPr lang="en-US"/>
              </a:p>
            </c:txPr>
            <c:showVal val="1"/>
          </c:dLbls>
          <c:cat>
            <c:numRef>
              <c:f>Sheet2!$B$31:$F$31</c:f>
              <c:numCache>
                <c:formatCode>General</c:formatCode>
                <c:ptCount val="5"/>
                <c:pt idx="0">
                  <c:v>2012</c:v>
                </c:pt>
                <c:pt idx="1">
                  <c:v>2013</c:v>
                </c:pt>
                <c:pt idx="2">
                  <c:v>2014</c:v>
                </c:pt>
                <c:pt idx="3">
                  <c:v>2015</c:v>
                </c:pt>
                <c:pt idx="4">
                  <c:v>2016</c:v>
                </c:pt>
              </c:numCache>
            </c:numRef>
          </c:cat>
          <c:val>
            <c:numRef>
              <c:f>Sheet2!$B$13:$F$13</c:f>
              <c:numCache>
                <c:formatCode>0.00%</c:formatCode>
                <c:ptCount val="5"/>
                <c:pt idx="0">
                  <c:v>3.9199999999999999E-2</c:v>
                </c:pt>
                <c:pt idx="1">
                  <c:v>3.8100000000000002E-2</c:v>
                </c:pt>
                <c:pt idx="2">
                  <c:v>4.2100000000000012E-2</c:v>
                </c:pt>
                <c:pt idx="3">
                  <c:v>3.4000000000000037E-3</c:v>
                </c:pt>
                <c:pt idx="4">
                  <c:v>3.0100000000000002E-2</c:v>
                </c:pt>
              </c:numCache>
            </c:numRef>
          </c:val>
        </c:ser>
        <c:dLbls>
          <c:showVal val="1"/>
        </c:dLbls>
        <c:overlap val="-25"/>
        <c:axId val="102062720"/>
        <c:axId val="102072704"/>
      </c:barChart>
      <c:catAx>
        <c:axId val="102062720"/>
        <c:scaling>
          <c:orientation val="minMax"/>
        </c:scaling>
        <c:axPos val="b"/>
        <c:numFmt formatCode="General" sourceLinked="1"/>
        <c:majorTickMark val="none"/>
        <c:tickLblPos val="nextTo"/>
        <c:txPr>
          <a:bodyPr/>
          <a:lstStyle/>
          <a:p>
            <a:pPr>
              <a:defRPr lang="en-US"/>
            </a:pPr>
            <a:endParaRPr lang="en-US"/>
          </a:p>
        </c:txPr>
        <c:crossAx val="102072704"/>
        <c:crosses val="autoZero"/>
        <c:auto val="1"/>
        <c:lblAlgn val="ctr"/>
        <c:lblOffset val="100"/>
      </c:catAx>
      <c:valAx>
        <c:axId val="102072704"/>
        <c:scaling>
          <c:orientation val="minMax"/>
        </c:scaling>
        <c:delete val="1"/>
        <c:axPos val="l"/>
        <c:numFmt formatCode="0.00%" sourceLinked="1"/>
        <c:majorTickMark val="none"/>
        <c:tickLblPos val="nextTo"/>
        <c:crossAx val="102062720"/>
        <c:crosses val="autoZero"/>
        <c:crossBetween val="between"/>
      </c:valAx>
    </c:plotArea>
    <c:legend>
      <c:legendPos val="t"/>
      <c:layout/>
      <c:txPr>
        <a:bodyPr/>
        <a:lstStyle/>
        <a:p>
          <a:pPr>
            <a:defRPr lang="en-US"/>
          </a:pPr>
          <a:endParaRPr lang="en-US"/>
        </a:p>
      </c:txPr>
    </c:legend>
    <c:plotVisOnly val="1"/>
  </c:chart>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en-U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IN"/>
  <c:chart>
    <c:title>
      <c:tx>
        <c:rich>
          <a:bodyPr/>
          <a:lstStyle/>
          <a:p>
            <a:pPr>
              <a:defRPr lang="en-US"/>
            </a:pPr>
            <a:r>
              <a:rPr lang="en-US" sz="1800" b="1"/>
              <a:t>Liquidity ratios </a:t>
            </a:r>
            <a:endParaRPr lang="en-US" sz="1800"/>
          </a:p>
        </c:rich>
      </c:tx>
      <c:layout/>
    </c:title>
    <c:plotArea>
      <c:layout/>
      <c:lineChart>
        <c:grouping val="stacked"/>
        <c:ser>
          <c:idx val="0"/>
          <c:order val="0"/>
          <c:tx>
            <c:v>Tescoplccurrent ratios</c:v>
          </c:tx>
          <c:dLbls>
            <c:txPr>
              <a:bodyPr/>
              <a:lstStyle/>
              <a:p>
                <a:pPr>
                  <a:defRPr lang="en-US"/>
                </a:pPr>
                <a:endParaRPr lang="en-US"/>
              </a:p>
            </c:txPr>
            <c:showVal val="1"/>
          </c:dLbls>
          <c:cat>
            <c:numRef>
              <c:f>Sheet2!$B$11:$F$11</c:f>
              <c:numCache>
                <c:formatCode>General</c:formatCode>
                <c:ptCount val="5"/>
                <c:pt idx="0">
                  <c:v>2012</c:v>
                </c:pt>
                <c:pt idx="1">
                  <c:v>2013</c:v>
                </c:pt>
                <c:pt idx="2">
                  <c:v>2014</c:v>
                </c:pt>
                <c:pt idx="3">
                  <c:v>2015</c:v>
                </c:pt>
                <c:pt idx="4">
                  <c:v>2016</c:v>
                </c:pt>
              </c:numCache>
            </c:numRef>
          </c:cat>
          <c:val>
            <c:numRef>
              <c:f>Sheet2!$J$22:$N$22</c:f>
              <c:numCache>
                <c:formatCode>General</c:formatCode>
                <c:ptCount val="5"/>
                <c:pt idx="0">
                  <c:v>0.67000000000000115</c:v>
                </c:pt>
                <c:pt idx="1">
                  <c:v>0.50019999999999998</c:v>
                </c:pt>
                <c:pt idx="2">
                  <c:v>0.59370000000000001</c:v>
                </c:pt>
                <c:pt idx="3">
                  <c:v>0.45450000000000002</c:v>
                </c:pt>
                <c:pt idx="4">
                  <c:v>0.59</c:v>
                </c:pt>
              </c:numCache>
            </c:numRef>
          </c:val>
        </c:ser>
        <c:ser>
          <c:idx val="1"/>
          <c:order val="1"/>
          <c:tx>
            <c:v>sainsburyCurrentratios</c:v>
          </c:tx>
          <c:dLbls>
            <c:txPr>
              <a:bodyPr/>
              <a:lstStyle/>
              <a:p>
                <a:pPr>
                  <a:defRPr lang="en-US"/>
                </a:pPr>
                <a:endParaRPr lang="en-US"/>
              </a:p>
            </c:txPr>
            <c:showVal val="1"/>
          </c:dLbls>
          <c:cat>
            <c:numRef>
              <c:f>Sheet2!$B$11:$F$11</c:f>
              <c:numCache>
                <c:formatCode>General</c:formatCode>
                <c:ptCount val="5"/>
                <c:pt idx="0">
                  <c:v>2012</c:v>
                </c:pt>
                <c:pt idx="1">
                  <c:v>2013</c:v>
                </c:pt>
                <c:pt idx="2">
                  <c:v>2014</c:v>
                </c:pt>
                <c:pt idx="3">
                  <c:v>2015</c:v>
                </c:pt>
                <c:pt idx="4">
                  <c:v>2016</c:v>
                </c:pt>
              </c:numCache>
            </c:numRef>
          </c:cat>
          <c:val>
            <c:numRef>
              <c:f>Sheet2!$J$23:$N$23</c:f>
              <c:numCache>
                <c:formatCode>General</c:formatCode>
                <c:ptCount val="5"/>
                <c:pt idx="0">
                  <c:v>0.33000000000000057</c:v>
                </c:pt>
                <c:pt idx="1">
                  <c:v>0.29760000000000031</c:v>
                </c:pt>
                <c:pt idx="2">
                  <c:v>0.49730000000000057</c:v>
                </c:pt>
                <c:pt idx="3">
                  <c:v>0.50670000000000004</c:v>
                </c:pt>
                <c:pt idx="4">
                  <c:v>0.5</c:v>
                </c:pt>
              </c:numCache>
            </c:numRef>
          </c:val>
        </c:ser>
        <c:ser>
          <c:idx val="2"/>
          <c:order val="2"/>
          <c:tx>
            <c:v>tescoquickratio</c:v>
          </c:tx>
          <c:dLbls>
            <c:txPr>
              <a:bodyPr/>
              <a:lstStyle/>
              <a:p>
                <a:pPr>
                  <a:defRPr lang="en-US"/>
                </a:pPr>
                <a:endParaRPr lang="en-US"/>
              </a:p>
            </c:txPr>
            <c:showVal val="1"/>
          </c:dLbls>
          <c:cat>
            <c:numRef>
              <c:f>Sheet2!$B$11:$F$11</c:f>
              <c:numCache>
                <c:formatCode>General</c:formatCode>
                <c:ptCount val="5"/>
                <c:pt idx="0">
                  <c:v>2012</c:v>
                </c:pt>
                <c:pt idx="1">
                  <c:v>2013</c:v>
                </c:pt>
                <c:pt idx="2">
                  <c:v>2014</c:v>
                </c:pt>
                <c:pt idx="3">
                  <c:v>2015</c:v>
                </c:pt>
                <c:pt idx="4">
                  <c:v>2016</c:v>
                </c:pt>
              </c:numCache>
            </c:numRef>
          </c:cat>
          <c:val>
            <c:numRef>
              <c:f>Sheet2!$J$24:$N$24</c:f>
              <c:numCache>
                <c:formatCode>General</c:formatCode>
                <c:ptCount val="5"/>
                <c:pt idx="0">
                  <c:v>0.67000000000000115</c:v>
                </c:pt>
                <c:pt idx="1">
                  <c:v>0.70000000000000062</c:v>
                </c:pt>
                <c:pt idx="2">
                  <c:v>0.77000000000000102</c:v>
                </c:pt>
                <c:pt idx="3">
                  <c:v>0.60000000000000064</c:v>
                </c:pt>
                <c:pt idx="4">
                  <c:v>0.750000000000001</c:v>
                </c:pt>
              </c:numCache>
            </c:numRef>
          </c:val>
        </c:ser>
        <c:ser>
          <c:idx val="3"/>
          <c:order val="3"/>
          <c:tx>
            <c:v>SAINSBURY quickratios</c:v>
          </c:tx>
          <c:dLbls>
            <c:txPr>
              <a:bodyPr/>
              <a:lstStyle/>
              <a:p>
                <a:pPr>
                  <a:defRPr lang="en-US"/>
                </a:pPr>
                <a:endParaRPr lang="en-US"/>
              </a:p>
            </c:txPr>
            <c:showVal val="1"/>
          </c:dLbls>
          <c:cat>
            <c:numRef>
              <c:f>Sheet2!$B$11:$F$11</c:f>
              <c:numCache>
                <c:formatCode>General</c:formatCode>
                <c:ptCount val="5"/>
                <c:pt idx="0">
                  <c:v>2012</c:v>
                </c:pt>
                <c:pt idx="1">
                  <c:v>2013</c:v>
                </c:pt>
                <c:pt idx="2">
                  <c:v>2014</c:v>
                </c:pt>
                <c:pt idx="3">
                  <c:v>2015</c:v>
                </c:pt>
                <c:pt idx="4">
                  <c:v>2016</c:v>
                </c:pt>
              </c:numCache>
            </c:numRef>
          </c:cat>
          <c:val>
            <c:numRef>
              <c:f>Sheet2!$J$25:$N$25</c:f>
              <c:numCache>
                <c:formatCode>General</c:formatCode>
                <c:ptCount val="5"/>
                <c:pt idx="0">
                  <c:v>0.65000000000000113</c:v>
                </c:pt>
                <c:pt idx="1">
                  <c:v>0.61000000000000065</c:v>
                </c:pt>
                <c:pt idx="2">
                  <c:v>0.64000000000000101</c:v>
                </c:pt>
                <c:pt idx="3">
                  <c:v>0.65000000000000113</c:v>
                </c:pt>
                <c:pt idx="4">
                  <c:v>0.5</c:v>
                </c:pt>
              </c:numCache>
            </c:numRef>
          </c:val>
        </c:ser>
        <c:dLbls>
          <c:showVal val="1"/>
        </c:dLbls>
        <c:marker val="1"/>
        <c:axId val="102133760"/>
        <c:axId val="102135296"/>
      </c:lineChart>
      <c:catAx>
        <c:axId val="102133760"/>
        <c:scaling>
          <c:orientation val="minMax"/>
        </c:scaling>
        <c:axPos val="b"/>
        <c:numFmt formatCode="General" sourceLinked="1"/>
        <c:majorTickMark val="none"/>
        <c:tickLblPos val="nextTo"/>
        <c:txPr>
          <a:bodyPr/>
          <a:lstStyle/>
          <a:p>
            <a:pPr>
              <a:defRPr lang="en-US"/>
            </a:pPr>
            <a:endParaRPr lang="en-US"/>
          </a:p>
        </c:txPr>
        <c:crossAx val="102135296"/>
        <c:crosses val="autoZero"/>
        <c:auto val="1"/>
        <c:lblAlgn val="ctr"/>
        <c:lblOffset val="100"/>
      </c:catAx>
      <c:valAx>
        <c:axId val="102135296"/>
        <c:scaling>
          <c:orientation val="minMax"/>
        </c:scaling>
        <c:delete val="1"/>
        <c:axPos val="l"/>
        <c:numFmt formatCode="General" sourceLinked="1"/>
        <c:tickLblPos val="nextTo"/>
        <c:crossAx val="102133760"/>
        <c:crosses val="autoZero"/>
        <c:crossBetween val="between"/>
      </c:valAx>
    </c:plotArea>
    <c:legend>
      <c:legendPos val="t"/>
      <c:layout/>
      <c:txPr>
        <a:bodyPr/>
        <a:lstStyle/>
        <a:p>
          <a:pPr>
            <a:defRPr lang="en-US"/>
          </a:pPr>
          <a:endParaRPr lang="en-US"/>
        </a:p>
      </c:txPr>
    </c:legend>
    <c:plotVisOnly val="1"/>
  </c:chart>
  <c:spPr>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en-US"/>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IN"/>
  <c:chart>
    <c:title>
      <c:tx>
        <c:rich>
          <a:bodyPr/>
          <a:lstStyle/>
          <a:p>
            <a:pPr>
              <a:defRPr lang="en-US"/>
            </a:pPr>
            <a:r>
              <a:rPr lang="en-US"/>
              <a:t>Efficiency ratios </a:t>
            </a:r>
          </a:p>
        </c:rich>
      </c:tx>
      <c:layout/>
    </c:title>
    <c:plotArea>
      <c:layout/>
      <c:barChart>
        <c:barDir val="col"/>
        <c:grouping val="clustered"/>
        <c:ser>
          <c:idx val="0"/>
          <c:order val="0"/>
          <c:tx>
            <c:strRef>
              <c:f>Sheet2!$B$31</c:f>
              <c:strCache>
                <c:ptCount val="1"/>
                <c:pt idx="0">
                  <c:v>2012</c:v>
                </c:pt>
              </c:strCache>
            </c:strRef>
          </c:tx>
          <c:dLbls>
            <c:txPr>
              <a:bodyPr/>
              <a:lstStyle/>
              <a:p>
                <a:pPr>
                  <a:defRPr lang="en-US"/>
                </a:pPr>
                <a:endParaRPr lang="en-US"/>
              </a:p>
            </c:txPr>
            <c:showVal val="1"/>
          </c:dLbls>
          <c:cat>
            <c:strRef>
              <c:f>(Sheet2!$I$34:$I$35,Sheet2!$I$38:$I$39)</c:f>
              <c:strCache>
                <c:ptCount val="4"/>
                <c:pt idx="0">
                  <c:v>TESCO PLCROCE</c:v>
                </c:pt>
                <c:pt idx="1">
                  <c:v>SAINSBURY PLC ROCE</c:v>
                </c:pt>
                <c:pt idx="2">
                  <c:v>TESCO PLCasset</c:v>
                </c:pt>
                <c:pt idx="3">
                  <c:v>SAINSBURY PLC asset</c:v>
                </c:pt>
              </c:strCache>
            </c:strRef>
          </c:cat>
          <c:val>
            <c:numRef>
              <c:f>(Sheet2!$J$34:$J$35,Sheet2!$J$38:$J$39)</c:f>
              <c:numCache>
                <c:formatCode>0.00%</c:formatCode>
                <c:ptCount val="4"/>
                <c:pt idx="0">
                  <c:v>0.15170000000000025</c:v>
                </c:pt>
                <c:pt idx="1">
                  <c:v>0.10600000000000002</c:v>
                </c:pt>
                <c:pt idx="2" formatCode="General">
                  <c:v>1.32</c:v>
                </c:pt>
                <c:pt idx="3" formatCode="General">
                  <c:v>1.8800000000000001</c:v>
                </c:pt>
              </c:numCache>
            </c:numRef>
          </c:val>
        </c:ser>
        <c:ser>
          <c:idx val="1"/>
          <c:order val="1"/>
          <c:tx>
            <c:strRef>
              <c:f>Sheet2!$C$31</c:f>
              <c:strCache>
                <c:ptCount val="1"/>
                <c:pt idx="0">
                  <c:v>2013</c:v>
                </c:pt>
              </c:strCache>
            </c:strRef>
          </c:tx>
          <c:dLbls>
            <c:txPr>
              <a:bodyPr/>
              <a:lstStyle/>
              <a:p>
                <a:pPr>
                  <a:defRPr lang="en-US"/>
                </a:pPr>
                <a:endParaRPr lang="en-US"/>
              </a:p>
            </c:txPr>
            <c:showVal val="1"/>
          </c:dLbls>
          <c:cat>
            <c:strRef>
              <c:f>(Sheet2!$I$34:$I$35,Sheet2!$I$38:$I$39)</c:f>
              <c:strCache>
                <c:ptCount val="4"/>
                <c:pt idx="0">
                  <c:v>TESCO PLCROCE</c:v>
                </c:pt>
                <c:pt idx="1">
                  <c:v>SAINSBURY PLC ROCE</c:v>
                </c:pt>
                <c:pt idx="2">
                  <c:v>TESCO PLCasset</c:v>
                </c:pt>
                <c:pt idx="3">
                  <c:v>SAINSBURY PLC asset</c:v>
                </c:pt>
              </c:strCache>
            </c:strRef>
          </c:cat>
          <c:val>
            <c:numRef>
              <c:f>(Sheet2!$K$34:$K$35,Sheet2!$K$38:$K$39)</c:f>
              <c:numCache>
                <c:formatCode>0.00%</c:formatCode>
                <c:ptCount val="4"/>
                <c:pt idx="0">
                  <c:v>8.2200000000000009E-2</c:v>
                </c:pt>
                <c:pt idx="1">
                  <c:v>0.10620000000000011</c:v>
                </c:pt>
                <c:pt idx="2" formatCode="General">
                  <c:v>1.28</c:v>
                </c:pt>
                <c:pt idx="3" formatCode="General">
                  <c:v>1.86</c:v>
                </c:pt>
              </c:numCache>
            </c:numRef>
          </c:val>
        </c:ser>
        <c:ser>
          <c:idx val="2"/>
          <c:order val="2"/>
          <c:tx>
            <c:strRef>
              <c:f>Sheet2!$D$31</c:f>
              <c:strCache>
                <c:ptCount val="1"/>
                <c:pt idx="0">
                  <c:v>2014</c:v>
                </c:pt>
              </c:strCache>
            </c:strRef>
          </c:tx>
          <c:dLbls>
            <c:txPr>
              <a:bodyPr/>
              <a:lstStyle/>
              <a:p>
                <a:pPr>
                  <a:defRPr lang="en-US"/>
                </a:pPr>
                <a:endParaRPr lang="en-US"/>
              </a:p>
            </c:txPr>
            <c:showVal val="1"/>
          </c:dLbls>
          <c:cat>
            <c:strRef>
              <c:f>(Sheet2!$I$34:$I$35,Sheet2!$I$38:$I$39)</c:f>
              <c:strCache>
                <c:ptCount val="4"/>
                <c:pt idx="0">
                  <c:v>TESCO PLCROCE</c:v>
                </c:pt>
                <c:pt idx="1">
                  <c:v>SAINSBURY PLC ROCE</c:v>
                </c:pt>
                <c:pt idx="2">
                  <c:v>TESCO PLCasset</c:v>
                </c:pt>
                <c:pt idx="3">
                  <c:v>SAINSBURY PLC asset</c:v>
                </c:pt>
              </c:strCache>
            </c:strRef>
          </c:cat>
          <c:val>
            <c:numRef>
              <c:f>(Sheet2!$L$34:$L$35,Sheet2!$L$38:$L$39)</c:f>
              <c:numCache>
                <c:formatCode>0.00%</c:formatCode>
                <c:ptCount val="4"/>
                <c:pt idx="0" formatCode="0%">
                  <c:v>0.11</c:v>
                </c:pt>
                <c:pt idx="1">
                  <c:v>0.12220000000000011</c:v>
                </c:pt>
                <c:pt idx="2" formatCode="General">
                  <c:v>1.27</c:v>
                </c:pt>
                <c:pt idx="3" formatCode="General">
                  <c:v>1.6400000000000001</c:v>
                </c:pt>
              </c:numCache>
            </c:numRef>
          </c:val>
        </c:ser>
        <c:ser>
          <c:idx val="3"/>
          <c:order val="3"/>
          <c:tx>
            <c:strRef>
              <c:f>Sheet2!$E$31</c:f>
              <c:strCache>
                <c:ptCount val="1"/>
                <c:pt idx="0">
                  <c:v>2015</c:v>
                </c:pt>
              </c:strCache>
            </c:strRef>
          </c:tx>
          <c:dLbls>
            <c:txPr>
              <a:bodyPr/>
              <a:lstStyle/>
              <a:p>
                <a:pPr>
                  <a:defRPr lang="en-US"/>
                </a:pPr>
                <a:endParaRPr lang="en-US"/>
              </a:p>
            </c:txPr>
            <c:showVal val="1"/>
          </c:dLbls>
          <c:cat>
            <c:strRef>
              <c:f>(Sheet2!$I$34:$I$35,Sheet2!$I$38:$I$39)</c:f>
              <c:strCache>
                <c:ptCount val="4"/>
                <c:pt idx="0">
                  <c:v>TESCO PLCROCE</c:v>
                </c:pt>
                <c:pt idx="1">
                  <c:v>SAINSBURY PLC ROCE</c:v>
                </c:pt>
                <c:pt idx="2">
                  <c:v>TESCO PLCasset</c:v>
                </c:pt>
                <c:pt idx="3">
                  <c:v>SAINSBURY PLC asset</c:v>
                </c:pt>
              </c:strCache>
            </c:strRef>
          </c:cat>
          <c:val>
            <c:numRef>
              <c:f>(Sheet2!$M$34:$M$35,Sheet2!$M$38:$M$39)</c:f>
              <c:numCache>
                <c:formatCode>0.00%</c:formatCode>
                <c:ptCount val="4"/>
                <c:pt idx="0">
                  <c:v>7.0800000000000002E-2</c:v>
                </c:pt>
                <c:pt idx="1">
                  <c:v>0.12360000000000011</c:v>
                </c:pt>
                <c:pt idx="2" formatCode="General">
                  <c:v>1.32</c:v>
                </c:pt>
                <c:pt idx="3" formatCode="General">
                  <c:v>1.44</c:v>
                </c:pt>
              </c:numCache>
            </c:numRef>
          </c:val>
        </c:ser>
        <c:ser>
          <c:idx val="4"/>
          <c:order val="4"/>
          <c:tx>
            <c:strRef>
              <c:f>Sheet2!$F$31</c:f>
              <c:strCache>
                <c:ptCount val="1"/>
                <c:pt idx="0">
                  <c:v>2016</c:v>
                </c:pt>
              </c:strCache>
            </c:strRef>
          </c:tx>
          <c:dLbls>
            <c:txPr>
              <a:bodyPr/>
              <a:lstStyle/>
              <a:p>
                <a:pPr>
                  <a:defRPr lang="en-US"/>
                </a:pPr>
                <a:endParaRPr lang="en-US"/>
              </a:p>
            </c:txPr>
            <c:showVal val="1"/>
          </c:dLbls>
          <c:cat>
            <c:strRef>
              <c:f>(Sheet2!$I$34:$I$35,Sheet2!$I$38:$I$39)</c:f>
              <c:strCache>
                <c:ptCount val="4"/>
                <c:pt idx="0">
                  <c:v>TESCO PLCROCE</c:v>
                </c:pt>
                <c:pt idx="1">
                  <c:v>SAINSBURY PLC ROCE</c:v>
                </c:pt>
                <c:pt idx="2">
                  <c:v>TESCO PLCasset</c:v>
                </c:pt>
                <c:pt idx="3">
                  <c:v>SAINSBURY PLC asset</c:v>
                </c:pt>
              </c:strCache>
            </c:strRef>
          </c:cat>
          <c:val>
            <c:numRef>
              <c:f>(Sheet2!$N$34:$N$35,Sheet2!$N$38:$N$39)</c:f>
              <c:numCache>
                <c:formatCode>0.00%</c:formatCode>
                <c:ptCount val="4"/>
                <c:pt idx="0">
                  <c:v>8.0100000000000005E-2</c:v>
                </c:pt>
                <c:pt idx="1">
                  <c:v>1.3599999999999998E-2</c:v>
                </c:pt>
                <c:pt idx="2" formatCode="General">
                  <c:v>1.24</c:v>
                </c:pt>
                <c:pt idx="3" formatCode="General">
                  <c:v>1.4</c:v>
                </c:pt>
              </c:numCache>
            </c:numRef>
          </c:val>
        </c:ser>
        <c:dLbls>
          <c:showVal val="1"/>
        </c:dLbls>
        <c:overlap val="-25"/>
        <c:axId val="102193408"/>
        <c:axId val="102207488"/>
      </c:barChart>
      <c:catAx>
        <c:axId val="102193408"/>
        <c:scaling>
          <c:orientation val="minMax"/>
        </c:scaling>
        <c:axPos val="b"/>
        <c:numFmt formatCode="General" sourceLinked="1"/>
        <c:majorTickMark val="none"/>
        <c:tickLblPos val="nextTo"/>
        <c:txPr>
          <a:bodyPr/>
          <a:lstStyle/>
          <a:p>
            <a:pPr>
              <a:defRPr lang="en-US"/>
            </a:pPr>
            <a:endParaRPr lang="en-US"/>
          </a:p>
        </c:txPr>
        <c:crossAx val="102207488"/>
        <c:crosses val="autoZero"/>
        <c:auto val="1"/>
        <c:lblAlgn val="ctr"/>
        <c:lblOffset val="100"/>
      </c:catAx>
      <c:valAx>
        <c:axId val="102207488"/>
        <c:scaling>
          <c:orientation val="minMax"/>
        </c:scaling>
        <c:delete val="1"/>
        <c:axPos val="l"/>
        <c:numFmt formatCode="0.00%" sourceLinked="1"/>
        <c:tickLblPos val="nextTo"/>
        <c:crossAx val="102193408"/>
        <c:crosses val="autoZero"/>
        <c:crossBetween val="between"/>
      </c:valAx>
    </c:plotArea>
    <c:legend>
      <c:legendPos val="t"/>
      <c:layout/>
      <c:txPr>
        <a:bodyPr/>
        <a:lstStyle/>
        <a:p>
          <a:pPr>
            <a:defRPr lang="en-US"/>
          </a:pPr>
          <a:endParaRPr lang="en-US"/>
        </a:p>
      </c:txPr>
    </c:legend>
    <c:plotVisOnly val="1"/>
  </c:chart>
  <c:spPr>
    <a:gradFill rotWithShape="1">
      <a:gsLst>
        <a:gs pos="0">
          <a:schemeClr val="dk1">
            <a:tint val="50000"/>
            <a:satMod val="300000"/>
          </a:schemeClr>
        </a:gs>
        <a:gs pos="35000">
          <a:schemeClr val="dk1">
            <a:tint val="37000"/>
            <a:satMod val="300000"/>
          </a:schemeClr>
        </a:gs>
        <a:gs pos="100000">
          <a:schemeClr val="dk1">
            <a:tint val="15000"/>
            <a:satMod val="350000"/>
          </a:schemeClr>
        </a:gs>
      </a:gsLst>
      <a:lin ang="16200000" scaled="1"/>
    </a:gradFill>
    <a:ln w="9525" cap="flat" cmpd="sng" algn="ctr">
      <a:solidFill>
        <a:schemeClr val="dk1">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en-US"/>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IN"/>
  <c:chart>
    <c:title>
      <c:tx>
        <c:rich>
          <a:bodyPr/>
          <a:lstStyle/>
          <a:p>
            <a:pPr>
              <a:defRPr lang="en-US"/>
            </a:pPr>
            <a:r>
              <a:rPr lang="en-US" sz="1800" b="1" i="0" u="none" strike="noStrike" baseline="0"/>
              <a:t>Gearing ratios </a:t>
            </a:r>
            <a:endParaRPr lang="en-US"/>
          </a:p>
        </c:rich>
      </c:tx>
      <c:layout/>
    </c:title>
    <c:plotArea>
      <c:layout/>
      <c:lineChart>
        <c:grouping val="stacked"/>
        <c:ser>
          <c:idx val="0"/>
          <c:order val="0"/>
          <c:tx>
            <c:strRef>
              <c:f>Sheet2!$A$28</c:f>
              <c:strCache>
                <c:ptCount val="1"/>
                <c:pt idx="0">
                  <c:v>TESCO PLC</c:v>
                </c:pt>
              </c:strCache>
            </c:strRef>
          </c:tx>
          <c:dLbls>
            <c:txPr>
              <a:bodyPr/>
              <a:lstStyle/>
              <a:p>
                <a:pPr>
                  <a:defRPr lang="en-US"/>
                </a:pPr>
                <a:endParaRPr lang="en-US"/>
              </a:p>
            </c:txPr>
            <c:showVal val="1"/>
          </c:dLbls>
          <c:cat>
            <c:numRef>
              <c:f>Sheet2!$B$27:$F$27</c:f>
              <c:numCache>
                <c:formatCode>General</c:formatCode>
                <c:ptCount val="5"/>
                <c:pt idx="0">
                  <c:v>2012</c:v>
                </c:pt>
                <c:pt idx="1">
                  <c:v>2013</c:v>
                </c:pt>
                <c:pt idx="2">
                  <c:v>2014</c:v>
                </c:pt>
                <c:pt idx="3">
                  <c:v>2015</c:v>
                </c:pt>
                <c:pt idx="4">
                  <c:v>2016</c:v>
                </c:pt>
              </c:numCache>
            </c:numRef>
          </c:cat>
          <c:val>
            <c:numRef>
              <c:f>Sheet2!$B$32:$F$32</c:f>
              <c:numCache>
                <c:formatCode>General</c:formatCode>
                <c:ptCount val="5"/>
                <c:pt idx="0">
                  <c:v>10.200000000000001</c:v>
                </c:pt>
                <c:pt idx="1">
                  <c:v>5.4</c:v>
                </c:pt>
                <c:pt idx="2">
                  <c:v>6.05</c:v>
                </c:pt>
                <c:pt idx="3">
                  <c:v>-11.78</c:v>
                </c:pt>
                <c:pt idx="4">
                  <c:v>1.33</c:v>
                </c:pt>
              </c:numCache>
            </c:numRef>
          </c:val>
        </c:ser>
        <c:ser>
          <c:idx val="1"/>
          <c:order val="1"/>
          <c:tx>
            <c:strRef>
              <c:f>Sheet2!$A$29</c:f>
              <c:strCache>
                <c:ptCount val="1"/>
                <c:pt idx="0">
                  <c:v>SAINSBURY PLC </c:v>
                </c:pt>
              </c:strCache>
            </c:strRef>
          </c:tx>
          <c:dLbls>
            <c:txPr>
              <a:bodyPr/>
              <a:lstStyle/>
              <a:p>
                <a:pPr>
                  <a:defRPr lang="en-US"/>
                </a:pPr>
                <a:endParaRPr lang="en-US"/>
              </a:p>
            </c:txPr>
            <c:showVal val="1"/>
          </c:dLbls>
          <c:cat>
            <c:numRef>
              <c:f>Sheet2!$B$27:$F$27</c:f>
              <c:numCache>
                <c:formatCode>General</c:formatCode>
                <c:ptCount val="5"/>
                <c:pt idx="0">
                  <c:v>2012</c:v>
                </c:pt>
                <c:pt idx="1">
                  <c:v>2013</c:v>
                </c:pt>
                <c:pt idx="2">
                  <c:v>2014</c:v>
                </c:pt>
                <c:pt idx="3">
                  <c:v>2015</c:v>
                </c:pt>
                <c:pt idx="4">
                  <c:v>2016</c:v>
                </c:pt>
              </c:numCache>
            </c:numRef>
          </c:cat>
          <c:val>
            <c:numRef>
              <c:f>Sheet2!$B$33:$F$33</c:f>
              <c:numCache>
                <c:formatCode>General</c:formatCode>
                <c:ptCount val="5"/>
                <c:pt idx="0">
                  <c:v>7.44</c:v>
                </c:pt>
                <c:pt idx="1">
                  <c:v>7.1599999999999975</c:v>
                </c:pt>
                <c:pt idx="2">
                  <c:v>7.8599999999999985</c:v>
                </c:pt>
                <c:pt idx="3">
                  <c:v>0.41000000000000025</c:v>
                </c:pt>
                <c:pt idx="4">
                  <c:v>5.57</c:v>
                </c:pt>
              </c:numCache>
            </c:numRef>
          </c:val>
        </c:ser>
        <c:dLbls>
          <c:showVal val="1"/>
        </c:dLbls>
        <c:marker val="1"/>
        <c:axId val="102216832"/>
        <c:axId val="102218368"/>
      </c:lineChart>
      <c:catAx>
        <c:axId val="102216832"/>
        <c:scaling>
          <c:orientation val="minMax"/>
        </c:scaling>
        <c:axPos val="b"/>
        <c:numFmt formatCode="General" sourceLinked="1"/>
        <c:majorTickMark val="none"/>
        <c:tickLblPos val="nextTo"/>
        <c:txPr>
          <a:bodyPr/>
          <a:lstStyle/>
          <a:p>
            <a:pPr>
              <a:defRPr lang="en-US"/>
            </a:pPr>
            <a:endParaRPr lang="en-US"/>
          </a:p>
        </c:txPr>
        <c:crossAx val="102218368"/>
        <c:crosses val="autoZero"/>
        <c:auto val="1"/>
        <c:lblAlgn val="ctr"/>
        <c:lblOffset val="100"/>
      </c:catAx>
      <c:valAx>
        <c:axId val="102218368"/>
        <c:scaling>
          <c:orientation val="minMax"/>
        </c:scaling>
        <c:delete val="1"/>
        <c:axPos val="l"/>
        <c:numFmt formatCode="General" sourceLinked="1"/>
        <c:tickLblPos val="nextTo"/>
        <c:crossAx val="102216832"/>
        <c:crosses val="autoZero"/>
        <c:crossBetween val="between"/>
      </c:valAx>
    </c:plotArea>
    <c:legend>
      <c:legendPos val="t"/>
      <c:layout/>
      <c:txPr>
        <a:bodyPr/>
        <a:lstStyle/>
        <a:p>
          <a:pPr>
            <a:defRPr lang="en-US"/>
          </a:pPr>
          <a:endParaRPr lang="en-US"/>
        </a:p>
      </c:txP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46F91-1EFC-4A27-BAB1-9E6D00E79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36</Pages>
  <Words>7452</Words>
  <Characters>42477</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BLR</dc:creator>
  <cp:keywords/>
  <dc:description/>
  <cp:lastModifiedBy>HP WORLD</cp:lastModifiedBy>
  <cp:revision>6</cp:revision>
  <dcterms:created xsi:type="dcterms:W3CDTF">2017-12-29T12:46:00Z</dcterms:created>
  <dcterms:modified xsi:type="dcterms:W3CDTF">2018-01-05T20:46:00Z</dcterms:modified>
</cp:coreProperties>
</file>