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14:ligatures w14:val="standardContextual"/>
        </w:rPr>
        <w:id w:val="53675450"/>
        <w:docPartObj>
          <w:docPartGallery w:val="Cover Pages"/>
          <w:docPartUnique/>
        </w:docPartObj>
      </w:sdtPr>
      <w:sdtEndPr>
        <w:rPr>
          <w:sz w:val="22"/>
        </w:rPr>
      </w:sdtEndPr>
      <w:sdtContent>
        <w:p w14:paraId="72429FC3" w14:textId="5B08F487" w:rsidR="00225CD1" w:rsidRDefault="00225CD1">
          <w:pPr>
            <w:pStyle w:val="NoSpacing"/>
            <w:rPr>
              <w:sz w:val="2"/>
            </w:rPr>
          </w:pPr>
        </w:p>
        <w:p w14:paraId="00F7E771" w14:textId="29FB8067" w:rsidR="00225CD1" w:rsidRDefault="00225CD1">
          <w:r>
            <w:rPr>
              <w:noProof/>
            </w:rPr>
            <mc:AlternateContent>
              <mc:Choice Requires="wps">
                <w:drawing>
                  <wp:anchor distT="0" distB="0" distL="114300" distR="114300" simplePos="0" relativeHeight="251664384" behindDoc="0" locked="0" layoutInCell="1" allowOverlap="1" wp14:anchorId="4176873C" wp14:editId="7B2ED093">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645AD78" w14:textId="7BDD01B3" w:rsidR="00225CD1" w:rsidRDefault="00743A8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Hospitality &amp; Tourism Management</w:t>
                                    </w:r>
                                  </w:p>
                                </w:sdtContent>
                              </w:sdt>
                              <w:p w14:paraId="62E5CE12" w14:textId="40BC086E" w:rsidR="00225CD1" w:rsidRPr="00225CD1" w:rsidRDefault="0000000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5CD1">
                                      <w:rPr>
                                        <w:color w:val="4472C4" w:themeColor="accent1"/>
                                        <w:sz w:val="36"/>
                                        <w:szCs w:val="36"/>
                                      </w:rPr>
                                      <w:t>Module Code: BMIH5006</w:t>
                                    </w:r>
                                  </w:sdtContent>
                                </w:sdt>
                              </w:p>
                              <w:p w14:paraId="028BD880" w14:textId="2EF64BB9" w:rsidR="00225CD1" w:rsidRDefault="00225CD1" w:rsidP="00225CD1">
                                <w:pPr>
                                  <w:spacing w:after="0"/>
                                  <w:rPr>
                                    <w:color w:val="4472C4" w:themeColor="accent1"/>
                                    <w:sz w:val="36"/>
                                    <w:szCs w:val="36"/>
                                  </w:rPr>
                                </w:pPr>
                                <w:r w:rsidRPr="00225CD1">
                                  <w:rPr>
                                    <w:color w:val="4472C4" w:themeColor="accent1"/>
                                    <w:sz w:val="36"/>
                                    <w:szCs w:val="36"/>
                                  </w:rPr>
                                  <w:t>Student Name: Mohammed Hussain</w:t>
                                </w:r>
                              </w:p>
                              <w:p w14:paraId="77FECDC7" w14:textId="3B98B438" w:rsidR="00225CD1" w:rsidRDefault="00225CD1" w:rsidP="00225CD1">
                                <w:pPr>
                                  <w:spacing w:after="0"/>
                                  <w:rPr>
                                    <w:color w:val="4472C4" w:themeColor="accent1"/>
                                    <w:sz w:val="36"/>
                                    <w:szCs w:val="36"/>
                                  </w:rPr>
                                </w:pPr>
                                <w:r>
                                  <w:rPr>
                                    <w:color w:val="4472C4" w:themeColor="accent1"/>
                                    <w:sz w:val="36"/>
                                    <w:szCs w:val="36"/>
                                  </w:rPr>
                                  <w:t>Student ID: 2312107</w:t>
                                </w:r>
                              </w:p>
                              <w:p w14:paraId="6D91EDB1" w14:textId="1CD9BED9" w:rsidR="00225CD1" w:rsidRPr="00225CD1" w:rsidRDefault="00225CD1">
                                <w:pPr>
                                  <w:rPr>
                                    <w:color w:val="4472C4" w:themeColor="accent1"/>
                                    <w:sz w:val="36"/>
                                    <w:szCs w:val="36"/>
                                  </w:rPr>
                                </w:pPr>
                                <w:r>
                                  <w:rPr>
                                    <w:color w:val="4472C4" w:themeColor="accent1"/>
                                    <w:sz w:val="36"/>
                                    <w:szCs w:val="36"/>
                                  </w:rPr>
                                  <w:t>Lecturer Name(s): Kathryn Roberts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176873C" id="_x0000_t202" coordsize="21600,21600" o:spt="202" path="m,l,21600r21600,l21600,xe">
                    <v:stroke joinstyle="miter"/>
                    <v:path gradientshapeok="t" o:connecttype="rect"/>
                  </v:shapetype>
                  <v:shape id="Text Box 15" o:spid="_x0000_s1026" type="#_x0000_t202" style="position:absolute;margin-left:0;margin-top:0;width:468pt;height:1in;z-index:251664384;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645AD78" w14:textId="7BDD01B3" w:rsidR="00225CD1" w:rsidRDefault="00743A8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Hospitality &amp; Tourism Management</w:t>
                              </w:r>
                            </w:p>
                          </w:sdtContent>
                        </w:sdt>
                        <w:p w14:paraId="62E5CE12" w14:textId="40BC086E" w:rsidR="00225CD1" w:rsidRPr="00225CD1" w:rsidRDefault="00000000">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5CD1">
                                <w:rPr>
                                  <w:color w:val="4472C4" w:themeColor="accent1"/>
                                  <w:sz w:val="36"/>
                                  <w:szCs w:val="36"/>
                                </w:rPr>
                                <w:t>Module Code: BMIH5006</w:t>
                              </w:r>
                            </w:sdtContent>
                          </w:sdt>
                        </w:p>
                        <w:p w14:paraId="028BD880" w14:textId="2EF64BB9" w:rsidR="00225CD1" w:rsidRDefault="00225CD1" w:rsidP="00225CD1">
                          <w:pPr>
                            <w:spacing w:after="0"/>
                            <w:rPr>
                              <w:color w:val="4472C4" w:themeColor="accent1"/>
                              <w:sz w:val="36"/>
                              <w:szCs w:val="36"/>
                            </w:rPr>
                          </w:pPr>
                          <w:r w:rsidRPr="00225CD1">
                            <w:rPr>
                              <w:color w:val="4472C4" w:themeColor="accent1"/>
                              <w:sz w:val="36"/>
                              <w:szCs w:val="36"/>
                            </w:rPr>
                            <w:t>Student Name: Mohammed Hussain</w:t>
                          </w:r>
                        </w:p>
                        <w:p w14:paraId="77FECDC7" w14:textId="3B98B438" w:rsidR="00225CD1" w:rsidRDefault="00225CD1" w:rsidP="00225CD1">
                          <w:pPr>
                            <w:spacing w:after="0"/>
                            <w:rPr>
                              <w:color w:val="4472C4" w:themeColor="accent1"/>
                              <w:sz w:val="36"/>
                              <w:szCs w:val="36"/>
                            </w:rPr>
                          </w:pPr>
                          <w:r>
                            <w:rPr>
                              <w:color w:val="4472C4" w:themeColor="accent1"/>
                              <w:sz w:val="36"/>
                              <w:szCs w:val="36"/>
                            </w:rPr>
                            <w:t>Student ID: 2312107</w:t>
                          </w:r>
                        </w:p>
                        <w:p w14:paraId="6D91EDB1" w14:textId="1CD9BED9" w:rsidR="00225CD1" w:rsidRPr="00225CD1" w:rsidRDefault="00225CD1">
                          <w:pPr>
                            <w:rPr>
                              <w:color w:val="4472C4" w:themeColor="accent1"/>
                              <w:sz w:val="36"/>
                              <w:szCs w:val="36"/>
                            </w:rPr>
                          </w:pPr>
                          <w:r>
                            <w:rPr>
                              <w:color w:val="4472C4" w:themeColor="accent1"/>
                              <w:sz w:val="36"/>
                              <w:szCs w:val="36"/>
                            </w:rPr>
                            <w:t>Lecturer Name(s): Kathryn Roberts</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3360" behindDoc="1" locked="0" layoutInCell="1" allowOverlap="1" wp14:anchorId="4E04A385" wp14:editId="2301F292">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D4578C5" id="Group 2" o:spid="_x0000_s1026" style="position:absolute;margin-left:0;margin-top:0;width:432.65pt;height:448.55pt;z-index:-25165312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72EC315" w14:textId="2ABBDDE8" w:rsidR="00225CD1" w:rsidRDefault="00225CD1">
          <w:r>
            <w:br w:type="page"/>
          </w:r>
        </w:p>
      </w:sdtContent>
    </w:sdt>
    <w:sdt>
      <w:sdtPr>
        <w:rPr>
          <w:rFonts w:asciiTheme="minorHAnsi" w:eastAsiaTheme="minorHAnsi" w:hAnsiTheme="minorHAnsi" w:cstheme="minorBidi"/>
          <w:color w:val="auto"/>
          <w:kern w:val="2"/>
          <w:sz w:val="22"/>
          <w:szCs w:val="22"/>
          <w14:ligatures w14:val="standardContextual"/>
        </w:rPr>
        <w:id w:val="-1457796855"/>
        <w:docPartObj>
          <w:docPartGallery w:val="Table of Contents"/>
          <w:docPartUnique/>
        </w:docPartObj>
      </w:sdtPr>
      <w:sdtEndPr>
        <w:rPr>
          <w:b/>
          <w:bCs/>
          <w:noProof/>
        </w:rPr>
      </w:sdtEndPr>
      <w:sdtContent>
        <w:p w14:paraId="7CEFD6CA" w14:textId="1F5F5439" w:rsidR="00570B78" w:rsidRDefault="00570B78" w:rsidP="00570B78">
          <w:pPr>
            <w:pStyle w:val="TOCHeading"/>
            <w:spacing w:line="360" w:lineRule="auto"/>
            <w:jc w:val="both"/>
          </w:pPr>
          <w:r>
            <w:t>Table of Contents</w:t>
          </w:r>
        </w:p>
        <w:p w14:paraId="7317085E" w14:textId="414F8885" w:rsidR="00570B78" w:rsidRDefault="00570B78" w:rsidP="00570B78">
          <w:pPr>
            <w:pStyle w:val="TOC1"/>
            <w:tabs>
              <w:tab w:val="right" w:leader="dot" w:pos="9350"/>
            </w:tabs>
            <w:spacing w:line="360" w:lineRule="auto"/>
            <w:jc w:val="both"/>
            <w:rPr>
              <w:rFonts w:eastAsiaTheme="minorEastAsia"/>
              <w:noProof/>
            </w:rPr>
          </w:pPr>
          <w:r>
            <w:fldChar w:fldCharType="begin"/>
          </w:r>
          <w:r>
            <w:instrText xml:space="preserve"> TOC \o "1-3" \h \z \u </w:instrText>
          </w:r>
          <w:r>
            <w:fldChar w:fldCharType="separate"/>
          </w:r>
          <w:hyperlink w:anchor="_Toc156620974" w:history="1">
            <w:r w:rsidRPr="00FB5B4C">
              <w:rPr>
                <w:rStyle w:val="Hyperlink"/>
                <w:noProof/>
              </w:rPr>
              <w:t>INTRODUCTION:</w:t>
            </w:r>
            <w:r>
              <w:rPr>
                <w:noProof/>
                <w:webHidden/>
              </w:rPr>
              <w:tab/>
            </w:r>
            <w:r>
              <w:rPr>
                <w:noProof/>
                <w:webHidden/>
              </w:rPr>
              <w:fldChar w:fldCharType="begin"/>
            </w:r>
            <w:r>
              <w:rPr>
                <w:noProof/>
                <w:webHidden/>
              </w:rPr>
              <w:instrText xml:space="preserve"> PAGEREF _Toc156620974 \h </w:instrText>
            </w:r>
            <w:r>
              <w:rPr>
                <w:noProof/>
                <w:webHidden/>
              </w:rPr>
            </w:r>
            <w:r>
              <w:rPr>
                <w:noProof/>
                <w:webHidden/>
              </w:rPr>
              <w:fldChar w:fldCharType="separate"/>
            </w:r>
            <w:r>
              <w:rPr>
                <w:noProof/>
                <w:webHidden/>
              </w:rPr>
              <w:t>2</w:t>
            </w:r>
            <w:r>
              <w:rPr>
                <w:noProof/>
                <w:webHidden/>
              </w:rPr>
              <w:fldChar w:fldCharType="end"/>
            </w:r>
          </w:hyperlink>
        </w:p>
        <w:p w14:paraId="55A901F2" w14:textId="76A58E21" w:rsidR="00570B78" w:rsidRDefault="00000000" w:rsidP="00570B78">
          <w:pPr>
            <w:pStyle w:val="TOC2"/>
            <w:tabs>
              <w:tab w:val="right" w:leader="dot" w:pos="9350"/>
            </w:tabs>
            <w:spacing w:line="360" w:lineRule="auto"/>
            <w:jc w:val="both"/>
            <w:rPr>
              <w:rFonts w:eastAsiaTheme="minorEastAsia"/>
              <w:noProof/>
            </w:rPr>
          </w:pPr>
          <w:hyperlink w:anchor="_Toc156620975" w:history="1">
            <w:r w:rsidR="00570B78" w:rsidRPr="00FB5B4C">
              <w:rPr>
                <w:rStyle w:val="Hyperlink"/>
                <w:noProof/>
              </w:rPr>
              <w:t>IMPLEMENT CIRCULAR ECONOMY WITHIN THEIR CORPORATE SOCIAL RESPONSIBILITY POLICY</w:t>
            </w:r>
            <w:r w:rsidR="00570B78">
              <w:rPr>
                <w:noProof/>
                <w:webHidden/>
              </w:rPr>
              <w:tab/>
            </w:r>
            <w:r w:rsidR="00570B78">
              <w:rPr>
                <w:noProof/>
                <w:webHidden/>
              </w:rPr>
              <w:fldChar w:fldCharType="begin"/>
            </w:r>
            <w:r w:rsidR="00570B78">
              <w:rPr>
                <w:noProof/>
                <w:webHidden/>
              </w:rPr>
              <w:instrText xml:space="preserve"> PAGEREF _Toc156620975 \h </w:instrText>
            </w:r>
            <w:r w:rsidR="00570B78">
              <w:rPr>
                <w:noProof/>
                <w:webHidden/>
              </w:rPr>
            </w:r>
            <w:r w:rsidR="00570B78">
              <w:rPr>
                <w:noProof/>
                <w:webHidden/>
              </w:rPr>
              <w:fldChar w:fldCharType="separate"/>
            </w:r>
            <w:r w:rsidR="00570B78">
              <w:rPr>
                <w:noProof/>
                <w:webHidden/>
              </w:rPr>
              <w:t>3</w:t>
            </w:r>
            <w:r w:rsidR="00570B78">
              <w:rPr>
                <w:noProof/>
                <w:webHidden/>
              </w:rPr>
              <w:fldChar w:fldCharType="end"/>
            </w:r>
          </w:hyperlink>
        </w:p>
        <w:p w14:paraId="4FBC8E3C" w14:textId="5A7C0C3F" w:rsidR="00570B78" w:rsidRDefault="00000000" w:rsidP="00570B78">
          <w:pPr>
            <w:pStyle w:val="TOC2"/>
            <w:tabs>
              <w:tab w:val="right" w:leader="dot" w:pos="9350"/>
            </w:tabs>
            <w:spacing w:line="360" w:lineRule="auto"/>
            <w:jc w:val="both"/>
            <w:rPr>
              <w:rFonts w:eastAsiaTheme="minorEastAsia"/>
              <w:noProof/>
            </w:rPr>
          </w:pPr>
          <w:hyperlink w:anchor="_Toc156620976" w:history="1">
            <w:r w:rsidR="00570B78" w:rsidRPr="00FB5B4C">
              <w:rPr>
                <w:rStyle w:val="Hyperlink"/>
                <w:noProof/>
              </w:rPr>
              <w:t>CIRCULAR ECONOMY</w:t>
            </w:r>
            <w:r w:rsidR="00570B78">
              <w:rPr>
                <w:noProof/>
                <w:webHidden/>
              </w:rPr>
              <w:tab/>
            </w:r>
            <w:r w:rsidR="00570B78">
              <w:rPr>
                <w:noProof/>
                <w:webHidden/>
              </w:rPr>
              <w:fldChar w:fldCharType="begin"/>
            </w:r>
            <w:r w:rsidR="00570B78">
              <w:rPr>
                <w:noProof/>
                <w:webHidden/>
              </w:rPr>
              <w:instrText xml:space="preserve"> PAGEREF _Toc156620976 \h </w:instrText>
            </w:r>
            <w:r w:rsidR="00570B78">
              <w:rPr>
                <w:noProof/>
                <w:webHidden/>
              </w:rPr>
            </w:r>
            <w:r w:rsidR="00570B78">
              <w:rPr>
                <w:noProof/>
                <w:webHidden/>
              </w:rPr>
              <w:fldChar w:fldCharType="separate"/>
            </w:r>
            <w:r w:rsidR="00570B78">
              <w:rPr>
                <w:noProof/>
                <w:webHidden/>
              </w:rPr>
              <w:t>4</w:t>
            </w:r>
            <w:r w:rsidR="00570B78">
              <w:rPr>
                <w:noProof/>
                <w:webHidden/>
              </w:rPr>
              <w:fldChar w:fldCharType="end"/>
            </w:r>
          </w:hyperlink>
        </w:p>
        <w:p w14:paraId="0FA96E2A" w14:textId="62867EC2" w:rsidR="00570B78" w:rsidRDefault="00000000" w:rsidP="00570B78">
          <w:pPr>
            <w:pStyle w:val="TOC2"/>
            <w:tabs>
              <w:tab w:val="right" w:leader="dot" w:pos="9350"/>
            </w:tabs>
            <w:spacing w:line="360" w:lineRule="auto"/>
            <w:jc w:val="both"/>
            <w:rPr>
              <w:rFonts w:eastAsiaTheme="minorEastAsia"/>
              <w:noProof/>
            </w:rPr>
          </w:pPr>
          <w:hyperlink w:anchor="_Toc156620977" w:history="1">
            <w:r w:rsidR="00570B78" w:rsidRPr="00FB5B4C">
              <w:rPr>
                <w:rStyle w:val="Hyperlink"/>
                <w:noProof/>
              </w:rPr>
              <w:t>FIT INTO CSR (Corporate social responsibility)</w:t>
            </w:r>
            <w:r w:rsidR="00570B78">
              <w:rPr>
                <w:noProof/>
                <w:webHidden/>
              </w:rPr>
              <w:tab/>
            </w:r>
            <w:r w:rsidR="00570B78">
              <w:rPr>
                <w:noProof/>
                <w:webHidden/>
              </w:rPr>
              <w:fldChar w:fldCharType="begin"/>
            </w:r>
            <w:r w:rsidR="00570B78">
              <w:rPr>
                <w:noProof/>
                <w:webHidden/>
              </w:rPr>
              <w:instrText xml:space="preserve"> PAGEREF _Toc156620977 \h </w:instrText>
            </w:r>
            <w:r w:rsidR="00570B78">
              <w:rPr>
                <w:noProof/>
                <w:webHidden/>
              </w:rPr>
            </w:r>
            <w:r w:rsidR="00570B78">
              <w:rPr>
                <w:noProof/>
                <w:webHidden/>
              </w:rPr>
              <w:fldChar w:fldCharType="separate"/>
            </w:r>
            <w:r w:rsidR="00570B78">
              <w:rPr>
                <w:noProof/>
                <w:webHidden/>
              </w:rPr>
              <w:t>5</w:t>
            </w:r>
            <w:r w:rsidR="00570B78">
              <w:rPr>
                <w:noProof/>
                <w:webHidden/>
              </w:rPr>
              <w:fldChar w:fldCharType="end"/>
            </w:r>
          </w:hyperlink>
        </w:p>
        <w:p w14:paraId="71F3F6FB" w14:textId="6F56D5A4" w:rsidR="00570B78" w:rsidRDefault="00000000" w:rsidP="00570B78">
          <w:pPr>
            <w:pStyle w:val="TOC2"/>
            <w:tabs>
              <w:tab w:val="right" w:leader="dot" w:pos="9350"/>
            </w:tabs>
            <w:spacing w:line="360" w:lineRule="auto"/>
            <w:jc w:val="both"/>
            <w:rPr>
              <w:rFonts w:eastAsiaTheme="minorEastAsia"/>
              <w:noProof/>
            </w:rPr>
          </w:pPr>
          <w:hyperlink w:anchor="_Toc156620978" w:history="1">
            <w:r w:rsidR="00570B78" w:rsidRPr="00FB5B4C">
              <w:rPr>
                <w:rStyle w:val="Hyperlink"/>
                <w:noProof/>
              </w:rPr>
              <w:t>MARRIOTT REVIEW CSR POLICY AND EVALUATE</w:t>
            </w:r>
            <w:r w:rsidR="00570B78">
              <w:rPr>
                <w:noProof/>
                <w:webHidden/>
              </w:rPr>
              <w:tab/>
            </w:r>
            <w:r w:rsidR="00570B78">
              <w:rPr>
                <w:noProof/>
                <w:webHidden/>
              </w:rPr>
              <w:fldChar w:fldCharType="begin"/>
            </w:r>
            <w:r w:rsidR="00570B78">
              <w:rPr>
                <w:noProof/>
                <w:webHidden/>
              </w:rPr>
              <w:instrText xml:space="preserve"> PAGEREF _Toc156620978 \h </w:instrText>
            </w:r>
            <w:r w:rsidR="00570B78">
              <w:rPr>
                <w:noProof/>
                <w:webHidden/>
              </w:rPr>
            </w:r>
            <w:r w:rsidR="00570B78">
              <w:rPr>
                <w:noProof/>
                <w:webHidden/>
              </w:rPr>
              <w:fldChar w:fldCharType="separate"/>
            </w:r>
            <w:r w:rsidR="00570B78">
              <w:rPr>
                <w:noProof/>
                <w:webHidden/>
              </w:rPr>
              <w:t>7</w:t>
            </w:r>
            <w:r w:rsidR="00570B78">
              <w:rPr>
                <w:noProof/>
                <w:webHidden/>
              </w:rPr>
              <w:fldChar w:fldCharType="end"/>
            </w:r>
          </w:hyperlink>
        </w:p>
        <w:p w14:paraId="3756DE17" w14:textId="3E458BAA" w:rsidR="00570B78" w:rsidRDefault="00000000" w:rsidP="00570B78">
          <w:pPr>
            <w:pStyle w:val="TOC2"/>
            <w:tabs>
              <w:tab w:val="right" w:leader="dot" w:pos="9350"/>
            </w:tabs>
            <w:spacing w:line="360" w:lineRule="auto"/>
            <w:jc w:val="both"/>
            <w:rPr>
              <w:rFonts w:eastAsiaTheme="minorEastAsia"/>
              <w:noProof/>
            </w:rPr>
          </w:pPr>
          <w:hyperlink w:anchor="_Toc156620979" w:history="1">
            <w:r w:rsidR="00570B78" w:rsidRPr="00FB5B4C">
              <w:rPr>
                <w:rStyle w:val="Hyperlink"/>
                <w:noProof/>
              </w:rPr>
              <w:t>INDUSTRY EXAMPLE OF COMPANIES EMBODYING THE CIRCULAR ECONOMY</w:t>
            </w:r>
            <w:r w:rsidR="00570B78">
              <w:rPr>
                <w:noProof/>
                <w:webHidden/>
              </w:rPr>
              <w:tab/>
            </w:r>
            <w:r w:rsidR="00570B78">
              <w:rPr>
                <w:noProof/>
                <w:webHidden/>
              </w:rPr>
              <w:fldChar w:fldCharType="begin"/>
            </w:r>
            <w:r w:rsidR="00570B78">
              <w:rPr>
                <w:noProof/>
                <w:webHidden/>
              </w:rPr>
              <w:instrText xml:space="preserve"> PAGEREF _Toc156620979 \h </w:instrText>
            </w:r>
            <w:r w:rsidR="00570B78">
              <w:rPr>
                <w:noProof/>
                <w:webHidden/>
              </w:rPr>
            </w:r>
            <w:r w:rsidR="00570B78">
              <w:rPr>
                <w:noProof/>
                <w:webHidden/>
              </w:rPr>
              <w:fldChar w:fldCharType="separate"/>
            </w:r>
            <w:r w:rsidR="00570B78">
              <w:rPr>
                <w:noProof/>
                <w:webHidden/>
              </w:rPr>
              <w:t>8</w:t>
            </w:r>
            <w:r w:rsidR="00570B78">
              <w:rPr>
                <w:noProof/>
                <w:webHidden/>
              </w:rPr>
              <w:fldChar w:fldCharType="end"/>
            </w:r>
          </w:hyperlink>
        </w:p>
        <w:p w14:paraId="1A92E935" w14:textId="07583DC2" w:rsidR="00570B78" w:rsidRDefault="00000000" w:rsidP="00570B78">
          <w:pPr>
            <w:pStyle w:val="TOC2"/>
            <w:tabs>
              <w:tab w:val="right" w:leader="dot" w:pos="9350"/>
            </w:tabs>
            <w:spacing w:line="360" w:lineRule="auto"/>
            <w:jc w:val="both"/>
            <w:rPr>
              <w:rFonts w:eastAsiaTheme="minorEastAsia"/>
              <w:noProof/>
            </w:rPr>
          </w:pPr>
          <w:hyperlink w:anchor="_Toc156620980" w:history="1">
            <w:r w:rsidR="00570B78" w:rsidRPr="00FB5B4C">
              <w:rPr>
                <w:rStyle w:val="Hyperlink"/>
                <w:noProof/>
              </w:rPr>
              <w:t>CONCLUSION</w:t>
            </w:r>
            <w:r w:rsidR="00570B78">
              <w:rPr>
                <w:noProof/>
                <w:webHidden/>
              </w:rPr>
              <w:tab/>
            </w:r>
            <w:r w:rsidR="00570B78">
              <w:rPr>
                <w:noProof/>
                <w:webHidden/>
              </w:rPr>
              <w:fldChar w:fldCharType="begin"/>
            </w:r>
            <w:r w:rsidR="00570B78">
              <w:rPr>
                <w:noProof/>
                <w:webHidden/>
              </w:rPr>
              <w:instrText xml:space="preserve"> PAGEREF _Toc156620980 \h </w:instrText>
            </w:r>
            <w:r w:rsidR="00570B78">
              <w:rPr>
                <w:noProof/>
                <w:webHidden/>
              </w:rPr>
            </w:r>
            <w:r w:rsidR="00570B78">
              <w:rPr>
                <w:noProof/>
                <w:webHidden/>
              </w:rPr>
              <w:fldChar w:fldCharType="separate"/>
            </w:r>
            <w:r w:rsidR="00570B78">
              <w:rPr>
                <w:noProof/>
                <w:webHidden/>
              </w:rPr>
              <w:t>9</w:t>
            </w:r>
            <w:r w:rsidR="00570B78">
              <w:rPr>
                <w:noProof/>
                <w:webHidden/>
              </w:rPr>
              <w:fldChar w:fldCharType="end"/>
            </w:r>
          </w:hyperlink>
        </w:p>
        <w:p w14:paraId="1109495C" w14:textId="16901A26" w:rsidR="00570B78" w:rsidRDefault="00000000" w:rsidP="00570B78">
          <w:pPr>
            <w:pStyle w:val="TOC2"/>
            <w:tabs>
              <w:tab w:val="right" w:leader="dot" w:pos="9350"/>
            </w:tabs>
            <w:spacing w:line="360" w:lineRule="auto"/>
            <w:jc w:val="both"/>
            <w:rPr>
              <w:rFonts w:eastAsiaTheme="minorEastAsia"/>
              <w:noProof/>
            </w:rPr>
          </w:pPr>
          <w:hyperlink w:anchor="_Toc156620981" w:history="1">
            <w:r w:rsidR="00570B78" w:rsidRPr="00FB5B4C">
              <w:rPr>
                <w:rStyle w:val="Hyperlink"/>
                <w:noProof/>
              </w:rPr>
              <w:t>REFRENCES</w:t>
            </w:r>
            <w:r w:rsidR="00570B78">
              <w:rPr>
                <w:noProof/>
                <w:webHidden/>
              </w:rPr>
              <w:tab/>
            </w:r>
            <w:r w:rsidR="00570B78">
              <w:rPr>
                <w:noProof/>
                <w:webHidden/>
              </w:rPr>
              <w:fldChar w:fldCharType="begin"/>
            </w:r>
            <w:r w:rsidR="00570B78">
              <w:rPr>
                <w:noProof/>
                <w:webHidden/>
              </w:rPr>
              <w:instrText xml:space="preserve"> PAGEREF _Toc156620981 \h </w:instrText>
            </w:r>
            <w:r w:rsidR="00570B78">
              <w:rPr>
                <w:noProof/>
                <w:webHidden/>
              </w:rPr>
            </w:r>
            <w:r w:rsidR="00570B78">
              <w:rPr>
                <w:noProof/>
                <w:webHidden/>
              </w:rPr>
              <w:fldChar w:fldCharType="separate"/>
            </w:r>
            <w:r w:rsidR="00570B78">
              <w:rPr>
                <w:noProof/>
                <w:webHidden/>
              </w:rPr>
              <w:t>10</w:t>
            </w:r>
            <w:r w:rsidR="00570B78">
              <w:rPr>
                <w:noProof/>
                <w:webHidden/>
              </w:rPr>
              <w:fldChar w:fldCharType="end"/>
            </w:r>
          </w:hyperlink>
        </w:p>
        <w:p w14:paraId="18101113" w14:textId="3147E6B8" w:rsidR="00570B78" w:rsidRDefault="00570B78" w:rsidP="00570B78">
          <w:pPr>
            <w:spacing w:line="360" w:lineRule="auto"/>
            <w:jc w:val="both"/>
          </w:pPr>
          <w:r>
            <w:rPr>
              <w:b/>
              <w:bCs/>
              <w:noProof/>
            </w:rPr>
            <w:fldChar w:fldCharType="end"/>
          </w:r>
        </w:p>
      </w:sdtContent>
    </w:sdt>
    <w:p w14:paraId="2D470721" w14:textId="77777777" w:rsidR="00570B78" w:rsidRDefault="00570B78" w:rsidP="00682359">
      <w:pPr>
        <w:jc w:val="center"/>
        <w:rPr>
          <w:rFonts w:ascii="Times New Roman" w:hAnsi="Times New Roman" w:cs="Times New Roman"/>
          <w:b/>
          <w:bCs/>
          <w:i/>
          <w:iCs/>
          <w:sz w:val="48"/>
          <w:szCs w:val="48"/>
          <w:u w:val="single"/>
        </w:rPr>
      </w:pPr>
    </w:p>
    <w:p w14:paraId="47B27759" w14:textId="77777777" w:rsidR="00570B78" w:rsidRDefault="00570B78" w:rsidP="00682359">
      <w:pPr>
        <w:jc w:val="center"/>
        <w:rPr>
          <w:rFonts w:ascii="Times New Roman" w:hAnsi="Times New Roman" w:cs="Times New Roman"/>
          <w:b/>
          <w:bCs/>
          <w:i/>
          <w:iCs/>
          <w:sz w:val="48"/>
          <w:szCs w:val="48"/>
          <w:u w:val="single"/>
        </w:rPr>
      </w:pPr>
    </w:p>
    <w:p w14:paraId="2B699767" w14:textId="77777777" w:rsidR="00570B78" w:rsidRDefault="00570B78" w:rsidP="00682359">
      <w:pPr>
        <w:jc w:val="center"/>
        <w:rPr>
          <w:rFonts w:ascii="Times New Roman" w:hAnsi="Times New Roman" w:cs="Times New Roman"/>
          <w:b/>
          <w:bCs/>
          <w:i/>
          <w:iCs/>
          <w:sz w:val="48"/>
          <w:szCs w:val="48"/>
          <w:u w:val="single"/>
        </w:rPr>
      </w:pPr>
    </w:p>
    <w:p w14:paraId="562EFC58" w14:textId="77777777" w:rsidR="00570B78" w:rsidRDefault="00570B78" w:rsidP="00682359">
      <w:pPr>
        <w:jc w:val="center"/>
        <w:rPr>
          <w:rFonts w:ascii="Times New Roman" w:hAnsi="Times New Roman" w:cs="Times New Roman"/>
          <w:b/>
          <w:bCs/>
          <w:i/>
          <w:iCs/>
          <w:sz w:val="48"/>
          <w:szCs w:val="48"/>
          <w:u w:val="single"/>
        </w:rPr>
      </w:pPr>
    </w:p>
    <w:p w14:paraId="3076B168" w14:textId="77777777" w:rsidR="00570B78" w:rsidRDefault="00570B78" w:rsidP="00682359">
      <w:pPr>
        <w:jc w:val="center"/>
        <w:rPr>
          <w:rFonts w:ascii="Times New Roman" w:hAnsi="Times New Roman" w:cs="Times New Roman"/>
          <w:b/>
          <w:bCs/>
          <w:i/>
          <w:iCs/>
          <w:sz w:val="48"/>
          <w:szCs w:val="48"/>
          <w:u w:val="single"/>
        </w:rPr>
      </w:pPr>
    </w:p>
    <w:p w14:paraId="679D8AC8" w14:textId="77777777" w:rsidR="00570B78" w:rsidRDefault="00570B78" w:rsidP="00682359">
      <w:pPr>
        <w:jc w:val="center"/>
        <w:rPr>
          <w:rFonts w:ascii="Times New Roman" w:hAnsi="Times New Roman" w:cs="Times New Roman"/>
          <w:b/>
          <w:bCs/>
          <w:i/>
          <w:iCs/>
          <w:sz w:val="48"/>
          <w:szCs w:val="48"/>
          <w:u w:val="single"/>
        </w:rPr>
      </w:pPr>
    </w:p>
    <w:p w14:paraId="74ACBAF6" w14:textId="77777777" w:rsidR="00570B78" w:rsidRDefault="00570B78" w:rsidP="00682359">
      <w:pPr>
        <w:jc w:val="center"/>
        <w:rPr>
          <w:rFonts w:ascii="Times New Roman" w:hAnsi="Times New Roman" w:cs="Times New Roman"/>
          <w:b/>
          <w:bCs/>
          <w:i/>
          <w:iCs/>
          <w:sz w:val="48"/>
          <w:szCs w:val="48"/>
          <w:u w:val="single"/>
        </w:rPr>
      </w:pPr>
    </w:p>
    <w:p w14:paraId="47D61E9E" w14:textId="77777777" w:rsidR="00570B78" w:rsidRDefault="00570B78" w:rsidP="00682359">
      <w:pPr>
        <w:jc w:val="center"/>
        <w:rPr>
          <w:rFonts w:ascii="Times New Roman" w:hAnsi="Times New Roman" w:cs="Times New Roman"/>
          <w:b/>
          <w:bCs/>
          <w:i/>
          <w:iCs/>
          <w:sz w:val="48"/>
          <w:szCs w:val="48"/>
          <w:u w:val="single"/>
        </w:rPr>
      </w:pPr>
    </w:p>
    <w:p w14:paraId="3F7ABC69" w14:textId="77777777" w:rsidR="00570B78" w:rsidRDefault="00570B78" w:rsidP="00682359">
      <w:pPr>
        <w:jc w:val="center"/>
        <w:rPr>
          <w:rFonts w:ascii="Times New Roman" w:hAnsi="Times New Roman" w:cs="Times New Roman"/>
          <w:b/>
          <w:bCs/>
          <w:i/>
          <w:iCs/>
          <w:sz w:val="48"/>
          <w:szCs w:val="48"/>
          <w:u w:val="single"/>
        </w:rPr>
      </w:pPr>
    </w:p>
    <w:p w14:paraId="6C69005F" w14:textId="77777777" w:rsidR="00570B78" w:rsidRDefault="00570B78" w:rsidP="00682359">
      <w:pPr>
        <w:jc w:val="center"/>
        <w:rPr>
          <w:rFonts w:ascii="Times New Roman" w:hAnsi="Times New Roman" w:cs="Times New Roman"/>
          <w:b/>
          <w:bCs/>
          <w:i/>
          <w:iCs/>
          <w:sz w:val="48"/>
          <w:szCs w:val="48"/>
          <w:u w:val="single"/>
        </w:rPr>
      </w:pPr>
    </w:p>
    <w:p w14:paraId="16612D9A" w14:textId="4B7E82DF" w:rsidR="00FF57E6" w:rsidRDefault="00682359" w:rsidP="00570B78">
      <w:pPr>
        <w:jc w:val="center"/>
        <w:rPr>
          <w:rFonts w:ascii="Times New Roman" w:hAnsi="Times New Roman" w:cs="Times New Roman"/>
          <w:b/>
          <w:bCs/>
          <w:i/>
          <w:iCs/>
          <w:sz w:val="48"/>
          <w:szCs w:val="48"/>
          <w:u w:val="single"/>
        </w:rPr>
      </w:pPr>
      <w:r w:rsidRPr="00682359">
        <w:rPr>
          <w:rFonts w:ascii="Times New Roman" w:hAnsi="Times New Roman" w:cs="Times New Roman"/>
          <w:b/>
          <w:bCs/>
          <w:i/>
          <w:iCs/>
          <w:sz w:val="48"/>
          <w:szCs w:val="48"/>
          <w:u w:val="single"/>
        </w:rPr>
        <w:lastRenderedPageBreak/>
        <w:t>MARRIOTT</w:t>
      </w:r>
    </w:p>
    <w:p w14:paraId="02E555E7" w14:textId="6532F8F6" w:rsidR="00975860" w:rsidRDefault="00975860" w:rsidP="00570B78">
      <w:pPr>
        <w:pStyle w:val="Heading1"/>
      </w:pPr>
      <w:bookmarkStart w:id="0" w:name="_Toc156620974"/>
      <w:r w:rsidRPr="00975860">
        <w:t>INTRODUCTION:</w:t>
      </w:r>
      <w:bookmarkEnd w:id="0"/>
    </w:p>
    <w:p w14:paraId="6F90C0CB" w14:textId="7CB57238" w:rsidR="00975860" w:rsidRDefault="00975860" w:rsidP="00975860">
      <w:pPr>
        <w:pStyle w:val="NormalWeb"/>
        <w:spacing w:line="360" w:lineRule="auto"/>
        <w:jc w:val="both"/>
        <w:rPr>
          <w:color w:val="252525"/>
        </w:rPr>
      </w:pPr>
      <w:r>
        <w:rPr>
          <w:color w:val="252525"/>
        </w:rPr>
        <w:t>Marriott International is a shining example of excellence in the hospitality sector all over the world. J. Willard Marriott and Alice S. Marriott, who are known as the pioneers of the hotel industry, founded the business in 1927. Marriott has developed into one of the most prestigious and largest hotel chains in the world, and its headquarters are located in Bethesda, Maryland, in the United States of America. In addition to being well-known for its dedication to providing unrivaled service, Marriott manages a vast portfolio of hotels and resorts that spans a variety of brands. These establishments are designed to meet the varied requirements of tourists all over the world. Marriott's offers cover a wide range of hospitality categories, ranging from opulent lodgings under brands such as JW Marriott and The Ritz-Carlton to more affordable and pleasant accommodations under the Courtyard and Residence Inn brands.</w:t>
      </w:r>
      <w:r w:rsidRPr="00975860">
        <w:t xml:space="preserve"> </w:t>
      </w:r>
      <w:r w:rsidRPr="00975860">
        <w:rPr>
          <w:color w:val="252525"/>
        </w:rPr>
        <w:t>Marriott is well-known for its innovative approach to technology, emphasis on corporate social responsibility, and the globally praised Marriott Bonvoy loyalty program, which reflects a consistent dedication to improving the guest experience. In addition to its global reach and various services, Marriott is also known for its innovative approach to technology. Marriott, a dynamic force in the hospitality sector, continues to establish benchmarks for quality, service, and innovation. This ensures that its guests all over the world have stays that are both memorable and enriching</w:t>
      </w:r>
      <w:r w:rsidR="00EE7680">
        <w:rPr>
          <w:color w:val="252525"/>
        </w:rPr>
        <w:t xml:space="preserve"> (</w:t>
      </w:r>
      <w:r w:rsidR="00EE7680">
        <w:rPr>
          <w:rFonts w:ascii="Arial" w:hAnsi="Arial" w:cs="Arial"/>
          <w:color w:val="222222"/>
          <w:sz w:val="20"/>
          <w:szCs w:val="20"/>
          <w:shd w:val="clear" w:color="auto" w:fill="FFFFFF"/>
        </w:rPr>
        <w:t>Amaral and Marriott 2023).</w:t>
      </w:r>
    </w:p>
    <w:p w14:paraId="1E9EC9A3" w14:textId="5F6CCC55" w:rsidR="001B1AD7" w:rsidRDefault="00620E58" w:rsidP="00975860">
      <w:pPr>
        <w:pStyle w:val="NormalWeb"/>
        <w:spacing w:line="360" w:lineRule="auto"/>
        <w:jc w:val="both"/>
        <w:rPr>
          <w:color w:val="252525"/>
        </w:rPr>
      </w:pPr>
      <w:r>
        <w:rPr>
          <w:noProof/>
        </w:rPr>
        <w:drawing>
          <wp:anchor distT="0" distB="0" distL="114300" distR="114300" simplePos="0" relativeHeight="251660288" behindDoc="1" locked="0" layoutInCell="1" allowOverlap="1" wp14:anchorId="65E38474" wp14:editId="6BE7D4BC">
            <wp:simplePos x="0" y="0"/>
            <wp:positionH relativeFrom="margin">
              <wp:align>center</wp:align>
            </wp:positionH>
            <wp:positionV relativeFrom="paragraph">
              <wp:posOffset>14080</wp:posOffset>
            </wp:positionV>
            <wp:extent cx="3568065" cy="2106930"/>
            <wp:effectExtent l="0" t="0" r="0" b="7620"/>
            <wp:wrapTight wrapText="bothSides">
              <wp:wrapPolygon edited="0">
                <wp:start x="0" y="0"/>
                <wp:lineTo x="0" y="21483"/>
                <wp:lineTo x="21450" y="21483"/>
                <wp:lineTo x="21450" y="0"/>
                <wp:lineTo x="0" y="0"/>
              </wp:wrapPolygon>
            </wp:wrapTight>
            <wp:docPr id="1250105625" name="Picture 3" descr="BUENOS AIRES MARRIOTT $199 ($̶2̶5̶5̶) - Updated 2024 Prices &amp; Hotel Reviews  - Argent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UENOS AIRES MARRIOTT $199 ($̶2̶5̶5̶) - Updated 2024 Prices &amp; Hotel Reviews  - Argentin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68065" cy="2106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01CE26" w14:textId="596DF700" w:rsidR="001B1AD7" w:rsidRDefault="001B1AD7" w:rsidP="00975860">
      <w:pPr>
        <w:pStyle w:val="NormalWeb"/>
        <w:spacing w:line="360" w:lineRule="auto"/>
        <w:jc w:val="both"/>
        <w:rPr>
          <w:color w:val="252525"/>
        </w:rPr>
      </w:pPr>
    </w:p>
    <w:p w14:paraId="7F2ABEAB" w14:textId="1DACA9EB" w:rsidR="001B1AD7" w:rsidRDefault="001B1AD7" w:rsidP="00975860">
      <w:pPr>
        <w:pStyle w:val="NormalWeb"/>
        <w:spacing w:line="360" w:lineRule="auto"/>
        <w:jc w:val="both"/>
        <w:rPr>
          <w:color w:val="252525"/>
        </w:rPr>
      </w:pPr>
    </w:p>
    <w:p w14:paraId="5C3535CB" w14:textId="2A869000" w:rsidR="001B1AD7" w:rsidRDefault="001B1AD7" w:rsidP="00975860">
      <w:pPr>
        <w:pStyle w:val="NormalWeb"/>
        <w:spacing w:line="360" w:lineRule="auto"/>
        <w:jc w:val="both"/>
        <w:rPr>
          <w:color w:val="252525"/>
        </w:rPr>
      </w:pPr>
    </w:p>
    <w:p w14:paraId="1BE8B7F3" w14:textId="77777777" w:rsidR="001B1AD7" w:rsidRDefault="001B1AD7" w:rsidP="00975860">
      <w:pPr>
        <w:pStyle w:val="NormalWeb"/>
        <w:spacing w:line="360" w:lineRule="auto"/>
        <w:jc w:val="both"/>
        <w:rPr>
          <w:color w:val="252525"/>
        </w:rPr>
      </w:pPr>
    </w:p>
    <w:p w14:paraId="09E2619D" w14:textId="77777777" w:rsidR="001B1AD7" w:rsidRDefault="001B1AD7" w:rsidP="00975860">
      <w:pPr>
        <w:pStyle w:val="NormalWeb"/>
        <w:spacing w:line="360" w:lineRule="auto"/>
        <w:jc w:val="both"/>
        <w:rPr>
          <w:color w:val="252525"/>
        </w:rPr>
      </w:pPr>
    </w:p>
    <w:p w14:paraId="1C93DF01" w14:textId="0493AD26" w:rsidR="001B1AD7" w:rsidRPr="00620E58" w:rsidRDefault="00620E58" w:rsidP="00620E58">
      <w:pPr>
        <w:pStyle w:val="NormalWeb"/>
        <w:spacing w:line="360" w:lineRule="auto"/>
        <w:jc w:val="center"/>
        <w:rPr>
          <w:b/>
          <w:bCs/>
          <w:i/>
          <w:iCs/>
          <w:color w:val="252525"/>
          <w:u w:val="single"/>
        </w:rPr>
      </w:pPr>
      <w:r w:rsidRPr="00620E58">
        <w:rPr>
          <w:b/>
          <w:bCs/>
          <w:i/>
          <w:iCs/>
          <w:color w:val="252525"/>
          <w:u w:val="single"/>
        </w:rPr>
        <w:t>FIG 01: MARRIOTT</w:t>
      </w:r>
    </w:p>
    <w:p w14:paraId="413EE14A" w14:textId="380EAD2E" w:rsidR="00975860" w:rsidRPr="00620E58" w:rsidRDefault="00975860" w:rsidP="00570B78">
      <w:pPr>
        <w:pStyle w:val="Heading2"/>
      </w:pPr>
      <w:bookmarkStart w:id="1" w:name="_Toc156620975"/>
      <w:r w:rsidRPr="000C5806">
        <w:lastRenderedPageBreak/>
        <w:t>IMPLEMENT CIRCULAR ECONOMY WITHIN THEIR CORPORATE SOCIAL RESPONSIBILITY POLICY</w:t>
      </w:r>
      <w:bookmarkEnd w:id="1"/>
    </w:p>
    <w:p w14:paraId="12526A7F" w14:textId="79706692" w:rsidR="001B1AD7" w:rsidRDefault="000C5806" w:rsidP="000C5806">
      <w:pPr>
        <w:pStyle w:val="NormalWeb"/>
        <w:spacing w:line="360" w:lineRule="auto"/>
        <w:jc w:val="both"/>
        <w:rPr>
          <w:color w:val="252525"/>
        </w:rPr>
      </w:pPr>
      <w:r>
        <w:rPr>
          <w:color w:val="252525"/>
        </w:rPr>
        <w:t>Marriott's corporate social responsibility (CSR) efforts have traditionally centered around many facets of sustainability, such as environmental preservation, community involvement, and ethical business conduct. To access the latest and comprehensive information regarding Marriott's implementation of circular economy ideas within their corporate social responsibility (CSR) strategy</w:t>
      </w:r>
      <w:r w:rsidR="00EE7680">
        <w:rPr>
          <w:color w:val="252525"/>
        </w:rPr>
        <w:t xml:space="preserve"> (</w:t>
      </w:r>
      <w:r w:rsidR="00EE7680">
        <w:rPr>
          <w:rFonts w:ascii="Arial" w:hAnsi="Arial" w:cs="Arial"/>
          <w:color w:val="222222"/>
          <w:sz w:val="20"/>
          <w:szCs w:val="20"/>
          <w:shd w:val="clear" w:color="auto" w:fill="FFFFFF"/>
        </w:rPr>
        <w:t>Blais and Marriott 2012).</w:t>
      </w:r>
    </w:p>
    <w:p w14:paraId="65BED4C0" w14:textId="77777777" w:rsidR="001B1AD7" w:rsidRDefault="000C5806" w:rsidP="000C5806">
      <w:pPr>
        <w:pStyle w:val="NormalWeb"/>
        <w:spacing w:line="360" w:lineRule="auto"/>
        <w:jc w:val="both"/>
        <w:rPr>
          <w:b/>
          <w:bCs/>
          <w:i/>
          <w:iCs/>
          <w:color w:val="252525"/>
          <w:u w:val="single"/>
        </w:rPr>
      </w:pPr>
      <w:r w:rsidRPr="000C5806">
        <w:rPr>
          <w:rFonts w:eastAsiaTheme="majorEastAsia"/>
          <w:b/>
          <w:bCs/>
          <w:i/>
          <w:iCs/>
          <w:color w:val="252525"/>
          <w:u w:val="single"/>
        </w:rPr>
        <w:t>Corporate Reports and Publications:</w:t>
      </w:r>
    </w:p>
    <w:p w14:paraId="6FE70BB2" w14:textId="50E7DF2D" w:rsidR="000C5806" w:rsidRPr="001B1AD7" w:rsidRDefault="000C5806" w:rsidP="000C5806">
      <w:pPr>
        <w:pStyle w:val="NormalWeb"/>
        <w:spacing w:line="360" w:lineRule="auto"/>
        <w:jc w:val="both"/>
        <w:rPr>
          <w:b/>
          <w:bCs/>
          <w:i/>
          <w:iCs/>
          <w:color w:val="252525"/>
          <w:u w:val="single"/>
        </w:rPr>
      </w:pPr>
      <w:r>
        <w:rPr>
          <w:color w:val="252525"/>
        </w:rPr>
        <w:t>Marriott International's annual sustainability or CSR reports can be found on the organization's official website. Frequently, these reports contain comprehensive details regarding the organization's ecological endeavors, such as its pursuit of a circular economy</w:t>
      </w:r>
      <w:r w:rsidR="00EE7680">
        <w:rPr>
          <w:color w:val="252525"/>
        </w:rPr>
        <w:t xml:space="preserve"> (</w:t>
      </w:r>
      <w:r w:rsidR="00EE7680">
        <w:rPr>
          <w:rFonts w:ascii="Arial" w:hAnsi="Arial" w:cs="Arial"/>
          <w:color w:val="222222"/>
          <w:sz w:val="20"/>
          <w:szCs w:val="20"/>
          <w:shd w:val="clear" w:color="auto" w:fill="FFFFFF"/>
        </w:rPr>
        <w:t>Marriott and Khan 2016).</w:t>
      </w:r>
    </w:p>
    <w:p w14:paraId="3B6F0D93" w14:textId="2BC1CD6F" w:rsidR="000C5806" w:rsidRDefault="000C5806" w:rsidP="000C5806">
      <w:pPr>
        <w:pStyle w:val="NormalWeb"/>
        <w:spacing w:line="360" w:lineRule="auto"/>
        <w:jc w:val="both"/>
        <w:rPr>
          <w:b/>
          <w:bCs/>
          <w:i/>
          <w:iCs/>
          <w:color w:val="252525"/>
          <w:u w:val="single"/>
        </w:rPr>
      </w:pPr>
      <w:r w:rsidRPr="000C5806">
        <w:rPr>
          <w:rFonts w:eastAsiaTheme="majorEastAsia"/>
          <w:b/>
          <w:bCs/>
          <w:i/>
          <w:iCs/>
          <w:color w:val="252525"/>
          <w:u w:val="single"/>
        </w:rPr>
        <w:t>Press Releases:</w:t>
      </w:r>
    </w:p>
    <w:p w14:paraId="36984634" w14:textId="0FEAFE34" w:rsidR="00530334" w:rsidRDefault="00530334" w:rsidP="00530334">
      <w:pPr>
        <w:pStyle w:val="NormalWeb"/>
        <w:spacing w:line="360" w:lineRule="auto"/>
        <w:jc w:val="both"/>
        <w:rPr>
          <w:color w:val="252525"/>
        </w:rPr>
      </w:pPr>
      <w:r>
        <w:rPr>
          <w:color w:val="252525"/>
        </w:rPr>
        <w:t>Examine any current press releases pertaining to Marriott's sustainability or corporate social responsibility (CSR) endeavors. Companies frequently use press releases to highlight new initiatives or successes</w:t>
      </w:r>
      <w:r w:rsidR="00EE7680">
        <w:rPr>
          <w:color w:val="252525"/>
        </w:rPr>
        <w:t xml:space="preserve"> (</w:t>
      </w:r>
      <w:r w:rsidR="00EE7680">
        <w:rPr>
          <w:rFonts w:ascii="Arial" w:hAnsi="Arial" w:cs="Arial"/>
          <w:color w:val="222222"/>
          <w:sz w:val="20"/>
          <w:szCs w:val="20"/>
          <w:shd w:val="clear" w:color="auto" w:fill="FFFFFF"/>
        </w:rPr>
        <w:t>Kul sing and Marriott 2017).</w:t>
      </w:r>
    </w:p>
    <w:p w14:paraId="004DA4DE" w14:textId="25C503CA" w:rsidR="00530334" w:rsidRDefault="00530334" w:rsidP="00530334">
      <w:pPr>
        <w:pStyle w:val="NormalWeb"/>
        <w:spacing w:line="360" w:lineRule="auto"/>
        <w:jc w:val="both"/>
        <w:rPr>
          <w:b/>
          <w:bCs/>
          <w:i/>
          <w:iCs/>
          <w:color w:val="252525"/>
          <w:u w:val="single"/>
        </w:rPr>
      </w:pPr>
      <w:r w:rsidRPr="00530334">
        <w:rPr>
          <w:rFonts w:eastAsiaTheme="majorEastAsia"/>
          <w:b/>
          <w:bCs/>
          <w:i/>
          <w:iCs/>
          <w:color w:val="252525"/>
          <w:u w:val="single"/>
        </w:rPr>
        <w:t>Corporate Sustainability Contacts:</w:t>
      </w:r>
    </w:p>
    <w:p w14:paraId="1BC2AFFC" w14:textId="2D1CB2C4" w:rsidR="00530334" w:rsidRDefault="00530334" w:rsidP="00530334">
      <w:pPr>
        <w:pStyle w:val="NormalWeb"/>
        <w:spacing w:line="360" w:lineRule="auto"/>
        <w:jc w:val="both"/>
        <w:rPr>
          <w:color w:val="252525"/>
        </w:rPr>
      </w:pPr>
      <w:r>
        <w:rPr>
          <w:color w:val="252525"/>
        </w:rPr>
        <w:t>Contact Marriott's corporate sustainability department or the appropriate individuals within the firm. They have the potential to offer precise information regarding circular economy activities and projects</w:t>
      </w:r>
      <w:r w:rsidR="00EE7680">
        <w:rPr>
          <w:color w:val="252525"/>
        </w:rPr>
        <w:t xml:space="preserve"> (</w:t>
      </w:r>
      <w:r w:rsidR="00EE7680">
        <w:rPr>
          <w:rFonts w:ascii="Arial" w:hAnsi="Arial" w:cs="Arial"/>
          <w:color w:val="222222"/>
          <w:sz w:val="20"/>
          <w:szCs w:val="20"/>
          <w:shd w:val="clear" w:color="auto" w:fill="FFFFFF"/>
        </w:rPr>
        <w:t>Shively and Skone 2017).</w:t>
      </w:r>
    </w:p>
    <w:p w14:paraId="179884AB" w14:textId="08567903" w:rsidR="00530334" w:rsidRDefault="00530334" w:rsidP="00530334">
      <w:pPr>
        <w:pStyle w:val="NormalWeb"/>
        <w:spacing w:line="360" w:lineRule="auto"/>
        <w:jc w:val="both"/>
        <w:rPr>
          <w:b/>
          <w:bCs/>
          <w:i/>
          <w:iCs/>
          <w:color w:val="252525"/>
          <w:u w:val="single"/>
        </w:rPr>
      </w:pPr>
      <w:r w:rsidRPr="00530334">
        <w:rPr>
          <w:rFonts w:eastAsiaTheme="majorEastAsia"/>
          <w:b/>
          <w:bCs/>
          <w:i/>
          <w:iCs/>
          <w:color w:val="252525"/>
          <w:u w:val="single"/>
        </w:rPr>
        <w:t>Social Media and News Updates:</w:t>
      </w:r>
    </w:p>
    <w:p w14:paraId="42AAF9DF" w14:textId="36F74A0A" w:rsidR="000E1E5B" w:rsidRDefault="000E1E5B" w:rsidP="000E1E5B">
      <w:pPr>
        <w:pStyle w:val="NormalWeb"/>
        <w:spacing w:line="360" w:lineRule="auto"/>
        <w:jc w:val="both"/>
        <w:rPr>
          <w:color w:val="252525"/>
        </w:rPr>
      </w:pPr>
      <w:r>
        <w:rPr>
          <w:color w:val="252525"/>
        </w:rPr>
        <w:t>Monitor news updates about Marriott International's environmental initiatives by subscribing to their social media accounts. Businesses frequently use these platforms to highlight their accomplishments and environmental initiatives</w:t>
      </w:r>
      <w:r w:rsidR="00EE7680">
        <w:rPr>
          <w:color w:val="252525"/>
        </w:rPr>
        <w:t xml:space="preserve"> (</w:t>
      </w:r>
      <w:r w:rsidR="00EE7680">
        <w:rPr>
          <w:rFonts w:ascii="Arial" w:hAnsi="Arial" w:cs="Arial"/>
          <w:color w:val="222222"/>
          <w:sz w:val="20"/>
          <w:szCs w:val="20"/>
          <w:shd w:val="clear" w:color="auto" w:fill="FFFFFF"/>
        </w:rPr>
        <w:t>Ellis, Slavin and Sorrell 2008).</w:t>
      </w:r>
    </w:p>
    <w:p w14:paraId="51B13DEC" w14:textId="0928F418" w:rsidR="000E1E5B" w:rsidRDefault="000E1E5B" w:rsidP="000E1E5B">
      <w:pPr>
        <w:pStyle w:val="NormalWeb"/>
        <w:spacing w:line="360" w:lineRule="auto"/>
        <w:jc w:val="both"/>
        <w:rPr>
          <w:b/>
          <w:bCs/>
          <w:i/>
          <w:iCs/>
          <w:color w:val="252525"/>
          <w:u w:val="single"/>
        </w:rPr>
      </w:pPr>
      <w:r w:rsidRPr="000E1E5B">
        <w:rPr>
          <w:rFonts w:eastAsiaTheme="majorEastAsia"/>
          <w:b/>
          <w:bCs/>
          <w:i/>
          <w:iCs/>
          <w:color w:val="252525"/>
          <w:u w:val="single"/>
        </w:rPr>
        <w:t>Industry Certifications:</w:t>
      </w:r>
    </w:p>
    <w:p w14:paraId="56F17265" w14:textId="7EBEB852" w:rsidR="000E1E5B" w:rsidRDefault="000E1E5B" w:rsidP="000E1E5B">
      <w:pPr>
        <w:pStyle w:val="NormalWeb"/>
        <w:spacing w:line="360" w:lineRule="auto"/>
        <w:jc w:val="both"/>
        <w:rPr>
          <w:color w:val="252525"/>
        </w:rPr>
      </w:pPr>
      <w:r>
        <w:rPr>
          <w:color w:val="252525"/>
        </w:rPr>
        <w:lastRenderedPageBreak/>
        <w:t>Verify if Marriott has obtained any industry accreditations pertaining to sustainability or circular economy principles. Certifications such as LEED (Leadership in Energy and Environmental Design) or ISO 14001 can offer valuable information about a company's dedication to environmental stewardship</w:t>
      </w:r>
      <w:r w:rsidR="00EE7680">
        <w:rPr>
          <w:color w:val="252525"/>
        </w:rPr>
        <w:t xml:space="preserve"> (</w:t>
      </w:r>
      <w:r w:rsidR="00EE7680">
        <w:rPr>
          <w:rFonts w:ascii="Arial" w:hAnsi="Arial" w:cs="Arial"/>
          <w:color w:val="222222"/>
          <w:sz w:val="20"/>
          <w:szCs w:val="20"/>
          <w:shd w:val="clear" w:color="auto" w:fill="FFFFFF"/>
        </w:rPr>
        <w:t>Kulaga and Dykeman 2013).</w:t>
      </w:r>
    </w:p>
    <w:p w14:paraId="09670433" w14:textId="386A8C82" w:rsidR="000E1E5B" w:rsidRDefault="004A3D9F" w:rsidP="00570B78">
      <w:pPr>
        <w:pStyle w:val="Heading2"/>
      </w:pPr>
      <w:bookmarkStart w:id="2" w:name="_Toc156620976"/>
      <w:r w:rsidRPr="004A3D9F">
        <w:t>CIRCULAR ECONOMY</w:t>
      </w:r>
      <w:bookmarkEnd w:id="2"/>
    </w:p>
    <w:p w14:paraId="11F0769B" w14:textId="45E161C8" w:rsidR="004A3D9F" w:rsidRDefault="004A3D9F" w:rsidP="009E38EB">
      <w:pPr>
        <w:pStyle w:val="NormalWeb"/>
        <w:spacing w:line="360" w:lineRule="auto"/>
        <w:jc w:val="both"/>
        <w:rPr>
          <w:color w:val="252525"/>
        </w:rPr>
      </w:pPr>
      <w:r>
        <w:rPr>
          <w:color w:val="252525"/>
        </w:rPr>
        <w:t>The circular economy is an economic paradigm that seeks to minimize waste and optimize resource utilization. The circular economy diverges from the conventional linear model of "take, make, dispose" by prioritizing the creation of products and systems that are designed for long-term use while also advocating for the principles of reuse, recycling, and responsible resource management</w:t>
      </w:r>
      <w:r w:rsidR="00EE7680">
        <w:rPr>
          <w:color w:val="252525"/>
        </w:rPr>
        <w:t xml:space="preserve"> (</w:t>
      </w:r>
      <w:r w:rsidR="00EE7680">
        <w:rPr>
          <w:rFonts w:ascii="Arial" w:hAnsi="Arial" w:cs="Arial"/>
          <w:color w:val="222222"/>
          <w:sz w:val="20"/>
          <w:szCs w:val="20"/>
          <w:shd w:val="clear" w:color="auto" w:fill="FFFFFF"/>
        </w:rPr>
        <w:t>Fogarty and Sangster 2014)</w:t>
      </w:r>
      <w:r w:rsidR="00903EB1">
        <w:rPr>
          <w:rFonts w:ascii="Arial" w:hAnsi="Arial" w:cs="Arial"/>
          <w:color w:val="222222"/>
          <w:sz w:val="20"/>
          <w:szCs w:val="20"/>
          <w:shd w:val="clear" w:color="auto" w:fill="FFFFFF"/>
        </w:rPr>
        <w:t>.</w:t>
      </w:r>
    </w:p>
    <w:p w14:paraId="13D42E0F" w14:textId="77D55A4D" w:rsidR="004A3D9F" w:rsidRDefault="004A3D9F" w:rsidP="000E1E5B">
      <w:pPr>
        <w:pStyle w:val="NormalWeb"/>
        <w:spacing w:line="360" w:lineRule="auto"/>
        <w:jc w:val="both"/>
        <w:rPr>
          <w:b/>
          <w:bCs/>
          <w:i/>
          <w:iCs/>
          <w:color w:val="252525"/>
          <w:u w:val="single"/>
        </w:rPr>
      </w:pPr>
      <w:r w:rsidRPr="004A3D9F">
        <w:rPr>
          <w:rFonts w:eastAsiaTheme="majorEastAsia"/>
          <w:b/>
          <w:bCs/>
          <w:i/>
          <w:iCs/>
          <w:color w:val="252525"/>
          <w:u w:val="single"/>
        </w:rPr>
        <w:t>Waste Reduction and Recycling:</w:t>
      </w:r>
    </w:p>
    <w:p w14:paraId="7889A8DD" w14:textId="6B3B415B" w:rsidR="004A3D9F" w:rsidRDefault="004A3D9F" w:rsidP="009E38EB">
      <w:pPr>
        <w:pStyle w:val="NormalWeb"/>
        <w:spacing w:line="360" w:lineRule="auto"/>
        <w:jc w:val="both"/>
        <w:rPr>
          <w:color w:val="252525"/>
        </w:rPr>
      </w:pPr>
      <w:r>
        <w:rPr>
          <w:color w:val="252525"/>
        </w:rPr>
        <w:t>Strong waste management systems should be put in place to reduce garbage production and increase recycling rates. Recycling materials utilized in hotel operations may include paper, plastic, glass, and others</w:t>
      </w:r>
      <w:r w:rsidR="00903EB1">
        <w:rPr>
          <w:color w:val="252525"/>
        </w:rPr>
        <w:t xml:space="preserve"> (</w:t>
      </w:r>
      <w:r w:rsidR="00903EB1">
        <w:rPr>
          <w:rFonts w:ascii="Arial" w:hAnsi="Arial" w:cs="Arial"/>
          <w:color w:val="222222"/>
          <w:sz w:val="20"/>
          <w:szCs w:val="20"/>
          <w:shd w:val="clear" w:color="auto" w:fill="FFFFFF"/>
        </w:rPr>
        <w:t>Huffman and Marriott 2008).</w:t>
      </w:r>
    </w:p>
    <w:p w14:paraId="2DC1DFA6" w14:textId="10EAC80C" w:rsidR="004A3D9F" w:rsidRDefault="004A3D9F" w:rsidP="000E1E5B">
      <w:pPr>
        <w:pStyle w:val="NormalWeb"/>
        <w:spacing w:line="360" w:lineRule="auto"/>
        <w:jc w:val="both"/>
        <w:rPr>
          <w:b/>
          <w:bCs/>
          <w:i/>
          <w:iCs/>
          <w:color w:val="0F0F0F"/>
          <w:u w:val="single"/>
        </w:rPr>
      </w:pPr>
      <w:r w:rsidRPr="004A3D9F">
        <w:rPr>
          <w:rFonts w:eastAsiaTheme="majorEastAsia"/>
          <w:b/>
          <w:bCs/>
          <w:i/>
          <w:iCs/>
          <w:color w:val="0F0F0F"/>
          <w:u w:val="single"/>
        </w:rPr>
        <w:t>Sustainable Sourcing:</w:t>
      </w:r>
    </w:p>
    <w:p w14:paraId="2D51932A" w14:textId="15302BE0" w:rsidR="004A3D9F" w:rsidRDefault="004A3D9F" w:rsidP="009E38EB">
      <w:pPr>
        <w:pStyle w:val="NormalWeb"/>
        <w:spacing w:line="360" w:lineRule="auto"/>
        <w:jc w:val="both"/>
        <w:rPr>
          <w:color w:val="252525"/>
        </w:rPr>
      </w:pPr>
      <w:r>
        <w:rPr>
          <w:color w:val="252525"/>
        </w:rPr>
        <w:t>The hotel's operations will be centered around the use of sustainable and environmentally friendly products. One way to achieve this is to buy from companies that are conscious of their impact on the environment</w:t>
      </w:r>
      <w:r w:rsidR="00903EB1">
        <w:rPr>
          <w:color w:val="252525"/>
        </w:rPr>
        <w:t xml:space="preserve"> (</w:t>
      </w:r>
      <w:r w:rsidR="00903EB1">
        <w:rPr>
          <w:rFonts w:ascii="Arial" w:hAnsi="Arial" w:cs="Arial"/>
          <w:color w:val="222222"/>
          <w:sz w:val="20"/>
          <w:szCs w:val="20"/>
          <w:shd w:val="clear" w:color="auto" w:fill="FFFFFF"/>
        </w:rPr>
        <w:t>Nassar and West Midlands Research Collaborative 2019).</w:t>
      </w:r>
    </w:p>
    <w:p w14:paraId="39A30082" w14:textId="0FC650C8" w:rsidR="004A3D9F" w:rsidRDefault="004A3D9F" w:rsidP="004A3D9F">
      <w:pPr>
        <w:pStyle w:val="NormalWeb"/>
        <w:rPr>
          <w:b/>
          <w:bCs/>
          <w:i/>
          <w:iCs/>
          <w:color w:val="252525"/>
          <w:u w:val="single"/>
        </w:rPr>
      </w:pPr>
      <w:r w:rsidRPr="004A3D9F">
        <w:rPr>
          <w:rFonts w:eastAsiaTheme="majorEastAsia"/>
          <w:b/>
          <w:bCs/>
          <w:i/>
          <w:iCs/>
          <w:color w:val="252525"/>
          <w:u w:val="single"/>
        </w:rPr>
        <w:t>Energy Efficiency:</w:t>
      </w:r>
    </w:p>
    <w:p w14:paraId="0DE8D6AB" w14:textId="594FF1A8" w:rsidR="004A3D9F" w:rsidRDefault="004A3D9F" w:rsidP="009E38EB">
      <w:pPr>
        <w:pStyle w:val="NormalWeb"/>
        <w:spacing w:line="360" w:lineRule="auto"/>
        <w:jc w:val="both"/>
        <w:rPr>
          <w:color w:val="252525"/>
        </w:rPr>
      </w:pPr>
      <w:r>
        <w:rPr>
          <w:color w:val="252525"/>
        </w:rPr>
        <w:t xml:space="preserve">Implementing energy-efficient devices and adopting strategies aimed at </w:t>
      </w:r>
      <w:r w:rsidR="009E38EB">
        <w:rPr>
          <w:color w:val="252525"/>
        </w:rPr>
        <w:t>minimizing</w:t>
      </w:r>
      <w:r>
        <w:rPr>
          <w:color w:val="252525"/>
        </w:rPr>
        <w:t xml:space="preserve"> energy consumption. This may entail the implementation of energy-efficient lighting, HVAC systems, and appliances across hotel establishments</w:t>
      </w:r>
      <w:r w:rsidR="00903EB1">
        <w:rPr>
          <w:color w:val="252525"/>
        </w:rPr>
        <w:t xml:space="preserve"> (</w:t>
      </w:r>
      <w:r w:rsidR="00903EB1">
        <w:rPr>
          <w:rFonts w:ascii="Arial" w:hAnsi="Arial" w:cs="Arial"/>
          <w:color w:val="222222"/>
          <w:sz w:val="20"/>
          <w:szCs w:val="20"/>
          <w:shd w:val="clear" w:color="auto" w:fill="FFFFFF"/>
        </w:rPr>
        <w:t>Dilthey, Fiddes and Malla 2018).</w:t>
      </w:r>
    </w:p>
    <w:p w14:paraId="5A31C3BC" w14:textId="1EABD8EF" w:rsidR="004A3D9F" w:rsidRDefault="009E38EB" w:rsidP="004A3D9F">
      <w:pPr>
        <w:pStyle w:val="NormalWeb"/>
        <w:rPr>
          <w:b/>
          <w:bCs/>
          <w:i/>
          <w:iCs/>
          <w:color w:val="252525"/>
          <w:u w:val="single"/>
        </w:rPr>
      </w:pPr>
      <w:r w:rsidRPr="009E38EB">
        <w:rPr>
          <w:rFonts w:eastAsiaTheme="majorEastAsia"/>
          <w:b/>
          <w:bCs/>
          <w:i/>
          <w:iCs/>
          <w:color w:val="252525"/>
          <w:u w:val="single"/>
        </w:rPr>
        <w:t>Water Conservation:</w:t>
      </w:r>
    </w:p>
    <w:p w14:paraId="4E0BB15B" w14:textId="1F6A98A1" w:rsidR="009E38EB" w:rsidRDefault="009E38EB" w:rsidP="009E38EB">
      <w:pPr>
        <w:pStyle w:val="NormalWeb"/>
        <w:spacing w:line="360" w:lineRule="auto"/>
        <w:jc w:val="both"/>
        <w:rPr>
          <w:color w:val="252525"/>
        </w:rPr>
      </w:pPr>
      <w:r>
        <w:rPr>
          <w:color w:val="252525"/>
        </w:rPr>
        <w:lastRenderedPageBreak/>
        <w:t>Implementing water-efficient technology and techniques to minimize water usage. This could involve implementing water-efficient fixtures and promoting visitor engagement in water-saving initiatives</w:t>
      </w:r>
      <w:r w:rsidR="00903EB1">
        <w:rPr>
          <w:color w:val="252525"/>
        </w:rPr>
        <w:t xml:space="preserve"> (</w:t>
      </w:r>
      <w:r w:rsidR="00903EB1">
        <w:rPr>
          <w:rFonts w:ascii="Arial" w:hAnsi="Arial" w:cs="Arial"/>
          <w:color w:val="222222"/>
          <w:sz w:val="20"/>
          <w:szCs w:val="20"/>
          <w:shd w:val="clear" w:color="auto" w:fill="FFFFFF"/>
        </w:rPr>
        <w:t>Sandoval-Ibañez and Kowalewska 2020).</w:t>
      </w:r>
    </w:p>
    <w:p w14:paraId="60BAF524" w14:textId="1040AFC8" w:rsidR="009E38EB" w:rsidRDefault="009E38EB" w:rsidP="004A3D9F">
      <w:pPr>
        <w:pStyle w:val="NormalWeb"/>
        <w:rPr>
          <w:b/>
          <w:bCs/>
          <w:i/>
          <w:iCs/>
          <w:color w:val="252525"/>
          <w:u w:val="single"/>
        </w:rPr>
      </w:pPr>
      <w:r w:rsidRPr="009E38EB">
        <w:rPr>
          <w:rFonts w:eastAsiaTheme="majorEastAsia"/>
          <w:b/>
          <w:bCs/>
          <w:i/>
          <w:iCs/>
          <w:color w:val="252525"/>
          <w:u w:val="single"/>
        </w:rPr>
        <w:t>Circular Design in Facilities:</w:t>
      </w:r>
    </w:p>
    <w:p w14:paraId="66AD4ECD" w14:textId="2E130732" w:rsidR="009E38EB" w:rsidRDefault="009E38EB" w:rsidP="009E38EB">
      <w:pPr>
        <w:pStyle w:val="NormalWeb"/>
        <w:spacing w:line="360" w:lineRule="auto"/>
        <w:jc w:val="both"/>
        <w:rPr>
          <w:color w:val="252525"/>
        </w:rPr>
      </w:pPr>
      <w:r>
        <w:rPr>
          <w:color w:val="252525"/>
        </w:rPr>
        <w:t>Implementing circular design principles during the construction or renovation of hotel amenities. This entails utilizing resilient and readily recyclable materials, along with creating places with the intention of adaptation and endurance</w:t>
      </w:r>
      <w:r w:rsidR="00903EB1">
        <w:rPr>
          <w:color w:val="252525"/>
        </w:rPr>
        <w:t xml:space="preserve"> (</w:t>
      </w:r>
      <w:r w:rsidR="00903EB1">
        <w:rPr>
          <w:rFonts w:ascii="Arial" w:hAnsi="Arial" w:cs="Arial"/>
          <w:color w:val="222222"/>
          <w:sz w:val="20"/>
          <w:szCs w:val="20"/>
          <w:shd w:val="clear" w:color="auto" w:fill="FFFFFF"/>
        </w:rPr>
        <w:t>Marriott and Playford 2009).</w:t>
      </w:r>
    </w:p>
    <w:p w14:paraId="64F76C3A" w14:textId="6A6B1E19" w:rsidR="009E38EB" w:rsidRDefault="009E38EB" w:rsidP="009E38EB">
      <w:pPr>
        <w:pStyle w:val="NormalWeb"/>
        <w:rPr>
          <w:b/>
          <w:bCs/>
          <w:i/>
          <w:iCs/>
          <w:color w:val="252525"/>
          <w:u w:val="single"/>
        </w:rPr>
      </w:pPr>
      <w:r w:rsidRPr="009E38EB">
        <w:rPr>
          <w:rFonts w:eastAsiaTheme="majorEastAsia"/>
          <w:b/>
          <w:bCs/>
          <w:i/>
          <w:iCs/>
          <w:color w:val="252525"/>
          <w:u w:val="single"/>
        </w:rPr>
        <w:t>Community Engagement:</w:t>
      </w:r>
    </w:p>
    <w:p w14:paraId="380BB5C0" w14:textId="02CE61B0" w:rsidR="009E38EB" w:rsidRDefault="009E38EB" w:rsidP="009E38EB">
      <w:pPr>
        <w:pStyle w:val="NormalWeb"/>
        <w:spacing w:line="360" w:lineRule="auto"/>
        <w:jc w:val="both"/>
        <w:rPr>
          <w:color w:val="252525"/>
        </w:rPr>
      </w:pPr>
      <w:r>
        <w:rPr>
          <w:color w:val="252525"/>
        </w:rPr>
        <w:t>Engaging with local communities to support circular economy ideas. One way to do this is to work with community groups to educate people about responsible habits and implement sustainability and waste reduction initiatives</w:t>
      </w:r>
      <w:r w:rsidR="00903EB1">
        <w:rPr>
          <w:color w:val="252525"/>
        </w:rPr>
        <w:t xml:space="preserve"> (</w:t>
      </w:r>
      <w:r w:rsidR="00903EB1">
        <w:rPr>
          <w:rFonts w:ascii="Arial" w:hAnsi="Arial" w:cs="Arial"/>
          <w:color w:val="222222"/>
          <w:sz w:val="20"/>
          <w:szCs w:val="20"/>
          <w:shd w:val="clear" w:color="auto" w:fill="FFFFFF"/>
        </w:rPr>
        <w:t>Marriott, Ellis and Harkness 2006).</w:t>
      </w:r>
    </w:p>
    <w:p w14:paraId="684593B7" w14:textId="322387ED" w:rsidR="00CF6D8C" w:rsidRPr="00570B78" w:rsidRDefault="00CF6D8C" w:rsidP="00570B78">
      <w:pPr>
        <w:pStyle w:val="Heading2"/>
      </w:pPr>
      <w:bookmarkStart w:id="3" w:name="_Toc156620977"/>
      <w:r w:rsidRPr="00570B78">
        <w:t>FIT INTO CSR (Corporate social responsibility)</w:t>
      </w:r>
      <w:bookmarkEnd w:id="3"/>
    </w:p>
    <w:p w14:paraId="52B9A678" w14:textId="2C1CC2C2" w:rsidR="00CF6D8C" w:rsidRDefault="00CF6D8C" w:rsidP="00CF6D8C">
      <w:pPr>
        <w:pStyle w:val="NormalWeb"/>
        <w:spacing w:line="360" w:lineRule="auto"/>
        <w:jc w:val="both"/>
        <w:rPr>
          <w:color w:val="252525"/>
        </w:rPr>
      </w:pPr>
      <w:r>
        <w:rPr>
          <w:color w:val="252525"/>
        </w:rPr>
        <w:t>Corporate social responsibility, or CSR, is a company's promise to do business in an honest way, think about how its actions affect different groups of people, and make a good difference in the world and the environment. CSR is an important part of Marriott International's business, as it is with many other large companies</w:t>
      </w:r>
      <w:r w:rsidR="00903EB1">
        <w:rPr>
          <w:color w:val="252525"/>
        </w:rPr>
        <w:t xml:space="preserve"> (</w:t>
      </w:r>
      <w:r w:rsidR="006927D0">
        <w:rPr>
          <w:rFonts w:ascii="Arial" w:hAnsi="Arial" w:cs="Arial"/>
          <w:color w:val="222222"/>
          <w:sz w:val="20"/>
          <w:szCs w:val="20"/>
          <w:shd w:val="clear" w:color="auto" w:fill="FFFFFF"/>
        </w:rPr>
        <w:t>Hadden and Connor 2010).</w:t>
      </w:r>
    </w:p>
    <w:p w14:paraId="396D0C67" w14:textId="29B1DC99" w:rsidR="00CF6D8C" w:rsidRDefault="00CF6D8C" w:rsidP="00CF6D8C">
      <w:pPr>
        <w:pStyle w:val="NormalWeb"/>
        <w:rPr>
          <w:b/>
          <w:bCs/>
          <w:i/>
          <w:iCs/>
          <w:color w:val="252525"/>
          <w:u w:val="single"/>
        </w:rPr>
      </w:pPr>
      <w:r w:rsidRPr="00CF6D8C">
        <w:rPr>
          <w:rFonts w:eastAsiaTheme="majorEastAsia"/>
          <w:b/>
          <w:bCs/>
          <w:i/>
          <w:iCs/>
          <w:color w:val="252525"/>
          <w:u w:val="single"/>
        </w:rPr>
        <w:t>Environmental Stewardship:</w:t>
      </w:r>
    </w:p>
    <w:p w14:paraId="5721B736" w14:textId="5AD38693" w:rsidR="00CF6D8C" w:rsidRDefault="00CF6D8C" w:rsidP="00CF6D8C">
      <w:pPr>
        <w:pStyle w:val="NormalWeb"/>
        <w:spacing w:line="360" w:lineRule="auto"/>
        <w:jc w:val="both"/>
        <w:rPr>
          <w:color w:val="252525"/>
        </w:rPr>
      </w:pPr>
      <w:r>
        <w:rPr>
          <w:color w:val="252525"/>
        </w:rPr>
        <w:t>The implementation of circular economy principles, such as waste minimization, recycling, and optimizing energy usage, is in line with the overarching objective of environmental stewardship. Marriott's dedication to these measures showcases its obligation to reduce its impact on the environment and promote sustainability</w:t>
      </w:r>
      <w:r w:rsidR="006927D0">
        <w:rPr>
          <w:color w:val="252525"/>
        </w:rPr>
        <w:t xml:space="preserve"> (</w:t>
      </w:r>
      <w:r w:rsidR="006927D0">
        <w:rPr>
          <w:rFonts w:ascii="Arial" w:hAnsi="Arial" w:cs="Arial"/>
          <w:color w:val="222222"/>
          <w:sz w:val="20"/>
          <w:szCs w:val="20"/>
          <w:shd w:val="clear" w:color="auto" w:fill="FFFFFF"/>
        </w:rPr>
        <w:t>Fink and Krakower 2014).</w:t>
      </w:r>
    </w:p>
    <w:p w14:paraId="1E032724" w14:textId="2A07B1B0" w:rsidR="00CF6D8C" w:rsidRDefault="00CF6D8C" w:rsidP="00CF6D8C">
      <w:pPr>
        <w:pStyle w:val="NormalWeb"/>
        <w:rPr>
          <w:b/>
          <w:bCs/>
          <w:i/>
          <w:iCs/>
          <w:color w:val="252525"/>
          <w:u w:val="single"/>
        </w:rPr>
      </w:pPr>
      <w:r w:rsidRPr="00CF6D8C">
        <w:rPr>
          <w:rFonts w:eastAsiaTheme="majorEastAsia"/>
          <w:b/>
          <w:bCs/>
          <w:i/>
          <w:iCs/>
          <w:color w:val="252525"/>
          <w:u w:val="single"/>
        </w:rPr>
        <w:t>Community Engagement:</w:t>
      </w:r>
    </w:p>
    <w:p w14:paraId="2664512C" w14:textId="30583D33" w:rsidR="00CF6D8C" w:rsidRDefault="00CF6D8C" w:rsidP="00CF6D8C">
      <w:pPr>
        <w:pStyle w:val="NormalWeb"/>
        <w:spacing w:line="360" w:lineRule="auto"/>
        <w:jc w:val="both"/>
        <w:rPr>
          <w:color w:val="252525"/>
        </w:rPr>
      </w:pPr>
      <w:r>
        <w:rPr>
          <w:color w:val="252525"/>
        </w:rPr>
        <w:t>Circular economy efforts sometimes entail cooperation with nearby communities. Marriott's involvement in circular economy techniques can enhance local economic growth, generate employment opportunities, and improve the welfare of the communities in which they operate, showcasing a dedication to social responsibility</w:t>
      </w:r>
      <w:r w:rsidR="006927D0">
        <w:rPr>
          <w:color w:val="252525"/>
        </w:rPr>
        <w:t xml:space="preserve"> (</w:t>
      </w:r>
      <w:r w:rsidR="006927D0">
        <w:rPr>
          <w:rFonts w:ascii="Arial" w:hAnsi="Arial" w:cs="Arial"/>
          <w:color w:val="222222"/>
          <w:sz w:val="20"/>
          <w:szCs w:val="20"/>
          <w:shd w:val="clear" w:color="auto" w:fill="FFFFFF"/>
        </w:rPr>
        <w:t>Davies and Wallingford 2012).</w:t>
      </w:r>
    </w:p>
    <w:p w14:paraId="2757DE4C" w14:textId="286052BE" w:rsidR="00CF6D8C" w:rsidRDefault="00CF6D8C" w:rsidP="00CF6D8C">
      <w:pPr>
        <w:pStyle w:val="NormalWeb"/>
        <w:spacing w:line="360" w:lineRule="auto"/>
        <w:jc w:val="both"/>
        <w:rPr>
          <w:b/>
          <w:bCs/>
          <w:i/>
          <w:iCs/>
          <w:color w:val="252525"/>
          <w:u w:val="single"/>
        </w:rPr>
      </w:pPr>
      <w:r w:rsidRPr="00CF6D8C">
        <w:rPr>
          <w:rFonts w:eastAsiaTheme="majorEastAsia"/>
          <w:b/>
          <w:bCs/>
          <w:i/>
          <w:iCs/>
          <w:color w:val="252525"/>
          <w:u w:val="single"/>
        </w:rPr>
        <w:lastRenderedPageBreak/>
        <w:t>Sustainable Supply Chain:</w:t>
      </w:r>
    </w:p>
    <w:p w14:paraId="5E060DF0" w14:textId="55BD2B22" w:rsidR="00CF6D8C" w:rsidRDefault="00CF6D8C" w:rsidP="00CF6D8C">
      <w:pPr>
        <w:pStyle w:val="NormalWeb"/>
        <w:spacing w:line="360" w:lineRule="auto"/>
        <w:jc w:val="both"/>
        <w:rPr>
          <w:color w:val="252525"/>
        </w:rPr>
      </w:pPr>
      <w:r>
        <w:rPr>
          <w:color w:val="252525"/>
        </w:rPr>
        <w:t>Marriott's focus on sustainable sourcing and ethical procurement methods helps to establish a more sustainable supply chain. This consideration is in accordance with CSR standards, as it demonstrates a dedication to ethical business practices and provides assistance to suppliers who have ecologically responsible operations</w:t>
      </w:r>
      <w:r w:rsidR="006927D0">
        <w:rPr>
          <w:color w:val="252525"/>
        </w:rPr>
        <w:t xml:space="preserve"> (</w:t>
      </w:r>
      <w:r w:rsidR="006927D0">
        <w:rPr>
          <w:rFonts w:ascii="Arial" w:hAnsi="Arial" w:cs="Arial"/>
          <w:color w:val="222222"/>
          <w:sz w:val="20"/>
          <w:szCs w:val="20"/>
          <w:shd w:val="clear" w:color="auto" w:fill="FFFFFF"/>
        </w:rPr>
        <w:t>Marriott 1976).</w:t>
      </w:r>
    </w:p>
    <w:p w14:paraId="78EEDE67" w14:textId="7655806F" w:rsidR="00CF6D8C" w:rsidRDefault="00E055E1" w:rsidP="00CF6D8C">
      <w:pPr>
        <w:pStyle w:val="NormalWeb"/>
        <w:spacing w:line="360" w:lineRule="auto"/>
        <w:jc w:val="both"/>
        <w:rPr>
          <w:b/>
          <w:bCs/>
          <w:i/>
          <w:iCs/>
          <w:color w:val="252525"/>
          <w:u w:val="single"/>
        </w:rPr>
      </w:pPr>
      <w:r w:rsidRPr="00E055E1">
        <w:rPr>
          <w:rFonts w:eastAsiaTheme="majorEastAsia"/>
          <w:b/>
          <w:bCs/>
          <w:i/>
          <w:iCs/>
          <w:color w:val="252525"/>
          <w:u w:val="single"/>
        </w:rPr>
        <w:t>Energy and Resource Efficiency:</w:t>
      </w:r>
    </w:p>
    <w:p w14:paraId="0AD0AE73" w14:textId="55D38A16" w:rsidR="00E055E1" w:rsidRDefault="00E055E1" w:rsidP="00E055E1">
      <w:pPr>
        <w:pStyle w:val="NormalWeb"/>
        <w:spacing w:line="360" w:lineRule="auto"/>
        <w:jc w:val="both"/>
        <w:rPr>
          <w:color w:val="252525"/>
        </w:rPr>
      </w:pPr>
      <w:r>
        <w:rPr>
          <w:color w:val="252525"/>
        </w:rPr>
        <w:t>The broader CSR objectives of minimizing adverse environmental effects and lowering resource consumption are aligned with the implementation of circular economy principles, such as energy efficiency and resource optimization. Addressing climate change and advancing ethical resource management depend on this commitment</w:t>
      </w:r>
      <w:r w:rsidR="006927D0">
        <w:rPr>
          <w:color w:val="252525"/>
        </w:rPr>
        <w:t xml:space="preserve"> (</w:t>
      </w:r>
      <w:r w:rsidR="006927D0">
        <w:rPr>
          <w:rFonts w:ascii="Arial" w:hAnsi="Arial" w:cs="Arial"/>
          <w:color w:val="222222"/>
          <w:sz w:val="20"/>
          <w:szCs w:val="20"/>
          <w:shd w:val="clear" w:color="auto" w:fill="FFFFFF"/>
        </w:rPr>
        <w:t>Reynolds and Tompson 1985).</w:t>
      </w:r>
    </w:p>
    <w:p w14:paraId="5710005B" w14:textId="4F4317B2" w:rsidR="00410840" w:rsidRDefault="00410840" w:rsidP="00E055E1">
      <w:pPr>
        <w:pStyle w:val="NormalWeb"/>
        <w:spacing w:line="360" w:lineRule="auto"/>
        <w:jc w:val="both"/>
        <w:rPr>
          <w:b/>
          <w:bCs/>
          <w:i/>
          <w:iCs/>
          <w:color w:val="252525"/>
          <w:u w:val="single"/>
        </w:rPr>
      </w:pPr>
      <w:r w:rsidRPr="00410840">
        <w:rPr>
          <w:rFonts w:eastAsiaTheme="majorEastAsia"/>
          <w:b/>
          <w:bCs/>
          <w:i/>
          <w:iCs/>
          <w:color w:val="252525"/>
          <w:u w:val="single"/>
        </w:rPr>
        <w:t>Stakeholder Communication and Transparency:</w:t>
      </w:r>
    </w:p>
    <w:p w14:paraId="23FF3BA9" w14:textId="6BA6187B" w:rsidR="00410840" w:rsidRDefault="00410840" w:rsidP="00410840">
      <w:pPr>
        <w:pStyle w:val="NormalWeb"/>
        <w:spacing w:line="360" w:lineRule="auto"/>
        <w:jc w:val="both"/>
        <w:rPr>
          <w:color w:val="252525"/>
        </w:rPr>
      </w:pPr>
      <w:r>
        <w:rPr>
          <w:color w:val="252525"/>
        </w:rPr>
        <w:t>Transparent communication regarding circular economy strategies enhances Marriott's CSR initiatives. Disseminating knowledge regarding trash reduction, recycling, and other sustainable initiatives showcases responsibility and involves stakeholders in the company's dedication to ethical business practices</w:t>
      </w:r>
      <w:r w:rsidR="006927D0">
        <w:rPr>
          <w:color w:val="252525"/>
        </w:rPr>
        <w:t xml:space="preserve"> (</w:t>
      </w:r>
      <w:r w:rsidR="006927D0">
        <w:rPr>
          <w:rFonts w:ascii="Arial" w:hAnsi="Arial" w:cs="Arial"/>
          <w:color w:val="222222"/>
          <w:sz w:val="20"/>
          <w:szCs w:val="20"/>
          <w:shd w:val="clear" w:color="auto" w:fill="FFFFFF"/>
        </w:rPr>
        <w:t>Marriott and Blais 2012).</w:t>
      </w:r>
    </w:p>
    <w:p w14:paraId="34CE5B30" w14:textId="454F2C93" w:rsidR="00410840" w:rsidRDefault="00410840" w:rsidP="00410840">
      <w:pPr>
        <w:pStyle w:val="NormalWeb"/>
        <w:spacing w:line="360" w:lineRule="auto"/>
        <w:jc w:val="both"/>
        <w:rPr>
          <w:b/>
          <w:bCs/>
          <w:i/>
          <w:iCs/>
          <w:color w:val="252525"/>
          <w:u w:val="single"/>
        </w:rPr>
      </w:pPr>
      <w:r w:rsidRPr="00410840">
        <w:rPr>
          <w:rFonts w:eastAsiaTheme="majorEastAsia"/>
          <w:b/>
          <w:bCs/>
          <w:i/>
          <w:iCs/>
          <w:color w:val="252525"/>
          <w:u w:val="single"/>
        </w:rPr>
        <w:t>Employee and Guest Awareness:</w:t>
      </w:r>
    </w:p>
    <w:p w14:paraId="5E53ACFD" w14:textId="00ECC475" w:rsidR="00410840" w:rsidRDefault="00410840" w:rsidP="00410840">
      <w:pPr>
        <w:pStyle w:val="NormalWeb"/>
        <w:spacing w:line="360" w:lineRule="auto"/>
        <w:jc w:val="both"/>
        <w:rPr>
          <w:color w:val="252525"/>
        </w:rPr>
      </w:pPr>
      <w:r>
        <w:rPr>
          <w:color w:val="252525"/>
        </w:rPr>
        <w:t>Implementing circular economy practices entails increasing knowledge among both employees and guests. Marriott's endeavors to educate and engage its stakeholders in sustainable practices foster a culture of accountability and are in line with its corporate social responsibility objectives</w:t>
      </w:r>
      <w:r w:rsidR="006927D0">
        <w:rPr>
          <w:color w:val="252525"/>
        </w:rPr>
        <w:t xml:space="preserve"> (</w:t>
      </w:r>
      <w:r w:rsidR="006927D0">
        <w:rPr>
          <w:rFonts w:ascii="Arial" w:hAnsi="Arial" w:cs="Arial"/>
          <w:color w:val="222222"/>
          <w:sz w:val="20"/>
          <w:szCs w:val="20"/>
          <w:shd w:val="clear" w:color="auto" w:fill="FFFFFF"/>
        </w:rPr>
        <w:t>Navlakha 2023).</w:t>
      </w:r>
    </w:p>
    <w:p w14:paraId="4C20817B" w14:textId="6EE3FF26" w:rsidR="00410840" w:rsidRDefault="00410840" w:rsidP="00410840">
      <w:pPr>
        <w:pStyle w:val="NormalWeb"/>
        <w:spacing w:line="360" w:lineRule="auto"/>
        <w:jc w:val="both"/>
        <w:rPr>
          <w:b/>
          <w:bCs/>
          <w:i/>
          <w:iCs/>
          <w:color w:val="252525"/>
          <w:u w:val="single"/>
        </w:rPr>
      </w:pPr>
      <w:r w:rsidRPr="00410840">
        <w:rPr>
          <w:rFonts w:eastAsiaTheme="majorEastAsia"/>
          <w:b/>
          <w:bCs/>
          <w:i/>
          <w:iCs/>
          <w:color w:val="252525"/>
          <w:u w:val="single"/>
        </w:rPr>
        <w:t>Long-term Sustainability:</w:t>
      </w:r>
    </w:p>
    <w:p w14:paraId="0D3FCF11" w14:textId="6D5C9751" w:rsidR="00410840" w:rsidRDefault="00410840" w:rsidP="00410840">
      <w:pPr>
        <w:pStyle w:val="NormalWeb"/>
        <w:spacing w:line="360" w:lineRule="auto"/>
        <w:jc w:val="both"/>
        <w:rPr>
          <w:color w:val="252525"/>
        </w:rPr>
      </w:pPr>
      <w:r>
        <w:rPr>
          <w:color w:val="252525"/>
        </w:rPr>
        <w:t>The implementation of circular economy methods inherently contributes to the enduring sustainability of resources and processes. This is consistent with the overarching corporate social responsibility (CSR) goal of generating favorable and enduring effects on society, the environment, and the economy</w:t>
      </w:r>
      <w:r w:rsidR="006927D0">
        <w:rPr>
          <w:color w:val="252525"/>
        </w:rPr>
        <w:t xml:space="preserve"> (</w:t>
      </w:r>
      <w:r w:rsidR="006927D0">
        <w:rPr>
          <w:rFonts w:ascii="Arial" w:hAnsi="Arial" w:cs="Arial"/>
          <w:color w:val="222222"/>
          <w:sz w:val="20"/>
          <w:szCs w:val="20"/>
          <w:shd w:val="clear" w:color="auto" w:fill="FFFFFF"/>
        </w:rPr>
        <w:t>Quiñones-Cisneros and Schmidt 2012).</w:t>
      </w:r>
    </w:p>
    <w:p w14:paraId="3BA37494" w14:textId="41DB89DB" w:rsidR="00E055E1" w:rsidRDefault="00E055E1" w:rsidP="00E055E1">
      <w:pPr>
        <w:pStyle w:val="NormalWeb"/>
        <w:spacing w:line="360" w:lineRule="auto"/>
        <w:jc w:val="both"/>
        <w:rPr>
          <w:color w:val="252525"/>
        </w:rPr>
      </w:pPr>
      <w:r w:rsidRPr="00E055E1">
        <w:rPr>
          <w:color w:val="252525"/>
        </w:rPr>
        <w:lastRenderedPageBreak/>
        <w:t>Marriott International's circular economy activities align effectively with the principles of Corporate Social Responsibility by tackling environmental issues, involving communities, advocating for sustainable business practices, and encouraging transparency and responsibility. These endeavors add to Marriott's overarching dedication to becoming a socially and environmentally conscientious corporate entity</w:t>
      </w:r>
      <w:r w:rsidR="006927D0">
        <w:rPr>
          <w:color w:val="252525"/>
        </w:rPr>
        <w:t xml:space="preserve"> (</w:t>
      </w:r>
      <w:r w:rsidR="006927D0">
        <w:rPr>
          <w:rFonts w:ascii="Arial" w:hAnsi="Arial" w:cs="Arial"/>
          <w:color w:val="222222"/>
          <w:sz w:val="20"/>
          <w:szCs w:val="20"/>
          <w:shd w:val="clear" w:color="auto" w:fill="FFFFFF"/>
        </w:rPr>
        <w:t>Davies and Lark man 2016).</w:t>
      </w:r>
    </w:p>
    <w:p w14:paraId="2609BFA2" w14:textId="2E790C10" w:rsidR="00E055E1" w:rsidRDefault="00E055E1" w:rsidP="00570B78">
      <w:pPr>
        <w:pStyle w:val="Heading2"/>
      </w:pPr>
      <w:bookmarkStart w:id="4" w:name="_Toc156620978"/>
      <w:r w:rsidRPr="00E055E1">
        <w:t>MARRIOTT REVIEW CSR POLICY AND EVALUATE</w:t>
      </w:r>
      <w:bookmarkEnd w:id="4"/>
    </w:p>
    <w:p w14:paraId="5650F98F" w14:textId="1FB50A8B" w:rsidR="00853FB1" w:rsidRDefault="00E055E1" w:rsidP="00853FB1">
      <w:pPr>
        <w:pStyle w:val="NormalWeb"/>
        <w:spacing w:line="360" w:lineRule="auto"/>
        <w:jc w:val="both"/>
        <w:rPr>
          <w:color w:val="252525"/>
        </w:rPr>
      </w:pPr>
      <w:r>
        <w:rPr>
          <w:color w:val="252525"/>
        </w:rPr>
        <w:t>Marriott International demonstrates its attention to corporate social responsibility (CSR) with a comprehensive CSR policy that emphasizes ethical business practices, sustainability, and positive societal influence. Upon conducting a comprehensive analysis of Marriott's official website, it becomes evident that they have developed a comprehensive corporate social responsibility (CSR) framework that incorporates multiple aspects of ethical business practices.</w:t>
      </w:r>
      <w:r w:rsidR="00853FB1" w:rsidRPr="00853FB1">
        <w:rPr>
          <w:color w:val="252525"/>
        </w:rPr>
        <w:t xml:space="preserve"> </w:t>
      </w:r>
      <w:r w:rsidR="00853FB1">
        <w:rPr>
          <w:color w:val="252525"/>
        </w:rPr>
        <w:t>The company's commitment to environmental sustainability is outlined in the policy, which places special emphasis on programmed like waste reduction, energy efficiency, and responsible procurement. Marriott's dedication to social well-being is demonstrated by its involvement in community development initiatives and charity endeavors within the local community. The CSR strategy also emphasizes the value of employee wellbeing by highlighting programmed that support diversity, professional growth, and health and safety. Additionally, Marriott promotes a culture of integrity by emphasizing ethical business practices that are consistent with its vision and values.</w:t>
      </w:r>
      <w:r w:rsidR="00853FB1" w:rsidRPr="00853FB1">
        <w:rPr>
          <w:color w:val="252525"/>
        </w:rPr>
        <w:t xml:space="preserve"> </w:t>
      </w:r>
      <w:r w:rsidR="00853FB1">
        <w:rPr>
          <w:color w:val="252525"/>
        </w:rPr>
        <w:t>The consistent release of updates on crucial performance metrics, which fosters accountability and confidence, is a clear example of transparency. The CSR policy embodies a comprehensive approach, taking into account the viewpoints of stakeholders and demonstrating a dedication to ongoing enhancement. To obtain the most up-to-date and comprehensive information, it is advisable to thoroughly examine Marriott's CSR reports and directly communicate with their corporate sustainability department</w:t>
      </w:r>
      <w:r w:rsidR="006927D0">
        <w:rPr>
          <w:color w:val="252525"/>
        </w:rPr>
        <w:t xml:space="preserve"> (</w:t>
      </w:r>
      <w:r w:rsidR="006927D0">
        <w:rPr>
          <w:rFonts w:ascii="Arial" w:hAnsi="Arial" w:cs="Arial"/>
          <w:color w:val="222222"/>
          <w:sz w:val="20"/>
          <w:szCs w:val="20"/>
          <w:shd w:val="clear" w:color="auto" w:fill="FFFFFF"/>
        </w:rPr>
        <w:t>Littlefield and Marriott 2017).</w:t>
      </w:r>
    </w:p>
    <w:p w14:paraId="5A8D0C84" w14:textId="3F8F8B1C" w:rsidR="001B1AD7" w:rsidRDefault="001B1AD7" w:rsidP="00853FB1">
      <w:pPr>
        <w:pStyle w:val="NormalWeb"/>
        <w:spacing w:line="360" w:lineRule="auto"/>
        <w:jc w:val="both"/>
        <w:rPr>
          <w:color w:val="252525"/>
        </w:rPr>
      </w:pPr>
      <w:r>
        <w:rPr>
          <w:noProof/>
        </w:rPr>
        <w:lastRenderedPageBreak/>
        <w:drawing>
          <wp:anchor distT="0" distB="0" distL="114300" distR="114300" simplePos="0" relativeHeight="251658240" behindDoc="1" locked="0" layoutInCell="1" allowOverlap="1" wp14:anchorId="480A844F" wp14:editId="63787C1F">
            <wp:simplePos x="0" y="0"/>
            <wp:positionH relativeFrom="margin">
              <wp:posOffset>1043056</wp:posOffset>
            </wp:positionH>
            <wp:positionV relativeFrom="paragraph">
              <wp:posOffset>99695</wp:posOffset>
            </wp:positionV>
            <wp:extent cx="3667125" cy="1997710"/>
            <wp:effectExtent l="0" t="0" r="9525" b="2540"/>
            <wp:wrapTight wrapText="bothSides">
              <wp:wrapPolygon edited="0">
                <wp:start x="0" y="0"/>
                <wp:lineTo x="0" y="21421"/>
                <wp:lineTo x="21544" y="21421"/>
                <wp:lineTo x="21544" y="0"/>
                <wp:lineTo x="0" y="0"/>
              </wp:wrapPolygon>
            </wp:wrapTight>
            <wp:docPr id="2" name="Picture 1" descr="Corporate Social Responsibility: Marriott International by Kristina R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porate Social Responsibility: Marriott International by Kristina Rock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7125" cy="19977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7184CA" w14:textId="044754DE" w:rsidR="001B1AD7" w:rsidRDefault="001B1AD7" w:rsidP="00853FB1">
      <w:pPr>
        <w:pStyle w:val="NormalWeb"/>
        <w:spacing w:line="360" w:lineRule="auto"/>
        <w:jc w:val="both"/>
        <w:rPr>
          <w:color w:val="252525"/>
        </w:rPr>
      </w:pPr>
    </w:p>
    <w:p w14:paraId="4109FD1A" w14:textId="77777777" w:rsidR="001B1AD7" w:rsidRDefault="001B1AD7" w:rsidP="00853FB1">
      <w:pPr>
        <w:pStyle w:val="NormalWeb"/>
        <w:spacing w:line="360" w:lineRule="auto"/>
        <w:jc w:val="both"/>
        <w:rPr>
          <w:color w:val="252525"/>
        </w:rPr>
      </w:pPr>
    </w:p>
    <w:p w14:paraId="1E9DFBE9" w14:textId="77777777" w:rsidR="001B1AD7" w:rsidRDefault="001B1AD7" w:rsidP="00853FB1">
      <w:pPr>
        <w:pStyle w:val="NormalWeb"/>
        <w:spacing w:line="360" w:lineRule="auto"/>
        <w:jc w:val="both"/>
        <w:rPr>
          <w:color w:val="252525"/>
        </w:rPr>
      </w:pPr>
    </w:p>
    <w:p w14:paraId="0238A140" w14:textId="77777777" w:rsidR="001B1AD7" w:rsidRDefault="001B1AD7" w:rsidP="00853FB1">
      <w:pPr>
        <w:pStyle w:val="NormalWeb"/>
        <w:spacing w:line="360" w:lineRule="auto"/>
        <w:jc w:val="both"/>
        <w:rPr>
          <w:color w:val="252525"/>
        </w:rPr>
      </w:pPr>
    </w:p>
    <w:p w14:paraId="6EC48E67" w14:textId="0348AD18" w:rsidR="001B1AD7" w:rsidRPr="001B1AD7" w:rsidRDefault="001B1AD7" w:rsidP="001B1AD7">
      <w:pPr>
        <w:pStyle w:val="NormalWeb"/>
        <w:spacing w:line="360" w:lineRule="auto"/>
        <w:jc w:val="center"/>
        <w:rPr>
          <w:b/>
          <w:bCs/>
          <w:i/>
          <w:iCs/>
          <w:color w:val="252525"/>
          <w:u w:val="single"/>
        </w:rPr>
      </w:pPr>
      <w:r w:rsidRPr="001B1AD7">
        <w:rPr>
          <w:b/>
          <w:bCs/>
          <w:i/>
          <w:iCs/>
          <w:color w:val="252525"/>
          <w:u w:val="single"/>
        </w:rPr>
        <w:t>FIG: 01 corporate social responsibility (CSR)</w:t>
      </w:r>
    </w:p>
    <w:p w14:paraId="112EAFC2" w14:textId="77777777" w:rsidR="001B1AD7" w:rsidRDefault="001B1AD7" w:rsidP="00853FB1">
      <w:pPr>
        <w:pStyle w:val="NormalWeb"/>
        <w:spacing w:line="360" w:lineRule="auto"/>
        <w:jc w:val="both"/>
        <w:rPr>
          <w:b/>
          <w:bCs/>
          <w:i/>
          <w:iCs/>
          <w:color w:val="0F0F0F"/>
          <w:sz w:val="28"/>
          <w:szCs w:val="28"/>
          <w:u w:val="single"/>
        </w:rPr>
      </w:pPr>
    </w:p>
    <w:p w14:paraId="276C2E42" w14:textId="720050F5" w:rsidR="00853FB1" w:rsidRDefault="00853FB1" w:rsidP="00570B78">
      <w:pPr>
        <w:pStyle w:val="Heading2"/>
      </w:pPr>
      <w:bookmarkStart w:id="5" w:name="_Toc156620979"/>
      <w:r w:rsidRPr="00853FB1">
        <w:t>INDUSTRY EXAMPLE OF COMPANIES EMBODYING THE CIRCULAR ECONOMY</w:t>
      </w:r>
      <w:bookmarkEnd w:id="5"/>
    </w:p>
    <w:p w14:paraId="566D478A" w14:textId="53F45F08" w:rsidR="00410840" w:rsidRDefault="00853FB1" w:rsidP="00410840">
      <w:pPr>
        <w:pStyle w:val="NormalWeb"/>
        <w:spacing w:line="360" w:lineRule="auto"/>
        <w:jc w:val="both"/>
        <w:rPr>
          <w:color w:val="252525"/>
        </w:rPr>
      </w:pPr>
      <w:r>
        <w:rPr>
          <w:color w:val="252525"/>
        </w:rPr>
        <w:t>Several companies have emerged as outstanding embodiments of the circular economy, leading the global shift towards sustainable business practices. Interface, a prominent participant in the flooring sector, is an example of such a trailblazer. Interface's "Mission Zero" project is focused on completely eradicating its adverse environmental effects. The company prioritizes the utilization of recycled materials, creates products that are easily dismantled and recyclable, and actively participates in initiatives focused on the recovery and recycling of carpet tiles. Similarly, within the garment sector, Patagonia distinguishes itself due to its unwavering dedication to environmental and social responsibility.</w:t>
      </w:r>
      <w:r w:rsidR="00410840" w:rsidRPr="00410840">
        <w:rPr>
          <w:color w:val="252525"/>
        </w:rPr>
        <w:t xml:space="preserve"> </w:t>
      </w:r>
      <w:r w:rsidR="00410840">
        <w:rPr>
          <w:color w:val="252525"/>
        </w:rPr>
        <w:t>The company promotes longevity in its products, actively advocates for repair and reuse through initiatives such as the "Worn Wear" program, and integrates recycled materials into their apparel. IKEA has made substantial progress in adopting circular economy principles as it enters the furniture retail sector. IKEA implements a sustainability strategy by advocating for product longevity, organizing furniture recycling programs, and prioritizing the use of renewable and recycled materials across its extensive product line. These companies, including Unilever, Coca-Cola, and members of the Ellen MacArthur Foundation's Circular Economy 100, demonstrate how circular economy ideas are transforming business practices in several industries, promoting sustainability and responsible resource management</w:t>
      </w:r>
      <w:r w:rsidR="006927D0">
        <w:rPr>
          <w:color w:val="252525"/>
        </w:rPr>
        <w:t xml:space="preserve"> (</w:t>
      </w:r>
      <w:r w:rsidR="006927D0">
        <w:rPr>
          <w:rFonts w:ascii="Arial" w:hAnsi="Arial" w:cs="Arial"/>
          <w:color w:val="222222"/>
          <w:sz w:val="20"/>
          <w:szCs w:val="20"/>
          <w:shd w:val="clear" w:color="auto" w:fill="FFFFFF"/>
        </w:rPr>
        <w:t>Playford, Marriott and Nguyen 2008).</w:t>
      </w:r>
    </w:p>
    <w:p w14:paraId="2CE3CBEF" w14:textId="4CBA9A4E" w:rsidR="00853FB1" w:rsidRDefault="001B1AD7" w:rsidP="00853FB1">
      <w:pPr>
        <w:pStyle w:val="NormalWeb"/>
        <w:rPr>
          <w:color w:val="252525"/>
        </w:rPr>
      </w:pPr>
      <w:r>
        <w:rPr>
          <w:noProof/>
        </w:rPr>
        <w:lastRenderedPageBreak/>
        <w:drawing>
          <wp:anchor distT="0" distB="0" distL="114300" distR="114300" simplePos="0" relativeHeight="251659264" behindDoc="1" locked="0" layoutInCell="1" allowOverlap="1" wp14:anchorId="34F84473" wp14:editId="2DBE7EE0">
            <wp:simplePos x="0" y="0"/>
            <wp:positionH relativeFrom="margin">
              <wp:align>center</wp:align>
            </wp:positionH>
            <wp:positionV relativeFrom="paragraph">
              <wp:posOffset>241853</wp:posOffset>
            </wp:positionV>
            <wp:extent cx="3041650" cy="1500505"/>
            <wp:effectExtent l="0" t="0" r="6350" b="4445"/>
            <wp:wrapTight wrapText="bothSides">
              <wp:wrapPolygon edited="0">
                <wp:start x="0" y="0"/>
                <wp:lineTo x="0" y="21390"/>
                <wp:lineTo x="21510" y="21390"/>
                <wp:lineTo x="21510" y="0"/>
                <wp:lineTo x="0" y="0"/>
              </wp:wrapPolygon>
            </wp:wrapTight>
            <wp:docPr id="61187082" name="Picture 2" descr="Circular Economy for the Chemical Processing Industry - Koch Modular  Process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rcular Economy for the Chemical Processing Industry - Koch Modular  Process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1650" cy="1500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D9F556" w14:textId="7A858A2B" w:rsidR="00853FB1" w:rsidRPr="00853FB1" w:rsidRDefault="00853FB1" w:rsidP="00853FB1">
      <w:pPr>
        <w:pStyle w:val="NormalWeb"/>
        <w:spacing w:line="360" w:lineRule="auto"/>
        <w:jc w:val="both"/>
        <w:rPr>
          <w:b/>
          <w:bCs/>
          <w:i/>
          <w:iCs/>
          <w:color w:val="252525"/>
          <w:sz w:val="28"/>
          <w:szCs w:val="28"/>
          <w:u w:val="single"/>
        </w:rPr>
      </w:pPr>
    </w:p>
    <w:p w14:paraId="52ACDC75" w14:textId="6C748260" w:rsidR="00853FB1" w:rsidRDefault="00853FB1" w:rsidP="00853FB1">
      <w:pPr>
        <w:pStyle w:val="NormalWeb"/>
        <w:spacing w:line="360" w:lineRule="auto"/>
        <w:jc w:val="both"/>
        <w:rPr>
          <w:color w:val="252525"/>
        </w:rPr>
      </w:pPr>
    </w:p>
    <w:p w14:paraId="7B82D55D" w14:textId="77777777" w:rsidR="00853FB1" w:rsidRDefault="00853FB1" w:rsidP="00853FB1">
      <w:pPr>
        <w:pStyle w:val="NormalWeb"/>
        <w:rPr>
          <w:color w:val="252525"/>
        </w:rPr>
      </w:pPr>
      <w:r>
        <w:rPr>
          <w:color w:val="252525"/>
        </w:rPr>
        <w:t> </w:t>
      </w:r>
    </w:p>
    <w:p w14:paraId="654038A2" w14:textId="77777777" w:rsidR="00853FB1" w:rsidRDefault="00853FB1" w:rsidP="00853FB1">
      <w:pPr>
        <w:pStyle w:val="NormalWeb"/>
        <w:rPr>
          <w:color w:val="252525"/>
        </w:rPr>
      </w:pPr>
      <w:r>
        <w:rPr>
          <w:color w:val="252525"/>
        </w:rPr>
        <w:t> </w:t>
      </w:r>
    </w:p>
    <w:p w14:paraId="6BC995C3" w14:textId="4A4C4451" w:rsidR="00853FB1" w:rsidRDefault="001B1AD7" w:rsidP="001B1AD7">
      <w:pPr>
        <w:pStyle w:val="NormalWeb"/>
        <w:jc w:val="center"/>
        <w:rPr>
          <w:b/>
          <w:bCs/>
          <w:i/>
          <w:iCs/>
          <w:color w:val="252525"/>
          <w:sz w:val="20"/>
          <w:szCs w:val="20"/>
          <w:u w:val="single"/>
        </w:rPr>
      </w:pPr>
      <w:r w:rsidRPr="001B1AD7">
        <w:rPr>
          <w:b/>
          <w:bCs/>
          <w:i/>
          <w:iCs/>
          <w:color w:val="252525"/>
          <w:sz w:val="20"/>
          <w:szCs w:val="20"/>
          <w:u w:val="single"/>
        </w:rPr>
        <w:t>FIG: 02 CIRCULAR ECONOMY FOR THE CHEMICAL PROCESS INDUSTRY</w:t>
      </w:r>
    </w:p>
    <w:p w14:paraId="6F0FBF90" w14:textId="77777777" w:rsidR="00620E58" w:rsidRDefault="00620E58" w:rsidP="001B1AD7">
      <w:pPr>
        <w:pStyle w:val="NormalWeb"/>
        <w:jc w:val="center"/>
        <w:rPr>
          <w:b/>
          <w:bCs/>
          <w:i/>
          <w:iCs/>
          <w:color w:val="252525"/>
          <w:sz w:val="20"/>
          <w:szCs w:val="20"/>
          <w:u w:val="single"/>
        </w:rPr>
      </w:pPr>
    </w:p>
    <w:p w14:paraId="5EE8B0E3" w14:textId="611C6FFA" w:rsidR="00620E58" w:rsidRDefault="00620E58" w:rsidP="00570B78">
      <w:pPr>
        <w:pStyle w:val="Heading2"/>
      </w:pPr>
      <w:bookmarkStart w:id="6" w:name="_Toc156620980"/>
      <w:r w:rsidRPr="00620E58">
        <w:t>CONCLUSION</w:t>
      </w:r>
      <w:bookmarkEnd w:id="6"/>
    </w:p>
    <w:p w14:paraId="71098B31" w14:textId="135A50D5" w:rsidR="00235657" w:rsidRDefault="00620E58" w:rsidP="00235657">
      <w:pPr>
        <w:pStyle w:val="NormalWeb"/>
        <w:spacing w:line="360" w:lineRule="auto"/>
        <w:jc w:val="both"/>
        <w:rPr>
          <w:color w:val="252525"/>
        </w:rPr>
      </w:pPr>
      <w:r>
        <w:rPr>
          <w:color w:val="252525"/>
        </w:rPr>
        <w:t>In conclusion, Marriott International stands as a model of excellence in the global hospitality business, tracing its roots back to the visionary founders, J. Willard Marriott and Alice S. Marriott, in 1927. From its humble beginnings, Marriott has evolved into one of the largest and most prominent hotel companies globally, with its headquarters headquartered in Bethesda, Maryland, USA. Marriott is well-known for its steadfast dedication to delivering exceptional service. They oversee a wide range of hotels and resorts, which include several brands tailored to meet the distinct requirements of travelers worldwide. The range of alternatives available spans from opulent rooms offered by renowned brands like JW Marriott and The Ritz-Carlton to more reasonably priced yet enjoyable choices such as Courtyard and Residence Inn. Marriott's commitment to improving the guest experience is evident in its innovative use of technology, strong focus on corporate social responsibility, and highly regarded Marriott Bonvoy loyalty program. In addition to its worldwide presence and wide range of services, Marriott has also positioned itself as a pioneer in technology within the hospitality industry, setting standards for excellence, service, and innovation. This commitment guarantees that guests worldwide not only have memorable experiences but also engage in enriched hospitality that embodies Marriott's unwavering commitment to quality.</w:t>
      </w:r>
      <w:r w:rsidR="00235657" w:rsidRPr="00235657">
        <w:rPr>
          <w:color w:val="252525"/>
        </w:rPr>
        <w:t xml:space="preserve"> </w:t>
      </w:r>
      <w:r w:rsidR="00235657">
        <w:rPr>
          <w:color w:val="252525"/>
        </w:rPr>
        <w:t xml:space="preserve">Marriott's adoption of circular economy ideas as part of its corporate social responsibility (CSR) demonstrates a progressive dedication to sustainability, solidifying its position as a leader in the hospitality sector. The corporation has implemented a diverse range of corporate social responsibility initiatives, with a particular emphasis on environmental conservation, community involvement, and ethical conduct in business operations. </w:t>
      </w:r>
      <w:r w:rsidR="00235657">
        <w:rPr>
          <w:color w:val="252525"/>
        </w:rPr>
        <w:lastRenderedPageBreak/>
        <w:t>To gain insight into the most recent advancements pertaining to Marriott's incorporation of circular economy concepts into its corporate social responsibility (CSR) approach, anyone with an interest might examine the company's yearly sustainability or CSR reports accessible on its official website. These publications provide extensive insights into Marriott's ecological initiatives, offering specific information on its efforts to achieve a circular economy. In addition, keeping track of the latest press releases, contacting Marriott's corporate sustainability department, and staying informed through social media and news platforms can provide up-to-date insights on the company's sustainability and corporate social responsibility (CSR) efforts. Marriott's dedication to environmental stewardship can be further confirmed through certification inspections, such as LEED or ISO 14001.</w:t>
      </w:r>
      <w:r w:rsidR="00235657" w:rsidRPr="00235657">
        <w:rPr>
          <w:color w:val="252525"/>
        </w:rPr>
        <w:t xml:space="preserve"> </w:t>
      </w:r>
      <w:r w:rsidR="00235657">
        <w:rPr>
          <w:color w:val="252525"/>
        </w:rPr>
        <w:t>Marriott International's dedication to the circular economy, combined with its strong corporate social responsibility policy, establishes the corporation as a responsible worldwide participant in the hospitality industry. Marriott exemplifies sustainable and socially responsible corporate citizenship by tackling environmental concerns, involving communities, advocating ethical business practices, and encouraging openness and accountability. Marriott's ongoing development is strongly focused on improving both the guest experience and the environmental footprint, demonstrating a commitment to a more sustainable future for the hospitality industry and beyond.</w:t>
      </w:r>
    </w:p>
    <w:p w14:paraId="5BBE8635" w14:textId="5A13CD4B" w:rsidR="00235657" w:rsidRDefault="00235657" w:rsidP="00570B78">
      <w:pPr>
        <w:pStyle w:val="Heading2"/>
      </w:pPr>
      <w:bookmarkStart w:id="7" w:name="_Toc156620981"/>
      <w:r w:rsidRPr="00235657">
        <w:t>REFRENCES</w:t>
      </w:r>
      <w:bookmarkEnd w:id="7"/>
    </w:p>
    <w:p w14:paraId="435EDF1D" w14:textId="0A998E6A"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Navlakha, Y., Amaral, M.S. and Marriott, P.J., 2023. Foods and contaminants analysis using multidimensional gas chromatography: An update of recent studies, technology, and applications. </w:t>
      </w:r>
      <w:r>
        <w:rPr>
          <w:rFonts w:ascii="Arial" w:hAnsi="Arial" w:cs="Arial"/>
          <w:i/>
          <w:iCs/>
          <w:color w:val="222222"/>
          <w:sz w:val="20"/>
          <w:szCs w:val="20"/>
          <w:shd w:val="clear" w:color="auto" w:fill="FFFFFF"/>
        </w:rPr>
        <w:t>Analytical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95</w:t>
      </w:r>
      <w:r>
        <w:rPr>
          <w:rFonts w:ascii="Arial" w:hAnsi="Arial" w:cs="Arial"/>
          <w:color w:val="222222"/>
          <w:sz w:val="20"/>
          <w:szCs w:val="20"/>
          <w:shd w:val="clear" w:color="auto" w:fill="FFFFFF"/>
        </w:rPr>
        <w:t>(1), pp.238-263.</w:t>
      </w:r>
    </w:p>
    <w:p w14:paraId="3241FCB4" w14:textId="336F30D3"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Quiñones-Cisneros, S.E., Schmidt, K.A., Giri, B.R., Blais, P. and Marriott, R.A., 2012. Reference correlation for the viscosity surface of hydrogen sulfide. </w:t>
      </w:r>
      <w:r>
        <w:rPr>
          <w:rFonts w:ascii="Arial" w:hAnsi="Arial" w:cs="Arial"/>
          <w:i/>
          <w:iCs/>
          <w:color w:val="222222"/>
          <w:sz w:val="20"/>
          <w:szCs w:val="20"/>
          <w:shd w:val="clear" w:color="auto" w:fill="FFFFFF"/>
        </w:rPr>
        <w:t>Journal of Chemical &amp; Engineering Data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(11), pp.3014-3018.</w:t>
      </w:r>
    </w:p>
    <w:p w14:paraId="5D0D78DB" w14:textId="59F20C98"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Davies, N.W., Lark man, T., Marriott, P.J. and Khan, I.A., 2016. Determination of enantiomeric distribution of terpenes for quality assessment of Australian tea tree oil. </w:t>
      </w:r>
      <w:r>
        <w:rPr>
          <w:rFonts w:ascii="Arial" w:hAnsi="Arial" w:cs="Arial"/>
          <w:i/>
          <w:iCs/>
          <w:color w:val="222222"/>
          <w:sz w:val="20"/>
          <w:szCs w:val="20"/>
          <w:shd w:val="clear" w:color="auto" w:fill="FFFFFF"/>
        </w:rPr>
        <w:t>Journal of agricultural and food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64</w:t>
      </w:r>
      <w:r>
        <w:rPr>
          <w:rFonts w:ascii="Arial" w:hAnsi="Arial" w:cs="Arial"/>
          <w:color w:val="222222"/>
          <w:sz w:val="20"/>
          <w:szCs w:val="20"/>
          <w:shd w:val="clear" w:color="auto" w:fill="FFFFFF"/>
        </w:rPr>
        <w:t>(23), pp.4817-4819.</w:t>
      </w:r>
    </w:p>
    <w:p w14:paraId="01B81484" w14:textId="4E7543B2"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Navlakha, Y., Kul sing, C. and Marriott, P.J., 2017. Multidimensional gas chromatography in food analysis. </w:t>
      </w:r>
      <w:r>
        <w:rPr>
          <w:rFonts w:ascii="Arial" w:hAnsi="Arial" w:cs="Arial"/>
          <w:i/>
          <w:iCs/>
          <w:color w:val="222222"/>
          <w:sz w:val="20"/>
          <w:szCs w:val="20"/>
          <w:shd w:val="clear" w:color="auto" w:fill="FFFFFF"/>
        </w:rPr>
        <w:t>Track Trends in Analytical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 pp.124-137.</w:t>
      </w:r>
    </w:p>
    <w:p w14:paraId="5B38BEE1" w14:textId="6E0965B8"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Littlefield, J.A., Marriott, J., Shively, G.A. and Skone, T.J., 2017. Synthesis of recent ground-level methane emission measurements from the US natural gas supply chain. </w:t>
      </w:r>
      <w:r>
        <w:rPr>
          <w:rFonts w:ascii="Arial" w:hAnsi="Arial" w:cs="Arial"/>
          <w:i/>
          <w:iCs/>
          <w:color w:val="222222"/>
          <w:sz w:val="20"/>
          <w:szCs w:val="20"/>
          <w:shd w:val="clear" w:color="auto" w:fill="FFFFFF"/>
        </w:rPr>
        <w:t>Journal of cleaner production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148</w:t>
      </w:r>
      <w:r>
        <w:rPr>
          <w:rFonts w:ascii="Arial" w:hAnsi="Arial" w:cs="Arial"/>
          <w:color w:val="222222"/>
          <w:sz w:val="20"/>
          <w:szCs w:val="20"/>
          <w:shd w:val="clear" w:color="auto" w:fill="FFFFFF"/>
        </w:rPr>
        <w:t>, pp.118-126.</w:t>
      </w:r>
    </w:p>
    <w:p w14:paraId="3966422C" w14:textId="3C1B97E7"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Playford, E.G., Marriott, D., Nguyen, Q., Chen, S., Ellis, D., Slavin, M. and Sorrell, T.C., 2008. Candidemia in nonneutropenic critically ill patients: risk factors for non-albicans Candida spp. </w:t>
      </w:r>
      <w:r>
        <w:rPr>
          <w:rFonts w:ascii="Arial" w:hAnsi="Arial" w:cs="Arial"/>
          <w:i/>
          <w:iCs/>
          <w:color w:val="222222"/>
          <w:sz w:val="20"/>
          <w:szCs w:val="20"/>
          <w:shd w:val="clear" w:color="auto" w:fill="FFFFFF"/>
        </w:rPr>
        <w:t>Critical care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(7), pp.2034-2039.</w:t>
      </w:r>
    </w:p>
    <w:p w14:paraId="7E775946" w14:textId="7B5EB485"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Kingswell, E., Marriott, J.J., Jetté, N., Springtime, T., Makhani, N., Morrow, S.A., Fisk, J.D., Evans, C., Beland, S.G., Kulaga, S. and Dykeman, J., 2013. Incidence and prevalence of multiple sclerosis in Europe: a systematic review. </w:t>
      </w:r>
      <w:r>
        <w:rPr>
          <w:rFonts w:ascii="Arial" w:hAnsi="Arial" w:cs="Arial"/>
          <w:i/>
          <w:iCs/>
          <w:color w:val="222222"/>
          <w:sz w:val="20"/>
          <w:szCs w:val="20"/>
          <w:shd w:val="clear" w:color="auto" w:fill="FFFFFF"/>
        </w:rPr>
        <w:t>BMC neurology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pp.1-13.</w:t>
      </w:r>
    </w:p>
    <w:p w14:paraId="79EAA0C5" w14:textId="1FE0FD85"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N., Stoner, G., Fogarty, T. and Sangster, A., 2014. Publishing characteristics, geographic dispersion and research traditions of recent international accounting education research. </w:t>
      </w:r>
      <w:r>
        <w:rPr>
          <w:rFonts w:ascii="Arial" w:hAnsi="Arial" w:cs="Arial"/>
          <w:i/>
          <w:iCs/>
          <w:color w:val="222222"/>
          <w:sz w:val="20"/>
          <w:szCs w:val="20"/>
          <w:shd w:val="clear" w:color="auto" w:fill="FFFFFF"/>
        </w:rPr>
        <w:t>The British Accounting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(3), pp.264-280.</w:t>
      </w:r>
    </w:p>
    <w:p w14:paraId="5D919833" w14:textId="04BEE084"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Huffman, J.W. and Marriott, K.S.C., 2008. Recent advances in the development of selective ligands for the cannabinoid CB2 receptor. </w:t>
      </w:r>
      <w:r>
        <w:rPr>
          <w:rFonts w:ascii="Arial" w:hAnsi="Arial" w:cs="Arial"/>
          <w:i/>
          <w:iCs/>
          <w:color w:val="222222"/>
          <w:sz w:val="20"/>
          <w:szCs w:val="20"/>
          <w:shd w:val="clear" w:color="auto" w:fill="FFFFFF"/>
        </w:rPr>
        <w:t>Current topics in medicinal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pp.187-204.</w:t>
      </w:r>
    </w:p>
    <w:p w14:paraId="0C198BC4" w14:textId="03E7A69F"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Griffiths, E.A., Hodson, J., Vohra, R.S., Marriott, P., Katehi, T., Zino, S., Nassar, A.H. and West Midlands Research Collaborative, 2019. Utilization of an operative difficulty grading scale for laparoscopic cholecystectomy. </w:t>
      </w:r>
      <w:r>
        <w:rPr>
          <w:rFonts w:ascii="Arial" w:hAnsi="Arial" w:cs="Arial"/>
          <w:i/>
          <w:iCs/>
          <w:color w:val="222222"/>
          <w:sz w:val="20"/>
          <w:szCs w:val="20"/>
          <w:shd w:val="clear" w:color="auto" w:fill="FFFFFF"/>
        </w:rPr>
        <w:t>Surgical endoscopy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pp.110-121.</w:t>
      </w:r>
    </w:p>
    <w:p w14:paraId="7F2E073B" w14:textId="0FF66235"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Jain, M., Koren, S., Mega, K.H., Quick, J., Rand, A.C., Sasami, T.A., Tyson, J.R., Beggs, A.D., Dilthey, A.T., Fiddes, I.T. and Malla, S., 2018. Nanopore sequencing and assembly of a human genome with ultra-long reads. </w:t>
      </w:r>
      <w:r>
        <w:rPr>
          <w:rFonts w:ascii="Arial" w:hAnsi="Arial" w:cs="Arial"/>
          <w:i/>
          <w:iCs/>
          <w:color w:val="222222"/>
          <w:sz w:val="20"/>
          <w:szCs w:val="20"/>
          <w:shd w:val="clear" w:color="auto" w:fill="FFFFFF"/>
        </w:rPr>
        <w:t>Nature biotechnology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pp.338-345.</w:t>
      </w:r>
    </w:p>
    <w:p w14:paraId="51A52FAF" w14:textId="3EDA076D"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Armargosa-Marriott, T., Sandoval-Ibañez, O. and Kowalewska, Ł., 2020. Beyond the darkness: recent lessons from etiolation and de-etiolation studies. </w:t>
      </w:r>
      <w:r>
        <w:rPr>
          <w:rFonts w:ascii="Arial" w:hAnsi="Arial" w:cs="Arial"/>
          <w:i/>
          <w:iCs/>
          <w:color w:val="222222"/>
          <w:sz w:val="20"/>
          <w:szCs w:val="20"/>
          <w:shd w:val="clear" w:color="auto" w:fill="FFFFFF"/>
        </w:rPr>
        <w:t>Journal of experimental botany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(4), pp.1215-1225.</w:t>
      </w:r>
    </w:p>
    <w:p w14:paraId="03B85BFB" w14:textId="388D4EF9"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D.J., Playford, E.G., Chen, S., Slavin, M., Nguyen, Q., Ellis, D., Sorrell, T.C. and Australian Candidemia Study Geoffrey Playford@ health. old. gov. au, 2009. Determinants of mortality in non-neutropenic ICU patients with candidemia. </w:t>
      </w:r>
      <w:r>
        <w:rPr>
          <w:rFonts w:ascii="Arial" w:hAnsi="Arial" w:cs="Arial"/>
          <w:i/>
          <w:iCs/>
          <w:color w:val="222222"/>
          <w:sz w:val="20"/>
          <w:szCs w:val="20"/>
          <w:shd w:val="clear" w:color="auto" w:fill="FFFFFF"/>
        </w:rPr>
        <w:t>Critical Care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pp.1-8.</w:t>
      </w:r>
    </w:p>
    <w:p w14:paraId="44E988C6" w14:textId="61693DF3"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Stark, D.J., Beebe, N., Marriott, D., Ellis, J.T. and Harkness, J., 2006. Dientamoebiasis: clinical importance and recent advances. </w:t>
      </w:r>
      <w:r>
        <w:rPr>
          <w:rFonts w:ascii="Arial" w:hAnsi="Arial" w:cs="Arial"/>
          <w:i/>
          <w:iCs/>
          <w:color w:val="222222"/>
          <w:sz w:val="20"/>
          <w:szCs w:val="20"/>
          <w:shd w:val="clear" w:color="auto" w:fill="FFFFFF"/>
        </w:rPr>
        <w:t>Trends in parasitology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(2), pp.92-96.</w:t>
      </w:r>
    </w:p>
    <w:p w14:paraId="7C5FCD93" w14:textId="5CF08F7B"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Marriott, B.P., Osho, L., Hadden, L. and Connor, P., 2010. Intake of added sugars and selected nutrients in the United States, National Health and Nutrition Examination Survey (NHANES) 2003—2006. </w:t>
      </w:r>
      <w:r>
        <w:rPr>
          <w:rFonts w:ascii="Arial" w:hAnsi="Arial" w:cs="Arial"/>
          <w:i/>
          <w:iCs/>
          <w:color w:val="222222"/>
          <w:sz w:val="20"/>
          <w:szCs w:val="20"/>
          <w:shd w:val="clear" w:color="auto" w:fill="FFFFFF"/>
        </w:rPr>
        <w:t>Critical reviews in food science and nutrition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(3), pp.228-258.</w:t>
      </w:r>
    </w:p>
    <w:p w14:paraId="355AA97C" w14:textId="453C3315"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B.P., Fink, C.J. and Krakower, T., 2014. Worldwide consumption of sweeteners and recent trends. </w:t>
      </w:r>
      <w:r>
        <w:rPr>
          <w:rFonts w:ascii="Arial" w:hAnsi="Arial" w:cs="Arial"/>
          <w:i/>
          <w:iCs/>
          <w:color w:val="222222"/>
          <w:sz w:val="20"/>
          <w:szCs w:val="20"/>
          <w:shd w:val="clear" w:color="auto" w:fill="FFFFFF"/>
        </w:rPr>
        <w:t>Fructose, high fructose corn syrup, sucrose and health</w:t>
      </w:r>
      <w:r>
        <w:rPr>
          <w:rFonts w:ascii="Arial" w:hAnsi="Arial" w:cs="Arial"/>
          <w:color w:val="222222"/>
          <w:sz w:val="20"/>
          <w:szCs w:val="20"/>
          <w:shd w:val="clear" w:color="auto" w:fill="FFFFFF"/>
        </w:rPr>
        <w:t>, pp.87-111.</w:t>
      </w:r>
    </w:p>
    <w:p w14:paraId="2B03F7A5" w14:textId="7335B83B"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B.P., White, A., Hadden, L., Davies, J.C. and Wallingford, J.C., 2012. World Health Organization (WHO) infant and young child feeding indicators: associations with growth measures in 14 low</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income countries. </w:t>
      </w:r>
      <w:r>
        <w:rPr>
          <w:rFonts w:ascii="Arial" w:hAnsi="Arial" w:cs="Arial"/>
          <w:i/>
          <w:iCs/>
          <w:color w:val="222222"/>
          <w:sz w:val="20"/>
          <w:szCs w:val="20"/>
          <w:shd w:val="clear" w:color="auto" w:fill="FFFFFF"/>
        </w:rPr>
        <w:t>Maternal &amp; child nutrition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pp.354-370.</w:t>
      </w:r>
    </w:p>
    <w:p w14:paraId="12DC1661" w14:textId="7B1A9EBF"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M., 1976. Interpreting Indian society: A monistic alternative to Dumont's dualism. </w:t>
      </w:r>
      <w:r>
        <w:rPr>
          <w:rFonts w:ascii="Arial" w:hAnsi="Arial" w:cs="Arial"/>
          <w:i/>
          <w:iCs/>
          <w:color w:val="222222"/>
          <w:sz w:val="20"/>
          <w:szCs w:val="20"/>
          <w:shd w:val="clear" w:color="auto" w:fill="FFFFFF"/>
        </w:rPr>
        <w:t>The Journal of Asian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(1), pp.189-195.</w:t>
      </w:r>
    </w:p>
    <w:p w14:paraId="546BA601" w14:textId="656F80F7"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Marriott, S., Reynolds, W.F. and Tompson, R.D., 1985. Theoretical studies of the inductive effect. Part 5. Charged substituents in correlations of electronic substituent effects. </w:t>
      </w:r>
      <w:r>
        <w:rPr>
          <w:rFonts w:ascii="Arial" w:hAnsi="Arial" w:cs="Arial"/>
          <w:i/>
          <w:iCs/>
          <w:color w:val="222222"/>
          <w:sz w:val="20"/>
          <w:szCs w:val="20"/>
          <w:shd w:val="clear" w:color="auto" w:fill="FFFFFF"/>
        </w:rPr>
        <w:t>The Journal of Organic Chemistry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50</w:t>
      </w:r>
      <w:r>
        <w:rPr>
          <w:rFonts w:ascii="Arial" w:hAnsi="Arial" w:cs="Arial"/>
          <w:color w:val="222222"/>
          <w:sz w:val="20"/>
          <w:szCs w:val="20"/>
          <w:shd w:val="clear" w:color="auto" w:fill="FFFFFF"/>
        </w:rPr>
        <w:t>(6), pp.741-743.</w:t>
      </w:r>
    </w:p>
    <w:p w14:paraId="2FC7E8FF" w14:textId="34C9D431" w:rsidR="00235657" w:rsidRDefault="00235657" w:rsidP="00235657">
      <w:pPr>
        <w:pStyle w:val="NormalWeb"/>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Giri, B.R., Marriott, R.A. and Blais, P., 2012. H2S Viscosities and Densities at High</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Temperatures and Pressures. </w:t>
      </w:r>
      <w:r>
        <w:rPr>
          <w:rFonts w:ascii="Arial" w:hAnsi="Arial" w:cs="Arial"/>
          <w:i/>
          <w:iCs/>
          <w:color w:val="222222"/>
          <w:sz w:val="20"/>
          <w:szCs w:val="20"/>
          <w:shd w:val="clear" w:color="auto" w:fill="FFFFFF"/>
        </w:rPr>
        <w:t>Sour Gas and Related Technologies</w:t>
      </w:r>
      <w:r>
        <w:rPr>
          <w:rFonts w:ascii="Arial" w:hAnsi="Arial" w:cs="Arial"/>
          <w:color w:val="222222"/>
          <w:sz w:val="20"/>
          <w:szCs w:val="20"/>
          <w:shd w:val="clear" w:color="auto" w:fill="FFFFFF"/>
        </w:rPr>
        <w:t>, pp.37-47.</w:t>
      </w:r>
    </w:p>
    <w:p w14:paraId="5341C96D" w14:textId="77777777" w:rsidR="00235657" w:rsidRDefault="00235657" w:rsidP="00235657">
      <w:pPr>
        <w:pStyle w:val="NormalWeb"/>
        <w:spacing w:line="360" w:lineRule="auto"/>
        <w:jc w:val="both"/>
        <w:rPr>
          <w:b/>
          <w:bCs/>
          <w:i/>
          <w:iCs/>
          <w:color w:val="252525"/>
          <w:sz w:val="32"/>
          <w:szCs w:val="32"/>
          <w:u w:val="single"/>
        </w:rPr>
      </w:pPr>
    </w:p>
    <w:p w14:paraId="4EEEAFFD" w14:textId="77777777" w:rsidR="00235657" w:rsidRPr="00235657" w:rsidRDefault="00235657" w:rsidP="00235657">
      <w:pPr>
        <w:pStyle w:val="NormalWeb"/>
        <w:spacing w:line="360" w:lineRule="auto"/>
        <w:jc w:val="both"/>
        <w:rPr>
          <w:b/>
          <w:bCs/>
          <w:i/>
          <w:iCs/>
          <w:color w:val="252525"/>
          <w:sz w:val="32"/>
          <w:szCs w:val="32"/>
          <w:u w:val="single"/>
        </w:rPr>
      </w:pPr>
    </w:p>
    <w:p w14:paraId="162DD668" w14:textId="77777777" w:rsidR="00235657" w:rsidRDefault="00235657" w:rsidP="00235657">
      <w:pPr>
        <w:pStyle w:val="NormalWeb"/>
        <w:rPr>
          <w:color w:val="252525"/>
        </w:rPr>
      </w:pPr>
      <w:r>
        <w:rPr>
          <w:color w:val="252525"/>
        </w:rPr>
        <w:t> </w:t>
      </w:r>
    </w:p>
    <w:p w14:paraId="77871424" w14:textId="77777777" w:rsidR="00235657" w:rsidRDefault="00235657" w:rsidP="00235657">
      <w:pPr>
        <w:pStyle w:val="NormalWeb"/>
        <w:rPr>
          <w:color w:val="252525"/>
        </w:rPr>
      </w:pPr>
      <w:r>
        <w:rPr>
          <w:color w:val="252525"/>
        </w:rPr>
        <w:t> </w:t>
      </w:r>
    </w:p>
    <w:p w14:paraId="141CAA68" w14:textId="77777777" w:rsidR="00235657" w:rsidRDefault="00235657" w:rsidP="00235657">
      <w:pPr>
        <w:pStyle w:val="NormalWeb"/>
        <w:rPr>
          <w:color w:val="252525"/>
        </w:rPr>
      </w:pPr>
      <w:r>
        <w:rPr>
          <w:color w:val="252525"/>
        </w:rPr>
        <w:t> </w:t>
      </w:r>
    </w:p>
    <w:p w14:paraId="2AC21F0A" w14:textId="77777777" w:rsidR="00235657" w:rsidRDefault="00235657" w:rsidP="00235657">
      <w:pPr>
        <w:pStyle w:val="NormalWeb"/>
        <w:rPr>
          <w:color w:val="252525"/>
        </w:rPr>
      </w:pPr>
      <w:r>
        <w:rPr>
          <w:color w:val="252525"/>
        </w:rPr>
        <w:t> </w:t>
      </w:r>
    </w:p>
    <w:p w14:paraId="77BC8418" w14:textId="742D9281" w:rsidR="00235657" w:rsidRDefault="00235657" w:rsidP="00235657">
      <w:pPr>
        <w:pStyle w:val="NormalWeb"/>
        <w:rPr>
          <w:color w:val="252525"/>
        </w:rPr>
      </w:pPr>
    </w:p>
    <w:p w14:paraId="7C629956" w14:textId="16247852" w:rsidR="00620E58" w:rsidRDefault="00620E58" w:rsidP="00620E58">
      <w:pPr>
        <w:pStyle w:val="NormalWeb"/>
        <w:rPr>
          <w:color w:val="252525"/>
        </w:rPr>
      </w:pPr>
    </w:p>
    <w:p w14:paraId="30A2337F" w14:textId="77777777" w:rsidR="00620E58" w:rsidRPr="00620E58" w:rsidRDefault="00620E58" w:rsidP="00620E58">
      <w:pPr>
        <w:pStyle w:val="NormalWeb"/>
        <w:rPr>
          <w:b/>
          <w:bCs/>
          <w:i/>
          <w:iCs/>
          <w:color w:val="252525"/>
          <w:sz w:val="32"/>
          <w:szCs w:val="32"/>
          <w:u w:val="single"/>
        </w:rPr>
      </w:pPr>
    </w:p>
    <w:p w14:paraId="587B027B" w14:textId="1F411732" w:rsidR="00975860" w:rsidRPr="00975860" w:rsidRDefault="00975860" w:rsidP="00975860">
      <w:pPr>
        <w:rPr>
          <w:rFonts w:ascii="Times New Roman" w:hAnsi="Times New Roman" w:cs="Times New Roman"/>
          <w:b/>
          <w:bCs/>
          <w:i/>
          <w:iCs/>
          <w:sz w:val="32"/>
          <w:szCs w:val="32"/>
          <w:u w:val="single"/>
        </w:rPr>
      </w:pPr>
    </w:p>
    <w:sectPr w:rsidR="00975860" w:rsidRPr="00975860" w:rsidSect="00103AF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359"/>
    <w:rsid w:val="000C5806"/>
    <w:rsid w:val="000E1E5B"/>
    <w:rsid w:val="00103AF9"/>
    <w:rsid w:val="001B1AD7"/>
    <w:rsid w:val="00225CD1"/>
    <w:rsid w:val="00235657"/>
    <w:rsid w:val="002B7CFB"/>
    <w:rsid w:val="00410840"/>
    <w:rsid w:val="004A3D9F"/>
    <w:rsid w:val="00530334"/>
    <w:rsid w:val="00570B78"/>
    <w:rsid w:val="00620E58"/>
    <w:rsid w:val="00682359"/>
    <w:rsid w:val="006927D0"/>
    <w:rsid w:val="00743A8E"/>
    <w:rsid w:val="00853FB1"/>
    <w:rsid w:val="00903EB1"/>
    <w:rsid w:val="00975860"/>
    <w:rsid w:val="009E38EB"/>
    <w:rsid w:val="00AC7C0E"/>
    <w:rsid w:val="00CF6D8C"/>
    <w:rsid w:val="00E055E1"/>
    <w:rsid w:val="00E77472"/>
    <w:rsid w:val="00EE7680"/>
    <w:rsid w:val="00FF5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37C7D"/>
  <w15:chartTrackingRefBased/>
  <w15:docId w15:val="{E31008F8-06A9-404F-9422-D601E3F9C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B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0B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586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570B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70B7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70B78"/>
    <w:pPr>
      <w:outlineLvl w:val="9"/>
    </w:pPr>
    <w:rPr>
      <w:kern w:val="0"/>
      <w14:ligatures w14:val="none"/>
    </w:rPr>
  </w:style>
  <w:style w:type="paragraph" w:styleId="TOC1">
    <w:name w:val="toc 1"/>
    <w:basedOn w:val="Normal"/>
    <w:next w:val="Normal"/>
    <w:autoRedefine/>
    <w:uiPriority w:val="39"/>
    <w:unhideWhenUsed/>
    <w:rsid w:val="00570B78"/>
    <w:pPr>
      <w:spacing w:after="100"/>
    </w:pPr>
  </w:style>
  <w:style w:type="paragraph" w:styleId="TOC2">
    <w:name w:val="toc 2"/>
    <w:basedOn w:val="Normal"/>
    <w:next w:val="Normal"/>
    <w:autoRedefine/>
    <w:uiPriority w:val="39"/>
    <w:unhideWhenUsed/>
    <w:rsid w:val="00570B78"/>
    <w:pPr>
      <w:spacing w:after="100"/>
      <w:ind w:left="220"/>
    </w:pPr>
  </w:style>
  <w:style w:type="character" w:styleId="Hyperlink">
    <w:name w:val="Hyperlink"/>
    <w:basedOn w:val="DefaultParagraphFont"/>
    <w:uiPriority w:val="99"/>
    <w:unhideWhenUsed/>
    <w:rsid w:val="00570B78"/>
    <w:rPr>
      <w:color w:val="0563C1" w:themeColor="hyperlink"/>
      <w:u w:val="single"/>
    </w:rPr>
  </w:style>
  <w:style w:type="paragraph" w:styleId="NoSpacing">
    <w:name w:val="No Spacing"/>
    <w:link w:val="NoSpacingChar"/>
    <w:uiPriority w:val="1"/>
    <w:qFormat/>
    <w:rsid w:val="00225CD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225CD1"/>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91991">
      <w:bodyDiv w:val="1"/>
      <w:marLeft w:val="0"/>
      <w:marRight w:val="0"/>
      <w:marTop w:val="0"/>
      <w:marBottom w:val="0"/>
      <w:divBdr>
        <w:top w:val="none" w:sz="0" w:space="0" w:color="auto"/>
        <w:left w:val="none" w:sz="0" w:space="0" w:color="auto"/>
        <w:bottom w:val="none" w:sz="0" w:space="0" w:color="auto"/>
        <w:right w:val="none" w:sz="0" w:space="0" w:color="auto"/>
      </w:divBdr>
    </w:div>
    <w:div w:id="54931814">
      <w:bodyDiv w:val="1"/>
      <w:marLeft w:val="0"/>
      <w:marRight w:val="0"/>
      <w:marTop w:val="0"/>
      <w:marBottom w:val="0"/>
      <w:divBdr>
        <w:top w:val="none" w:sz="0" w:space="0" w:color="auto"/>
        <w:left w:val="none" w:sz="0" w:space="0" w:color="auto"/>
        <w:bottom w:val="none" w:sz="0" w:space="0" w:color="auto"/>
        <w:right w:val="none" w:sz="0" w:space="0" w:color="auto"/>
      </w:divBdr>
    </w:div>
    <w:div w:id="113060485">
      <w:bodyDiv w:val="1"/>
      <w:marLeft w:val="0"/>
      <w:marRight w:val="0"/>
      <w:marTop w:val="0"/>
      <w:marBottom w:val="0"/>
      <w:divBdr>
        <w:top w:val="none" w:sz="0" w:space="0" w:color="auto"/>
        <w:left w:val="none" w:sz="0" w:space="0" w:color="auto"/>
        <w:bottom w:val="none" w:sz="0" w:space="0" w:color="auto"/>
        <w:right w:val="none" w:sz="0" w:space="0" w:color="auto"/>
      </w:divBdr>
    </w:div>
    <w:div w:id="277025534">
      <w:bodyDiv w:val="1"/>
      <w:marLeft w:val="0"/>
      <w:marRight w:val="0"/>
      <w:marTop w:val="0"/>
      <w:marBottom w:val="0"/>
      <w:divBdr>
        <w:top w:val="none" w:sz="0" w:space="0" w:color="auto"/>
        <w:left w:val="none" w:sz="0" w:space="0" w:color="auto"/>
        <w:bottom w:val="none" w:sz="0" w:space="0" w:color="auto"/>
        <w:right w:val="none" w:sz="0" w:space="0" w:color="auto"/>
      </w:divBdr>
    </w:div>
    <w:div w:id="279652971">
      <w:bodyDiv w:val="1"/>
      <w:marLeft w:val="0"/>
      <w:marRight w:val="0"/>
      <w:marTop w:val="0"/>
      <w:marBottom w:val="0"/>
      <w:divBdr>
        <w:top w:val="none" w:sz="0" w:space="0" w:color="auto"/>
        <w:left w:val="none" w:sz="0" w:space="0" w:color="auto"/>
        <w:bottom w:val="none" w:sz="0" w:space="0" w:color="auto"/>
        <w:right w:val="none" w:sz="0" w:space="0" w:color="auto"/>
      </w:divBdr>
    </w:div>
    <w:div w:id="404885759">
      <w:bodyDiv w:val="1"/>
      <w:marLeft w:val="0"/>
      <w:marRight w:val="0"/>
      <w:marTop w:val="0"/>
      <w:marBottom w:val="0"/>
      <w:divBdr>
        <w:top w:val="none" w:sz="0" w:space="0" w:color="auto"/>
        <w:left w:val="none" w:sz="0" w:space="0" w:color="auto"/>
        <w:bottom w:val="none" w:sz="0" w:space="0" w:color="auto"/>
        <w:right w:val="none" w:sz="0" w:space="0" w:color="auto"/>
      </w:divBdr>
    </w:div>
    <w:div w:id="567568432">
      <w:bodyDiv w:val="1"/>
      <w:marLeft w:val="0"/>
      <w:marRight w:val="0"/>
      <w:marTop w:val="0"/>
      <w:marBottom w:val="0"/>
      <w:divBdr>
        <w:top w:val="none" w:sz="0" w:space="0" w:color="auto"/>
        <w:left w:val="none" w:sz="0" w:space="0" w:color="auto"/>
        <w:bottom w:val="none" w:sz="0" w:space="0" w:color="auto"/>
        <w:right w:val="none" w:sz="0" w:space="0" w:color="auto"/>
      </w:divBdr>
    </w:div>
    <w:div w:id="596669168">
      <w:bodyDiv w:val="1"/>
      <w:marLeft w:val="0"/>
      <w:marRight w:val="0"/>
      <w:marTop w:val="0"/>
      <w:marBottom w:val="0"/>
      <w:divBdr>
        <w:top w:val="none" w:sz="0" w:space="0" w:color="auto"/>
        <w:left w:val="none" w:sz="0" w:space="0" w:color="auto"/>
        <w:bottom w:val="none" w:sz="0" w:space="0" w:color="auto"/>
        <w:right w:val="none" w:sz="0" w:space="0" w:color="auto"/>
      </w:divBdr>
    </w:div>
    <w:div w:id="599097310">
      <w:bodyDiv w:val="1"/>
      <w:marLeft w:val="0"/>
      <w:marRight w:val="0"/>
      <w:marTop w:val="0"/>
      <w:marBottom w:val="0"/>
      <w:divBdr>
        <w:top w:val="none" w:sz="0" w:space="0" w:color="auto"/>
        <w:left w:val="none" w:sz="0" w:space="0" w:color="auto"/>
        <w:bottom w:val="none" w:sz="0" w:space="0" w:color="auto"/>
        <w:right w:val="none" w:sz="0" w:space="0" w:color="auto"/>
      </w:divBdr>
    </w:div>
    <w:div w:id="668215744">
      <w:bodyDiv w:val="1"/>
      <w:marLeft w:val="0"/>
      <w:marRight w:val="0"/>
      <w:marTop w:val="0"/>
      <w:marBottom w:val="0"/>
      <w:divBdr>
        <w:top w:val="none" w:sz="0" w:space="0" w:color="auto"/>
        <w:left w:val="none" w:sz="0" w:space="0" w:color="auto"/>
        <w:bottom w:val="none" w:sz="0" w:space="0" w:color="auto"/>
        <w:right w:val="none" w:sz="0" w:space="0" w:color="auto"/>
      </w:divBdr>
    </w:div>
    <w:div w:id="742339894">
      <w:bodyDiv w:val="1"/>
      <w:marLeft w:val="0"/>
      <w:marRight w:val="0"/>
      <w:marTop w:val="0"/>
      <w:marBottom w:val="0"/>
      <w:divBdr>
        <w:top w:val="none" w:sz="0" w:space="0" w:color="auto"/>
        <w:left w:val="none" w:sz="0" w:space="0" w:color="auto"/>
        <w:bottom w:val="none" w:sz="0" w:space="0" w:color="auto"/>
        <w:right w:val="none" w:sz="0" w:space="0" w:color="auto"/>
      </w:divBdr>
    </w:div>
    <w:div w:id="761218074">
      <w:bodyDiv w:val="1"/>
      <w:marLeft w:val="0"/>
      <w:marRight w:val="0"/>
      <w:marTop w:val="0"/>
      <w:marBottom w:val="0"/>
      <w:divBdr>
        <w:top w:val="none" w:sz="0" w:space="0" w:color="auto"/>
        <w:left w:val="none" w:sz="0" w:space="0" w:color="auto"/>
        <w:bottom w:val="none" w:sz="0" w:space="0" w:color="auto"/>
        <w:right w:val="none" w:sz="0" w:space="0" w:color="auto"/>
      </w:divBdr>
    </w:div>
    <w:div w:id="910385645">
      <w:bodyDiv w:val="1"/>
      <w:marLeft w:val="0"/>
      <w:marRight w:val="0"/>
      <w:marTop w:val="0"/>
      <w:marBottom w:val="0"/>
      <w:divBdr>
        <w:top w:val="none" w:sz="0" w:space="0" w:color="auto"/>
        <w:left w:val="none" w:sz="0" w:space="0" w:color="auto"/>
        <w:bottom w:val="none" w:sz="0" w:space="0" w:color="auto"/>
        <w:right w:val="none" w:sz="0" w:space="0" w:color="auto"/>
      </w:divBdr>
    </w:div>
    <w:div w:id="1004626153">
      <w:bodyDiv w:val="1"/>
      <w:marLeft w:val="0"/>
      <w:marRight w:val="0"/>
      <w:marTop w:val="0"/>
      <w:marBottom w:val="0"/>
      <w:divBdr>
        <w:top w:val="none" w:sz="0" w:space="0" w:color="auto"/>
        <w:left w:val="none" w:sz="0" w:space="0" w:color="auto"/>
        <w:bottom w:val="none" w:sz="0" w:space="0" w:color="auto"/>
        <w:right w:val="none" w:sz="0" w:space="0" w:color="auto"/>
      </w:divBdr>
    </w:div>
    <w:div w:id="1089275073">
      <w:bodyDiv w:val="1"/>
      <w:marLeft w:val="0"/>
      <w:marRight w:val="0"/>
      <w:marTop w:val="0"/>
      <w:marBottom w:val="0"/>
      <w:divBdr>
        <w:top w:val="none" w:sz="0" w:space="0" w:color="auto"/>
        <w:left w:val="none" w:sz="0" w:space="0" w:color="auto"/>
        <w:bottom w:val="none" w:sz="0" w:space="0" w:color="auto"/>
        <w:right w:val="none" w:sz="0" w:space="0" w:color="auto"/>
      </w:divBdr>
    </w:div>
    <w:div w:id="1291790753">
      <w:bodyDiv w:val="1"/>
      <w:marLeft w:val="0"/>
      <w:marRight w:val="0"/>
      <w:marTop w:val="0"/>
      <w:marBottom w:val="0"/>
      <w:divBdr>
        <w:top w:val="none" w:sz="0" w:space="0" w:color="auto"/>
        <w:left w:val="none" w:sz="0" w:space="0" w:color="auto"/>
        <w:bottom w:val="none" w:sz="0" w:space="0" w:color="auto"/>
        <w:right w:val="none" w:sz="0" w:space="0" w:color="auto"/>
      </w:divBdr>
    </w:div>
    <w:div w:id="1393431798">
      <w:bodyDiv w:val="1"/>
      <w:marLeft w:val="0"/>
      <w:marRight w:val="0"/>
      <w:marTop w:val="0"/>
      <w:marBottom w:val="0"/>
      <w:divBdr>
        <w:top w:val="none" w:sz="0" w:space="0" w:color="auto"/>
        <w:left w:val="none" w:sz="0" w:space="0" w:color="auto"/>
        <w:bottom w:val="none" w:sz="0" w:space="0" w:color="auto"/>
        <w:right w:val="none" w:sz="0" w:space="0" w:color="auto"/>
      </w:divBdr>
    </w:div>
    <w:div w:id="1401903788">
      <w:bodyDiv w:val="1"/>
      <w:marLeft w:val="0"/>
      <w:marRight w:val="0"/>
      <w:marTop w:val="0"/>
      <w:marBottom w:val="0"/>
      <w:divBdr>
        <w:top w:val="none" w:sz="0" w:space="0" w:color="auto"/>
        <w:left w:val="none" w:sz="0" w:space="0" w:color="auto"/>
        <w:bottom w:val="none" w:sz="0" w:space="0" w:color="auto"/>
        <w:right w:val="none" w:sz="0" w:space="0" w:color="auto"/>
      </w:divBdr>
    </w:div>
    <w:div w:id="1419861802">
      <w:bodyDiv w:val="1"/>
      <w:marLeft w:val="0"/>
      <w:marRight w:val="0"/>
      <w:marTop w:val="0"/>
      <w:marBottom w:val="0"/>
      <w:divBdr>
        <w:top w:val="none" w:sz="0" w:space="0" w:color="auto"/>
        <w:left w:val="none" w:sz="0" w:space="0" w:color="auto"/>
        <w:bottom w:val="none" w:sz="0" w:space="0" w:color="auto"/>
        <w:right w:val="none" w:sz="0" w:space="0" w:color="auto"/>
      </w:divBdr>
    </w:div>
    <w:div w:id="1428119261">
      <w:bodyDiv w:val="1"/>
      <w:marLeft w:val="0"/>
      <w:marRight w:val="0"/>
      <w:marTop w:val="0"/>
      <w:marBottom w:val="0"/>
      <w:divBdr>
        <w:top w:val="none" w:sz="0" w:space="0" w:color="auto"/>
        <w:left w:val="none" w:sz="0" w:space="0" w:color="auto"/>
        <w:bottom w:val="none" w:sz="0" w:space="0" w:color="auto"/>
        <w:right w:val="none" w:sz="0" w:space="0" w:color="auto"/>
      </w:divBdr>
    </w:div>
    <w:div w:id="1471480189">
      <w:bodyDiv w:val="1"/>
      <w:marLeft w:val="0"/>
      <w:marRight w:val="0"/>
      <w:marTop w:val="0"/>
      <w:marBottom w:val="0"/>
      <w:divBdr>
        <w:top w:val="none" w:sz="0" w:space="0" w:color="auto"/>
        <w:left w:val="none" w:sz="0" w:space="0" w:color="auto"/>
        <w:bottom w:val="none" w:sz="0" w:space="0" w:color="auto"/>
        <w:right w:val="none" w:sz="0" w:space="0" w:color="auto"/>
      </w:divBdr>
    </w:div>
    <w:div w:id="1473019396">
      <w:bodyDiv w:val="1"/>
      <w:marLeft w:val="0"/>
      <w:marRight w:val="0"/>
      <w:marTop w:val="0"/>
      <w:marBottom w:val="0"/>
      <w:divBdr>
        <w:top w:val="none" w:sz="0" w:space="0" w:color="auto"/>
        <w:left w:val="none" w:sz="0" w:space="0" w:color="auto"/>
        <w:bottom w:val="none" w:sz="0" w:space="0" w:color="auto"/>
        <w:right w:val="none" w:sz="0" w:space="0" w:color="auto"/>
      </w:divBdr>
    </w:div>
    <w:div w:id="1481729119">
      <w:bodyDiv w:val="1"/>
      <w:marLeft w:val="0"/>
      <w:marRight w:val="0"/>
      <w:marTop w:val="0"/>
      <w:marBottom w:val="0"/>
      <w:divBdr>
        <w:top w:val="none" w:sz="0" w:space="0" w:color="auto"/>
        <w:left w:val="none" w:sz="0" w:space="0" w:color="auto"/>
        <w:bottom w:val="none" w:sz="0" w:space="0" w:color="auto"/>
        <w:right w:val="none" w:sz="0" w:space="0" w:color="auto"/>
      </w:divBdr>
    </w:div>
    <w:div w:id="1643000158">
      <w:bodyDiv w:val="1"/>
      <w:marLeft w:val="0"/>
      <w:marRight w:val="0"/>
      <w:marTop w:val="0"/>
      <w:marBottom w:val="0"/>
      <w:divBdr>
        <w:top w:val="none" w:sz="0" w:space="0" w:color="auto"/>
        <w:left w:val="none" w:sz="0" w:space="0" w:color="auto"/>
        <w:bottom w:val="none" w:sz="0" w:space="0" w:color="auto"/>
        <w:right w:val="none" w:sz="0" w:space="0" w:color="auto"/>
      </w:divBdr>
    </w:div>
    <w:div w:id="1669014774">
      <w:bodyDiv w:val="1"/>
      <w:marLeft w:val="0"/>
      <w:marRight w:val="0"/>
      <w:marTop w:val="0"/>
      <w:marBottom w:val="0"/>
      <w:divBdr>
        <w:top w:val="none" w:sz="0" w:space="0" w:color="auto"/>
        <w:left w:val="none" w:sz="0" w:space="0" w:color="auto"/>
        <w:bottom w:val="none" w:sz="0" w:space="0" w:color="auto"/>
        <w:right w:val="none" w:sz="0" w:space="0" w:color="auto"/>
      </w:divBdr>
    </w:div>
    <w:div w:id="1764255027">
      <w:bodyDiv w:val="1"/>
      <w:marLeft w:val="0"/>
      <w:marRight w:val="0"/>
      <w:marTop w:val="0"/>
      <w:marBottom w:val="0"/>
      <w:divBdr>
        <w:top w:val="none" w:sz="0" w:space="0" w:color="auto"/>
        <w:left w:val="none" w:sz="0" w:space="0" w:color="auto"/>
        <w:bottom w:val="none" w:sz="0" w:space="0" w:color="auto"/>
        <w:right w:val="none" w:sz="0" w:space="0" w:color="auto"/>
      </w:divBdr>
    </w:div>
    <w:div w:id="1857764781">
      <w:bodyDiv w:val="1"/>
      <w:marLeft w:val="0"/>
      <w:marRight w:val="0"/>
      <w:marTop w:val="0"/>
      <w:marBottom w:val="0"/>
      <w:divBdr>
        <w:top w:val="none" w:sz="0" w:space="0" w:color="auto"/>
        <w:left w:val="none" w:sz="0" w:space="0" w:color="auto"/>
        <w:bottom w:val="none" w:sz="0" w:space="0" w:color="auto"/>
        <w:right w:val="none" w:sz="0" w:space="0" w:color="auto"/>
      </w:divBdr>
    </w:div>
    <w:div w:id="1865098083">
      <w:bodyDiv w:val="1"/>
      <w:marLeft w:val="0"/>
      <w:marRight w:val="0"/>
      <w:marTop w:val="0"/>
      <w:marBottom w:val="0"/>
      <w:divBdr>
        <w:top w:val="none" w:sz="0" w:space="0" w:color="auto"/>
        <w:left w:val="none" w:sz="0" w:space="0" w:color="auto"/>
        <w:bottom w:val="none" w:sz="0" w:space="0" w:color="auto"/>
        <w:right w:val="none" w:sz="0" w:space="0" w:color="auto"/>
      </w:divBdr>
    </w:div>
    <w:div w:id="2036812066">
      <w:bodyDiv w:val="1"/>
      <w:marLeft w:val="0"/>
      <w:marRight w:val="0"/>
      <w:marTop w:val="0"/>
      <w:marBottom w:val="0"/>
      <w:divBdr>
        <w:top w:val="none" w:sz="0" w:space="0" w:color="auto"/>
        <w:left w:val="none" w:sz="0" w:space="0" w:color="auto"/>
        <w:bottom w:val="none" w:sz="0" w:space="0" w:color="auto"/>
        <w:right w:val="none" w:sz="0" w:space="0" w:color="auto"/>
      </w:divBdr>
    </w:div>
    <w:div w:id="2069643850">
      <w:bodyDiv w:val="1"/>
      <w:marLeft w:val="0"/>
      <w:marRight w:val="0"/>
      <w:marTop w:val="0"/>
      <w:marBottom w:val="0"/>
      <w:divBdr>
        <w:top w:val="none" w:sz="0" w:space="0" w:color="auto"/>
        <w:left w:val="none" w:sz="0" w:space="0" w:color="auto"/>
        <w:bottom w:val="none" w:sz="0" w:space="0" w:color="auto"/>
        <w:right w:val="none" w:sz="0" w:space="0" w:color="auto"/>
      </w:divBdr>
    </w:div>
    <w:div w:id="2092699095">
      <w:bodyDiv w:val="1"/>
      <w:marLeft w:val="0"/>
      <w:marRight w:val="0"/>
      <w:marTop w:val="0"/>
      <w:marBottom w:val="0"/>
      <w:divBdr>
        <w:top w:val="none" w:sz="0" w:space="0" w:color="auto"/>
        <w:left w:val="none" w:sz="0" w:space="0" w:color="auto"/>
        <w:bottom w:val="none" w:sz="0" w:space="0" w:color="auto"/>
        <w:right w:val="none" w:sz="0" w:space="0" w:color="auto"/>
      </w:divBdr>
    </w:div>
    <w:div w:id="2106925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F5078-96EE-4C93-8B5E-7D5BB2E43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13</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Student Name: Mohammed Hussain</Company>
  <LinksUpToDate>false</LinksUpToDate>
  <CharactersWithSpaces>21230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dc:subject>Module Code: BMIH5006</dc:subject>
  <dc:creator>M F C</dc:creator>
  <cp:keywords/>
  <dc:description/>
  <cp:lastModifiedBy>Farihah Hussain</cp:lastModifiedBy>
  <cp:revision>5</cp:revision>
  <dcterms:created xsi:type="dcterms:W3CDTF">2024-01-20T10:03:00Z</dcterms:created>
  <dcterms:modified xsi:type="dcterms:W3CDTF">2024-01-28T22:14:00Z</dcterms:modified>
</cp:coreProperties>
</file>