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E04A0" w14:textId="64328222" w:rsidR="00E207D0" w:rsidRDefault="009D61CB" w:rsidP="009D61CB">
      <w:pPr>
        <w:jc w:val="center"/>
        <w:rPr>
          <w:rFonts w:ascii="Times New Roman" w:hAnsi="Times New Roman" w:cs="Times New Roman"/>
          <w:b/>
          <w:sz w:val="36"/>
          <w:u w:val="single"/>
        </w:rPr>
      </w:pPr>
      <w:r>
        <w:rPr>
          <w:rFonts w:ascii="Times New Roman" w:hAnsi="Times New Roman" w:cs="Times New Roman"/>
          <w:b/>
          <w:sz w:val="36"/>
          <w:u w:val="single"/>
        </w:rPr>
        <w:t>Character Dossier: Attal</w:t>
      </w:r>
      <w:r w:rsidR="005827ED">
        <w:rPr>
          <w:rFonts w:ascii="Times New Roman" w:hAnsi="Times New Roman" w:cs="Times New Roman"/>
          <w:b/>
          <w:sz w:val="36"/>
          <w:u w:val="single"/>
        </w:rPr>
        <w:t>o</w:t>
      </w:r>
      <w:r>
        <w:rPr>
          <w:rFonts w:ascii="Times New Roman" w:hAnsi="Times New Roman" w:cs="Times New Roman"/>
          <w:b/>
          <w:sz w:val="36"/>
          <w:u w:val="single"/>
        </w:rPr>
        <w:t>s II Philadelphus</w:t>
      </w:r>
    </w:p>
    <w:p w14:paraId="1B989E9B" w14:textId="49096731" w:rsidR="009D61CB" w:rsidRDefault="009D61CB" w:rsidP="009D61CB">
      <w:pPr>
        <w:rPr>
          <w:rFonts w:ascii="Times New Roman" w:hAnsi="Times New Roman" w:cs="Times New Roman"/>
          <w:sz w:val="24"/>
        </w:rPr>
      </w:pPr>
    </w:p>
    <w:p w14:paraId="08C89633" w14:textId="1D33CBEB" w:rsidR="009D61CB" w:rsidRDefault="008C2F9A" w:rsidP="00061C27">
      <w:pPr>
        <w:spacing w:line="360" w:lineRule="auto"/>
        <w:jc w:val="both"/>
        <w:rPr>
          <w:rFonts w:ascii="Times New Roman" w:hAnsi="Times New Roman" w:cs="Times New Roman"/>
        </w:rPr>
      </w:pPr>
      <w:r>
        <w:rPr>
          <w:rFonts w:ascii="Times New Roman" w:hAnsi="Times New Roman" w:cs="Times New Roman"/>
        </w:rPr>
        <w:t xml:space="preserve">The person I have chosen to represent is Attalos II Philadelphus of the kingdom of Pergamon. </w:t>
      </w:r>
      <w:r w:rsidR="00EE5D49" w:rsidRPr="00EE5D49">
        <w:rPr>
          <w:rFonts w:ascii="Times New Roman" w:hAnsi="Times New Roman" w:cs="Times New Roman"/>
        </w:rPr>
        <w:t>Attal</w:t>
      </w:r>
      <w:r w:rsidR="005827ED">
        <w:rPr>
          <w:rFonts w:ascii="Times New Roman" w:hAnsi="Times New Roman" w:cs="Times New Roman"/>
        </w:rPr>
        <w:t>o</w:t>
      </w:r>
      <w:r w:rsidR="00EE5D49" w:rsidRPr="00EE5D49">
        <w:rPr>
          <w:rFonts w:ascii="Times New Roman" w:hAnsi="Times New Roman" w:cs="Times New Roman"/>
        </w:rPr>
        <w:t xml:space="preserve">s II Philadelphus </w:t>
      </w:r>
      <w:r w:rsidR="00EE5D49">
        <w:rPr>
          <w:rFonts w:ascii="Times New Roman" w:hAnsi="Times New Roman" w:cs="Times New Roman"/>
        </w:rPr>
        <w:t xml:space="preserve">was </w:t>
      </w:r>
      <w:r w:rsidR="005827ED">
        <w:rPr>
          <w:rFonts w:ascii="Times New Roman" w:hAnsi="Times New Roman" w:cs="Times New Roman"/>
        </w:rPr>
        <w:t xml:space="preserve">born in 220 B.C. and was </w:t>
      </w:r>
      <w:r w:rsidR="00EE5D49">
        <w:rPr>
          <w:rFonts w:ascii="Times New Roman" w:hAnsi="Times New Roman" w:cs="Times New Roman"/>
        </w:rPr>
        <w:t>the son of Attal</w:t>
      </w:r>
      <w:r w:rsidR="005827ED">
        <w:rPr>
          <w:rFonts w:ascii="Times New Roman" w:hAnsi="Times New Roman" w:cs="Times New Roman"/>
        </w:rPr>
        <w:t>o</w:t>
      </w:r>
      <w:r w:rsidR="00EE5D49">
        <w:rPr>
          <w:rFonts w:ascii="Times New Roman" w:hAnsi="Times New Roman" w:cs="Times New Roman"/>
        </w:rPr>
        <w:t>s I Soter and the brother of Eumenes II.</w:t>
      </w:r>
      <w:r w:rsidR="00EE5D49">
        <w:rPr>
          <w:rStyle w:val="FootnoteReference"/>
          <w:rFonts w:ascii="Times New Roman" w:hAnsi="Times New Roman" w:cs="Times New Roman"/>
        </w:rPr>
        <w:footnoteReference w:id="1"/>
      </w:r>
      <w:r w:rsidR="005827ED">
        <w:rPr>
          <w:rFonts w:ascii="Times New Roman" w:hAnsi="Times New Roman" w:cs="Times New Roman"/>
        </w:rPr>
        <w:t xml:space="preserve"> </w:t>
      </w:r>
      <w:r w:rsidR="001D6BD2">
        <w:rPr>
          <w:rFonts w:ascii="Times New Roman" w:hAnsi="Times New Roman" w:cs="Times New Roman"/>
        </w:rPr>
        <w:t xml:space="preserve">Attalos II would </w:t>
      </w:r>
      <w:r w:rsidR="007C65DB">
        <w:rPr>
          <w:rFonts w:ascii="Times New Roman" w:hAnsi="Times New Roman" w:cs="Times New Roman"/>
        </w:rPr>
        <w:t>succeed his brother Eumenes II after his death in 160/159 B.C. but proved to work very well with his brother during his reign.</w:t>
      </w:r>
      <w:r w:rsidR="007C65DB">
        <w:rPr>
          <w:rStyle w:val="FootnoteReference"/>
          <w:rFonts w:ascii="Times New Roman" w:hAnsi="Times New Roman" w:cs="Times New Roman"/>
        </w:rPr>
        <w:footnoteReference w:id="2"/>
      </w:r>
      <w:r w:rsidR="00E172BA">
        <w:rPr>
          <w:rFonts w:ascii="Times New Roman" w:hAnsi="Times New Roman" w:cs="Times New Roman"/>
        </w:rPr>
        <w:t xml:space="preserve"> </w:t>
      </w:r>
      <w:r w:rsidR="003777AC">
        <w:rPr>
          <w:rFonts w:ascii="Times New Roman" w:hAnsi="Times New Roman" w:cs="Times New Roman"/>
        </w:rPr>
        <w:t>This can be seen with</w:t>
      </w:r>
      <w:r w:rsidR="00061C27">
        <w:rPr>
          <w:rFonts w:ascii="Times New Roman" w:hAnsi="Times New Roman" w:cs="Times New Roman"/>
        </w:rPr>
        <w:t xml:space="preserve"> </w:t>
      </w:r>
      <w:r w:rsidR="007F3F23">
        <w:rPr>
          <w:rFonts w:ascii="Times New Roman" w:hAnsi="Times New Roman" w:cs="Times New Roman"/>
        </w:rPr>
        <w:t>a comment made by Philip V of Macedon when he was addressing his sons, brought up the relationship between Eumenes II and Attalos II, who, ‘inheriting a small and insignificant kingdom, increased it so much, simply by their concord and agreement and their faculty of mutual respect, that is now inferior to none’.</w:t>
      </w:r>
      <w:r w:rsidR="00C83025">
        <w:rPr>
          <w:rStyle w:val="FootnoteReference"/>
          <w:rFonts w:ascii="Times New Roman" w:hAnsi="Times New Roman" w:cs="Times New Roman"/>
        </w:rPr>
        <w:footnoteReference w:id="3"/>
      </w:r>
      <w:r w:rsidR="00922C36">
        <w:rPr>
          <w:rFonts w:ascii="Times New Roman" w:hAnsi="Times New Roman" w:cs="Times New Roman"/>
        </w:rPr>
        <w:t xml:space="preserve"> </w:t>
      </w:r>
      <w:r w:rsidR="009C3A2D">
        <w:rPr>
          <w:rFonts w:ascii="Times New Roman" w:hAnsi="Times New Roman" w:cs="Times New Roman"/>
        </w:rPr>
        <w:t xml:space="preserve">Examples such as this make it obvious as to why Attalos II earned the name Attalos the brother-loving, but despite his good relationship </w:t>
      </w:r>
      <w:r w:rsidR="00CB6E8C">
        <w:rPr>
          <w:rFonts w:ascii="Times New Roman" w:hAnsi="Times New Roman" w:cs="Times New Roman"/>
        </w:rPr>
        <w:t>with Eumenes II and perhaps being the most likable of the Attalids, he did not have the forcefulness or diplomatic ability his father and his brother had.</w:t>
      </w:r>
      <w:r w:rsidR="00C67665">
        <w:rPr>
          <w:rStyle w:val="FootnoteReference"/>
          <w:rFonts w:ascii="Times New Roman" w:hAnsi="Times New Roman" w:cs="Times New Roman"/>
        </w:rPr>
        <w:footnoteReference w:id="4"/>
      </w:r>
      <w:r w:rsidR="00AB7EA0">
        <w:rPr>
          <w:rFonts w:ascii="Times New Roman" w:hAnsi="Times New Roman" w:cs="Times New Roman"/>
        </w:rPr>
        <w:t xml:space="preserve"> Despite this, he would lead Pergamon for twenty-one years before dying in </w:t>
      </w:r>
      <w:r w:rsidR="00F7494A">
        <w:rPr>
          <w:rFonts w:ascii="Times New Roman" w:hAnsi="Times New Roman" w:cs="Times New Roman"/>
        </w:rPr>
        <w:t>138 B.C.</w:t>
      </w:r>
      <w:r w:rsidR="002159D8">
        <w:rPr>
          <w:rStyle w:val="FootnoteReference"/>
          <w:rFonts w:ascii="Times New Roman" w:hAnsi="Times New Roman" w:cs="Times New Roman"/>
        </w:rPr>
        <w:footnoteReference w:id="5"/>
      </w:r>
      <w:r w:rsidR="00E65F03">
        <w:rPr>
          <w:rFonts w:ascii="Times New Roman" w:hAnsi="Times New Roman" w:cs="Times New Roman"/>
        </w:rPr>
        <w:t xml:space="preserve"> </w:t>
      </w:r>
      <w:r w:rsidR="00C41B6B">
        <w:rPr>
          <w:rFonts w:ascii="Times New Roman" w:hAnsi="Times New Roman" w:cs="Times New Roman"/>
        </w:rPr>
        <w:t>There is a great deal of evidence for Attalos II existenc</w:t>
      </w:r>
      <w:r w:rsidR="00322A16">
        <w:rPr>
          <w:rFonts w:ascii="Times New Roman" w:hAnsi="Times New Roman" w:cs="Times New Roman"/>
        </w:rPr>
        <w:t xml:space="preserve">e </w:t>
      </w:r>
      <w:r w:rsidR="00C41B6B">
        <w:rPr>
          <w:rFonts w:ascii="Times New Roman" w:hAnsi="Times New Roman" w:cs="Times New Roman"/>
        </w:rPr>
        <w:t xml:space="preserve">which comes from several scholars, </w:t>
      </w:r>
      <w:r w:rsidR="00322A16">
        <w:rPr>
          <w:rFonts w:ascii="Times New Roman" w:hAnsi="Times New Roman" w:cs="Times New Roman"/>
        </w:rPr>
        <w:t xml:space="preserve">but most of this comes from Polybius, with other ancient scholars such as </w:t>
      </w:r>
      <w:r w:rsidR="00506D71">
        <w:rPr>
          <w:rFonts w:ascii="Times New Roman" w:hAnsi="Times New Roman" w:cs="Times New Roman"/>
        </w:rPr>
        <w:t xml:space="preserve">Plutarch, </w:t>
      </w:r>
      <w:r w:rsidR="00322A16">
        <w:rPr>
          <w:rFonts w:ascii="Times New Roman" w:hAnsi="Times New Roman" w:cs="Times New Roman"/>
        </w:rPr>
        <w:t>Pausanias</w:t>
      </w:r>
      <w:r w:rsidR="00B20127">
        <w:rPr>
          <w:rFonts w:ascii="Times New Roman" w:hAnsi="Times New Roman" w:cs="Times New Roman"/>
        </w:rPr>
        <w:t>, Livy</w:t>
      </w:r>
      <w:r w:rsidR="00322A16">
        <w:rPr>
          <w:rFonts w:ascii="Times New Roman" w:hAnsi="Times New Roman" w:cs="Times New Roman"/>
        </w:rPr>
        <w:t xml:space="preserve"> and Strabo basing their understanding of Attalos II on the work of Polybius.</w:t>
      </w:r>
      <w:r w:rsidR="00D01DB5">
        <w:rPr>
          <w:rFonts w:ascii="Times New Roman" w:hAnsi="Times New Roman" w:cs="Times New Roman"/>
        </w:rPr>
        <w:t xml:space="preserve"> During his life, he had a great deal of roles and responsibilities even before he succeeded Eumenes </w:t>
      </w:r>
      <w:r w:rsidR="00650B1A">
        <w:rPr>
          <w:rFonts w:ascii="Times New Roman" w:hAnsi="Times New Roman" w:cs="Times New Roman"/>
        </w:rPr>
        <w:t>II and</w:t>
      </w:r>
      <w:r w:rsidR="00D01DB5">
        <w:rPr>
          <w:rFonts w:ascii="Times New Roman" w:hAnsi="Times New Roman" w:cs="Times New Roman"/>
        </w:rPr>
        <w:t xml:space="preserve"> played a crucial part in the rule of Pergamon.</w:t>
      </w:r>
    </w:p>
    <w:p w14:paraId="36A2CAE2" w14:textId="27BD8748" w:rsidR="00322A16" w:rsidRDefault="00506D71" w:rsidP="00061C27">
      <w:pPr>
        <w:spacing w:line="360" w:lineRule="auto"/>
        <w:jc w:val="both"/>
        <w:rPr>
          <w:rFonts w:ascii="Times New Roman" w:hAnsi="Times New Roman" w:cs="Times New Roman"/>
        </w:rPr>
      </w:pPr>
      <w:r>
        <w:rPr>
          <w:rFonts w:ascii="Times New Roman" w:hAnsi="Times New Roman" w:cs="Times New Roman"/>
        </w:rPr>
        <w:t>Attalos I and his wife</w:t>
      </w:r>
      <w:r w:rsidR="003F3BB7">
        <w:rPr>
          <w:rFonts w:ascii="Times New Roman" w:hAnsi="Times New Roman" w:cs="Times New Roman"/>
        </w:rPr>
        <w:t>,</w:t>
      </w:r>
      <w:r>
        <w:rPr>
          <w:rFonts w:ascii="Times New Roman" w:hAnsi="Times New Roman" w:cs="Times New Roman"/>
        </w:rPr>
        <w:t xml:space="preserve"> Apollonis </w:t>
      </w:r>
      <w:r w:rsidR="003234BD">
        <w:rPr>
          <w:rFonts w:ascii="Times New Roman" w:hAnsi="Times New Roman" w:cs="Times New Roman"/>
        </w:rPr>
        <w:t xml:space="preserve">of </w:t>
      </w:r>
      <w:r w:rsidR="003F3BB7">
        <w:rPr>
          <w:rFonts w:ascii="Times New Roman" w:hAnsi="Times New Roman" w:cs="Times New Roman"/>
        </w:rPr>
        <w:t xml:space="preserve">Cyzicus </w:t>
      </w:r>
      <w:r>
        <w:rPr>
          <w:rFonts w:ascii="Times New Roman" w:hAnsi="Times New Roman" w:cs="Times New Roman"/>
        </w:rPr>
        <w:t>worked hard to manage the education of their sons, not only to make them great leaders, but also to trust and work with each other</w:t>
      </w:r>
      <w:r w:rsidR="007F083F">
        <w:rPr>
          <w:rFonts w:ascii="Times New Roman" w:hAnsi="Times New Roman" w:cs="Times New Roman"/>
        </w:rPr>
        <w:t>, which would later prove vital to Pergamon’s success</w:t>
      </w:r>
      <w:r>
        <w:rPr>
          <w:rFonts w:ascii="Times New Roman" w:hAnsi="Times New Roman" w:cs="Times New Roman"/>
        </w:rPr>
        <w:t>.</w:t>
      </w:r>
      <w:r>
        <w:rPr>
          <w:rStyle w:val="FootnoteReference"/>
          <w:rFonts w:ascii="Times New Roman" w:hAnsi="Times New Roman" w:cs="Times New Roman"/>
        </w:rPr>
        <w:footnoteReference w:id="6"/>
      </w:r>
      <w:r>
        <w:rPr>
          <w:rFonts w:ascii="Times New Roman" w:hAnsi="Times New Roman" w:cs="Times New Roman"/>
        </w:rPr>
        <w:t xml:space="preserve"> </w:t>
      </w:r>
      <w:r w:rsidR="007F083F">
        <w:rPr>
          <w:rFonts w:ascii="Times New Roman" w:hAnsi="Times New Roman" w:cs="Times New Roman"/>
        </w:rPr>
        <w:t xml:space="preserve">Apollonis is represented as saying ‘that she always </w:t>
      </w:r>
      <w:r w:rsidR="007A5373">
        <w:rPr>
          <w:rFonts w:ascii="Times New Roman" w:hAnsi="Times New Roman" w:cs="Times New Roman"/>
        </w:rPr>
        <w:t>congratulated herself</w:t>
      </w:r>
      <w:r w:rsidR="007F083F">
        <w:rPr>
          <w:rFonts w:ascii="Times New Roman" w:hAnsi="Times New Roman" w:cs="Times New Roman"/>
        </w:rPr>
        <w:t xml:space="preserve"> </w:t>
      </w:r>
      <w:r w:rsidR="008C42D9">
        <w:rPr>
          <w:rFonts w:ascii="Times New Roman" w:hAnsi="Times New Roman" w:cs="Times New Roman"/>
        </w:rPr>
        <w:t xml:space="preserve">and </w:t>
      </w:r>
      <w:bookmarkStart w:id="0" w:name="_GoBack"/>
      <w:bookmarkEnd w:id="0"/>
      <w:r w:rsidR="007F083F">
        <w:rPr>
          <w:rFonts w:ascii="Times New Roman" w:hAnsi="Times New Roman" w:cs="Times New Roman"/>
        </w:rPr>
        <w:t xml:space="preserve">gave thanks to the gods, not </w:t>
      </w:r>
      <w:r w:rsidR="007A5373">
        <w:rPr>
          <w:rFonts w:ascii="Times New Roman" w:hAnsi="Times New Roman" w:cs="Times New Roman"/>
        </w:rPr>
        <w:t>because of</w:t>
      </w:r>
      <w:r w:rsidR="007F083F">
        <w:rPr>
          <w:rFonts w:ascii="Times New Roman" w:hAnsi="Times New Roman" w:cs="Times New Roman"/>
        </w:rPr>
        <w:t xml:space="preserve"> wealth or empire, but because she saw her three sons</w:t>
      </w:r>
      <w:r w:rsidR="007A5373">
        <w:rPr>
          <w:rFonts w:ascii="Times New Roman" w:hAnsi="Times New Roman" w:cs="Times New Roman"/>
        </w:rPr>
        <w:t xml:space="preserve"> body-guards of the eldest, who past his days without fear surrounded by brothers with swords and spears in their hands’</w:t>
      </w:r>
      <w:r w:rsidR="007F083F">
        <w:rPr>
          <w:rFonts w:ascii="Times New Roman" w:hAnsi="Times New Roman" w:cs="Times New Roman"/>
        </w:rPr>
        <w:t>.</w:t>
      </w:r>
      <w:r w:rsidR="007F083F">
        <w:rPr>
          <w:rStyle w:val="FootnoteReference"/>
          <w:rFonts w:ascii="Times New Roman" w:hAnsi="Times New Roman" w:cs="Times New Roman"/>
        </w:rPr>
        <w:footnoteReference w:id="7"/>
      </w:r>
      <w:r w:rsidR="00DB591E">
        <w:rPr>
          <w:rFonts w:ascii="Times New Roman" w:hAnsi="Times New Roman" w:cs="Times New Roman"/>
        </w:rPr>
        <w:t xml:space="preserve"> </w:t>
      </w:r>
      <w:r w:rsidR="00385088">
        <w:rPr>
          <w:rFonts w:ascii="Times New Roman" w:hAnsi="Times New Roman" w:cs="Times New Roman"/>
        </w:rPr>
        <w:t>Attalos</w:t>
      </w:r>
      <w:r w:rsidR="00D95E7E">
        <w:rPr>
          <w:rFonts w:ascii="Times New Roman" w:hAnsi="Times New Roman" w:cs="Times New Roman"/>
        </w:rPr>
        <w:t xml:space="preserve"> II would do little until Eumenes II came to the throne, </w:t>
      </w:r>
      <w:r w:rsidR="001E3B9A">
        <w:rPr>
          <w:rFonts w:ascii="Times New Roman" w:hAnsi="Times New Roman" w:cs="Times New Roman"/>
        </w:rPr>
        <w:t>at which he would become his right-hand man and take a great deal of responsibility</w:t>
      </w:r>
      <w:r w:rsidR="00FD6014">
        <w:rPr>
          <w:rFonts w:ascii="Times New Roman" w:hAnsi="Times New Roman" w:cs="Times New Roman"/>
        </w:rPr>
        <w:t>, which can be seen d</w:t>
      </w:r>
      <w:r w:rsidR="001E3B9A">
        <w:rPr>
          <w:rFonts w:ascii="Times New Roman" w:hAnsi="Times New Roman" w:cs="Times New Roman"/>
        </w:rPr>
        <w:t xml:space="preserve">uring the wars with Nabis king of Sparta, </w:t>
      </w:r>
      <w:r w:rsidR="00FD6014">
        <w:rPr>
          <w:rFonts w:ascii="Times New Roman" w:hAnsi="Times New Roman" w:cs="Times New Roman"/>
        </w:rPr>
        <w:t xml:space="preserve">when he accompanied </w:t>
      </w:r>
      <w:r w:rsidR="00133971">
        <w:rPr>
          <w:rFonts w:ascii="Times New Roman" w:hAnsi="Times New Roman" w:cs="Times New Roman"/>
        </w:rPr>
        <w:t xml:space="preserve">his brother and the Roman praetor to recover all the coastal towns </w:t>
      </w:r>
      <w:r w:rsidR="005C1CBD">
        <w:rPr>
          <w:rFonts w:ascii="Times New Roman" w:hAnsi="Times New Roman" w:cs="Times New Roman"/>
        </w:rPr>
        <w:t>which had declared for Nabis</w:t>
      </w:r>
      <w:r w:rsidR="00FE715D">
        <w:rPr>
          <w:rFonts w:ascii="Times New Roman" w:hAnsi="Times New Roman" w:cs="Times New Roman"/>
        </w:rPr>
        <w:t xml:space="preserve"> in 192 B.C.</w:t>
      </w:r>
      <w:r w:rsidR="005C1CBD">
        <w:rPr>
          <w:rFonts w:ascii="Times New Roman" w:hAnsi="Times New Roman" w:cs="Times New Roman"/>
        </w:rPr>
        <w:t>.</w:t>
      </w:r>
      <w:r w:rsidR="005C1CBD">
        <w:rPr>
          <w:rStyle w:val="FootnoteReference"/>
          <w:rFonts w:ascii="Times New Roman" w:hAnsi="Times New Roman" w:cs="Times New Roman"/>
        </w:rPr>
        <w:footnoteReference w:id="8"/>
      </w:r>
      <w:r w:rsidR="005C1CBD">
        <w:rPr>
          <w:rFonts w:ascii="Times New Roman" w:hAnsi="Times New Roman" w:cs="Times New Roman"/>
        </w:rPr>
        <w:t xml:space="preserve"> </w:t>
      </w:r>
      <w:r w:rsidR="00FE715D">
        <w:rPr>
          <w:rFonts w:ascii="Times New Roman" w:hAnsi="Times New Roman" w:cs="Times New Roman"/>
        </w:rPr>
        <w:t xml:space="preserve">In the summer of the same year, Eumenes sent him to Rome, </w:t>
      </w:r>
      <w:r w:rsidR="0093613C">
        <w:rPr>
          <w:rFonts w:ascii="Times New Roman" w:hAnsi="Times New Roman" w:cs="Times New Roman"/>
        </w:rPr>
        <w:t xml:space="preserve">the first of many trips Attalos would make to Rome, </w:t>
      </w:r>
      <w:r w:rsidR="00FE715D">
        <w:rPr>
          <w:rFonts w:ascii="Times New Roman" w:hAnsi="Times New Roman" w:cs="Times New Roman"/>
        </w:rPr>
        <w:t>where he warned of the activities of the Seleucid king Antiochus III and the Aetolians</w:t>
      </w:r>
      <w:r w:rsidR="00013C07">
        <w:rPr>
          <w:rFonts w:ascii="Times New Roman" w:hAnsi="Times New Roman" w:cs="Times New Roman"/>
        </w:rPr>
        <w:t>, which both Rome and Pergamon would later war with</w:t>
      </w:r>
      <w:r w:rsidR="00FE715D">
        <w:rPr>
          <w:rFonts w:ascii="Times New Roman" w:hAnsi="Times New Roman" w:cs="Times New Roman"/>
        </w:rPr>
        <w:t>.</w:t>
      </w:r>
      <w:r w:rsidR="00FE715D">
        <w:rPr>
          <w:rStyle w:val="FootnoteReference"/>
          <w:rFonts w:ascii="Times New Roman" w:hAnsi="Times New Roman" w:cs="Times New Roman"/>
        </w:rPr>
        <w:footnoteReference w:id="9"/>
      </w:r>
      <w:r w:rsidR="00013C07">
        <w:rPr>
          <w:rFonts w:ascii="Times New Roman" w:hAnsi="Times New Roman" w:cs="Times New Roman"/>
        </w:rPr>
        <w:t xml:space="preserve"> Attalos II </w:t>
      </w:r>
      <w:r w:rsidR="009A77E8">
        <w:rPr>
          <w:rFonts w:ascii="Times New Roman" w:hAnsi="Times New Roman" w:cs="Times New Roman"/>
        </w:rPr>
        <w:t xml:space="preserve">would also become very close to the Romans and would help with the expedition of Manlius Vulso </w:t>
      </w:r>
      <w:r w:rsidR="009A77E8">
        <w:rPr>
          <w:rFonts w:ascii="Times New Roman" w:hAnsi="Times New Roman" w:cs="Times New Roman"/>
        </w:rPr>
        <w:lastRenderedPageBreak/>
        <w:t>in 190 B.C. after Gallic mercenaries participated in a raid against the kingdom of Pergamon.</w:t>
      </w:r>
      <w:r w:rsidR="009A77E8">
        <w:rPr>
          <w:rStyle w:val="FootnoteReference"/>
          <w:rFonts w:ascii="Times New Roman" w:hAnsi="Times New Roman" w:cs="Times New Roman"/>
        </w:rPr>
        <w:footnoteReference w:id="10"/>
      </w:r>
      <w:r w:rsidR="000955A0">
        <w:rPr>
          <w:rFonts w:ascii="Times New Roman" w:hAnsi="Times New Roman" w:cs="Times New Roman"/>
        </w:rPr>
        <w:t xml:space="preserve"> </w:t>
      </w:r>
      <w:r w:rsidR="00B20127">
        <w:rPr>
          <w:rFonts w:ascii="Times New Roman" w:hAnsi="Times New Roman" w:cs="Times New Roman"/>
        </w:rPr>
        <w:t>Manlius Vulso had wanted Eumenes to join him on this expedition, but he was absent from Asia at the time, so Attal</w:t>
      </w:r>
      <w:r w:rsidR="00597BF5">
        <w:rPr>
          <w:rFonts w:ascii="Times New Roman" w:hAnsi="Times New Roman" w:cs="Times New Roman"/>
        </w:rPr>
        <w:t>o</w:t>
      </w:r>
      <w:r w:rsidR="00B20127">
        <w:rPr>
          <w:rFonts w:ascii="Times New Roman" w:hAnsi="Times New Roman" w:cs="Times New Roman"/>
        </w:rPr>
        <w:t>s joined him instead and contributed one thousand infantry and five hundred cavalry, which proved valuable at the battle of Mount Olympus</w:t>
      </w:r>
      <w:r w:rsidR="00EF0E8D">
        <w:rPr>
          <w:rFonts w:ascii="Times New Roman" w:hAnsi="Times New Roman" w:cs="Times New Roman"/>
        </w:rPr>
        <w:t xml:space="preserve"> where the Romans and Pergamese defeated the Gauls.</w:t>
      </w:r>
      <w:r w:rsidR="00597BF5">
        <w:rPr>
          <w:rStyle w:val="FootnoteReference"/>
          <w:rFonts w:ascii="Times New Roman" w:hAnsi="Times New Roman" w:cs="Times New Roman"/>
        </w:rPr>
        <w:footnoteReference w:id="11"/>
      </w:r>
      <w:r w:rsidR="00597BF5">
        <w:rPr>
          <w:rFonts w:ascii="Times New Roman" w:hAnsi="Times New Roman" w:cs="Times New Roman"/>
        </w:rPr>
        <w:t xml:space="preserve"> So impressed was Manlius Vulso with Attalos II that he conferred onto him a special distinction, and said ‘</w:t>
      </w:r>
      <w:r w:rsidR="00271633">
        <w:rPr>
          <w:rFonts w:ascii="Times New Roman" w:hAnsi="Times New Roman" w:cs="Times New Roman"/>
        </w:rPr>
        <w:t>the young man had displayed not only remarkable courage and diligence amid all the toils and dangers, but also modesty of behaviour’.</w:t>
      </w:r>
      <w:r w:rsidR="00271633">
        <w:rPr>
          <w:rStyle w:val="FootnoteReference"/>
          <w:rFonts w:ascii="Times New Roman" w:hAnsi="Times New Roman" w:cs="Times New Roman"/>
        </w:rPr>
        <w:footnoteReference w:id="12"/>
      </w:r>
      <w:r w:rsidR="00C62CC0">
        <w:rPr>
          <w:rFonts w:ascii="Times New Roman" w:hAnsi="Times New Roman" w:cs="Times New Roman"/>
        </w:rPr>
        <w:t xml:space="preserve"> </w:t>
      </w:r>
      <w:r w:rsidR="006745CA">
        <w:rPr>
          <w:rFonts w:ascii="Times New Roman" w:hAnsi="Times New Roman" w:cs="Times New Roman"/>
        </w:rPr>
        <w:t>While the relationship between Attalos II and Eumenes II was strong, it was tested when Eumenes was ambushed by assassins on a return visit from Rome and presumed dead, which led to Attalos assuming the regency.</w:t>
      </w:r>
      <w:r w:rsidR="00BA3D19">
        <w:rPr>
          <w:rStyle w:val="FootnoteReference"/>
          <w:rFonts w:ascii="Times New Roman" w:hAnsi="Times New Roman" w:cs="Times New Roman"/>
        </w:rPr>
        <w:footnoteReference w:id="13"/>
      </w:r>
      <w:r w:rsidR="009D4A61">
        <w:rPr>
          <w:rFonts w:ascii="Times New Roman" w:hAnsi="Times New Roman" w:cs="Times New Roman"/>
        </w:rPr>
        <w:t xml:space="preserve"> Livy writes that ‘</w:t>
      </w:r>
      <w:r w:rsidR="0046633C">
        <w:rPr>
          <w:rFonts w:ascii="Times New Roman" w:hAnsi="Times New Roman" w:cs="Times New Roman"/>
        </w:rPr>
        <w:t>Even Attalos believed it more readily than was worthy of their fraternal harmony, for he conferred</w:t>
      </w:r>
      <w:r w:rsidR="00526C2A">
        <w:rPr>
          <w:rFonts w:ascii="Times New Roman" w:hAnsi="Times New Roman" w:cs="Times New Roman"/>
        </w:rPr>
        <w:t xml:space="preserve"> with his brother’s wife and with the commander of the citadel as if he were beyond doubt heir to the throne’.</w:t>
      </w:r>
      <w:r w:rsidR="00526C2A">
        <w:rPr>
          <w:rStyle w:val="FootnoteReference"/>
          <w:rFonts w:ascii="Times New Roman" w:hAnsi="Times New Roman" w:cs="Times New Roman"/>
        </w:rPr>
        <w:footnoteReference w:id="14"/>
      </w:r>
      <w:r w:rsidR="00477FE6">
        <w:rPr>
          <w:rFonts w:ascii="Times New Roman" w:hAnsi="Times New Roman" w:cs="Times New Roman"/>
        </w:rPr>
        <w:t xml:space="preserve"> On Eumenes return he displayed dissatisfaction with Attalos’ quickness to woo his wife, but despite this Attalos seceded power back to his brother and their friendship remained strong.</w:t>
      </w:r>
      <w:r w:rsidR="0001259B">
        <w:rPr>
          <w:rStyle w:val="FootnoteReference"/>
          <w:rFonts w:ascii="Times New Roman" w:hAnsi="Times New Roman" w:cs="Times New Roman"/>
        </w:rPr>
        <w:footnoteReference w:id="15"/>
      </w:r>
      <w:r w:rsidR="00D61E6D">
        <w:rPr>
          <w:rFonts w:ascii="Times New Roman" w:hAnsi="Times New Roman" w:cs="Times New Roman"/>
        </w:rPr>
        <w:t xml:space="preserve"> Perhaps the greatest example of the trust and loyalty between the two </w:t>
      </w:r>
      <w:r w:rsidR="006636C2">
        <w:rPr>
          <w:rFonts w:ascii="Times New Roman" w:hAnsi="Times New Roman" w:cs="Times New Roman"/>
        </w:rPr>
        <w:t>is from the Third Macedonian War when</w:t>
      </w:r>
      <w:r w:rsidR="001517F3">
        <w:rPr>
          <w:rFonts w:ascii="Times New Roman" w:hAnsi="Times New Roman" w:cs="Times New Roman"/>
        </w:rPr>
        <w:t xml:space="preserve"> the Romans began to distrust Eumenes and tried to make Attalos king, but Attalos refused this as he would not betray his brother, but despite this refusal relations between Attalos and Rome remained strong.</w:t>
      </w:r>
      <w:r w:rsidR="001517F3">
        <w:rPr>
          <w:rStyle w:val="FootnoteReference"/>
          <w:rFonts w:ascii="Times New Roman" w:hAnsi="Times New Roman" w:cs="Times New Roman"/>
        </w:rPr>
        <w:footnoteReference w:id="16"/>
      </w:r>
    </w:p>
    <w:p w14:paraId="238A518A" w14:textId="3C81548E" w:rsidR="00626AB2" w:rsidRDefault="006D170D" w:rsidP="00061C27">
      <w:pPr>
        <w:spacing w:line="360" w:lineRule="auto"/>
        <w:jc w:val="both"/>
        <w:rPr>
          <w:rFonts w:ascii="Times New Roman" w:hAnsi="Times New Roman" w:cs="Times New Roman"/>
        </w:rPr>
      </w:pPr>
      <w:r>
        <w:rPr>
          <w:rFonts w:ascii="Times New Roman" w:hAnsi="Times New Roman" w:cs="Times New Roman"/>
        </w:rPr>
        <w:t>Attalos II was</w:t>
      </w:r>
      <w:r w:rsidR="00750130">
        <w:rPr>
          <w:rFonts w:ascii="Times New Roman" w:hAnsi="Times New Roman" w:cs="Times New Roman"/>
        </w:rPr>
        <w:t xml:space="preserve"> sixty-one when he succeeded his </w:t>
      </w:r>
      <w:r w:rsidR="00E22C12">
        <w:rPr>
          <w:rFonts w:ascii="Times New Roman" w:hAnsi="Times New Roman" w:cs="Times New Roman"/>
        </w:rPr>
        <w:t>brother and</w:t>
      </w:r>
      <w:r w:rsidR="00750130">
        <w:rPr>
          <w:rFonts w:ascii="Times New Roman" w:hAnsi="Times New Roman" w:cs="Times New Roman"/>
        </w:rPr>
        <w:t xml:space="preserve"> was already an experienced general and statesman</w:t>
      </w:r>
      <w:r w:rsidR="00750130">
        <w:rPr>
          <w:rStyle w:val="FootnoteReference"/>
          <w:rFonts w:ascii="Times New Roman" w:hAnsi="Times New Roman" w:cs="Times New Roman"/>
        </w:rPr>
        <w:footnoteReference w:id="17"/>
      </w:r>
      <w:r w:rsidR="00557B96">
        <w:rPr>
          <w:rFonts w:ascii="Times New Roman" w:hAnsi="Times New Roman" w:cs="Times New Roman"/>
        </w:rPr>
        <w:t xml:space="preserve"> </w:t>
      </w:r>
      <w:r w:rsidR="00B3176E">
        <w:rPr>
          <w:rFonts w:ascii="Times New Roman" w:hAnsi="Times New Roman" w:cs="Times New Roman"/>
        </w:rPr>
        <w:t>One of his first actions was to give support to the liberation of Galatia, which ultimately put his kingdom even more under the foot of Rome</w:t>
      </w:r>
      <w:r w:rsidR="00E22C12">
        <w:rPr>
          <w:rFonts w:ascii="Times New Roman" w:hAnsi="Times New Roman" w:cs="Times New Roman"/>
        </w:rPr>
        <w:t>, but he learned from the experiences of his brother and worked to have a</w:t>
      </w:r>
      <w:r w:rsidR="00C868D8">
        <w:rPr>
          <w:rFonts w:ascii="Times New Roman" w:hAnsi="Times New Roman" w:cs="Times New Roman"/>
        </w:rPr>
        <w:t xml:space="preserve"> mutually beneficial alliance with Rome</w:t>
      </w:r>
      <w:r w:rsidR="00B3176E">
        <w:rPr>
          <w:rFonts w:ascii="Times New Roman" w:hAnsi="Times New Roman" w:cs="Times New Roman"/>
        </w:rPr>
        <w:t>.</w:t>
      </w:r>
      <w:r w:rsidR="00B3176E">
        <w:rPr>
          <w:rStyle w:val="FootnoteReference"/>
          <w:rFonts w:ascii="Times New Roman" w:hAnsi="Times New Roman" w:cs="Times New Roman"/>
        </w:rPr>
        <w:footnoteReference w:id="18"/>
      </w:r>
      <w:r w:rsidR="00D432CA">
        <w:rPr>
          <w:rFonts w:ascii="Times New Roman" w:hAnsi="Times New Roman" w:cs="Times New Roman"/>
        </w:rPr>
        <w:t xml:space="preserve"> This special relationship with Rome proved useful during Attal</w:t>
      </w:r>
      <w:r w:rsidR="00B561A4">
        <w:rPr>
          <w:rFonts w:ascii="Times New Roman" w:hAnsi="Times New Roman" w:cs="Times New Roman"/>
        </w:rPr>
        <w:t>o</w:t>
      </w:r>
      <w:r w:rsidR="00D432CA">
        <w:rPr>
          <w:rFonts w:ascii="Times New Roman" w:hAnsi="Times New Roman" w:cs="Times New Roman"/>
        </w:rPr>
        <w:t xml:space="preserve">s’s war with Prusias of Bithynia from 156 to 154, in which Prusias inflicted great damage to </w:t>
      </w:r>
      <w:r w:rsidR="0062328C">
        <w:rPr>
          <w:rFonts w:ascii="Times New Roman" w:hAnsi="Times New Roman" w:cs="Times New Roman"/>
        </w:rPr>
        <w:t>Pergamon by destroying and sacking valuable sites, but after several attempts by the Romans to negotiate peace, the war was ended and Prusias was forced to pay 20 ships and 500 talents over twenty years.</w:t>
      </w:r>
      <w:r w:rsidR="0062328C">
        <w:rPr>
          <w:rStyle w:val="FootnoteReference"/>
          <w:rFonts w:ascii="Times New Roman" w:hAnsi="Times New Roman" w:cs="Times New Roman"/>
        </w:rPr>
        <w:footnoteReference w:id="19"/>
      </w:r>
      <w:r w:rsidR="00B561A4">
        <w:rPr>
          <w:rFonts w:ascii="Times New Roman" w:hAnsi="Times New Roman" w:cs="Times New Roman"/>
        </w:rPr>
        <w:t xml:space="preserve"> In the year 149 Attalos was given the opportunity to remove </w:t>
      </w:r>
      <w:r w:rsidR="00FC7568">
        <w:rPr>
          <w:rFonts w:ascii="Times New Roman" w:hAnsi="Times New Roman" w:cs="Times New Roman"/>
        </w:rPr>
        <w:t>Prusias as king of Bithynia by supporting Nicomede</w:t>
      </w:r>
      <w:r w:rsidR="000179F6">
        <w:rPr>
          <w:rFonts w:ascii="Times New Roman" w:hAnsi="Times New Roman" w:cs="Times New Roman"/>
        </w:rPr>
        <w:t>s in his claim to the throne of Bithynia.</w:t>
      </w:r>
      <w:r w:rsidR="007C0118">
        <w:rPr>
          <w:rStyle w:val="FootnoteReference"/>
          <w:rFonts w:ascii="Times New Roman" w:hAnsi="Times New Roman" w:cs="Times New Roman"/>
        </w:rPr>
        <w:footnoteReference w:id="20"/>
      </w:r>
      <w:r w:rsidR="006569F1">
        <w:rPr>
          <w:rFonts w:ascii="Times New Roman" w:hAnsi="Times New Roman" w:cs="Times New Roman"/>
        </w:rPr>
        <w:t xml:space="preserve"> </w:t>
      </w:r>
      <w:r w:rsidR="002C77F1">
        <w:rPr>
          <w:rFonts w:ascii="Times New Roman" w:hAnsi="Times New Roman" w:cs="Times New Roman"/>
        </w:rPr>
        <w:t>Attalos was able to invade Bithynia and won the support of the inhabitants and eventually forced Prusias to take refuge in the temple of Zeus in Nicomedia, but he was betrayed by the inhabitants who opened the gates for Attalos and Nicomedes and was murdered by emissaries.</w:t>
      </w:r>
      <w:r w:rsidR="002C77F1">
        <w:rPr>
          <w:rStyle w:val="FootnoteReference"/>
          <w:rFonts w:ascii="Times New Roman" w:hAnsi="Times New Roman" w:cs="Times New Roman"/>
        </w:rPr>
        <w:footnoteReference w:id="21"/>
      </w:r>
      <w:r w:rsidR="002C77F1">
        <w:rPr>
          <w:rFonts w:ascii="Times New Roman" w:hAnsi="Times New Roman" w:cs="Times New Roman"/>
        </w:rPr>
        <w:t xml:space="preserve"> </w:t>
      </w:r>
      <w:r w:rsidR="001F520F">
        <w:rPr>
          <w:rFonts w:ascii="Times New Roman" w:hAnsi="Times New Roman" w:cs="Times New Roman"/>
        </w:rPr>
        <w:t xml:space="preserve">Despite being of an age, Attalos II had proven to be </w:t>
      </w:r>
      <w:r w:rsidR="001F520F">
        <w:rPr>
          <w:rFonts w:ascii="Times New Roman" w:hAnsi="Times New Roman" w:cs="Times New Roman"/>
        </w:rPr>
        <w:lastRenderedPageBreak/>
        <w:t>a competent leader and successful general throughout</w:t>
      </w:r>
      <w:r w:rsidR="00E64FE4">
        <w:rPr>
          <w:rFonts w:ascii="Times New Roman" w:hAnsi="Times New Roman" w:cs="Times New Roman"/>
        </w:rPr>
        <w:t xml:space="preserve"> his career, but during the last years of his reign, he had become more dependant on </w:t>
      </w:r>
      <w:r w:rsidR="00612A9A">
        <w:rPr>
          <w:rFonts w:ascii="Times New Roman" w:hAnsi="Times New Roman" w:cs="Times New Roman"/>
        </w:rPr>
        <w:t>his nephew Attalos III to take part in public affairs, most likely in hope to ready him to be king.</w:t>
      </w:r>
      <w:r w:rsidR="00612A9A">
        <w:rPr>
          <w:rStyle w:val="FootnoteReference"/>
          <w:rFonts w:ascii="Times New Roman" w:hAnsi="Times New Roman" w:cs="Times New Roman"/>
        </w:rPr>
        <w:footnoteReference w:id="22"/>
      </w:r>
      <w:r w:rsidR="00612A9A">
        <w:rPr>
          <w:rFonts w:ascii="Times New Roman" w:hAnsi="Times New Roman" w:cs="Times New Roman"/>
        </w:rPr>
        <w:t xml:space="preserve"> Even up to Attalos II death in 138 at the age of 82, he maintained strong relations with Rome with the two years before his death being known for the visits of Scipio Africanus the Younger, </w:t>
      </w:r>
      <w:r w:rsidR="00F963A4">
        <w:rPr>
          <w:rFonts w:ascii="Times New Roman" w:hAnsi="Times New Roman" w:cs="Times New Roman"/>
        </w:rPr>
        <w:t>however Attalos II cannot be considered wholly responsible for</w:t>
      </w:r>
      <w:r w:rsidR="0023460D">
        <w:rPr>
          <w:rFonts w:ascii="Times New Roman" w:hAnsi="Times New Roman" w:cs="Times New Roman"/>
        </w:rPr>
        <w:t xml:space="preserve"> placing Pergamon under the heel of Rome, as Eumenes II is more guilty for this.</w:t>
      </w:r>
      <w:r w:rsidR="0023460D">
        <w:rPr>
          <w:rStyle w:val="FootnoteReference"/>
          <w:rFonts w:ascii="Times New Roman" w:hAnsi="Times New Roman" w:cs="Times New Roman"/>
        </w:rPr>
        <w:footnoteReference w:id="23"/>
      </w:r>
      <w:r w:rsidR="0023460D">
        <w:rPr>
          <w:rFonts w:ascii="Times New Roman" w:hAnsi="Times New Roman" w:cs="Times New Roman"/>
        </w:rPr>
        <w:t xml:space="preserve"> </w:t>
      </w:r>
      <w:r w:rsidR="00621425">
        <w:rPr>
          <w:rFonts w:ascii="Times New Roman" w:hAnsi="Times New Roman" w:cs="Times New Roman"/>
        </w:rPr>
        <w:t xml:space="preserve">Ultimately, it would be Attalos III who bequeathed </w:t>
      </w:r>
      <w:r w:rsidR="00A447C2">
        <w:rPr>
          <w:rFonts w:ascii="Times New Roman" w:hAnsi="Times New Roman" w:cs="Times New Roman"/>
        </w:rPr>
        <w:t>the kingdom to Rome in 133.</w:t>
      </w:r>
      <w:r w:rsidR="00A447C2">
        <w:rPr>
          <w:rStyle w:val="FootnoteReference"/>
          <w:rFonts w:ascii="Times New Roman" w:hAnsi="Times New Roman" w:cs="Times New Roman"/>
        </w:rPr>
        <w:footnoteReference w:id="24"/>
      </w:r>
      <w:r w:rsidR="00A447C2">
        <w:rPr>
          <w:rFonts w:ascii="Times New Roman" w:hAnsi="Times New Roman" w:cs="Times New Roman"/>
        </w:rPr>
        <w:t xml:space="preserve"> </w:t>
      </w:r>
      <w:r w:rsidR="0023460D">
        <w:rPr>
          <w:rFonts w:ascii="Times New Roman" w:hAnsi="Times New Roman" w:cs="Times New Roman"/>
        </w:rPr>
        <w:t>Despite this, Attalos II proved to be one of the best kings of Pergamon and had a significant role in Pergamon’s history.</w:t>
      </w:r>
    </w:p>
    <w:p w14:paraId="73572970" w14:textId="77777777" w:rsidR="00626AB2" w:rsidRDefault="00626AB2">
      <w:pPr>
        <w:rPr>
          <w:rFonts w:ascii="Times New Roman" w:hAnsi="Times New Roman" w:cs="Times New Roman"/>
        </w:rPr>
      </w:pPr>
      <w:r>
        <w:rPr>
          <w:rFonts w:ascii="Times New Roman" w:hAnsi="Times New Roman" w:cs="Times New Roman"/>
        </w:rPr>
        <w:br w:type="page"/>
      </w:r>
    </w:p>
    <w:p w14:paraId="1C21787D" w14:textId="166B889C" w:rsidR="001517F3" w:rsidRDefault="00626AB2" w:rsidP="00061C27">
      <w:pPr>
        <w:spacing w:line="360" w:lineRule="auto"/>
        <w:jc w:val="both"/>
        <w:rPr>
          <w:rFonts w:ascii="Times New Roman" w:hAnsi="Times New Roman" w:cs="Times New Roman"/>
          <w:b/>
          <w:u w:val="single"/>
        </w:rPr>
      </w:pPr>
      <w:r>
        <w:rPr>
          <w:rFonts w:ascii="Times New Roman" w:hAnsi="Times New Roman" w:cs="Times New Roman"/>
          <w:b/>
          <w:u w:val="single"/>
        </w:rPr>
        <w:lastRenderedPageBreak/>
        <w:t>Bibliography</w:t>
      </w:r>
    </w:p>
    <w:p w14:paraId="3664752E" w14:textId="56B48BFE" w:rsidR="00626AB2" w:rsidRDefault="009F064D" w:rsidP="00061C27">
      <w:pPr>
        <w:spacing w:line="360" w:lineRule="auto"/>
        <w:jc w:val="both"/>
        <w:rPr>
          <w:rFonts w:ascii="Times New Roman" w:hAnsi="Times New Roman" w:cs="Times New Roman"/>
          <w:b/>
          <w:u w:val="single"/>
        </w:rPr>
      </w:pPr>
      <w:r>
        <w:rPr>
          <w:rFonts w:ascii="Times New Roman" w:hAnsi="Times New Roman" w:cs="Times New Roman"/>
          <w:b/>
          <w:u w:val="single"/>
        </w:rPr>
        <w:t>Ancient Sources</w:t>
      </w:r>
    </w:p>
    <w:p w14:paraId="676B782C" w14:textId="240E346A" w:rsidR="009F064D" w:rsidRPr="009E08EF" w:rsidRDefault="009F064D" w:rsidP="00061C27">
      <w:pPr>
        <w:spacing w:line="360" w:lineRule="auto"/>
        <w:jc w:val="both"/>
        <w:rPr>
          <w:rFonts w:ascii="Times New Roman" w:hAnsi="Times New Roman" w:cs="Times New Roman"/>
        </w:rPr>
      </w:pPr>
      <w:r>
        <w:rPr>
          <w:rFonts w:ascii="Times New Roman" w:hAnsi="Times New Roman" w:cs="Times New Roman"/>
        </w:rPr>
        <w:t>Livy</w:t>
      </w:r>
      <w:r w:rsidR="003F743D">
        <w:rPr>
          <w:rFonts w:ascii="Times New Roman" w:hAnsi="Times New Roman" w:cs="Times New Roman"/>
        </w:rPr>
        <w:t xml:space="preserve">, </w:t>
      </w:r>
      <w:r w:rsidR="003F743D">
        <w:rPr>
          <w:rFonts w:ascii="Times New Roman" w:hAnsi="Times New Roman" w:cs="Times New Roman"/>
          <w:i/>
        </w:rPr>
        <w:t>History of Rome 38</w:t>
      </w:r>
      <w:r w:rsidR="009E08EF">
        <w:rPr>
          <w:rFonts w:ascii="Times New Roman" w:hAnsi="Times New Roman" w:cs="Times New Roman"/>
        </w:rPr>
        <w:t xml:space="preserve">. </w:t>
      </w:r>
      <w:r w:rsidR="00CC3612">
        <w:rPr>
          <w:rFonts w:ascii="Times New Roman" w:hAnsi="Times New Roman" w:cs="Times New Roman"/>
        </w:rPr>
        <w:t>E. T. Sage (Trans.). 1936. Cambridge: Harvard University Press.</w:t>
      </w:r>
    </w:p>
    <w:p w14:paraId="10D4AF2D" w14:textId="6E9FA2B2" w:rsidR="009F064D" w:rsidRPr="00CC3612" w:rsidRDefault="009F064D" w:rsidP="00061C27">
      <w:pPr>
        <w:spacing w:line="360" w:lineRule="auto"/>
        <w:jc w:val="both"/>
        <w:rPr>
          <w:rFonts w:ascii="Times New Roman" w:hAnsi="Times New Roman" w:cs="Times New Roman"/>
        </w:rPr>
      </w:pPr>
      <w:r>
        <w:rPr>
          <w:rFonts w:ascii="Times New Roman" w:hAnsi="Times New Roman" w:cs="Times New Roman"/>
        </w:rPr>
        <w:t>Livy</w:t>
      </w:r>
      <w:r w:rsidR="003F743D">
        <w:rPr>
          <w:rFonts w:ascii="Times New Roman" w:hAnsi="Times New Roman" w:cs="Times New Roman"/>
        </w:rPr>
        <w:t xml:space="preserve">, </w:t>
      </w:r>
      <w:r w:rsidR="003F743D">
        <w:rPr>
          <w:rFonts w:ascii="Times New Roman" w:hAnsi="Times New Roman" w:cs="Times New Roman"/>
          <w:i/>
        </w:rPr>
        <w:t>History of Rome 42</w:t>
      </w:r>
      <w:r w:rsidR="00CC3612">
        <w:rPr>
          <w:rFonts w:ascii="Times New Roman" w:hAnsi="Times New Roman" w:cs="Times New Roman"/>
        </w:rPr>
        <w:t xml:space="preserve">. E. T. Sage (Trans.). </w:t>
      </w:r>
      <w:r w:rsidR="00277BBA">
        <w:rPr>
          <w:rFonts w:ascii="Times New Roman" w:hAnsi="Times New Roman" w:cs="Times New Roman"/>
        </w:rPr>
        <w:t>1936. Cambridge: Harvard University Press.</w:t>
      </w:r>
    </w:p>
    <w:p w14:paraId="7125D4D5" w14:textId="706A851E" w:rsidR="009F064D" w:rsidRPr="008D282B" w:rsidRDefault="009F064D" w:rsidP="00061C27">
      <w:pPr>
        <w:spacing w:line="360" w:lineRule="auto"/>
        <w:jc w:val="both"/>
        <w:rPr>
          <w:rFonts w:ascii="Times New Roman" w:hAnsi="Times New Roman" w:cs="Times New Roman"/>
        </w:rPr>
      </w:pPr>
      <w:r>
        <w:rPr>
          <w:rFonts w:ascii="Times New Roman" w:hAnsi="Times New Roman" w:cs="Times New Roman"/>
        </w:rPr>
        <w:t>Plutarch</w:t>
      </w:r>
      <w:r w:rsidR="003F743D">
        <w:rPr>
          <w:rFonts w:ascii="Times New Roman" w:hAnsi="Times New Roman" w:cs="Times New Roman"/>
        </w:rPr>
        <w:t>,</w:t>
      </w:r>
      <w:r w:rsidR="008D282B">
        <w:rPr>
          <w:rFonts w:ascii="Times New Roman" w:hAnsi="Times New Roman" w:cs="Times New Roman"/>
        </w:rPr>
        <w:t xml:space="preserve"> </w:t>
      </w:r>
      <w:r w:rsidR="008D282B">
        <w:rPr>
          <w:rFonts w:ascii="Times New Roman" w:hAnsi="Times New Roman" w:cs="Times New Roman"/>
          <w:i/>
        </w:rPr>
        <w:t>Moralia volume VI</w:t>
      </w:r>
      <w:r w:rsidR="008D282B">
        <w:rPr>
          <w:rFonts w:ascii="Times New Roman" w:hAnsi="Times New Roman" w:cs="Times New Roman"/>
        </w:rPr>
        <w:t>. W. C. Helmbold (Trans.). 1939. Cambridge: Harvard University Press.</w:t>
      </w:r>
    </w:p>
    <w:p w14:paraId="4B262283" w14:textId="2AF16EBC" w:rsidR="009F064D" w:rsidRPr="006A6D5C" w:rsidRDefault="009F064D" w:rsidP="00061C27">
      <w:pPr>
        <w:spacing w:line="360" w:lineRule="auto"/>
        <w:jc w:val="both"/>
        <w:rPr>
          <w:rFonts w:ascii="Times New Roman" w:hAnsi="Times New Roman" w:cs="Times New Roman"/>
        </w:rPr>
      </w:pPr>
      <w:r>
        <w:rPr>
          <w:rFonts w:ascii="Times New Roman" w:hAnsi="Times New Roman" w:cs="Times New Roman"/>
        </w:rPr>
        <w:t>Polybius</w:t>
      </w:r>
      <w:r w:rsidR="003F743D">
        <w:rPr>
          <w:rFonts w:ascii="Times New Roman" w:hAnsi="Times New Roman" w:cs="Times New Roman"/>
        </w:rPr>
        <w:t>,</w:t>
      </w:r>
      <w:r w:rsidR="00E57F4D">
        <w:rPr>
          <w:rFonts w:ascii="Times New Roman" w:hAnsi="Times New Roman" w:cs="Times New Roman"/>
        </w:rPr>
        <w:t xml:space="preserve"> </w:t>
      </w:r>
      <w:r w:rsidR="006A6D5C">
        <w:rPr>
          <w:rFonts w:ascii="Times New Roman" w:hAnsi="Times New Roman" w:cs="Times New Roman"/>
          <w:i/>
        </w:rPr>
        <w:t>The Histories Book 23</w:t>
      </w:r>
      <w:r w:rsidR="006A6D5C">
        <w:rPr>
          <w:rFonts w:ascii="Times New Roman" w:hAnsi="Times New Roman" w:cs="Times New Roman"/>
        </w:rPr>
        <w:t>. E. S. Shuckburgh (Trans.). 1962. London: Bloomington.</w:t>
      </w:r>
    </w:p>
    <w:p w14:paraId="1A230502" w14:textId="1ECF4600" w:rsidR="009F064D" w:rsidRDefault="009F064D" w:rsidP="00061C27">
      <w:pPr>
        <w:spacing w:line="360" w:lineRule="auto"/>
        <w:jc w:val="both"/>
        <w:rPr>
          <w:rFonts w:ascii="Times New Roman" w:hAnsi="Times New Roman" w:cs="Times New Roman"/>
          <w:b/>
          <w:u w:val="single"/>
        </w:rPr>
      </w:pPr>
      <w:r>
        <w:rPr>
          <w:rFonts w:ascii="Times New Roman" w:hAnsi="Times New Roman" w:cs="Times New Roman"/>
          <w:b/>
          <w:u w:val="single"/>
        </w:rPr>
        <w:t>Secondary Sources</w:t>
      </w:r>
    </w:p>
    <w:p w14:paraId="10BD418C" w14:textId="42CEA7CA" w:rsidR="003F743D" w:rsidRDefault="003F743D" w:rsidP="00061C27">
      <w:pPr>
        <w:spacing w:line="360" w:lineRule="auto"/>
        <w:jc w:val="both"/>
        <w:rPr>
          <w:rFonts w:ascii="Times New Roman" w:hAnsi="Times New Roman" w:cs="Times New Roman"/>
        </w:rPr>
      </w:pPr>
      <w:r>
        <w:rPr>
          <w:rFonts w:ascii="Times New Roman" w:hAnsi="Times New Roman" w:cs="Times New Roman"/>
        </w:rPr>
        <w:t>Allen</w:t>
      </w:r>
      <w:r w:rsidR="00932799">
        <w:rPr>
          <w:rFonts w:ascii="Times New Roman" w:hAnsi="Times New Roman" w:cs="Times New Roman"/>
        </w:rPr>
        <w:t xml:space="preserve">, R. E. 1983. </w:t>
      </w:r>
      <w:r w:rsidR="00932799">
        <w:rPr>
          <w:rFonts w:ascii="Times New Roman" w:hAnsi="Times New Roman" w:cs="Times New Roman"/>
          <w:i/>
        </w:rPr>
        <w:t>The Attalid Kingdom a Constitutional History</w:t>
      </w:r>
      <w:r w:rsidR="00932799">
        <w:rPr>
          <w:rFonts w:ascii="Times New Roman" w:hAnsi="Times New Roman" w:cs="Times New Roman"/>
        </w:rPr>
        <w:t>. Oxford: Oxford University Press.</w:t>
      </w:r>
    </w:p>
    <w:p w14:paraId="0D07CEB9" w14:textId="600F0BE0" w:rsidR="00655D87" w:rsidRPr="00655D87" w:rsidRDefault="00655D87" w:rsidP="00061C27">
      <w:pPr>
        <w:spacing w:line="360" w:lineRule="auto"/>
        <w:jc w:val="both"/>
        <w:rPr>
          <w:rFonts w:ascii="Times New Roman" w:hAnsi="Times New Roman" w:cs="Times New Roman"/>
        </w:rPr>
      </w:pPr>
      <w:r>
        <w:rPr>
          <w:rFonts w:ascii="Times New Roman" w:hAnsi="Times New Roman" w:cs="Times New Roman"/>
        </w:rPr>
        <w:t xml:space="preserve">Boardman, J., Griffin, J., and Murray, O. 1992. </w:t>
      </w:r>
      <w:r>
        <w:rPr>
          <w:rFonts w:ascii="Times New Roman" w:hAnsi="Times New Roman" w:cs="Times New Roman"/>
          <w:i/>
        </w:rPr>
        <w:t>The Oxford History of the Classical World</w:t>
      </w:r>
      <w:r>
        <w:rPr>
          <w:rFonts w:ascii="Times New Roman" w:hAnsi="Times New Roman" w:cs="Times New Roman"/>
        </w:rPr>
        <w:t>. Oxford. Oxford University Press.</w:t>
      </w:r>
    </w:p>
    <w:p w14:paraId="5974E828" w14:textId="33B12DC3" w:rsidR="003F743D" w:rsidRPr="00177137" w:rsidRDefault="003F743D" w:rsidP="00061C27">
      <w:pPr>
        <w:spacing w:line="360" w:lineRule="auto"/>
        <w:jc w:val="both"/>
        <w:rPr>
          <w:rFonts w:ascii="Times New Roman" w:hAnsi="Times New Roman" w:cs="Times New Roman"/>
        </w:rPr>
      </w:pPr>
      <w:r>
        <w:rPr>
          <w:rFonts w:ascii="Times New Roman" w:hAnsi="Times New Roman" w:cs="Times New Roman"/>
        </w:rPr>
        <w:t>Hansen</w:t>
      </w:r>
      <w:r w:rsidR="00177137">
        <w:rPr>
          <w:rFonts w:ascii="Times New Roman" w:hAnsi="Times New Roman" w:cs="Times New Roman"/>
        </w:rPr>
        <w:t xml:space="preserve">, E. V. 1947. </w:t>
      </w:r>
      <w:r w:rsidR="00177137">
        <w:rPr>
          <w:rFonts w:ascii="Times New Roman" w:hAnsi="Times New Roman" w:cs="Times New Roman"/>
          <w:i/>
        </w:rPr>
        <w:t>The Attalids of Pergamon</w:t>
      </w:r>
      <w:r w:rsidR="00177137">
        <w:rPr>
          <w:rFonts w:ascii="Times New Roman" w:hAnsi="Times New Roman" w:cs="Times New Roman"/>
        </w:rPr>
        <w:t>. Ithaca: Cornell University Press.</w:t>
      </w:r>
    </w:p>
    <w:sectPr w:rsidR="003F743D" w:rsidRPr="00177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91A80" w14:textId="77777777" w:rsidR="00E14296" w:rsidRDefault="00E14296" w:rsidP="00EE5D49">
      <w:pPr>
        <w:spacing w:after="0" w:line="240" w:lineRule="auto"/>
      </w:pPr>
      <w:r>
        <w:separator/>
      </w:r>
    </w:p>
  </w:endnote>
  <w:endnote w:type="continuationSeparator" w:id="0">
    <w:p w14:paraId="4987A47C" w14:textId="77777777" w:rsidR="00E14296" w:rsidRDefault="00E14296" w:rsidP="00EE5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A7565" w14:textId="77777777" w:rsidR="00E14296" w:rsidRDefault="00E14296" w:rsidP="00EE5D49">
      <w:pPr>
        <w:spacing w:after="0" w:line="240" w:lineRule="auto"/>
      </w:pPr>
      <w:r>
        <w:separator/>
      </w:r>
    </w:p>
  </w:footnote>
  <w:footnote w:type="continuationSeparator" w:id="0">
    <w:p w14:paraId="2ADEAA9F" w14:textId="77777777" w:rsidR="00E14296" w:rsidRDefault="00E14296" w:rsidP="00EE5D49">
      <w:pPr>
        <w:spacing w:after="0" w:line="240" w:lineRule="auto"/>
      </w:pPr>
      <w:r>
        <w:continuationSeparator/>
      </w:r>
    </w:p>
  </w:footnote>
  <w:footnote w:id="1">
    <w:p w14:paraId="1E1F1791" w14:textId="691B8372" w:rsidR="00E65F03" w:rsidRPr="00597BF5" w:rsidRDefault="00E65F03">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Hansen 1947: 44-45</w:t>
      </w:r>
    </w:p>
  </w:footnote>
  <w:footnote w:id="2">
    <w:p w14:paraId="1203A000" w14:textId="36BA76E8" w:rsidR="00E65F03" w:rsidRPr="00597BF5" w:rsidRDefault="00E65F03">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Allen 1983: 81</w:t>
      </w:r>
    </w:p>
  </w:footnote>
  <w:footnote w:id="3">
    <w:p w14:paraId="071C1410" w14:textId="67F58A7F" w:rsidR="00E65F03" w:rsidRPr="00597BF5" w:rsidRDefault="00E65F03">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Plb.23.11.</w:t>
      </w:r>
    </w:p>
  </w:footnote>
  <w:footnote w:id="4">
    <w:p w14:paraId="7181C5DA" w14:textId="4BD54C8C" w:rsidR="00E65F03" w:rsidRPr="00597BF5" w:rsidRDefault="00E65F03">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Allen 1983: 81</w:t>
      </w:r>
    </w:p>
  </w:footnote>
  <w:footnote w:id="5">
    <w:p w14:paraId="5B09A50B" w14:textId="2986C63F" w:rsidR="00E65F03" w:rsidRPr="00597BF5" w:rsidRDefault="00E65F03">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Hansen 1947: 133</w:t>
      </w:r>
    </w:p>
  </w:footnote>
  <w:footnote w:id="6">
    <w:p w14:paraId="183BBA14" w14:textId="7796C2A2" w:rsidR="00506D71" w:rsidRPr="00597BF5" w:rsidRDefault="00506D71">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Hansen 1947: 45</w:t>
      </w:r>
    </w:p>
  </w:footnote>
  <w:footnote w:id="7">
    <w:p w14:paraId="5A28164C" w14:textId="35AE2525" w:rsidR="007F083F" w:rsidRPr="00597BF5" w:rsidRDefault="007F083F">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w:t>
      </w:r>
      <w:r w:rsidR="00A1340B" w:rsidRPr="00597BF5">
        <w:rPr>
          <w:rFonts w:ascii="Times New Roman" w:hAnsi="Times New Roman" w:cs="Times New Roman"/>
        </w:rPr>
        <w:t>Plut.</w:t>
      </w:r>
      <w:r w:rsidR="00A1340B" w:rsidRPr="00597BF5">
        <w:rPr>
          <w:rFonts w:ascii="Times New Roman" w:hAnsi="Times New Roman" w:cs="Times New Roman"/>
          <w:i/>
        </w:rPr>
        <w:t>Mor</w:t>
      </w:r>
      <w:r w:rsidR="00A1340B" w:rsidRPr="00597BF5">
        <w:rPr>
          <w:rFonts w:ascii="Times New Roman" w:hAnsi="Times New Roman" w:cs="Times New Roman"/>
        </w:rPr>
        <w:t>.480.</w:t>
      </w:r>
      <w:r w:rsidR="007B56BA" w:rsidRPr="00597BF5">
        <w:rPr>
          <w:rFonts w:ascii="Times New Roman" w:hAnsi="Times New Roman" w:cs="Times New Roman"/>
        </w:rPr>
        <w:t>5.</w:t>
      </w:r>
    </w:p>
  </w:footnote>
  <w:footnote w:id="8">
    <w:p w14:paraId="1327F464" w14:textId="2FA3D564" w:rsidR="005C1CBD" w:rsidRPr="00597BF5" w:rsidRDefault="005C1CBD">
      <w:pPr>
        <w:pStyle w:val="FootnoteText"/>
        <w:rPr>
          <w:rFonts w:ascii="Times New Roman" w:hAnsi="Times New Roman" w:cs="Times New Roman"/>
        </w:rPr>
      </w:pPr>
      <w:r w:rsidRPr="00597BF5">
        <w:rPr>
          <w:rStyle w:val="FootnoteReference"/>
          <w:rFonts w:ascii="Times New Roman" w:hAnsi="Times New Roman" w:cs="Times New Roman"/>
        </w:rPr>
        <w:footnoteRef/>
      </w:r>
      <w:r w:rsidRPr="00597BF5">
        <w:rPr>
          <w:rFonts w:ascii="Times New Roman" w:hAnsi="Times New Roman" w:cs="Times New Roman"/>
        </w:rPr>
        <w:t xml:space="preserve"> </w:t>
      </w:r>
      <w:r w:rsidR="000C6C7F" w:rsidRPr="00597BF5">
        <w:rPr>
          <w:rFonts w:ascii="Times New Roman" w:hAnsi="Times New Roman" w:cs="Times New Roman"/>
        </w:rPr>
        <w:t xml:space="preserve">Hansen 1947: </w:t>
      </w:r>
      <w:r w:rsidR="0053592B" w:rsidRPr="00597BF5">
        <w:rPr>
          <w:rFonts w:ascii="Times New Roman" w:hAnsi="Times New Roman" w:cs="Times New Roman"/>
        </w:rPr>
        <w:t>70</w:t>
      </w:r>
    </w:p>
  </w:footnote>
  <w:footnote w:id="9">
    <w:p w14:paraId="6EE201DD" w14:textId="73B42399" w:rsidR="00FE715D" w:rsidRDefault="00FE715D">
      <w:pPr>
        <w:pStyle w:val="FootnoteText"/>
      </w:pPr>
      <w:r w:rsidRPr="00597BF5">
        <w:rPr>
          <w:rStyle w:val="FootnoteReference"/>
          <w:rFonts w:ascii="Times New Roman" w:hAnsi="Times New Roman" w:cs="Times New Roman"/>
        </w:rPr>
        <w:footnoteRef/>
      </w:r>
      <w:r w:rsidRPr="00597BF5">
        <w:rPr>
          <w:rFonts w:ascii="Times New Roman" w:hAnsi="Times New Roman" w:cs="Times New Roman"/>
        </w:rPr>
        <w:t xml:space="preserve"> </w:t>
      </w:r>
      <w:r w:rsidR="006661F5" w:rsidRPr="00597BF5">
        <w:rPr>
          <w:rFonts w:ascii="Times New Roman" w:hAnsi="Times New Roman" w:cs="Times New Roman"/>
        </w:rPr>
        <w:t>Hansen 1947: 72</w:t>
      </w:r>
    </w:p>
  </w:footnote>
  <w:footnote w:id="10">
    <w:p w14:paraId="0E0A097F" w14:textId="37F8D52F" w:rsidR="009A77E8" w:rsidRPr="006569F1" w:rsidRDefault="009A77E8">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w:t>
      </w:r>
      <w:r w:rsidR="005E468E" w:rsidRPr="006569F1">
        <w:rPr>
          <w:rFonts w:ascii="Times New Roman" w:hAnsi="Times New Roman" w:cs="Times New Roman"/>
        </w:rPr>
        <w:t>Hansen 1947: 84</w:t>
      </w:r>
    </w:p>
  </w:footnote>
  <w:footnote w:id="11">
    <w:p w14:paraId="2F4425E0" w14:textId="2E69246E" w:rsidR="00597BF5" w:rsidRPr="006569F1" w:rsidRDefault="00597BF5">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Hansen 1947: 86</w:t>
      </w:r>
    </w:p>
  </w:footnote>
  <w:footnote w:id="12">
    <w:p w14:paraId="13AA5D12" w14:textId="37E2D512" w:rsidR="00271633" w:rsidRPr="006569F1" w:rsidRDefault="00271633">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w:t>
      </w:r>
      <w:r w:rsidR="002D0DB0" w:rsidRPr="006569F1">
        <w:rPr>
          <w:rFonts w:ascii="Times New Roman" w:hAnsi="Times New Roman" w:cs="Times New Roman"/>
        </w:rPr>
        <w:t>Livy.38.23.11.</w:t>
      </w:r>
    </w:p>
  </w:footnote>
  <w:footnote w:id="13">
    <w:p w14:paraId="66EA1C13" w14:textId="4E0BF458" w:rsidR="00BA3D19" w:rsidRPr="006569F1" w:rsidRDefault="00BA3D19">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Hansen</w:t>
      </w:r>
      <w:r w:rsidR="009D4A61" w:rsidRPr="006569F1">
        <w:rPr>
          <w:rFonts w:ascii="Times New Roman" w:hAnsi="Times New Roman" w:cs="Times New Roman"/>
        </w:rPr>
        <w:t xml:space="preserve"> 1947: 105</w:t>
      </w:r>
    </w:p>
  </w:footnote>
  <w:footnote w:id="14">
    <w:p w14:paraId="3FAA8425" w14:textId="6F73A3A6" w:rsidR="00526C2A" w:rsidRPr="006569F1" w:rsidRDefault="00526C2A">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w:t>
      </w:r>
      <w:r w:rsidR="00A746B6" w:rsidRPr="006569F1">
        <w:rPr>
          <w:rFonts w:ascii="Times New Roman" w:hAnsi="Times New Roman" w:cs="Times New Roman"/>
        </w:rPr>
        <w:t>Livy.</w:t>
      </w:r>
      <w:r w:rsidR="006E494C" w:rsidRPr="006569F1">
        <w:rPr>
          <w:rFonts w:ascii="Times New Roman" w:hAnsi="Times New Roman" w:cs="Times New Roman"/>
        </w:rPr>
        <w:t>42.16.9.</w:t>
      </w:r>
    </w:p>
  </w:footnote>
  <w:footnote w:id="15">
    <w:p w14:paraId="2D05726C" w14:textId="4561B91C" w:rsidR="0001259B" w:rsidRPr="006569F1" w:rsidRDefault="0001259B">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Hansen 19</w:t>
      </w:r>
      <w:r w:rsidR="009112EA" w:rsidRPr="006569F1">
        <w:rPr>
          <w:rFonts w:ascii="Times New Roman" w:hAnsi="Times New Roman" w:cs="Times New Roman"/>
        </w:rPr>
        <w:t>47: 107</w:t>
      </w:r>
    </w:p>
  </w:footnote>
  <w:footnote w:id="16">
    <w:p w14:paraId="71FDE065" w14:textId="3360ADEA" w:rsidR="001517F3" w:rsidRPr="006569F1" w:rsidRDefault="001517F3">
      <w:pPr>
        <w:pStyle w:val="FootnoteText"/>
        <w:rPr>
          <w:rFonts w:ascii="Times New Roman" w:hAnsi="Times New Roman" w:cs="Times New Roman"/>
        </w:rPr>
      </w:pPr>
      <w:r w:rsidRPr="006569F1">
        <w:rPr>
          <w:rStyle w:val="FootnoteReference"/>
          <w:rFonts w:ascii="Times New Roman" w:hAnsi="Times New Roman" w:cs="Times New Roman"/>
        </w:rPr>
        <w:footnoteRef/>
      </w:r>
      <w:r w:rsidRPr="006569F1">
        <w:rPr>
          <w:rFonts w:ascii="Times New Roman" w:hAnsi="Times New Roman" w:cs="Times New Roman"/>
        </w:rPr>
        <w:t xml:space="preserve"> </w:t>
      </w:r>
      <w:r w:rsidR="00510FCD" w:rsidRPr="006569F1">
        <w:rPr>
          <w:rFonts w:ascii="Times New Roman" w:hAnsi="Times New Roman" w:cs="Times New Roman"/>
        </w:rPr>
        <w:t>Allen 1983: 4</w:t>
      </w:r>
    </w:p>
  </w:footnote>
  <w:footnote w:id="17">
    <w:p w14:paraId="1B114F50" w14:textId="7C8AB9CC" w:rsidR="00750130" w:rsidRPr="00E64FE4" w:rsidRDefault="00750130">
      <w:pPr>
        <w:pStyle w:val="FootnoteText"/>
        <w:rPr>
          <w:rFonts w:ascii="Times New Roman" w:hAnsi="Times New Roman" w:cs="Times New Roman"/>
        </w:rPr>
      </w:pPr>
      <w:r w:rsidRPr="00E64FE4">
        <w:rPr>
          <w:rStyle w:val="FootnoteReference"/>
          <w:rFonts w:ascii="Times New Roman" w:hAnsi="Times New Roman" w:cs="Times New Roman"/>
        </w:rPr>
        <w:footnoteRef/>
      </w:r>
      <w:r w:rsidRPr="00E64FE4">
        <w:rPr>
          <w:rFonts w:ascii="Times New Roman" w:hAnsi="Times New Roman" w:cs="Times New Roman"/>
        </w:rPr>
        <w:t xml:space="preserve"> Hansen 1947: 123</w:t>
      </w:r>
    </w:p>
  </w:footnote>
  <w:footnote w:id="18">
    <w:p w14:paraId="441BD650" w14:textId="14707387" w:rsidR="00B3176E" w:rsidRPr="00E64FE4" w:rsidRDefault="00B3176E">
      <w:pPr>
        <w:pStyle w:val="FootnoteText"/>
        <w:rPr>
          <w:rFonts w:ascii="Times New Roman" w:hAnsi="Times New Roman" w:cs="Times New Roman"/>
        </w:rPr>
      </w:pPr>
      <w:r w:rsidRPr="00E64FE4">
        <w:rPr>
          <w:rStyle w:val="FootnoteReference"/>
          <w:rFonts w:ascii="Times New Roman" w:hAnsi="Times New Roman" w:cs="Times New Roman"/>
        </w:rPr>
        <w:footnoteRef/>
      </w:r>
      <w:r w:rsidRPr="00E64FE4">
        <w:rPr>
          <w:rFonts w:ascii="Times New Roman" w:hAnsi="Times New Roman" w:cs="Times New Roman"/>
        </w:rPr>
        <w:t xml:space="preserve"> Hansen 1947: 125</w:t>
      </w:r>
    </w:p>
  </w:footnote>
  <w:footnote w:id="19">
    <w:p w14:paraId="39087678" w14:textId="10B1B9C9" w:rsidR="0062328C" w:rsidRPr="00E64FE4" w:rsidRDefault="0062328C">
      <w:pPr>
        <w:pStyle w:val="FootnoteText"/>
        <w:rPr>
          <w:rFonts w:ascii="Times New Roman" w:hAnsi="Times New Roman" w:cs="Times New Roman"/>
        </w:rPr>
      </w:pPr>
      <w:r w:rsidRPr="00E64FE4">
        <w:rPr>
          <w:rStyle w:val="FootnoteReference"/>
          <w:rFonts w:ascii="Times New Roman" w:hAnsi="Times New Roman" w:cs="Times New Roman"/>
        </w:rPr>
        <w:footnoteRef/>
      </w:r>
      <w:r w:rsidRPr="00E64FE4">
        <w:rPr>
          <w:rFonts w:ascii="Times New Roman" w:hAnsi="Times New Roman" w:cs="Times New Roman"/>
        </w:rPr>
        <w:t xml:space="preserve"> Hansen 1947: 125-127</w:t>
      </w:r>
    </w:p>
  </w:footnote>
  <w:footnote w:id="20">
    <w:p w14:paraId="3342234D" w14:textId="6B88F6C2" w:rsidR="007C0118" w:rsidRPr="00E64FE4" w:rsidRDefault="007C0118">
      <w:pPr>
        <w:pStyle w:val="FootnoteText"/>
        <w:rPr>
          <w:rFonts w:ascii="Times New Roman" w:hAnsi="Times New Roman" w:cs="Times New Roman"/>
        </w:rPr>
      </w:pPr>
      <w:r w:rsidRPr="00E64FE4">
        <w:rPr>
          <w:rStyle w:val="FootnoteReference"/>
          <w:rFonts w:ascii="Times New Roman" w:hAnsi="Times New Roman" w:cs="Times New Roman"/>
        </w:rPr>
        <w:footnoteRef/>
      </w:r>
      <w:r w:rsidRPr="00E64FE4">
        <w:rPr>
          <w:rFonts w:ascii="Times New Roman" w:hAnsi="Times New Roman" w:cs="Times New Roman"/>
        </w:rPr>
        <w:t xml:space="preserve"> </w:t>
      </w:r>
      <w:r w:rsidR="002C77F1" w:rsidRPr="00E64FE4">
        <w:rPr>
          <w:rFonts w:ascii="Times New Roman" w:hAnsi="Times New Roman" w:cs="Times New Roman"/>
        </w:rPr>
        <w:t>Allen 1983: 132</w:t>
      </w:r>
    </w:p>
  </w:footnote>
  <w:footnote w:id="21">
    <w:p w14:paraId="60B030CB" w14:textId="75190BE8" w:rsidR="002C77F1" w:rsidRDefault="002C77F1">
      <w:pPr>
        <w:pStyle w:val="FootnoteText"/>
      </w:pPr>
      <w:r w:rsidRPr="00E64FE4">
        <w:rPr>
          <w:rStyle w:val="FootnoteReference"/>
          <w:rFonts w:ascii="Times New Roman" w:hAnsi="Times New Roman" w:cs="Times New Roman"/>
        </w:rPr>
        <w:footnoteRef/>
      </w:r>
      <w:r w:rsidRPr="00E64FE4">
        <w:rPr>
          <w:rFonts w:ascii="Times New Roman" w:hAnsi="Times New Roman" w:cs="Times New Roman"/>
        </w:rPr>
        <w:t xml:space="preserve"> Hansen 1947: 130</w:t>
      </w:r>
    </w:p>
  </w:footnote>
  <w:footnote w:id="22">
    <w:p w14:paraId="065AA4CB" w14:textId="40DABDDC" w:rsidR="00612A9A" w:rsidRPr="00626AB2" w:rsidRDefault="00612A9A">
      <w:pPr>
        <w:pStyle w:val="FootnoteText"/>
        <w:rPr>
          <w:rFonts w:ascii="Times New Roman" w:hAnsi="Times New Roman" w:cs="Times New Roman"/>
        </w:rPr>
      </w:pPr>
      <w:r w:rsidRPr="00626AB2">
        <w:rPr>
          <w:rStyle w:val="FootnoteReference"/>
          <w:rFonts w:ascii="Times New Roman" w:hAnsi="Times New Roman" w:cs="Times New Roman"/>
        </w:rPr>
        <w:footnoteRef/>
      </w:r>
      <w:r w:rsidRPr="00626AB2">
        <w:rPr>
          <w:rFonts w:ascii="Times New Roman" w:hAnsi="Times New Roman" w:cs="Times New Roman"/>
        </w:rPr>
        <w:t xml:space="preserve"> Hansen 1947: 132</w:t>
      </w:r>
    </w:p>
  </w:footnote>
  <w:footnote w:id="23">
    <w:p w14:paraId="5EC79067" w14:textId="3AEF55B7" w:rsidR="0023460D" w:rsidRDefault="0023460D">
      <w:pPr>
        <w:pStyle w:val="FootnoteText"/>
      </w:pPr>
      <w:r w:rsidRPr="00626AB2">
        <w:rPr>
          <w:rStyle w:val="FootnoteReference"/>
          <w:rFonts w:ascii="Times New Roman" w:hAnsi="Times New Roman" w:cs="Times New Roman"/>
        </w:rPr>
        <w:footnoteRef/>
      </w:r>
      <w:r w:rsidRPr="00626AB2">
        <w:rPr>
          <w:rFonts w:ascii="Times New Roman" w:hAnsi="Times New Roman" w:cs="Times New Roman"/>
        </w:rPr>
        <w:t xml:space="preserve"> Hansen 1947: 134</w:t>
      </w:r>
    </w:p>
  </w:footnote>
  <w:footnote w:id="24">
    <w:p w14:paraId="4895A786" w14:textId="559FC44B" w:rsidR="00A447C2" w:rsidRPr="00A447C2" w:rsidRDefault="00A447C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Boardman, Griffin, Murray 1992: 319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1CB"/>
    <w:rsid w:val="0001259B"/>
    <w:rsid w:val="00013C07"/>
    <w:rsid w:val="000179F6"/>
    <w:rsid w:val="00061C27"/>
    <w:rsid w:val="000955A0"/>
    <w:rsid w:val="000C6C7F"/>
    <w:rsid w:val="00133971"/>
    <w:rsid w:val="001517F3"/>
    <w:rsid w:val="00177137"/>
    <w:rsid w:val="00191B90"/>
    <w:rsid w:val="001C72AE"/>
    <w:rsid w:val="001D6BD2"/>
    <w:rsid w:val="001E3B9A"/>
    <w:rsid w:val="001F520F"/>
    <w:rsid w:val="002159D8"/>
    <w:rsid w:val="0023460D"/>
    <w:rsid w:val="00271633"/>
    <w:rsid w:val="00277BBA"/>
    <w:rsid w:val="002C77F1"/>
    <w:rsid w:val="002D0DB0"/>
    <w:rsid w:val="00322A16"/>
    <w:rsid w:val="003234BD"/>
    <w:rsid w:val="003777AC"/>
    <w:rsid w:val="00385088"/>
    <w:rsid w:val="003F3BB7"/>
    <w:rsid w:val="003F743D"/>
    <w:rsid w:val="004053D6"/>
    <w:rsid w:val="0046633C"/>
    <w:rsid w:val="00477FE6"/>
    <w:rsid w:val="004C749D"/>
    <w:rsid w:val="00506D71"/>
    <w:rsid w:val="00510FCD"/>
    <w:rsid w:val="00526C2A"/>
    <w:rsid w:val="0053592B"/>
    <w:rsid w:val="00557B96"/>
    <w:rsid w:val="0057341B"/>
    <w:rsid w:val="005827ED"/>
    <w:rsid w:val="00597BF5"/>
    <w:rsid w:val="005C1CBD"/>
    <w:rsid w:val="005E468E"/>
    <w:rsid w:val="00612A9A"/>
    <w:rsid w:val="00621425"/>
    <w:rsid w:val="0062328C"/>
    <w:rsid w:val="00626AB2"/>
    <w:rsid w:val="00650B1A"/>
    <w:rsid w:val="00655D87"/>
    <w:rsid w:val="006569F1"/>
    <w:rsid w:val="006636C2"/>
    <w:rsid w:val="006661F5"/>
    <w:rsid w:val="006745CA"/>
    <w:rsid w:val="006A6D5C"/>
    <w:rsid w:val="006D170D"/>
    <w:rsid w:val="006E494C"/>
    <w:rsid w:val="00750130"/>
    <w:rsid w:val="007A5373"/>
    <w:rsid w:val="007B56BA"/>
    <w:rsid w:val="007C0118"/>
    <w:rsid w:val="007C65DB"/>
    <w:rsid w:val="007F083F"/>
    <w:rsid w:val="007F3F23"/>
    <w:rsid w:val="008C2F9A"/>
    <w:rsid w:val="008C42D9"/>
    <w:rsid w:val="008D282B"/>
    <w:rsid w:val="009112EA"/>
    <w:rsid w:val="0091640A"/>
    <w:rsid w:val="00922C36"/>
    <w:rsid w:val="00926E96"/>
    <w:rsid w:val="00932799"/>
    <w:rsid w:val="0093613C"/>
    <w:rsid w:val="009A77E8"/>
    <w:rsid w:val="009B0F81"/>
    <w:rsid w:val="009C3A2D"/>
    <w:rsid w:val="009D4A61"/>
    <w:rsid w:val="009D61CB"/>
    <w:rsid w:val="009E08EF"/>
    <w:rsid w:val="009F064D"/>
    <w:rsid w:val="00A1340B"/>
    <w:rsid w:val="00A447C2"/>
    <w:rsid w:val="00A746B6"/>
    <w:rsid w:val="00AB7EA0"/>
    <w:rsid w:val="00AD7998"/>
    <w:rsid w:val="00B20127"/>
    <w:rsid w:val="00B3176E"/>
    <w:rsid w:val="00B561A4"/>
    <w:rsid w:val="00BA3D19"/>
    <w:rsid w:val="00C41B6B"/>
    <w:rsid w:val="00C62CC0"/>
    <w:rsid w:val="00C67665"/>
    <w:rsid w:val="00C83025"/>
    <w:rsid w:val="00C868D8"/>
    <w:rsid w:val="00CB6E8C"/>
    <w:rsid w:val="00CC3612"/>
    <w:rsid w:val="00D01DB5"/>
    <w:rsid w:val="00D432CA"/>
    <w:rsid w:val="00D61E6D"/>
    <w:rsid w:val="00D95E7E"/>
    <w:rsid w:val="00DB591E"/>
    <w:rsid w:val="00E14296"/>
    <w:rsid w:val="00E172BA"/>
    <w:rsid w:val="00E207D0"/>
    <w:rsid w:val="00E22C12"/>
    <w:rsid w:val="00E44D2A"/>
    <w:rsid w:val="00E533AF"/>
    <w:rsid w:val="00E57F4D"/>
    <w:rsid w:val="00E64FE4"/>
    <w:rsid w:val="00E65F03"/>
    <w:rsid w:val="00EE5D49"/>
    <w:rsid w:val="00EF0E8D"/>
    <w:rsid w:val="00F0666B"/>
    <w:rsid w:val="00F7494A"/>
    <w:rsid w:val="00F963A4"/>
    <w:rsid w:val="00FC7568"/>
    <w:rsid w:val="00FD6014"/>
    <w:rsid w:val="00FE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64A4F"/>
  <w15:chartTrackingRefBased/>
  <w15:docId w15:val="{3ACF4B29-18DD-4597-9C8E-9DC04D8E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5D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5D49"/>
    <w:rPr>
      <w:sz w:val="20"/>
      <w:szCs w:val="20"/>
    </w:rPr>
  </w:style>
  <w:style w:type="character" w:styleId="FootnoteReference">
    <w:name w:val="footnote reference"/>
    <w:basedOn w:val="DefaultParagraphFont"/>
    <w:uiPriority w:val="99"/>
    <w:semiHidden/>
    <w:unhideWhenUsed/>
    <w:rsid w:val="00EE5D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BC12D-ACC7-4303-B235-6F0C27383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4</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McGlynn</dc:creator>
  <cp:keywords/>
  <dc:description/>
  <cp:lastModifiedBy>Gavin McGlynn</cp:lastModifiedBy>
  <cp:revision>77</cp:revision>
  <dcterms:created xsi:type="dcterms:W3CDTF">2018-02-09T16:19:00Z</dcterms:created>
  <dcterms:modified xsi:type="dcterms:W3CDTF">2018-02-13T16:57:00Z</dcterms:modified>
</cp:coreProperties>
</file>