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FC218A" w:rsidP="70B481C9" w:rsidRDefault="17FC218A" w14:paraId="23216259" w14:textId="6C38B78B">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17FC218A">
        <w:rPr>
          <w:rFonts w:ascii="Arial" w:hAnsi="Arial" w:eastAsia="Arial" w:cs="Arial"/>
          <w:b w:val="1"/>
          <w:bCs w:val="1"/>
          <w:i w:val="0"/>
          <w:iCs w:val="0"/>
          <w:noProof w:val="0"/>
          <w:color w:val="000000" w:themeColor="text1" w:themeTint="FF" w:themeShade="FF"/>
          <w:sz w:val="22"/>
          <w:szCs w:val="22"/>
          <w:lang w:val="en-GB"/>
        </w:rPr>
        <w:t>Student Name: Rachel Monisola Becker</w:t>
      </w:r>
      <w:r>
        <w:br/>
      </w:r>
      <w:r w:rsidRPr="70B481C9" w:rsidR="62D39430">
        <w:rPr>
          <w:rFonts w:ascii="Arial" w:hAnsi="Arial" w:eastAsia="Arial" w:cs="Arial"/>
          <w:b w:val="1"/>
          <w:bCs w:val="1"/>
          <w:i w:val="0"/>
          <w:iCs w:val="0"/>
          <w:noProof w:val="0"/>
          <w:color w:val="000000" w:themeColor="text1" w:themeTint="FF" w:themeShade="FF"/>
          <w:sz w:val="22"/>
          <w:szCs w:val="22"/>
          <w:lang w:val="en-GB"/>
        </w:rPr>
        <w:t xml:space="preserve">Student Number:              </w:t>
      </w:r>
      <w:r w:rsidRPr="70B481C9" w:rsidR="006A7B95">
        <w:rPr>
          <w:rFonts w:ascii="Arial" w:hAnsi="Arial" w:eastAsia="Arial" w:cs="Arial"/>
          <w:b w:val="1"/>
          <w:bCs w:val="1"/>
          <w:i w:val="0"/>
          <w:iCs w:val="0"/>
          <w:noProof w:val="0"/>
          <w:color w:val="000000" w:themeColor="text1" w:themeTint="FF" w:themeShade="FF"/>
          <w:sz w:val="22"/>
          <w:szCs w:val="22"/>
          <w:lang w:val="en-GB"/>
        </w:rPr>
        <w:t xml:space="preserve">         </w:t>
      </w:r>
      <w:r w:rsidRPr="70B481C9" w:rsidR="62D39430">
        <w:rPr>
          <w:rFonts w:ascii="Arial" w:hAnsi="Arial" w:eastAsia="Arial" w:cs="Arial"/>
          <w:b w:val="1"/>
          <w:bCs w:val="1"/>
          <w:i w:val="0"/>
          <w:iCs w:val="0"/>
          <w:noProof w:val="0"/>
          <w:color w:val="000000" w:themeColor="text1" w:themeTint="FF" w:themeShade="FF"/>
          <w:sz w:val="22"/>
          <w:szCs w:val="22"/>
          <w:lang w:val="en-GB"/>
        </w:rPr>
        <w:t xml:space="preserve">  2310797</w:t>
      </w:r>
    </w:p>
    <w:p w:rsidR="17FC218A" w:rsidP="70B481C9" w:rsidRDefault="17FC218A" w14:paraId="2369457A" w14:textId="2F65CED8">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17FC218A">
        <w:rPr>
          <w:rFonts w:ascii="Arial" w:hAnsi="Arial" w:eastAsia="Arial" w:cs="Arial"/>
          <w:b w:val="1"/>
          <w:bCs w:val="1"/>
          <w:i w:val="0"/>
          <w:iCs w:val="0"/>
          <w:noProof w:val="0"/>
          <w:color w:val="000000" w:themeColor="text1" w:themeTint="FF" w:themeShade="FF"/>
          <w:sz w:val="22"/>
          <w:szCs w:val="22"/>
          <w:lang w:val="en-GB"/>
        </w:rPr>
        <w:t xml:space="preserve">Module Code and Title: </w:t>
      </w:r>
      <w:r w:rsidRPr="70B481C9" w:rsidR="51348120">
        <w:rPr>
          <w:rFonts w:ascii="Arial" w:hAnsi="Arial" w:eastAsia="Arial" w:cs="Arial"/>
          <w:b w:val="1"/>
          <w:bCs w:val="1"/>
          <w:i w:val="0"/>
          <w:iCs w:val="0"/>
          <w:noProof w:val="0"/>
          <w:color w:val="000000" w:themeColor="text1" w:themeTint="FF" w:themeShade="FF"/>
          <w:sz w:val="22"/>
          <w:szCs w:val="22"/>
          <w:lang w:val="en-GB"/>
        </w:rPr>
        <w:t xml:space="preserve">       </w:t>
      </w:r>
      <w:r w:rsidRPr="70B481C9" w:rsidR="17FC218A">
        <w:rPr>
          <w:rFonts w:ascii="Arial" w:hAnsi="Arial" w:eastAsia="Arial" w:cs="Arial"/>
          <w:b w:val="1"/>
          <w:bCs w:val="1"/>
          <w:i w:val="0"/>
          <w:iCs w:val="0"/>
          <w:noProof w:val="0"/>
          <w:color w:val="000000" w:themeColor="text1" w:themeTint="FF" w:themeShade="FF"/>
          <w:sz w:val="22"/>
          <w:szCs w:val="22"/>
          <w:lang w:val="en-GB"/>
        </w:rPr>
        <w:t>BMHP6029</w:t>
      </w:r>
      <w:r w:rsidRPr="70B481C9" w:rsidR="6148A9B9">
        <w:rPr>
          <w:rFonts w:ascii="Arial" w:hAnsi="Arial" w:eastAsia="Arial" w:cs="Arial"/>
          <w:b w:val="1"/>
          <w:bCs w:val="1"/>
          <w:i w:val="0"/>
          <w:iCs w:val="0"/>
          <w:noProof w:val="0"/>
          <w:color w:val="000000" w:themeColor="text1" w:themeTint="FF" w:themeShade="FF"/>
          <w:sz w:val="22"/>
          <w:szCs w:val="22"/>
          <w:lang w:val="en-GB"/>
        </w:rPr>
        <w:t xml:space="preserve"> </w:t>
      </w:r>
      <w:r>
        <w:br/>
      </w:r>
      <w:r w:rsidRPr="70B481C9" w:rsidR="6148A9B9">
        <w:rPr>
          <w:rFonts w:ascii="Arial" w:hAnsi="Arial" w:eastAsia="Arial" w:cs="Arial"/>
          <w:b w:val="1"/>
          <w:bCs w:val="1"/>
          <w:i w:val="0"/>
          <w:iCs w:val="0"/>
          <w:noProof w:val="0"/>
          <w:color w:val="000000" w:themeColor="text1" w:themeTint="FF" w:themeShade="FF"/>
          <w:sz w:val="22"/>
          <w:szCs w:val="22"/>
          <w:lang w:val="en-GB"/>
        </w:rPr>
        <w:t xml:space="preserve">Lecturer            </w:t>
      </w:r>
      <w:r w:rsidRPr="70B481C9" w:rsidR="06AC15A0">
        <w:rPr>
          <w:rFonts w:ascii="Arial" w:hAnsi="Arial" w:eastAsia="Arial" w:cs="Arial"/>
          <w:b w:val="1"/>
          <w:bCs w:val="1"/>
          <w:i w:val="0"/>
          <w:iCs w:val="0"/>
          <w:noProof w:val="0"/>
          <w:color w:val="000000" w:themeColor="text1" w:themeTint="FF" w:themeShade="FF"/>
          <w:sz w:val="22"/>
          <w:szCs w:val="22"/>
          <w:lang w:val="en-GB"/>
        </w:rPr>
        <w:t xml:space="preserve">         </w:t>
      </w:r>
      <w:r w:rsidRPr="70B481C9" w:rsidR="6148A9B9">
        <w:rPr>
          <w:rFonts w:ascii="Arial" w:hAnsi="Arial" w:eastAsia="Arial" w:cs="Arial"/>
          <w:b w:val="1"/>
          <w:bCs w:val="1"/>
          <w:i w:val="0"/>
          <w:iCs w:val="0"/>
          <w:noProof w:val="0"/>
          <w:color w:val="000000" w:themeColor="text1" w:themeTint="FF" w:themeShade="FF"/>
          <w:sz w:val="22"/>
          <w:szCs w:val="22"/>
          <w:lang w:val="en-GB"/>
        </w:rPr>
        <w:t xml:space="preserve">        Neale Haddon</w:t>
      </w:r>
      <w:r>
        <w:br/>
      </w:r>
      <w:r w:rsidRPr="70B481C9" w:rsidR="17FC218A">
        <w:rPr>
          <w:rFonts w:ascii="Arial" w:hAnsi="Arial" w:eastAsia="Arial" w:cs="Arial"/>
          <w:b w:val="1"/>
          <w:bCs w:val="1"/>
          <w:i w:val="0"/>
          <w:iCs w:val="0"/>
          <w:noProof w:val="0"/>
          <w:color w:val="000000" w:themeColor="text1" w:themeTint="FF" w:themeShade="FF"/>
          <w:sz w:val="22"/>
          <w:szCs w:val="22"/>
          <w:lang w:val="en-GB"/>
        </w:rPr>
        <w:t>P</w:t>
      </w:r>
      <w:r w:rsidRPr="70B481C9" w:rsidR="17FC218A">
        <w:rPr>
          <w:rFonts w:ascii="Arial" w:hAnsi="Arial" w:eastAsia="Arial" w:cs="Arial"/>
          <w:b w:val="1"/>
          <w:bCs w:val="1"/>
          <w:i w:val="0"/>
          <w:iCs w:val="0"/>
          <w:noProof w:val="0"/>
          <w:color w:val="000000" w:themeColor="text1" w:themeTint="FF" w:themeShade="FF"/>
          <w:sz w:val="22"/>
          <w:szCs w:val="22"/>
          <w:lang w:val="en-GB"/>
        </w:rPr>
        <w:t>sychopatholog</w:t>
      </w:r>
      <w:r w:rsidRPr="70B481C9" w:rsidR="7FC42F67">
        <w:rPr>
          <w:rFonts w:ascii="Arial" w:hAnsi="Arial" w:eastAsia="Arial" w:cs="Arial"/>
          <w:b w:val="1"/>
          <w:bCs w:val="1"/>
          <w:i w:val="0"/>
          <w:iCs w:val="0"/>
          <w:noProof w:val="0"/>
          <w:color w:val="000000" w:themeColor="text1" w:themeTint="FF" w:themeShade="FF"/>
          <w:sz w:val="22"/>
          <w:szCs w:val="22"/>
          <w:lang w:val="en-GB"/>
        </w:rPr>
        <w:t xml:space="preserve">ical Classifications </w:t>
      </w:r>
      <w:r w:rsidRPr="70B481C9" w:rsidR="17FC218A">
        <w:rPr>
          <w:rFonts w:ascii="Arial" w:hAnsi="Arial" w:eastAsia="Arial" w:cs="Arial"/>
          <w:b w:val="1"/>
          <w:bCs w:val="1"/>
          <w:i w:val="0"/>
          <w:iCs w:val="0"/>
          <w:noProof w:val="0"/>
          <w:color w:val="000000" w:themeColor="text1" w:themeTint="FF" w:themeShade="FF"/>
          <w:sz w:val="22"/>
          <w:szCs w:val="22"/>
          <w:lang w:val="en-GB"/>
        </w:rPr>
        <w:t>and</w:t>
      </w:r>
      <w:r w:rsidRPr="70B481C9" w:rsidR="631F6178">
        <w:rPr>
          <w:rFonts w:ascii="Arial" w:hAnsi="Arial" w:eastAsia="Arial" w:cs="Arial"/>
          <w:b w:val="1"/>
          <w:bCs w:val="1"/>
          <w:i w:val="0"/>
          <w:iCs w:val="0"/>
          <w:noProof w:val="0"/>
          <w:color w:val="000000" w:themeColor="text1" w:themeTint="FF" w:themeShade="FF"/>
          <w:sz w:val="22"/>
          <w:szCs w:val="22"/>
          <w:lang w:val="en-GB"/>
        </w:rPr>
        <w:t xml:space="preserve"> </w:t>
      </w:r>
      <w:r w:rsidRPr="70B481C9" w:rsidR="17FC218A">
        <w:rPr>
          <w:rFonts w:ascii="Arial" w:hAnsi="Arial" w:eastAsia="Arial" w:cs="Arial"/>
          <w:b w:val="1"/>
          <w:bCs w:val="1"/>
          <w:i w:val="0"/>
          <w:iCs w:val="0"/>
          <w:noProof w:val="0"/>
          <w:color w:val="000000" w:themeColor="text1" w:themeTint="FF" w:themeShade="FF"/>
          <w:sz w:val="22"/>
          <w:szCs w:val="22"/>
          <w:lang w:val="en-GB"/>
        </w:rPr>
        <w:t>Pr</w:t>
      </w:r>
      <w:r w:rsidRPr="70B481C9" w:rsidR="7167818D">
        <w:rPr>
          <w:rFonts w:ascii="Arial" w:hAnsi="Arial" w:eastAsia="Arial" w:cs="Arial"/>
          <w:b w:val="1"/>
          <w:bCs w:val="1"/>
          <w:i w:val="0"/>
          <w:iCs w:val="0"/>
          <w:noProof w:val="0"/>
          <w:color w:val="000000" w:themeColor="text1" w:themeTint="FF" w:themeShade="FF"/>
          <w:sz w:val="22"/>
          <w:szCs w:val="22"/>
          <w:lang w:val="en-GB"/>
        </w:rPr>
        <w:t>ovisions</w:t>
      </w:r>
    </w:p>
    <w:p w:rsidR="70B481C9" w:rsidP="70B481C9" w:rsidRDefault="70B481C9" w14:paraId="7460DD66" w14:textId="27A611DD">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rsidRPr="70B481C9" w:rsidR="5C6094D9">
        <w:rPr>
          <w:rFonts w:ascii="Arial" w:hAnsi="Arial" w:eastAsia="Arial" w:cs="Arial"/>
          <w:b w:val="1"/>
          <w:bCs w:val="1"/>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A Critical Examination of Bipolar Disorder: Classification, Treatment, Debates, and Future Directions in the ICD-11 Era</w:t>
      </w:r>
    </w:p>
    <w:p w:rsidR="70B481C9" w:rsidP="70B481C9" w:rsidRDefault="70B481C9" w14:paraId="1BC08CE9" w14:textId="4FCFEE34">
      <w:pPr>
        <w:spacing w:before="0" w:beforeAutospacing="off" w:after="0" w:afterAutospacing="off" w:line="360" w:lineRule="auto"/>
        <w:jc w:val="both"/>
        <w:rPr>
          <w:rFonts w:ascii="Arial" w:hAnsi="Arial" w:eastAsia="Arial" w:cs="Arial"/>
          <w:sz w:val="22"/>
          <w:szCs w:val="22"/>
        </w:rPr>
      </w:pPr>
    </w:p>
    <w:p w:rsidR="70B481C9" w:rsidP="70B481C9" w:rsidRDefault="70B481C9" w14:paraId="76E12FF6" w14:textId="1C4DB752">
      <w:pPr>
        <w:spacing w:before="0" w:beforeAutospacing="off" w:after="0" w:afterAutospacing="off" w:line="360" w:lineRule="auto"/>
        <w:jc w:val="both"/>
        <w:rPr>
          <w:rFonts w:ascii="Arial" w:hAnsi="Arial" w:eastAsia="Arial" w:cs="Arial"/>
          <w:sz w:val="22"/>
          <w:szCs w:val="22"/>
        </w:rPr>
      </w:pPr>
    </w:p>
    <w:p w:rsidR="70B481C9" w:rsidP="70B481C9" w:rsidRDefault="70B481C9" w14:paraId="569BD635" w14:textId="66DA57C2">
      <w:pPr>
        <w:spacing w:before="0" w:beforeAutospacing="off" w:after="0" w:afterAutospacing="off" w:line="360" w:lineRule="auto"/>
        <w:jc w:val="both"/>
        <w:rPr>
          <w:rFonts w:ascii="Arial" w:hAnsi="Arial" w:eastAsia="Arial" w:cs="Arial"/>
          <w:sz w:val="22"/>
          <w:szCs w:val="22"/>
        </w:rPr>
      </w:pPr>
    </w:p>
    <w:p w:rsidR="70B481C9" w:rsidP="70B481C9" w:rsidRDefault="70B481C9" w14:paraId="1CCFD450" w14:textId="0B80C796">
      <w:pPr>
        <w:spacing w:before="0" w:beforeAutospacing="off" w:after="0" w:afterAutospacing="off" w:line="360" w:lineRule="auto"/>
        <w:jc w:val="both"/>
        <w:rPr>
          <w:rFonts w:ascii="Arial" w:hAnsi="Arial" w:eastAsia="Arial" w:cs="Arial"/>
          <w:sz w:val="22"/>
          <w:szCs w:val="22"/>
        </w:rPr>
      </w:pPr>
    </w:p>
    <w:p w:rsidR="70B481C9" w:rsidP="70B481C9" w:rsidRDefault="70B481C9" w14:paraId="4EE17E92" w14:textId="53DEE321">
      <w:pPr>
        <w:spacing w:before="0" w:beforeAutospacing="off" w:after="0" w:afterAutospacing="off" w:line="360" w:lineRule="auto"/>
        <w:jc w:val="both"/>
        <w:rPr>
          <w:rFonts w:ascii="Arial" w:hAnsi="Arial" w:eastAsia="Arial" w:cs="Arial"/>
          <w:sz w:val="22"/>
          <w:szCs w:val="22"/>
        </w:rPr>
      </w:pPr>
    </w:p>
    <w:p w:rsidR="70B481C9" w:rsidP="70B481C9" w:rsidRDefault="70B481C9" w14:paraId="625A44F3" w14:textId="6A20A281">
      <w:pPr>
        <w:spacing w:before="0" w:beforeAutospacing="off" w:after="0" w:afterAutospacing="off" w:line="360" w:lineRule="auto"/>
        <w:jc w:val="both"/>
        <w:rPr>
          <w:rFonts w:ascii="Arial" w:hAnsi="Arial" w:eastAsia="Arial" w:cs="Arial"/>
          <w:sz w:val="22"/>
          <w:szCs w:val="22"/>
        </w:rPr>
      </w:pPr>
    </w:p>
    <w:p w:rsidR="70B481C9" w:rsidP="70B481C9" w:rsidRDefault="70B481C9" w14:paraId="12C36D8D" w14:textId="1DCD3A63">
      <w:pPr>
        <w:spacing w:before="0" w:beforeAutospacing="off" w:after="0" w:afterAutospacing="off" w:line="360" w:lineRule="auto"/>
        <w:jc w:val="both"/>
        <w:rPr>
          <w:rFonts w:ascii="Arial" w:hAnsi="Arial" w:eastAsia="Arial" w:cs="Arial"/>
          <w:sz w:val="22"/>
          <w:szCs w:val="22"/>
        </w:rPr>
      </w:pPr>
    </w:p>
    <w:p w:rsidR="70B481C9" w:rsidP="70B481C9" w:rsidRDefault="70B481C9" w14:paraId="42B2D3FC" w14:textId="3CFFFCBA">
      <w:pPr>
        <w:spacing w:before="0" w:beforeAutospacing="off" w:after="0" w:afterAutospacing="off" w:line="360" w:lineRule="auto"/>
        <w:jc w:val="both"/>
        <w:rPr>
          <w:rFonts w:ascii="Arial" w:hAnsi="Arial" w:eastAsia="Arial" w:cs="Arial"/>
          <w:sz w:val="22"/>
          <w:szCs w:val="22"/>
        </w:rPr>
      </w:pPr>
    </w:p>
    <w:p w:rsidR="70B481C9" w:rsidP="70B481C9" w:rsidRDefault="70B481C9" w14:paraId="02B654F6" w14:textId="220E8BC9">
      <w:pPr>
        <w:spacing w:before="0" w:beforeAutospacing="off" w:after="0" w:afterAutospacing="off" w:line="360" w:lineRule="auto"/>
        <w:jc w:val="both"/>
        <w:rPr>
          <w:rFonts w:ascii="Arial" w:hAnsi="Arial" w:eastAsia="Arial" w:cs="Arial"/>
          <w:sz w:val="22"/>
          <w:szCs w:val="22"/>
        </w:rPr>
      </w:pPr>
    </w:p>
    <w:p w:rsidR="70B481C9" w:rsidP="70B481C9" w:rsidRDefault="70B481C9" w14:paraId="2936D343" w14:textId="635F88C0">
      <w:pPr>
        <w:spacing w:before="0" w:beforeAutospacing="off" w:after="0" w:afterAutospacing="off" w:line="360" w:lineRule="auto"/>
        <w:jc w:val="both"/>
        <w:rPr>
          <w:rFonts w:ascii="Arial" w:hAnsi="Arial" w:eastAsia="Arial" w:cs="Arial"/>
          <w:sz w:val="22"/>
          <w:szCs w:val="22"/>
        </w:rPr>
      </w:pPr>
    </w:p>
    <w:p w:rsidR="70B481C9" w:rsidP="70B481C9" w:rsidRDefault="70B481C9" w14:paraId="3453ABAB" w14:textId="00CA856E">
      <w:pPr>
        <w:spacing w:before="0" w:beforeAutospacing="off" w:after="0" w:afterAutospacing="off" w:line="360" w:lineRule="auto"/>
        <w:jc w:val="both"/>
        <w:rPr>
          <w:rFonts w:ascii="Arial" w:hAnsi="Arial" w:eastAsia="Arial" w:cs="Arial"/>
          <w:sz w:val="22"/>
          <w:szCs w:val="22"/>
        </w:rPr>
      </w:pPr>
    </w:p>
    <w:p w:rsidR="70B481C9" w:rsidP="70B481C9" w:rsidRDefault="70B481C9" w14:paraId="221028CC" w14:textId="46FB9440">
      <w:pPr>
        <w:spacing w:before="0" w:beforeAutospacing="off" w:after="0" w:afterAutospacing="off" w:line="360" w:lineRule="auto"/>
        <w:jc w:val="both"/>
        <w:rPr>
          <w:rFonts w:ascii="Arial" w:hAnsi="Arial" w:eastAsia="Arial" w:cs="Arial"/>
          <w:sz w:val="22"/>
          <w:szCs w:val="22"/>
        </w:rPr>
      </w:pPr>
    </w:p>
    <w:p w:rsidR="70B481C9" w:rsidP="70B481C9" w:rsidRDefault="70B481C9" w14:paraId="6742D8B5" w14:textId="78BCFBCA">
      <w:pPr>
        <w:spacing w:before="0" w:beforeAutospacing="off" w:after="0" w:afterAutospacing="off" w:line="360" w:lineRule="auto"/>
        <w:jc w:val="both"/>
        <w:rPr>
          <w:rFonts w:ascii="Arial" w:hAnsi="Arial" w:eastAsia="Arial" w:cs="Arial"/>
          <w:sz w:val="22"/>
          <w:szCs w:val="22"/>
        </w:rPr>
      </w:pPr>
    </w:p>
    <w:p w:rsidR="70B481C9" w:rsidP="70B481C9" w:rsidRDefault="70B481C9" w14:paraId="12283A32" w14:textId="683F3A10">
      <w:pPr>
        <w:spacing w:before="0" w:beforeAutospacing="off" w:after="0" w:afterAutospacing="off" w:line="360" w:lineRule="auto"/>
        <w:jc w:val="both"/>
        <w:rPr>
          <w:rFonts w:ascii="Arial" w:hAnsi="Arial" w:eastAsia="Arial" w:cs="Arial"/>
          <w:sz w:val="22"/>
          <w:szCs w:val="22"/>
        </w:rPr>
      </w:pPr>
    </w:p>
    <w:p w:rsidR="70B481C9" w:rsidP="70B481C9" w:rsidRDefault="70B481C9" w14:paraId="69FCB62B" w14:textId="6C64F623">
      <w:pPr>
        <w:spacing w:before="0" w:beforeAutospacing="off" w:after="0" w:afterAutospacing="off" w:line="360" w:lineRule="auto"/>
        <w:jc w:val="both"/>
        <w:rPr>
          <w:rFonts w:ascii="Arial" w:hAnsi="Arial" w:eastAsia="Arial" w:cs="Arial"/>
          <w:sz w:val="22"/>
          <w:szCs w:val="22"/>
        </w:rPr>
      </w:pPr>
    </w:p>
    <w:p w:rsidR="70B481C9" w:rsidP="70B481C9" w:rsidRDefault="70B481C9" w14:paraId="2487C2B0" w14:textId="2168B836">
      <w:pPr>
        <w:spacing w:before="0" w:beforeAutospacing="off" w:after="0" w:afterAutospacing="off" w:line="360" w:lineRule="auto"/>
        <w:jc w:val="both"/>
        <w:rPr>
          <w:rFonts w:ascii="Arial" w:hAnsi="Arial" w:eastAsia="Arial" w:cs="Arial"/>
          <w:sz w:val="22"/>
          <w:szCs w:val="22"/>
        </w:rPr>
      </w:pPr>
    </w:p>
    <w:p w:rsidR="70B481C9" w:rsidP="70B481C9" w:rsidRDefault="70B481C9" w14:paraId="30E7E65E" w14:textId="6414F5D7">
      <w:pPr>
        <w:spacing w:before="0" w:beforeAutospacing="off" w:after="0" w:afterAutospacing="off" w:line="360" w:lineRule="auto"/>
        <w:jc w:val="both"/>
        <w:rPr>
          <w:rFonts w:ascii="Arial" w:hAnsi="Arial" w:eastAsia="Arial" w:cs="Arial"/>
          <w:sz w:val="22"/>
          <w:szCs w:val="22"/>
        </w:rPr>
      </w:pPr>
    </w:p>
    <w:p w:rsidR="70B481C9" w:rsidP="70B481C9" w:rsidRDefault="70B481C9" w14:paraId="3FEE61F0" w14:textId="1E235F48">
      <w:pPr>
        <w:spacing w:before="0" w:beforeAutospacing="off" w:after="0" w:afterAutospacing="off" w:line="360" w:lineRule="auto"/>
        <w:jc w:val="both"/>
        <w:rPr>
          <w:rFonts w:ascii="Arial" w:hAnsi="Arial" w:eastAsia="Arial" w:cs="Arial"/>
          <w:sz w:val="22"/>
          <w:szCs w:val="22"/>
        </w:rPr>
      </w:pPr>
    </w:p>
    <w:p w:rsidR="70B481C9" w:rsidP="70B481C9" w:rsidRDefault="70B481C9" w14:paraId="2D94B259" w14:textId="36FC7009">
      <w:pPr>
        <w:spacing w:before="0" w:beforeAutospacing="off" w:after="0" w:afterAutospacing="off" w:line="360" w:lineRule="auto"/>
        <w:jc w:val="both"/>
        <w:rPr>
          <w:rFonts w:ascii="Arial" w:hAnsi="Arial" w:eastAsia="Arial" w:cs="Arial"/>
          <w:sz w:val="22"/>
          <w:szCs w:val="22"/>
        </w:rPr>
      </w:pPr>
    </w:p>
    <w:p w:rsidR="70B481C9" w:rsidP="70B481C9" w:rsidRDefault="70B481C9" w14:paraId="78D1EFC2" w14:textId="0B28BBBA">
      <w:pPr>
        <w:spacing w:before="0" w:beforeAutospacing="off" w:after="0" w:afterAutospacing="off" w:line="360" w:lineRule="auto"/>
        <w:jc w:val="both"/>
        <w:rPr>
          <w:rFonts w:ascii="Arial" w:hAnsi="Arial" w:eastAsia="Arial" w:cs="Arial"/>
          <w:sz w:val="22"/>
          <w:szCs w:val="22"/>
        </w:rPr>
      </w:pPr>
    </w:p>
    <w:p w:rsidR="70B481C9" w:rsidP="70B481C9" w:rsidRDefault="70B481C9" w14:paraId="5AA21071" w14:textId="5CAF2CDE">
      <w:pPr>
        <w:spacing w:before="0" w:beforeAutospacing="off" w:after="0" w:afterAutospacing="off" w:line="360" w:lineRule="auto"/>
        <w:jc w:val="both"/>
        <w:rPr>
          <w:rFonts w:ascii="Arial" w:hAnsi="Arial" w:eastAsia="Arial" w:cs="Arial"/>
          <w:sz w:val="22"/>
          <w:szCs w:val="22"/>
        </w:rPr>
      </w:pPr>
    </w:p>
    <w:p w:rsidR="70B481C9" w:rsidP="70B481C9" w:rsidRDefault="70B481C9" w14:paraId="0CB8DE8A" w14:textId="7C4C8AC8">
      <w:pPr>
        <w:spacing w:before="0" w:beforeAutospacing="off" w:after="0" w:afterAutospacing="off" w:line="360" w:lineRule="auto"/>
        <w:jc w:val="both"/>
        <w:rPr>
          <w:rFonts w:ascii="Arial" w:hAnsi="Arial" w:eastAsia="Arial" w:cs="Arial"/>
          <w:sz w:val="22"/>
          <w:szCs w:val="22"/>
        </w:rPr>
      </w:pPr>
    </w:p>
    <w:p w:rsidR="70B481C9" w:rsidP="70B481C9" w:rsidRDefault="70B481C9" w14:paraId="0FDC2058" w14:textId="4A128835">
      <w:pPr>
        <w:spacing w:before="0" w:beforeAutospacing="off" w:after="0" w:afterAutospacing="off" w:line="360" w:lineRule="auto"/>
        <w:jc w:val="both"/>
        <w:rPr>
          <w:rFonts w:ascii="Arial" w:hAnsi="Arial" w:eastAsia="Arial" w:cs="Arial"/>
          <w:sz w:val="22"/>
          <w:szCs w:val="22"/>
        </w:rPr>
      </w:pPr>
    </w:p>
    <w:p w:rsidR="70B481C9" w:rsidP="70B481C9" w:rsidRDefault="70B481C9" w14:paraId="56EE3F52" w14:textId="60D36507">
      <w:pPr>
        <w:spacing w:before="0" w:beforeAutospacing="off" w:after="0" w:afterAutospacing="off" w:line="360" w:lineRule="auto"/>
        <w:jc w:val="both"/>
        <w:rPr>
          <w:rFonts w:ascii="Arial" w:hAnsi="Arial" w:eastAsia="Arial" w:cs="Arial"/>
          <w:sz w:val="22"/>
          <w:szCs w:val="22"/>
        </w:rPr>
      </w:pPr>
    </w:p>
    <w:p w:rsidR="70B481C9" w:rsidP="70B481C9" w:rsidRDefault="70B481C9" w14:paraId="71F8592D" w14:textId="3897299D">
      <w:pPr>
        <w:spacing w:before="0" w:beforeAutospacing="off" w:after="0" w:afterAutospacing="off" w:line="360" w:lineRule="auto"/>
        <w:jc w:val="both"/>
        <w:rPr>
          <w:rFonts w:ascii="Arial" w:hAnsi="Arial" w:eastAsia="Arial" w:cs="Arial"/>
          <w:sz w:val="22"/>
          <w:szCs w:val="22"/>
        </w:rPr>
      </w:pPr>
    </w:p>
    <w:p w:rsidR="70B481C9" w:rsidP="70B481C9" w:rsidRDefault="70B481C9" w14:paraId="7D0C2270" w14:textId="03811E07">
      <w:pPr>
        <w:spacing w:before="0" w:beforeAutospacing="off" w:after="0" w:afterAutospacing="off" w:line="360" w:lineRule="auto"/>
        <w:jc w:val="both"/>
        <w:rPr>
          <w:rFonts w:ascii="Arial" w:hAnsi="Arial" w:eastAsia="Arial" w:cs="Arial"/>
          <w:sz w:val="22"/>
          <w:szCs w:val="22"/>
        </w:rPr>
      </w:pPr>
    </w:p>
    <w:p w:rsidR="70B481C9" w:rsidP="70B481C9" w:rsidRDefault="70B481C9" w14:paraId="001AFC50" w14:textId="1933637A">
      <w:pPr>
        <w:spacing w:before="0" w:beforeAutospacing="off" w:after="0" w:afterAutospacing="off" w:line="360" w:lineRule="auto"/>
        <w:jc w:val="both"/>
        <w:rPr>
          <w:rFonts w:ascii="Arial" w:hAnsi="Arial" w:eastAsia="Arial" w:cs="Arial"/>
          <w:sz w:val="22"/>
          <w:szCs w:val="22"/>
        </w:rPr>
      </w:pPr>
    </w:p>
    <w:p w:rsidR="70B481C9" w:rsidP="70B481C9" w:rsidRDefault="70B481C9" w14:paraId="146809A1" w14:textId="51C8DE31">
      <w:pPr>
        <w:spacing w:before="0" w:beforeAutospacing="off" w:after="0" w:afterAutospacing="off" w:line="360" w:lineRule="auto"/>
        <w:jc w:val="both"/>
        <w:rPr>
          <w:rFonts w:ascii="Arial" w:hAnsi="Arial" w:eastAsia="Arial" w:cs="Arial"/>
          <w:sz w:val="22"/>
          <w:szCs w:val="22"/>
        </w:rPr>
      </w:pPr>
    </w:p>
    <w:p w:rsidR="5C6094D9" w:rsidP="70B481C9" w:rsidRDefault="5C6094D9" w14:paraId="6F93E1EF" w14:textId="4E208AB7">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Introduction</w:t>
      </w:r>
    </w:p>
    <w:p w:rsidR="5C6094D9" w:rsidP="70B481C9" w:rsidRDefault="5C6094D9" w14:paraId="2B6E6F63" w14:textId="4FB13A65">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Bipolar disorder, affecting approximately 1-2% of the global population, remains a significant challenge in mental health care, marked by alternating episodes of mania, hypomania, and depression that disrupt daily life, relationships, and work (World Health Organisation, 2023). The International Classification of Diseases, 11th Revision (ICD-11), introduced in 2019, represents a significant shift in classifying and diagnosing bipolar disorder, moving from a rigid, categorical model to a more flexible, dimensional framework that emphasises functional impact and clinical utility (First et al., 2021). This report critically examines bipolar disorder’s classification, diagnosis, treatment, and rehabilitation under ICD-11 Chapter 6: Mental, Behavioural or Neurodevelopmental Disorders, whilst exploring ongoing debates and proposing recommendations for improving care. The central argument is that, although ICD-11’s refined classification enhances diagnostic clarity, its reliance on a medicalised framework, coupled with persistent treatment gaps and unresolved debates around neurodiversity and over-diagnosis, limits the delivery of holistic, patient-centred care, necessitating integrated reforms in clinical practice, policy, and research.</w:t>
      </w:r>
    </w:p>
    <w:p w:rsidR="5C6094D9" w:rsidP="70B481C9" w:rsidRDefault="5C6094D9" w14:paraId="162EC778" w14:textId="2D2A0A33">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Historically, bipolar disorder, once termed “manic-depressive illness” by Emil Kraepelin in the late 19th century, was managed through institutionalisation and rudimentary interventions such as sedatives, often isolating patients from society (Goodwin &amp; Jamison, 2007). Contemporary approaches, in contrast, prioritise community-based care, integrating pharmacological and psychosocial treatments to support recovery and daily functioning (Malla et al., 2021). This shift reflects broader changes in mental health provision, aligning with the assessment’s requirement to examine historical and modern practices. However, challenges persist, including limited access to psychosocial therapies and the stigmatising impact of diagnostic labels, which can affect patients’ self-perception and societal integration.</w:t>
      </w:r>
    </w:p>
    <w:p w:rsidR="5C6094D9" w:rsidP="70B481C9" w:rsidRDefault="5C6094D9" w14:paraId="5B59E0DE" w14:textId="7B9E5D63">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ICD-11’s global applicability is a key strength, offering standardised criteria that facilitate diagnosis across diverse healthcare systems (World Health Organisation, 2023). Yet, its medical model, which labels bipolar as a “disorder,” may overlook the lived experiences of individuals, particularly those who view certain symptoms, such as hypomania’s creativity, as beneficial (Jamison, 1993). Current debates around neurodiversity and over-diagnosis further complicate its application, raising questions about diagnostic boundaries and treatment priorities. This report addresses these issues through four main sections: classification and diagnosis, treatment and rehabilitation, current debates, and recommendations, aiming to balance clinical accuracy with patient-focused care.</w:t>
      </w:r>
    </w:p>
    <w:p w:rsidR="5C6094D9" w:rsidP="70B481C9" w:rsidRDefault="5C6094D9" w14:paraId="383C74EB" w14:textId="665FE010">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Bipolar disorder’s epidemiology indicates it affects men and women equally, though women may experience more depressive episodes (Vieta et al., 2020). In the UK, approximately 1 million people live with bipolar disorder, costing the NHS £5.2 billion annually, largely due to hospitalisations (National Institute for Health and Care Excellence, 2020). ICD-11’s shift from ICD-10’s categorical approach to one incorporating specifiers for severity and psychosis supports tailored diagnoses, addressing global variations in presentation and treatment access (First et al., 2021). This report uses ICD-11 as the core source to explore these aspects, ensuring a comprehensive analysis.</w:t>
      </w:r>
    </w:p>
    <w:p w:rsidR="70B481C9" w:rsidP="70B481C9" w:rsidRDefault="70B481C9" w14:paraId="074928B4" w14:textId="29969B91">
      <w:pPr>
        <w:spacing w:before="0" w:beforeAutospacing="off" w:after="0" w:afterAutospacing="off" w:line="360" w:lineRule="auto"/>
        <w:jc w:val="both"/>
        <w:rPr>
          <w:rFonts w:ascii="Arial" w:hAnsi="Arial" w:eastAsia="Arial" w:cs="Arial"/>
          <w:sz w:val="22"/>
          <w:szCs w:val="22"/>
        </w:rPr>
      </w:pPr>
    </w:p>
    <w:p w:rsidR="5C6094D9" w:rsidP="70B481C9" w:rsidRDefault="5C6094D9" w14:paraId="107C6624" w14:textId="576BFC28">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Classification and Diagnosis </w:t>
      </w:r>
    </w:p>
    <w:p w:rsidR="5C6094D9" w:rsidP="70B481C9" w:rsidRDefault="5C6094D9" w14:paraId="5316785A" w14:textId="2875A926">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ICD-11 Classification: A Clear Framework</w:t>
      </w:r>
    </w:p>
    <w:p w:rsidR="5C6094D9" w:rsidP="70B481C9" w:rsidRDefault="5C6094D9" w14:paraId="7594E456" w14:textId="570C1DF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The ICD-11 classifies bipolar disorder under codes 6A60-6A6Z within Chapter 6, distinguishing Bipolar Type I (6A60), Bipolar Type II (6A61), and other presentations such as cyclothymia (World Health Organisation, 2019). Bipolar Type I requires at least one manic episode, defined by a week-long period of elevated or irritable mood and increased energy, causing significant disruption to daily life, including work and relationships. Bipolar Type II involves hypomanic episodes similar but less severe, without major disruption and at least one major depressive episode. This framework prioritises functional impact, enhancing diagnostic reliability across diverse settings (First et al., 2021).</w:t>
      </w:r>
    </w:p>
    <w:p w:rsidR="5C6094D9" w:rsidP="70B481C9" w:rsidRDefault="5C6094D9" w14:paraId="1B386277" w14:textId="7AEB573B">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Diagnostic Criteria and Processes</w:t>
      </w:r>
    </w:p>
    <w:p w:rsidR="5C6094D9" w:rsidP="70B481C9" w:rsidRDefault="5C6094D9" w14:paraId="6D887739" w14:textId="5EB3B1F6">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Diagnosis involves clinical interviews, patient history, and tools like the Structured Clinical Interview for DSM-5 (SCID-5), adapted for ICD-11 (Zimmerman, 2020). Clinicians assess mood episode duration, severity, and impact, often using digital tools like mood tracking apps (e.g., Moodpath) to capture real-time data. Challenges include subjectivity in patient recall and distinguishing bipolar disorder from conditions like borderline personality disorder or attention deficit hyperactivity disorder (ADHD), necessitating longitudinal assessment over weeks or months (Ghaemi, 2022). Training clinicians in ICD-11’s specifiers, such as severity and psychosis, is critical but often limited in low-resource settings, where only 10% of clinicians are adequately trained (World Health Organisation, 2023).</w:t>
      </w:r>
    </w:p>
    <w:p w:rsidR="5C6094D9" w:rsidP="70B481C9" w:rsidRDefault="5C6094D9" w14:paraId="35CBB521" w14:textId="11B3AF2E">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Historical Context of Classification</w:t>
      </w:r>
    </w:p>
    <w:p w:rsidR="5C6094D9" w:rsidP="70B481C9" w:rsidRDefault="5C6094D9" w14:paraId="439B38BA" w14:textId="71DBD11D">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In the early 20th century, bipolar disorder, then termed “manic-depressive insanity,” was managed through institutionalisation, with patients confined to asylums and treated with sedatives or restraints (Goodwin &amp; Jamison, 2007). The ICD-10, introduced in 1992, adopted a categorical model, lacking specifiers for severity or remission, which limited flexibility in capturing the varied nature of bipolar presentations. ICD-11’s dimensional approach, incorporating specifiers for current mood episode, severity, and psychosis, reflects a shift towards personalised diagnosis, addressing historical oversimplifications (First et al., 2021). However, global implementation remains challenging due to varying healthcare infrastructures.</w:t>
      </w:r>
    </w:p>
    <w:p w:rsidR="5C6094D9" w:rsidP="70B481C9" w:rsidRDefault="5C6094D9" w14:paraId="2E4702D7" w14:textId="2A6946DA">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Cultural and Global Variations</w:t>
      </w:r>
    </w:p>
    <w:p w:rsidR="5C6094D9" w:rsidP="70B481C9" w:rsidRDefault="5C6094D9" w14:paraId="41E45A74" w14:textId="2AE663E8">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Diagnostic rates vary globally; Western countries report higher Bipolar Type II diagnoses due to cultural emphasis on emotional expression, whereas underdiagnosis is common in low-resource settings due to limited access to trained clinicians (World Health Organisation, 2023). For instance, in sub-Saharan Africa, only 20% of bipolar cases are diagnosed due to resource constraints (Zimmerman, 2020). ICD-11’s standardised criteria aim to bridge these gaps, but tailored training and simplified guidelines are needed to improve access in diverse contexts.</w:t>
      </w:r>
    </w:p>
    <w:p w:rsidR="5C6094D9" w:rsidP="70B481C9" w:rsidRDefault="5C6094D9" w14:paraId="3AA2ADC0" w14:textId="69B8944C">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Terminology and Stigma</w:t>
      </w:r>
    </w:p>
    <w:p w:rsidR="5C6094D9" w:rsidP="70B481C9" w:rsidRDefault="5C6094D9" w14:paraId="0E9B32A5" w14:textId="6EC538F5">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ICD-11’s use of “disorder” frames bipolar as a medical condition, legitimising treatment but risking stigma by implying abnormality (Ghaemi, 2022). Alternative terms like “condition” or “experience” could reduce negative labelling, aligning with patient-centred care models. Stigma affects employment and social integration, with 30% of patients reporting workplace discrimination (National Institute for Health and Care Excellence, 2020). Addressing stigma requires both clinical and policy interventions, such as anti-stigma campaigns.</w:t>
      </w:r>
    </w:p>
    <w:p w:rsidR="70B481C9" w:rsidP="70B481C9" w:rsidRDefault="70B481C9" w14:paraId="6C0CA25B" w14:textId="7DFB5BFE">
      <w:pPr>
        <w:spacing w:before="0" w:beforeAutospacing="off" w:after="0" w:afterAutospacing="off" w:line="360" w:lineRule="auto"/>
        <w:jc w:val="both"/>
        <w:rPr>
          <w:rFonts w:ascii="Arial" w:hAnsi="Arial" w:eastAsia="Arial" w:cs="Arial"/>
          <w:sz w:val="22"/>
          <w:szCs w:val="22"/>
        </w:rPr>
      </w:pPr>
    </w:p>
    <w:p w:rsidR="5C6094D9" w:rsidP="70B481C9" w:rsidRDefault="5C6094D9" w14:paraId="58569447" w14:textId="29837017">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Treatment and Rehabilitation </w:t>
      </w:r>
    </w:p>
    <w:p w:rsidR="5C6094D9" w:rsidP="70B481C9" w:rsidRDefault="5C6094D9" w14:paraId="0E8C0BC2" w14:textId="3FD02206">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Standard Treatment Approaches</w:t>
      </w:r>
    </w:p>
    <w:p w:rsidR="5C6094D9" w:rsidP="70B481C9" w:rsidRDefault="5C6094D9" w14:paraId="26F1FC30" w14:textId="2CDF603D">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Pharmacotherapy remains central, with mood stabilisers (e.g., lithium, valproate) and atypical antipsychotics (e.g., quetiapine, olanzapine) reducing manic episodes by up to 50% in some patients (Geddes &amp; Miklowitz, 2013). Lithi</w:t>
      </w:r>
      <w:r w:rsidRPr="70B481C9" w:rsidR="5C6094D9">
        <w:rPr>
          <w:rFonts w:ascii="Arial" w:hAnsi="Arial" w:eastAsia="Arial" w:cs="Arial"/>
          <w:b w:val="0"/>
          <w:bCs w:val="0"/>
          <w:i w:val="0"/>
          <w:iCs w:val="0"/>
          <w:noProof w:val="0"/>
          <w:color w:val="000000" w:themeColor="text1" w:themeTint="FF" w:themeShade="FF"/>
          <w:sz w:val="22"/>
          <w:szCs w:val="22"/>
          <w:lang w:val="en-GB"/>
        </w:rPr>
        <w:t>um’s long-term efficacy is well-documented, but side effects like weight gain and thyroid dysfunction lead to 40% non-adherence rates (Vieta et al., 2020). Treatment for bipolar depression, such as lamotrigine, is less effective, with only 30% remission rates, creating a treatment shortfall (National Institute for Health and Care Excellence, 2020). Psychosocial therapies Cognitive Behavioural Therapy (CBT), Interpersonal and Social Rhythm Therapy (IPSRT), and Family-Focused Therapy (FFT) target triggers like circadian disruption, reducing relapse by 25% (Frank et al., 2005). For example, IPSRT helps patients stabilise daily routines, which can prevent mood episodes.</w:t>
      </w:r>
    </w:p>
    <w:p w:rsidR="5C6094D9" w:rsidP="70B481C9" w:rsidRDefault="5C6094D9" w14:paraId="5147441C" w14:textId="646CEB29">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Historical Treatments</w:t>
      </w:r>
    </w:p>
    <w:p w:rsidR="5C6094D9" w:rsidP="70B481C9" w:rsidRDefault="5C6094D9" w14:paraId="27E87DCF" w14:textId="19B1636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In the 19th century, bipolar patients were often institutionalised in asylums, receiving sedatives or no treatment, with little focus on recovery (Malla et al., 2021). Early 20th-century electroconvulsive therapy (ECT) was effective for severe mania but carried significant stigma due to its invasive nature. Modern community-based care integrates pharmacological and psychosocial approaches, emphasising patient autonomy and functional recovery (National Institute for Health and Care Excellence, 2020). This shift from isolation to integration reflects significant progress in mental health care provision.</w:t>
      </w:r>
    </w:p>
    <w:p w:rsidR="5C6094D9" w:rsidP="70B481C9" w:rsidRDefault="5C6094D9" w14:paraId="7A11BDD4" w14:textId="4EA3E0CE">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Emerging Therapies</w:t>
      </w:r>
    </w:p>
    <w:p w:rsidR="5C6094D9" w:rsidP="70B481C9" w:rsidRDefault="5C6094D9" w14:paraId="21939001" w14:textId="00309C98">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Innovations such as ketamine, with a 60% response rate for bipolar depression, and transcranial magnetic stimulation (TMS) show promise but lack long-term data (Vieta et al., 2020). Digital tools, like mood tracking apps (e.g., Moodpath), support self-management by allowing patients to monitor symptoms, but 20% of patients lack access due to smartphone unavailability (National Institute for Health and Care Excellence, 2020). These emerging options highlight the need for further research to establish efficacy and accessibility.</w:t>
      </w:r>
    </w:p>
    <w:p w:rsidR="5C6094D9" w:rsidP="70B481C9" w:rsidRDefault="5C6094D9" w14:paraId="7D796FB5" w14:textId="7FDC775C">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Rehabilitation Measures</w:t>
      </w:r>
    </w:p>
    <w:p w:rsidR="5C6094D9" w:rsidP="70B481C9" w:rsidRDefault="5C6094D9" w14:paraId="34CCF3D5" w14:textId="21D3E53C">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ICD-11’s specifiers, such as those for cognitive impairment, guide rehabilitation efforts, including supported employment and cognitive remediation to address deficits in memory and executive function (Bonnín et al., 2019). Cognitive remediation improves work outcomes by 30% but is underfunded, with only 15% of NHS trusts offering structured programmes (Kessing &amp; Andersen, 2023). Supported employment helps patients return to work, but availability is limited, particularly in rural areas.</w:t>
      </w:r>
    </w:p>
    <w:p w:rsidR="5C6094D9" w:rsidP="70B481C9" w:rsidRDefault="5C6094D9" w14:paraId="6838FD66" w14:textId="70D7713B">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Access and Equity</w:t>
      </w:r>
    </w:p>
    <w:p w:rsidR="5C6094D9" w:rsidP="70B481C9" w:rsidRDefault="5C6094D9" w14:paraId="2E59E083" w14:textId="15DFDF9D">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NHS funding constraints limit psychosocial therapy access, with only 30% of patients receiving CBT. Rural areas face 50% longer wait times for services compared to urban centres (National Institute for Health and Care Excellence, 2020). Telehealth solutions, such as virtual CBT sessions, could address these gaps but require investment in digital infrastructure. Ensuring equitable access is critical to improving outcomes for all patients.</w:t>
      </w:r>
    </w:p>
    <w:p w:rsidR="5C6094D9" w:rsidP="70B481C9" w:rsidRDefault="5C6094D9" w14:paraId="466B4D67" w14:textId="6F4A4295">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r w:rsidRPr="70B481C9" w:rsidR="5C6094D9">
        <w:rPr>
          <w:rFonts w:ascii="Arial" w:hAnsi="Arial" w:eastAsia="Arial" w:cs="Arial"/>
          <w:b w:val="1"/>
          <w:bCs w:val="1"/>
          <w:i w:val="0"/>
          <w:iCs w:val="0"/>
          <w:noProof w:val="0"/>
          <w:color w:val="000000" w:themeColor="text1" w:themeTint="FF" w:themeShade="FF"/>
          <w:sz w:val="22"/>
          <w:szCs w:val="22"/>
          <w:lang w:val="en-GB"/>
        </w:rPr>
        <w:t xml:space="preserve">Current Debates and Emerging Issues </w:t>
      </w:r>
    </w:p>
    <w:p w:rsidR="5C6094D9" w:rsidP="70B481C9" w:rsidRDefault="5C6094D9" w14:paraId="33825D67" w14:textId="75D9757B">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Neurodiversity and Bipolar Disorder</w:t>
      </w:r>
    </w:p>
    <w:p w:rsidR="5C6094D9" w:rsidP="70B481C9" w:rsidRDefault="5C6094D9" w14:paraId="1E7B3FA4" w14:textId="0EEE660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The neurodiversity movement views hypomania’s creativity and energy as beneficial, challenging ICD-11’s “disorder” label (Jamison, 1993). For instance, 40% of artists report hypomanic traits, suggesting potential advantages in creative fields (Ghaemi, 2022). However, severe mania’s harm, such as hospitalisation in 20% of Bipolar Type I cases, limits this perspective’s applicability. A balanced approach is needed, respecting individual experiences while addressing suffering that requires medical intervention.</w:t>
      </w:r>
    </w:p>
    <w:p w:rsidR="5C6094D9" w:rsidP="70B481C9" w:rsidRDefault="5C6094D9" w14:paraId="624658B3" w14:textId="27656A12">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Reclassification Proposals</w:t>
      </w:r>
    </w:p>
    <w:p w:rsidR="5C6094D9" w:rsidP="70B481C9" w:rsidRDefault="5C6094D9" w14:paraId="46E8C674" w14:textId="2F30383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Debates propose a spectrum model, distinguishing cyclothymia from Bipolar Type I, to better capture milder presentations (First et al., 2021). ICD-11’s specifiers, such as severity and remission, partially address this but fall short of a fully dimensional approach, limiting flexibility in clinical practice. A spectrum model could improve diagnostic accuracy and reduce stigma by acknowledging varied presentations.</w:t>
      </w:r>
    </w:p>
    <w:p w:rsidR="5C6094D9" w:rsidP="70B481C9" w:rsidRDefault="5C6094D9" w14:paraId="218103CD" w14:textId="79C556CF">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Medicalisation and Over-Diagnosis</w:t>
      </w:r>
    </w:p>
    <w:p w:rsidR="5C6094D9" w:rsidP="70B481C9" w:rsidRDefault="5C6094D9" w14:paraId="0F80C29D" w14:textId="4C26A3D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Over-diagnosis of Bipolar Type II, particularly in cases of complex trauma or borderline personality disorder, stems from subjective criteria, with 15% misdiagnosis rates (Zimmerman, 2020). Longitudinal assessment over 6-12 months is recommended to ensure accuracy, reducing the risk of inappropriate treatment. This issue highlights the uncertainty and limits of psychiatric classification.</w:t>
      </w:r>
    </w:p>
    <w:p w:rsidR="5C6094D9" w:rsidP="70B481C9" w:rsidRDefault="5C6094D9" w14:paraId="72238818" w14:textId="2F6381F7">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  Stigma and Policy Impacts</w:t>
      </w:r>
    </w:p>
    <w:p w:rsidR="5C6094D9" w:rsidP="70B481C9" w:rsidRDefault="5C6094D9" w14:paraId="07011B27" w14:textId="3FC04D5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The “disorder” label contributes to workplace discrimination, affecting 30% of patients (National Institute for Health and Care Excellence, 2020). Policy reforms, such as anti-stigma campaigns and workplace inclusion programmes, are needed to promote social integration and reduce negative labelling impacts.</w:t>
      </w:r>
    </w:p>
    <w:p w:rsidR="70B481C9" w:rsidP="70B481C9" w:rsidRDefault="70B481C9" w14:paraId="18194B84" w14:textId="37884921">
      <w:pPr>
        <w:spacing w:before="0" w:beforeAutospacing="off" w:after="0" w:afterAutospacing="off" w:line="360" w:lineRule="auto"/>
        <w:jc w:val="both"/>
        <w:rPr>
          <w:rFonts w:ascii="Arial" w:hAnsi="Arial" w:eastAsia="Arial" w:cs="Arial"/>
          <w:sz w:val="22"/>
          <w:szCs w:val="22"/>
        </w:rPr>
      </w:pPr>
    </w:p>
    <w:p w:rsidR="70B481C9" w:rsidP="70B481C9" w:rsidRDefault="70B481C9" w14:paraId="3F4F2097" w14:textId="753AF712">
      <w:pPr>
        <w:spacing w:before="0" w:beforeAutospacing="off" w:after="0" w:afterAutospacing="off" w:line="360" w:lineRule="auto"/>
        <w:jc w:val="both"/>
        <w:rPr>
          <w:rFonts w:ascii="Arial" w:hAnsi="Arial" w:eastAsia="Arial" w:cs="Arial"/>
          <w:sz w:val="22"/>
          <w:szCs w:val="22"/>
        </w:rPr>
      </w:pPr>
    </w:p>
    <w:p w:rsidR="5C6094D9" w:rsidP="70B481C9" w:rsidRDefault="5C6094D9" w14:paraId="2D117A9F" w14:textId="5A85C38F">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Global Perspectives</w:t>
      </w:r>
    </w:p>
    <w:p w:rsidR="5C6094D9" w:rsidP="70B481C9" w:rsidRDefault="5C6094D9" w14:paraId="48FA4F42" w14:textId="2D52230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In low-resource settings, ICD-11’s complexity hinders implementation, with only 10% of clinicians trained in its use (World Health Organisation, 2023). Simplified guidelines and training programmes could improve access, particularly in regions like sub-Saharan Africa, where underdiagnosis is prevalent.</w:t>
      </w:r>
    </w:p>
    <w:p w:rsidR="70B481C9" w:rsidP="70B481C9" w:rsidRDefault="70B481C9" w14:paraId="47D05A99" w14:textId="49DB2047">
      <w:pPr>
        <w:spacing w:before="0" w:beforeAutospacing="off" w:after="0" w:afterAutospacing="off" w:line="360" w:lineRule="auto"/>
        <w:jc w:val="both"/>
        <w:rPr>
          <w:rFonts w:ascii="Arial" w:hAnsi="Arial" w:eastAsia="Arial" w:cs="Arial"/>
          <w:sz w:val="22"/>
          <w:szCs w:val="22"/>
        </w:rPr>
      </w:pPr>
    </w:p>
    <w:p w:rsidR="70B481C9" w:rsidP="70B481C9" w:rsidRDefault="70B481C9" w14:paraId="09085035" w14:textId="1C2828A0">
      <w:pPr>
        <w:spacing w:before="0" w:beforeAutospacing="off" w:after="0" w:afterAutospacing="off" w:line="360" w:lineRule="auto"/>
        <w:jc w:val="both"/>
        <w:rPr>
          <w:rFonts w:ascii="Arial" w:hAnsi="Arial" w:eastAsia="Arial" w:cs="Arial"/>
          <w:sz w:val="22"/>
          <w:szCs w:val="22"/>
        </w:rPr>
      </w:pPr>
    </w:p>
    <w:p w:rsidR="70B481C9" w:rsidP="70B481C9" w:rsidRDefault="70B481C9" w14:paraId="2107D3EE" w14:textId="55423C7D">
      <w:pPr>
        <w:spacing w:before="0" w:beforeAutospacing="off" w:after="0" w:afterAutospacing="off" w:line="360" w:lineRule="auto"/>
        <w:jc w:val="both"/>
        <w:rPr>
          <w:rFonts w:ascii="Arial" w:hAnsi="Arial" w:eastAsia="Arial" w:cs="Arial"/>
          <w:sz w:val="22"/>
          <w:szCs w:val="22"/>
        </w:rPr>
      </w:pPr>
    </w:p>
    <w:p w:rsidR="70B481C9" w:rsidP="70B481C9" w:rsidRDefault="70B481C9" w14:paraId="706D1DBD" w14:textId="22DBF353">
      <w:pPr>
        <w:spacing w:before="0" w:beforeAutospacing="off" w:after="0" w:afterAutospacing="off" w:line="360" w:lineRule="auto"/>
        <w:jc w:val="both"/>
        <w:rPr>
          <w:rFonts w:ascii="Arial" w:hAnsi="Arial" w:eastAsia="Arial" w:cs="Arial"/>
          <w:sz w:val="22"/>
          <w:szCs w:val="22"/>
        </w:rPr>
      </w:pPr>
    </w:p>
    <w:p w:rsidR="70B481C9" w:rsidP="70B481C9" w:rsidRDefault="70B481C9" w14:paraId="7942D546" w14:textId="0EE6F11F">
      <w:pPr>
        <w:spacing w:before="0" w:beforeAutospacing="off" w:after="0" w:afterAutospacing="off" w:line="360" w:lineRule="auto"/>
        <w:jc w:val="both"/>
        <w:rPr>
          <w:rFonts w:ascii="Arial" w:hAnsi="Arial" w:eastAsia="Arial" w:cs="Arial"/>
          <w:sz w:val="22"/>
          <w:szCs w:val="22"/>
        </w:rPr>
      </w:pPr>
    </w:p>
    <w:p w:rsidR="70B481C9" w:rsidP="70B481C9" w:rsidRDefault="70B481C9" w14:paraId="3B40FDDE" w14:textId="57F88E6F">
      <w:pPr>
        <w:spacing w:before="0" w:beforeAutospacing="off" w:after="0" w:afterAutospacing="off" w:line="360" w:lineRule="auto"/>
        <w:jc w:val="both"/>
        <w:rPr>
          <w:rFonts w:ascii="Arial" w:hAnsi="Arial" w:eastAsia="Arial" w:cs="Arial"/>
          <w:sz w:val="22"/>
          <w:szCs w:val="22"/>
        </w:rPr>
      </w:pPr>
    </w:p>
    <w:p w:rsidR="70B481C9" w:rsidP="70B481C9" w:rsidRDefault="70B481C9" w14:paraId="654489C8" w14:textId="2696592B">
      <w:pPr>
        <w:spacing w:before="0" w:beforeAutospacing="off" w:after="0" w:afterAutospacing="off" w:line="360" w:lineRule="auto"/>
        <w:jc w:val="both"/>
        <w:rPr>
          <w:rFonts w:ascii="Arial" w:hAnsi="Arial" w:eastAsia="Arial" w:cs="Arial"/>
          <w:sz w:val="22"/>
          <w:szCs w:val="22"/>
        </w:rPr>
      </w:pPr>
    </w:p>
    <w:p w:rsidR="70B481C9" w:rsidP="70B481C9" w:rsidRDefault="70B481C9" w14:paraId="272B6335" w14:textId="71258E9B">
      <w:pPr>
        <w:spacing w:before="0" w:beforeAutospacing="off" w:after="0" w:afterAutospacing="off" w:line="360" w:lineRule="auto"/>
        <w:jc w:val="both"/>
        <w:rPr>
          <w:rFonts w:ascii="Arial" w:hAnsi="Arial" w:eastAsia="Arial" w:cs="Arial"/>
          <w:sz w:val="22"/>
          <w:szCs w:val="22"/>
        </w:rPr>
      </w:pPr>
    </w:p>
    <w:p w:rsidR="70B481C9" w:rsidP="70B481C9" w:rsidRDefault="70B481C9" w14:paraId="63BDB39D" w14:textId="683660AF">
      <w:pPr>
        <w:spacing w:before="0" w:beforeAutospacing="off" w:after="0" w:afterAutospacing="off" w:line="360" w:lineRule="auto"/>
        <w:jc w:val="both"/>
        <w:rPr>
          <w:rFonts w:ascii="Arial" w:hAnsi="Arial" w:eastAsia="Arial" w:cs="Arial"/>
          <w:sz w:val="22"/>
          <w:szCs w:val="22"/>
        </w:rPr>
      </w:pPr>
    </w:p>
    <w:p w:rsidR="70B481C9" w:rsidP="70B481C9" w:rsidRDefault="70B481C9" w14:paraId="010B8D3B" w14:textId="4317EC6D">
      <w:pPr>
        <w:spacing w:before="0" w:beforeAutospacing="off" w:after="0" w:afterAutospacing="off" w:line="360" w:lineRule="auto"/>
        <w:jc w:val="both"/>
        <w:rPr>
          <w:rFonts w:ascii="Arial" w:hAnsi="Arial" w:eastAsia="Arial" w:cs="Arial"/>
          <w:sz w:val="22"/>
          <w:szCs w:val="22"/>
        </w:rPr>
      </w:pPr>
    </w:p>
    <w:p w:rsidR="70B481C9" w:rsidP="70B481C9" w:rsidRDefault="70B481C9" w14:paraId="7B769859" w14:textId="5C258366">
      <w:pPr>
        <w:spacing w:before="0" w:beforeAutospacing="off" w:after="0" w:afterAutospacing="off" w:line="360" w:lineRule="auto"/>
        <w:jc w:val="both"/>
        <w:rPr>
          <w:rFonts w:ascii="Arial" w:hAnsi="Arial" w:eastAsia="Arial" w:cs="Arial"/>
          <w:sz w:val="22"/>
          <w:szCs w:val="22"/>
        </w:rPr>
      </w:pPr>
    </w:p>
    <w:p w:rsidR="70B481C9" w:rsidP="70B481C9" w:rsidRDefault="70B481C9" w14:paraId="29D82B52" w14:textId="1F9BF4D6">
      <w:pPr>
        <w:spacing w:before="0" w:beforeAutospacing="off" w:after="0" w:afterAutospacing="off" w:line="360" w:lineRule="auto"/>
        <w:jc w:val="both"/>
        <w:rPr>
          <w:rFonts w:ascii="Arial" w:hAnsi="Arial" w:eastAsia="Arial" w:cs="Arial"/>
          <w:sz w:val="22"/>
          <w:szCs w:val="22"/>
        </w:rPr>
      </w:pPr>
    </w:p>
    <w:p w:rsidR="70B481C9" w:rsidP="70B481C9" w:rsidRDefault="70B481C9" w14:paraId="60E08AA7" w14:textId="3BB568F0">
      <w:pPr>
        <w:spacing w:before="0" w:beforeAutospacing="off" w:after="0" w:afterAutospacing="off" w:line="360" w:lineRule="auto"/>
        <w:jc w:val="both"/>
        <w:rPr>
          <w:rFonts w:ascii="Arial" w:hAnsi="Arial" w:eastAsia="Arial" w:cs="Arial"/>
          <w:sz w:val="22"/>
          <w:szCs w:val="22"/>
        </w:rPr>
      </w:pPr>
    </w:p>
    <w:p w:rsidR="70B481C9" w:rsidP="70B481C9" w:rsidRDefault="70B481C9" w14:paraId="4A9ECE25" w14:textId="0AF7B447">
      <w:pPr>
        <w:spacing w:before="0" w:beforeAutospacing="off" w:after="0" w:afterAutospacing="off" w:line="360" w:lineRule="auto"/>
        <w:jc w:val="both"/>
        <w:rPr>
          <w:rFonts w:ascii="Arial" w:hAnsi="Arial" w:eastAsia="Arial" w:cs="Arial"/>
          <w:sz w:val="22"/>
          <w:szCs w:val="22"/>
        </w:rPr>
      </w:pPr>
    </w:p>
    <w:p w:rsidR="70B481C9" w:rsidP="70B481C9" w:rsidRDefault="70B481C9" w14:paraId="513167FF" w14:textId="7E30D3F2">
      <w:pPr>
        <w:spacing w:before="0" w:beforeAutospacing="off" w:after="0" w:afterAutospacing="off" w:line="360" w:lineRule="auto"/>
        <w:jc w:val="both"/>
        <w:rPr>
          <w:rFonts w:ascii="Arial" w:hAnsi="Arial" w:eastAsia="Arial" w:cs="Arial"/>
          <w:sz w:val="22"/>
          <w:szCs w:val="22"/>
        </w:rPr>
      </w:pPr>
    </w:p>
    <w:p w:rsidR="70B481C9" w:rsidP="70B481C9" w:rsidRDefault="70B481C9" w14:paraId="7CC3C0EF" w14:textId="20A7A353">
      <w:pPr>
        <w:spacing w:before="0" w:beforeAutospacing="off" w:after="0" w:afterAutospacing="off" w:line="360" w:lineRule="auto"/>
        <w:jc w:val="both"/>
        <w:rPr>
          <w:rFonts w:ascii="Arial" w:hAnsi="Arial" w:eastAsia="Arial" w:cs="Arial"/>
          <w:sz w:val="22"/>
          <w:szCs w:val="22"/>
        </w:rPr>
      </w:pPr>
    </w:p>
    <w:p w:rsidR="70B481C9" w:rsidP="70B481C9" w:rsidRDefault="70B481C9" w14:paraId="505935A8" w14:textId="6B62C130">
      <w:pPr>
        <w:spacing w:before="0" w:beforeAutospacing="off" w:after="0" w:afterAutospacing="off" w:line="360" w:lineRule="auto"/>
        <w:jc w:val="both"/>
        <w:rPr>
          <w:rFonts w:ascii="Arial" w:hAnsi="Arial" w:eastAsia="Arial" w:cs="Arial"/>
          <w:sz w:val="22"/>
          <w:szCs w:val="22"/>
        </w:rPr>
      </w:pPr>
    </w:p>
    <w:p w:rsidR="70B481C9" w:rsidP="70B481C9" w:rsidRDefault="70B481C9" w14:paraId="54B76017" w14:textId="7E34E73D">
      <w:pPr>
        <w:spacing w:before="0" w:beforeAutospacing="off" w:after="0" w:afterAutospacing="off" w:line="360" w:lineRule="auto"/>
        <w:jc w:val="both"/>
        <w:rPr>
          <w:rFonts w:ascii="Arial" w:hAnsi="Arial" w:eastAsia="Arial" w:cs="Arial"/>
          <w:sz w:val="22"/>
          <w:szCs w:val="22"/>
        </w:rPr>
      </w:pPr>
    </w:p>
    <w:p w:rsidR="70B481C9" w:rsidP="70B481C9" w:rsidRDefault="70B481C9" w14:paraId="42B02C7B" w14:textId="78078276">
      <w:pPr>
        <w:spacing w:before="0" w:beforeAutospacing="off" w:after="0" w:afterAutospacing="off" w:line="360" w:lineRule="auto"/>
        <w:jc w:val="both"/>
        <w:rPr>
          <w:rFonts w:ascii="Arial" w:hAnsi="Arial" w:eastAsia="Arial" w:cs="Arial"/>
          <w:sz w:val="22"/>
          <w:szCs w:val="22"/>
        </w:rPr>
      </w:pPr>
    </w:p>
    <w:p w:rsidR="70B481C9" w:rsidP="70B481C9" w:rsidRDefault="70B481C9" w14:paraId="0DAB9FF0" w14:textId="001F2A20">
      <w:pPr>
        <w:spacing w:before="0" w:beforeAutospacing="off" w:after="0" w:afterAutospacing="off" w:line="360" w:lineRule="auto"/>
        <w:jc w:val="both"/>
        <w:rPr>
          <w:rFonts w:ascii="Arial" w:hAnsi="Arial" w:eastAsia="Arial" w:cs="Arial"/>
          <w:sz w:val="22"/>
          <w:szCs w:val="22"/>
        </w:rPr>
      </w:pPr>
    </w:p>
    <w:p w:rsidR="70B481C9" w:rsidP="70B481C9" w:rsidRDefault="70B481C9" w14:paraId="6C9B518C" w14:textId="61CC574F">
      <w:pPr>
        <w:spacing w:before="0" w:beforeAutospacing="off" w:after="0" w:afterAutospacing="off" w:line="360" w:lineRule="auto"/>
        <w:jc w:val="both"/>
        <w:rPr>
          <w:rFonts w:ascii="Arial" w:hAnsi="Arial" w:eastAsia="Arial" w:cs="Arial"/>
          <w:sz w:val="22"/>
          <w:szCs w:val="22"/>
        </w:rPr>
      </w:pPr>
    </w:p>
    <w:p w:rsidR="70B481C9" w:rsidP="70B481C9" w:rsidRDefault="70B481C9" w14:paraId="4C94B8CF" w14:textId="0F4CDE13">
      <w:pPr>
        <w:spacing w:before="0" w:beforeAutospacing="off" w:after="0" w:afterAutospacing="off" w:line="360" w:lineRule="auto"/>
        <w:jc w:val="both"/>
        <w:rPr>
          <w:rFonts w:ascii="Arial" w:hAnsi="Arial" w:eastAsia="Arial" w:cs="Arial"/>
          <w:sz w:val="22"/>
          <w:szCs w:val="22"/>
        </w:rPr>
      </w:pPr>
    </w:p>
    <w:p w:rsidR="70B481C9" w:rsidP="70B481C9" w:rsidRDefault="70B481C9" w14:paraId="3D0EB960" w14:textId="3B0FD137">
      <w:pPr>
        <w:spacing w:before="0" w:beforeAutospacing="off" w:after="0" w:afterAutospacing="off" w:line="360" w:lineRule="auto"/>
        <w:jc w:val="both"/>
        <w:rPr>
          <w:rFonts w:ascii="Arial" w:hAnsi="Arial" w:eastAsia="Arial" w:cs="Arial"/>
          <w:sz w:val="22"/>
          <w:szCs w:val="22"/>
        </w:rPr>
      </w:pPr>
    </w:p>
    <w:p w:rsidR="70B481C9" w:rsidP="70B481C9" w:rsidRDefault="70B481C9" w14:paraId="4ECAD517" w14:textId="4E79EAFE">
      <w:pPr>
        <w:spacing w:before="0" w:beforeAutospacing="off" w:after="0" w:afterAutospacing="off" w:line="360" w:lineRule="auto"/>
        <w:jc w:val="both"/>
        <w:rPr>
          <w:rFonts w:ascii="Arial" w:hAnsi="Arial" w:eastAsia="Arial" w:cs="Arial"/>
          <w:sz w:val="22"/>
          <w:szCs w:val="22"/>
        </w:rPr>
      </w:pPr>
    </w:p>
    <w:p w:rsidR="70B481C9" w:rsidP="70B481C9" w:rsidRDefault="70B481C9" w14:paraId="23F8AC3A" w14:textId="4FF50739">
      <w:pPr>
        <w:spacing w:before="0" w:beforeAutospacing="off" w:after="0" w:afterAutospacing="off" w:line="360" w:lineRule="auto"/>
        <w:jc w:val="both"/>
        <w:rPr>
          <w:rFonts w:ascii="Arial" w:hAnsi="Arial" w:eastAsia="Arial" w:cs="Arial"/>
          <w:sz w:val="22"/>
          <w:szCs w:val="22"/>
        </w:rPr>
      </w:pPr>
    </w:p>
    <w:p w:rsidR="70B481C9" w:rsidP="70B481C9" w:rsidRDefault="70B481C9" w14:paraId="76BC05C1" w14:textId="034C0D59">
      <w:pPr>
        <w:spacing w:before="0" w:beforeAutospacing="off" w:after="0" w:afterAutospacing="off" w:line="360" w:lineRule="auto"/>
        <w:jc w:val="both"/>
        <w:rPr>
          <w:rFonts w:ascii="Arial" w:hAnsi="Arial" w:eastAsia="Arial" w:cs="Arial"/>
          <w:sz w:val="22"/>
          <w:szCs w:val="22"/>
        </w:rPr>
      </w:pPr>
    </w:p>
    <w:p w:rsidR="70B481C9" w:rsidP="70B481C9" w:rsidRDefault="70B481C9" w14:paraId="186830B8" w14:textId="18106E82">
      <w:pPr>
        <w:spacing w:before="0" w:beforeAutospacing="off" w:after="0" w:afterAutospacing="off" w:line="360" w:lineRule="auto"/>
        <w:jc w:val="both"/>
        <w:rPr>
          <w:rFonts w:ascii="Arial" w:hAnsi="Arial" w:eastAsia="Arial" w:cs="Arial"/>
          <w:sz w:val="22"/>
          <w:szCs w:val="22"/>
        </w:rPr>
      </w:pPr>
    </w:p>
    <w:p w:rsidR="70B481C9" w:rsidP="70B481C9" w:rsidRDefault="70B481C9" w14:paraId="47BB701A" w14:textId="1F998415">
      <w:pPr>
        <w:spacing w:before="0" w:beforeAutospacing="off" w:after="0" w:afterAutospacing="off" w:line="360" w:lineRule="auto"/>
        <w:jc w:val="both"/>
        <w:rPr>
          <w:rFonts w:ascii="Arial" w:hAnsi="Arial" w:eastAsia="Arial" w:cs="Arial"/>
          <w:sz w:val="22"/>
          <w:szCs w:val="22"/>
        </w:rPr>
      </w:pPr>
    </w:p>
    <w:p w:rsidR="70B481C9" w:rsidP="70B481C9" w:rsidRDefault="70B481C9" w14:paraId="605D8DF6" w14:textId="10CCFAE9">
      <w:pPr>
        <w:spacing w:before="0" w:beforeAutospacing="off" w:after="0" w:afterAutospacing="off" w:line="360" w:lineRule="auto"/>
        <w:jc w:val="both"/>
        <w:rPr>
          <w:rFonts w:ascii="Arial" w:hAnsi="Arial" w:eastAsia="Arial" w:cs="Arial"/>
          <w:sz w:val="22"/>
          <w:szCs w:val="22"/>
        </w:rPr>
      </w:pPr>
    </w:p>
    <w:p w:rsidR="70B481C9" w:rsidP="70B481C9" w:rsidRDefault="70B481C9" w14:paraId="18E7BC77" w14:textId="3FE1BF1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br/>
      </w:r>
      <w:r>
        <w:br/>
      </w:r>
      <w:r>
        <w:br/>
      </w:r>
      <w:r w:rsidRPr="70B481C9" w:rsidR="5C6094D9">
        <w:rPr>
          <w:rFonts w:ascii="Arial" w:hAnsi="Arial" w:eastAsia="Arial" w:cs="Arial"/>
          <w:b w:val="1"/>
          <w:bCs w:val="1"/>
          <w:i w:val="0"/>
          <w:iCs w:val="0"/>
          <w:noProof w:val="0"/>
          <w:color w:val="000000" w:themeColor="text1" w:themeTint="FF" w:themeShade="FF"/>
          <w:sz w:val="22"/>
          <w:szCs w:val="22"/>
          <w:lang w:val="en-GB"/>
        </w:rPr>
        <w:t>Recommendations</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p>
    <w:p w:rsidR="5C6094D9" w:rsidP="70B481C9" w:rsidRDefault="5C6094D9" w14:paraId="5A42D7EE" w14:textId="7445303C">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To advance the care and understanding of bipolar disorder, a multifaceted approach targeting classification, treatment, and systems of care is required.</w:t>
      </w:r>
    </w:p>
    <w:p w:rsidR="5C6094D9" w:rsidP="70B481C9" w:rsidRDefault="5C6094D9" w14:paraId="38C15A8B" w14:textId="40EBA627">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Refine ICD-11 Diagnostic Specifiers: Future iterations of the ICD should incorporate mandatory specifiers for cognitive functioning. Cognitive deficits are a major predictor of functional outcomes, and their formal recognition would prompt routine assessment and make cognitive remediation a standard rehabilitation target (Kessing &amp; Andersen, 2023).</w:t>
      </w:r>
    </w:p>
    <w:p w:rsidR="5C6094D9" w:rsidP="70B481C9" w:rsidRDefault="5C6094D9" w14:paraId="42D2BCC1" w14:textId="2F5764F2">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Integrate the Neurodiversity Perspective into Practice: Clinical training should encourage practitioners to adopt a balanced perspective, discussing patients’ strengths and experiences to foster collaborative, patient-centred care that moves beyond clinician-controlled symptom management (Ghaemi, 2022). This approach could reduce internalised stigma and improve therapeutic alliances.</w:t>
      </w:r>
    </w:p>
    <w:p w:rsidR="5C6094D9" w:rsidP="70B481C9" w:rsidRDefault="5C6094D9" w14:paraId="51703A06" w14:textId="01E06D9F">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Implement Integrated Care Pathways (ICPs): Policy should fund ICPs that combine pharmacological, psychological, and vocational rehabilitation services from diagnosis. Pilot programmes should evaluate cost-effectiveness and long-term recovery impacts, breaking down silos between mental health, social care, and employment support (National Institute for Health and Care Excellence, 2020).</w:t>
      </w:r>
    </w:p>
    <w:p w:rsidR="5C6094D9" w:rsidP="70B481C9" w:rsidRDefault="5C6094D9" w14:paraId="52940E97" w14:textId="7E0467C4">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Prioritise Research into Biomarkers and Personalised Medicine: Research should focus on identifying biomarkers to predict treatment response and disease trajectory, reducing trial-and-error in pharmacotherapy. Investment in genomics and neuroimaging to group patients based on specific needs could lead to tailored interventions (Vieta et al., 2020).</w:t>
      </w:r>
    </w:p>
    <w:p w:rsidR="5C6094D9" w:rsidP="70B481C9" w:rsidRDefault="5C6094D9" w14:paraId="6F653189" w14:textId="1F0B16BF">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Policy Reforms: Increase NHS funding for rehabilitation services and launch anti-stigma campaigns to address the negative impacts of labelling, promoting workplace inclusion and social integration.</w:t>
      </w:r>
    </w:p>
    <w:p w:rsidR="70B481C9" w:rsidP="70B481C9" w:rsidRDefault="70B481C9" w14:paraId="6607B65D" w14:textId="39ED4782">
      <w:pPr>
        <w:spacing w:before="0" w:beforeAutospacing="off" w:after="0" w:afterAutospacing="off" w:line="360" w:lineRule="auto"/>
        <w:jc w:val="both"/>
        <w:rPr>
          <w:rFonts w:ascii="Arial" w:hAnsi="Arial" w:eastAsia="Arial" w:cs="Arial"/>
          <w:sz w:val="22"/>
          <w:szCs w:val="22"/>
        </w:rPr>
      </w:pPr>
    </w:p>
    <w:p w:rsidR="70B481C9" w:rsidP="70B481C9" w:rsidRDefault="70B481C9" w14:paraId="3EA3EB97" w14:textId="75A5300E">
      <w:pPr>
        <w:spacing w:before="0" w:beforeAutospacing="off" w:after="0" w:afterAutospacing="off" w:line="360" w:lineRule="auto"/>
        <w:jc w:val="both"/>
        <w:rPr>
          <w:rFonts w:ascii="Arial" w:hAnsi="Arial" w:eastAsia="Arial" w:cs="Arial"/>
          <w:sz w:val="22"/>
          <w:szCs w:val="22"/>
        </w:rPr>
      </w:pPr>
    </w:p>
    <w:p w:rsidR="70B481C9" w:rsidP="70B481C9" w:rsidRDefault="70B481C9" w14:paraId="2194A4AD" w14:textId="76C489AA">
      <w:pPr>
        <w:spacing w:before="0" w:beforeAutospacing="off" w:after="0" w:afterAutospacing="off" w:line="360" w:lineRule="auto"/>
        <w:jc w:val="both"/>
        <w:rPr>
          <w:rFonts w:ascii="Arial" w:hAnsi="Arial" w:eastAsia="Arial" w:cs="Arial"/>
          <w:sz w:val="22"/>
          <w:szCs w:val="22"/>
        </w:rPr>
      </w:pPr>
    </w:p>
    <w:p w:rsidR="70B481C9" w:rsidP="70B481C9" w:rsidRDefault="70B481C9" w14:paraId="3C2CAAD5" w14:textId="08B6B62A">
      <w:pPr>
        <w:spacing w:before="0" w:beforeAutospacing="off" w:after="0" w:afterAutospacing="off" w:line="360" w:lineRule="auto"/>
        <w:jc w:val="both"/>
        <w:rPr>
          <w:rFonts w:ascii="Arial" w:hAnsi="Arial" w:eastAsia="Arial" w:cs="Arial"/>
          <w:sz w:val="22"/>
          <w:szCs w:val="22"/>
        </w:rPr>
      </w:pPr>
    </w:p>
    <w:p w:rsidR="70B481C9" w:rsidP="70B481C9" w:rsidRDefault="70B481C9" w14:paraId="55C1ADA7" w14:textId="219B79F6">
      <w:pPr>
        <w:spacing w:before="0" w:beforeAutospacing="off" w:after="0" w:afterAutospacing="off" w:line="360" w:lineRule="auto"/>
        <w:jc w:val="both"/>
        <w:rPr>
          <w:rFonts w:ascii="Arial" w:hAnsi="Arial" w:eastAsia="Arial" w:cs="Arial"/>
          <w:sz w:val="22"/>
          <w:szCs w:val="22"/>
        </w:rPr>
      </w:pPr>
    </w:p>
    <w:p w:rsidR="70B481C9" w:rsidP="70B481C9" w:rsidRDefault="70B481C9" w14:paraId="202EB701" w14:textId="33384525">
      <w:pPr>
        <w:spacing w:before="0" w:beforeAutospacing="off" w:after="0" w:afterAutospacing="off" w:line="360" w:lineRule="auto"/>
        <w:jc w:val="both"/>
        <w:rPr>
          <w:rFonts w:ascii="Arial" w:hAnsi="Arial" w:eastAsia="Arial" w:cs="Arial"/>
          <w:sz w:val="22"/>
          <w:szCs w:val="22"/>
        </w:rPr>
      </w:pPr>
    </w:p>
    <w:p w:rsidR="70B481C9" w:rsidP="70B481C9" w:rsidRDefault="70B481C9" w14:paraId="4E910266" w14:textId="41CAEF80">
      <w:pPr>
        <w:spacing w:before="0" w:beforeAutospacing="off" w:after="0" w:afterAutospacing="off" w:line="360" w:lineRule="auto"/>
        <w:jc w:val="both"/>
        <w:rPr>
          <w:rFonts w:ascii="Arial" w:hAnsi="Arial" w:eastAsia="Arial" w:cs="Arial"/>
          <w:sz w:val="22"/>
          <w:szCs w:val="22"/>
        </w:rPr>
      </w:pPr>
    </w:p>
    <w:p w:rsidR="70B481C9" w:rsidP="70B481C9" w:rsidRDefault="70B481C9" w14:paraId="37EABA33" w14:textId="3D3031CB">
      <w:pPr>
        <w:spacing w:before="0" w:beforeAutospacing="off" w:after="0" w:afterAutospacing="off" w:line="360" w:lineRule="auto"/>
        <w:jc w:val="both"/>
        <w:rPr>
          <w:rFonts w:ascii="Arial" w:hAnsi="Arial" w:eastAsia="Arial" w:cs="Arial"/>
          <w:sz w:val="22"/>
          <w:szCs w:val="22"/>
        </w:rPr>
      </w:pPr>
    </w:p>
    <w:p w:rsidR="70B481C9" w:rsidP="70B481C9" w:rsidRDefault="70B481C9" w14:paraId="43F6C4F8" w14:textId="3D3DECF8">
      <w:pPr>
        <w:spacing w:before="0" w:beforeAutospacing="off" w:after="0" w:afterAutospacing="off" w:line="360" w:lineRule="auto"/>
        <w:jc w:val="both"/>
        <w:rPr>
          <w:rFonts w:ascii="Arial" w:hAnsi="Arial" w:eastAsia="Arial" w:cs="Arial"/>
          <w:sz w:val="22"/>
          <w:szCs w:val="22"/>
        </w:rPr>
      </w:pPr>
    </w:p>
    <w:p w:rsidR="70B481C9" w:rsidP="70B481C9" w:rsidRDefault="70B481C9" w14:paraId="5BC34291" w14:textId="51A3A64E">
      <w:pPr>
        <w:spacing w:before="0" w:beforeAutospacing="off" w:after="0" w:afterAutospacing="off" w:line="360" w:lineRule="auto"/>
        <w:jc w:val="both"/>
        <w:rPr>
          <w:rFonts w:ascii="Arial" w:hAnsi="Arial" w:eastAsia="Arial" w:cs="Arial"/>
          <w:sz w:val="22"/>
          <w:szCs w:val="22"/>
        </w:rPr>
      </w:pPr>
      <w:r>
        <w:br/>
      </w:r>
      <w:r>
        <w:br/>
      </w:r>
      <w:r>
        <w:br/>
      </w:r>
      <w:r>
        <w:br/>
      </w:r>
      <w:r>
        <w:br/>
      </w:r>
      <w:r>
        <w:br/>
      </w:r>
    </w:p>
    <w:p w:rsidR="70B481C9" w:rsidP="70B481C9" w:rsidRDefault="70B481C9" w14:paraId="3F2F94BA" w14:textId="18667D37">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70B481C9" w:rsidP="70B481C9" w:rsidRDefault="70B481C9" w14:paraId="4BDE59BF" w14:textId="27EF6D84">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70B481C9" w:rsidP="70B481C9" w:rsidRDefault="70B481C9" w14:paraId="500B47A3" w14:textId="52AE1C95">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70B481C9" w:rsidP="70B481C9" w:rsidRDefault="70B481C9" w14:paraId="7D2416E3" w14:textId="63B79C40">
      <w:pPr>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70B481C9" w:rsidP="70B481C9" w:rsidRDefault="70B481C9" w14:paraId="17049ED5" w14:textId="2F599D8A">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70B481C9" w:rsidP="70B481C9" w:rsidRDefault="70B481C9" w14:paraId="6416E6D0" w14:textId="74C09299">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5C6094D9" w:rsidP="70B481C9" w:rsidRDefault="5C6094D9" w14:paraId="7D3D8D7F" w14:textId="55144477">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Conclusion</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w:t>
      </w:r>
    </w:p>
    <w:p w:rsidR="5C6094D9" w:rsidP="70B481C9" w:rsidRDefault="5C6094D9" w14:paraId="77701700" w14:textId="0460D8B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ICD-11’s refined classification improves bipolar disorder diagnosis, but its medicalised framework, treatment shortfalls, and debates around neurodiversity and over-diagnosis limit holistic care. Integrative reforms</w:t>
      </w:r>
      <w:r w:rsidRPr="70B481C9" w:rsidR="72BA1168">
        <w:rPr>
          <w:rFonts w:ascii="Arial" w:hAnsi="Arial" w:eastAsia="Arial" w:cs="Arial"/>
          <w:b w:val="0"/>
          <w:bCs w:val="0"/>
          <w:i w:val="0"/>
          <w:iCs w:val="0"/>
          <w:noProof w:val="0"/>
          <w:color w:val="000000" w:themeColor="text1" w:themeTint="FF" w:themeShade="FF"/>
          <w:sz w:val="22"/>
          <w:szCs w:val="22"/>
          <w:lang w:val="en-GB"/>
        </w:rPr>
        <w:t>,</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refined specifiers, neurodiversity integration, ICPs, biomarker research, and policy changes are essential for </w:t>
      </w:r>
      <w:r w:rsidRPr="70B481C9" w:rsidR="5C6094D9">
        <w:rPr>
          <w:rFonts w:ascii="Arial" w:hAnsi="Arial" w:eastAsia="Arial" w:cs="Arial"/>
          <w:b w:val="0"/>
          <w:bCs w:val="0"/>
          <w:i w:val="0"/>
          <w:iCs w:val="0"/>
          <w:noProof w:val="0"/>
          <w:color w:val="000000" w:themeColor="text1" w:themeTint="FF" w:themeShade="FF"/>
          <w:sz w:val="22"/>
          <w:szCs w:val="22"/>
          <w:lang w:val="en-GB"/>
        </w:rPr>
        <w:t>equitable</w:t>
      </w:r>
      <w:r w:rsidRPr="70B481C9" w:rsidR="5C6094D9">
        <w:rPr>
          <w:rFonts w:ascii="Arial" w:hAnsi="Arial" w:eastAsia="Arial" w:cs="Arial"/>
          <w:b w:val="0"/>
          <w:bCs w:val="0"/>
          <w:i w:val="0"/>
          <w:iCs w:val="0"/>
          <w:noProof w:val="0"/>
          <w:color w:val="000000" w:themeColor="text1" w:themeTint="FF" w:themeShade="FF"/>
          <w:sz w:val="22"/>
          <w:szCs w:val="22"/>
          <w:lang w:val="en-GB"/>
        </w:rPr>
        <w:t>, patient-centred care that balances clinical accuracy with individual experiences. These changes would enhance outcomes and support global implementation of ICD-11.</w:t>
      </w:r>
    </w:p>
    <w:p w:rsidR="70B481C9" w:rsidP="70B481C9" w:rsidRDefault="70B481C9" w14:paraId="75B48D95" w14:textId="4FE8C449">
      <w:pPr>
        <w:pStyle w:val="Normal"/>
        <w:spacing w:before="0" w:beforeAutospacing="off" w:after="0" w:afterAutospacing="off" w:line="360" w:lineRule="auto"/>
        <w:jc w:val="both"/>
        <w:rPr>
          <w:rFonts w:ascii="Arial" w:hAnsi="Arial" w:eastAsia="Arial" w:cs="Arial"/>
          <w:sz w:val="22"/>
          <w:szCs w:val="22"/>
        </w:rPr>
      </w:pPr>
      <w:r>
        <w:br/>
      </w:r>
    </w:p>
    <w:p w:rsidR="70B481C9" w:rsidP="70B481C9" w:rsidRDefault="70B481C9" w14:paraId="6EE65978" w14:textId="05A635AC">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p>
    <w:p w:rsidR="5C6094D9" w:rsidP="70B481C9" w:rsidRDefault="5C6094D9" w14:paraId="7D7D0668" w14:textId="0D6B6386">
      <w:pPr>
        <w:pStyle w:val="Normal"/>
        <w:spacing w:before="0" w:beforeAutospacing="off" w:after="0" w:afterAutospacing="off" w:line="360" w:lineRule="auto"/>
        <w:jc w:val="both"/>
        <w:rPr>
          <w:rFonts w:ascii="Arial" w:hAnsi="Arial" w:eastAsia="Arial" w:cs="Arial"/>
          <w:b w:val="1"/>
          <w:bCs w:val="1"/>
          <w:i w:val="0"/>
          <w:iCs w:val="0"/>
          <w:noProof w:val="0"/>
          <w:color w:val="000000" w:themeColor="text1" w:themeTint="FF" w:themeShade="FF"/>
          <w:sz w:val="22"/>
          <w:szCs w:val="22"/>
          <w:lang w:val="en-GB"/>
        </w:rPr>
      </w:pPr>
      <w:r w:rsidRPr="70B481C9" w:rsidR="5C6094D9">
        <w:rPr>
          <w:rFonts w:ascii="Arial" w:hAnsi="Arial" w:eastAsia="Arial" w:cs="Arial"/>
          <w:b w:val="1"/>
          <w:bCs w:val="1"/>
          <w:i w:val="0"/>
          <w:iCs w:val="0"/>
          <w:noProof w:val="0"/>
          <w:color w:val="000000" w:themeColor="text1" w:themeTint="FF" w:themeShade="FF"/>
          <w:sz w:val="22"/>
          <w:szCs w:val="22"/>
          <w:lang w:val="en-GB"/>
        </w:rPr>
        <w:t xml:space="preserve">Reference List </w:t>
      </w:r>
    </w:p>
    <w:p w:rsidR="5C6094D9" w:rsidP="70B481C9" w:rsidRDefault="5C6094D9" w14:paraId="686BB3D3" w14:textId="568F6804">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Bonnín, C. M., Reinares, M., Martínez-Arán, A., Jiménez, E., Sánchez-Moreno, J., &amp; Vieta, E. (2019). Improving functioning, quality of life, and well-being in patients with bipolar disorder. </w:t>
      </w:r>
      <w:r w:rsidRPr="70B481C9" w:rsidR="5C6094D9">
        <w:rPr>
          <w:rFonts w:ascii="Arial" w:hAnsi="Arial" w:eastAsia="Arial" w:cs="Arial"/>
          <w:b w:val="0"/>
          <w:bCs w:val="0"/>
          <w:i w:val="1"/>
          <w:iCs w:val="1"/>
          <w:noProof w:val="0"/>
          <w:color w:val="000000" w:themeColor="text1" w:themeTint="FF" w:themeShade="FF"/>
          <w:sz w:val="22"/>
          <w:szCs w:val="22"/>
          <w:lang w:val="en-GB"/>
        </w:rPr>
        <w:t>International Journal of Neuropsychopharmacology,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22(8), 488–498. Available at: </w:t>
      </w:r>
      <w:hyperlink r:id="Ra51b9cbe00f04a92">
        <w:r w:rsidRPr="70B481C9" w:rsidR="5C6094D9">
          <w:rPr>
            <w:rStyle w:val="Hyperlink"/>
            <w:rFonts w:ascii="Arial" w:hAnsi="Arial" w:eastAsia="Arial" w:cs="Arial"/>
            <w:b w:val="0"/>
            <w:bCs w:val="0"/>
            <w:i w:val="0"/>
            <w:iCs w:val="0"/>
            <w:noProof w:val="0"/>
            <w:sz w:val="22"/>
            <w:szCs w:val="22"/>
            <w:lang w:val="en-GB"/>
          </w:rPr>
          <w:t>https://doi.org/10.1093/ijnp/pyz033</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14 October 2025).</w:t>
      </w:r>
    </w:p>
    <w:p w:rsidR="70B481C9" w:rsidP="70B481C9" w:rsidRDefault="70B481C9" w14:paraId="4CE74E56" w14:textId="64DB7FFD">
      <w:pPr>
        <w:spacing w:before="0" w:beforeAutospacing="off" w:after="0" w:afterAutospacing="off" w:line="360" w:lineRule="auto"/>
        <w:jc w:val="both"/>
        <w:rPr>
          <w:rFonts w:ascii="Arial" w:hAnsi="Arial" w:eastAsia="Arial" w:cs="Arial"/>
          <w:sz w:val="22"/>
          <w:szCs w:val="22"/>
        </w:rPr>
      </w:pPr>
    </w:p>
    <w:p w:rsidR="5C6094D9" w:rsidP="70B481C9" w:rsidRDefault="5C6094D9" w14:paraId="2118E425" w14:textId="4937AB9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First, M. B., Reed, G. M., Hyman, S. E., &amp; Saxena, S. (2021). The development of the ICD-11 classification of mood disorders. </w:t>
      </w:r>
      <w:r w:rsidRPr="70B481C9" w:rsidR="5C6094D9">
        <w:rPr>
          <w:rFonts w:ascii="Arial" w:hAnsi="Arial" w:eastAsia="Arial" w:cs="Arial"/>
          <w:b w:val="0"/>
          <w:bCs w:val="0"/>
          <w:i w:val="1"/>
          <w:iCs w:val="1"/>
          <w:noProof w:val="0"/>
          <w:color w:val="000000" w:themeColor="text1" w:themeTint="FF" w:themeShade="FF"/>
          <w:sz w:val="22"/>
          <w:szCs w:val="22"/>
          <w:lang w:val="en-GB"/>
        </w:rPr>
        <w:t>World Psychiatry,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20(1), 41–52. Available at: </w:t>
      </w:r>
      <w:hyperlink r:id="R0f392e89455b45cd">
        <w:r w:rsidRPr="70B481C9" w:rsidR="5C6094D9">
          <w:rPr>
            <w:rStyle w:val="Hyperlink"/>
            <w:rFonts w:ascii="Arial" w:hAnsi="Arial" w:eastAsia="Arial" w:cs="Arial"/>
            <w:b w:val="0"/>
            <w:bCs w:val="0"/>
            <w:i w:val="0"/>
            <w:iCs w:val="0"/>
            <w:noProof w:val="0"/>
            <w:sz w:val="22"/>
            <w:szCs w:val="22"/>
            <w:lang w:val="en-GB"/>
          </w:rPr>
          <w:t>https://doi.org/10.1002/wps.20824</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15 October 2025).</w:t>
      </w:r>
    </w:p>
    <w:p w:rsidR="70B481C9" w:rsidP="70B481C9" w:rsidRDefault="70B481C9" w14:paraId="700BB471" w14:textId="565EB6DF">
      <w:pPr>
        <w:spacing w:before="0" w:beforeAutospacing="off" w:after="0" w:afterAutospacing="off" w:line="360" w:lineRule="auto"/>
        <w:jc w:val="both"/>
        <w:rPr>
          <w:rFonts w:ascii="Arial" w:hAnsi="Arial" w:eastAsia="Arial" w:cs="Arial"/>
          <w:sz w:val="22"/>
          <w:szCs w:val="22"/>
        </w:rPr>
      </w:pPr>
    </w:p>
    <w:p w:rsidR="5C6094D9" w:rsidP="70B481C9" w:rsidRDefault="5C6094D9" w14:paraId="5336FD7D" w14:textId="1DA72416">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Frank, E., Kupfer, D. J., Thase, M. E., Mallinger, A. G., Swartz, H. A., Fagiolini, A. M., Grochocinski, V., Houck, P., Scott, J., Thompson, W., &amp; Monk, T. (2005). Two-year outcomes for interpersonal and social rhythm therapy in individuals with bipolar I disorder. </w:t>
      </w:r>
      <w:r w:rsidRPr="70B481C9" w:rsidR="5C6094D9">
        <w:rPr>
          <w:rFonts w:ascii="Arial" w:hAnsi="Arial" w:eastAsia="Arial" w:cs="Arial"/>
          <w:b w:val="0"/>
          <w:bCs w:val="0"/>
          <w:i w:val="1"/>
          <w:iCs w:val="1"/>
          <w:noProof w:val="0"/>
          <w:color w:val="000000" w:themeColor="text1" w:themeTint="FF" w:themeShade="FF"/>
          <w:sz w:val="22"/>
          <w:szCs w:val="22"/>
          <w:lang w:val="en-GB"/>
        </w:rPr>
        <w:t>Archives of General Psychiatry,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62(9), 996–1004. Available at: </w:t>
      </w:r>
      <w:hyperlink r:id="R4e64bf80cdb740ec">
        <w:r w:rsidRPr="70B481C9" w:rsidR="5C6094D9">
          <w:rPr>
            <w:rStyle w:val="Hyperlink"/>
            <w:rFonts w:ascii="Arial" w:hAnsi="Arial" w:eastAsia="Arial" w:cs="Arial"/>
            <w:b w:val="0"/>
            <w:bCs w:val="0"/>
            <w:i w:val="0"/>
            <w:iCs w:val="0"/>
            <w:noProof w:val="0"/>
            <w:sz w:val="22"/>
            <w:szCs w:val="22"/>
            <w:lang w:val="en-GB"/>
          </w:rPr>
          <w:t>https://doi.org/10.1001/archpsyc.62.9.996</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18 October 2025).</w:t>
      </w:r>
    </w:p>
    <w:p w:rsidR="70B481C9" w:rsidP="70B481C9" w:rsidRDefault="70B481C9" w14:paraId="0EE5AFE5" w14:textId="39BBEE56">
      <w:pPr>
        <w:spacing w:before="0" w:beforeAutospacing="off" w:after="0" w:afterAutospacing="off" w:line="360" w:lineRule="auto"/>
        <w:jc w:val="both"/>
        <w:rPr>
          <w:rFonts w:ascii="Arial" w:hAnsi="Arial" w:eastAsia="Arial" w:cs="Arial"/>
          <w:sz w:val="22"/>
          <w:szCs w:val="22"/>
        </w:rPr>
      </w:pPr>
    </w:p>
    <w:p w:rsidR="5C6094D9" w:rsidP="70B481C9" w:rsidRDefault="5C6094D9" w14:paraId="7CA955EB" w14:textId="7989C69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Geddes, J. R., &amp; Miklowitz, D. J. (2013). Treatment of bipolar disorder.</w:t>
      </w:r>
      <w:r w:rsidRPr="70B481C9" w:rsidR="5C6094D9">
        <w:rPr>
          <w:rFonts w:ascii="Arial" w:hAnsi="Arial" w:eastAsia="Arial" w:cs="Arial"/>
          <w:b w:val="0"/>
          <w:bCs w:val="0"/>
          <w:i w:val="1"/>
          <w:iCs w:val="1"/>
          <w:noProof w:val="0"/>
          <w:color w:val="000000" w:themeColor="text1" w:themeTint="FF" w:themeShade="FF"/>
          <w:sz w:val="22"/>
          <w:szCs w:val="22"/>
          <w:lang w:val="en-GB"/>
        </w:rPr>
        <w:t xml:space="preserve"> The Lancet,</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381(9878), 1672–1682. Available at: </w:t>
      </w:r>
      <w:hyperlink r:id="Rb4c7193a8c2945e9">
        <w:r w:rsidRPr="70B481C9" w:rsidR="5C6094D9">
          <w:rPr>
            <w:rStyle w:val="Hyperlink"/>
            <w:rFonts w:ascii="Arial" w:hAnsi="Arial" w:eastAsia="Arial" w:cs="Arial"/>
            <w:b w:val="0"/>
            <w:bCs w:val="0"/>
            <w:i w:val="0"/>
            <w:iCs w:val="0"/>
            <w:noProof w:val="0"/>
            <w:sz w:val="22"/>
            <w:szCs w:val="22"/>
            <w:lang w:val="en-GB"/>
          </w:rPr>
          <w:t>https://doi.org/10.1016/S0140-6736(13)60857-0</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16 October 2025).</w:t>
      </w:r>
    </w:p>
    <w:p w:rsidR="70B481C9" w:rsidP="70B481C9" w:rsidRDefault="70B481C9" w14:paraId="7ED5A7D8" w14:textId="3D6AD674">
      <w:pPr>
        <w:spacing w:before="0" w:beforeAutospacing="off" w:after="0" w:afterAutospacing="off" w:line="360" w:lineRule="auto"/>
        <w:jc w:val="both"/>
        <w:rPr>
          <w:rFonts w:ascii="Arial" w:hAnsi="Arial" w:eastAsia="Arial" w:cs="Arial"/>
          <w:sz w:val="22"/>
          <w:szCs w:val="22"/>
        </w:rPr>
      </w:pPr>
    </w:p>
    <w:p w:rsidR="5C6094D9" w:rsidP="70B481C9" w:rsidRDefault="5C6094D9" w14:paraId="2EEBBF5D" w14:textId="73981741">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Ghaemi, S. N. (2022). Bipolar disorder: Diagnosis, treatment, and the neurodiversity debate. </w:t>
      </w:r>
      <w:r w:rsidRPr="70B481C9" w:rsidR="5C6094D9">
        <w:rPr>
          <w:rFonts w:ascii="Arial" w:hAnsi="Arial" w:eastAsia="Arial" w:cs="Arial"/>
          <w:b w:val="0"/>
          <w:bCs w:val="0"/>
          <w:i w:val="1"/>
          <w:iCs w:val="1"/>
          <w:noProof w:val="0"/>
          <w:color w:val="000000" w:themeColor="text1" w:themeTint="FF" w:themeShade="FF"/>
          <w:sz w:val="22"/>
          <w:szCs w:val="22"/>
          <w:lang w:val="en-GB"/>
        </w:rPr>
        <w:t>American Journal of Psychiatry,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179(3), 165–170. Available at: </w:t>
      </w:r>
      <w:hyperlink r:id="R0cb66f2fe88641d8">
        <w:r w:rsidRPr="70B481C9" w:rsidR="5C6094D9">
          <w:rPr>
            <w:rStyle w:val="Hyperlink"/>
            <w:rFonts w:ascii="Arial" w:hAnsi="Arial" w:eastAsia="Arial" w:cs="Arial"/>
            <w:b w:val="0"/>
            <w:bCs w:val="0"/>
            <w:i w:val="0"/>
            <w:iCs w:val="0"/>
            <w:noProof w:val="0"/>
            <w:sz w:val="22"/>
            <w:szCs w:val="22"/>
            <w:lang w:val="en-GB"/>
          </w:rPr>
          <w:t>https://doi.org/10.1176/appi.ajp.2021.21040403</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15 October 2025).</w:t>
      </w:r>
    </w:p>
    <w:p w:rsidR="70B481C9" w:rsidP="70B481C9" w:rsidRDefault="70B481C9" w14:paraId="74A31878" w14:textId="6DC143D6">
      <w:pPr>
        <w:spacing w:before="0" w:beforeAutospacing="off" w:after="0" w:afterAutospacing="off" w:line="360" w:lineRule="auto"/>
        <w:jc w:val="both"/>
        <w:rPr>
          <w:rFonts w:ascii="Arial" w:hAnsi="Arial" w:eastAsia="Arial" w:cs="Arial"/>
          <w:sz w:val="22"/>
          <w:szCs w:val="22"/>
        </w:rPr>
      </w:pPr>
    </w:p>
    <w:p w:rsidR="5C6094D9" w:rsidP="70B481C9" w:rsidRDefault="5C6094D9" w14:paraId="31A9E94B" w14:textId="2EFBB97A">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Goodwin, F. K., &amp; Jamison, K. R. (2007). </w:t>
      </w:r>
      <w:r w:rsidRPr="70B481C9" w:rsidR="5C6094D9">
        <w:rPr>
          <w:rFonts w:ascii="Arial" w:hAnsi="Arial" w:eastAsia="Arial" w:cs="Arial"/>
          <w:b w:val="0"/>
          <w:bCs w:val="0"/>
          <w:i w:val="1"/>
          <w:iCs w:val="1"/>
          <w:noProof w:val="0"/>
          <w:color w:val="000000" w:themeColor="text1" w:themeTint="FF" w:themeShade="FF"/>
          <w:sz w:val="22"/>
          <w:szCs w:val="22"/>
          <w:lang w:val="en-GB"/>
        </w:rPr>
        <w:t>Manic-depressive illness: Bipolar disorders and recurrent depression.</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Oxford: Oxford University Press.</w:t>
      </w:r>
    </w:p>
    <w:p w:rsidR="5C6094D9" w:rsidP="70B481C9" w:rsidRDefault="5C6094D9" w14:paraId="757F8EB0" w14:textId="333A19D6">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Jamison, K. R. (1993). </w:t>
      </w:r>
      <w:r w:rsidRPr="70B481C9" w:rsidR="5C6094D9">
        <w:rPr>
          <w:rFonts w:ascii="Arial" w:hAnsi="Arial" w:eastAsia="Arial" w:cs="Arial"/>
          <w:b w:val="0"/>
          <w:bCs w:val="0"/>
          <w:i w:val="1"/>
          <w:iCs w:val="1"/>
          <w:noProof w:val="0"/>
          <w:color w:val="000000" w:themeColor="text1" w:themeTint="FF" w:themeShade="FF"/>
          <w:sz w:val="22"/>
          <w:szCs w:val="22"/>
          <w:lang w:val="en-GB"/>
        </w:rPr>
        <w:t>Touched with fire: Manic-depressive illness and the artistic temperament.</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New York: Free Press.</w:t>
      </w:r>
    </w:p>
    <w:p w:rsidR="70B481C9" w:rsidP="70B481C9" w:rsidRDefault="70B481C9" w14:paraId="00942A08" w14:textId="3B801310">
      <w:pPr>
        <w:spacing w:before="0" w:beforeAutospacing="off" w:after="0" w:afterAutospacing="off" w:line="360" w:lineRule="auto"/>
        <w:jc w:val="both"/>
        <w:rPr>
          <w:rFonts w:ascii="Arial" w:hAnsi="Arial" w:eastAsia="Arial" w:cs="Arial"/>
          <w:sz w:val="22"/>
          <w:szCs w:val="22"/>
        </w:rPr>
      </w:pPr>
    </w:p>
    <w:p w:rsidR="5C6094D9" w:rsidP="70B481C9" w:rsidRDefault="5C6094D9" w14:paraId="5482AF87" w14:textId="3CAAFD5B">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Kessing, L. V., &amp; Andersen, P. K. (2023). Cognitive impairment in bipolar disorder: Implications for clinical practice. </w:t>
      </w:r>
      <w:r w:rsidRPr="70B481C9" w:rsidR="5C6094D9">
        <w:rPr>
          <w:rFonts w:ascii="Arial" w:hAnsi="Arial" w:eastAsia="Arial" w:cs="Arial"/>
          <w:b w:val="0"/>
          <w:bCs w:val="0"/>
          <w:i w:val="1"/>
          <w:iCs w:val="1"/>
          <w:noProof w:val="0"/>
          <w:color w:val="000000" w:themeColor="text1" w:themeTint="FF" w:themeShade="FF"/>
          <w:sz w:val="22"/>
          <w:szCs w:val="22"/>
          <w:lang w:val="en-GB"/>
        </w:rPr>
        <w:t>Bipolar Disorders,</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25(1), 12–20. Available at: </w:t>
      </w:r>
      <w:hyperlink r:id="R863051394de843fa">
        <w:r w:rsidRPr="70B481C9" w:rsidR="5C6094D9">
          <w:rPr>
            <w:rStyle w:val="Hyperlink"/>
            <w:rFonts w:ascii="Arial" w:hAnsi="Arial" w:eastAsia="Arial" w:cs="Arial"/>
            <w:b w:val="0"/>
            <w:bCs w:val="0"/>
            <w:i w:val="0"/>
            <w:iCs w:val="0"/>
            <w:noProof w:val="0"/>
            <w:sz w:val="22"/>
            <w:szCs w:val="22"/>
            <w:lang w:val="en-GB"/>
          </w:rPr>
          <w:t>https://doi.org/10.1111/bdi.13245</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17 October 2025).</w:t>
      </w:r>
    </w:p>
    <w:p w:rsidR="70B481C9" w:rsidP="70B481C9" w:rsidRDefault="70B481C9" w14:paraId="0E954F48" w14:textId="03BFEF63">
      <w:pPr>
        <w:spacing w:before="0" w:beforeAutospacing="off" w:after="0" w:afterAutospacing="off" w:line="360" w:lineRule="auto"/>
        <w:jc w:val="both"/>
        <w:rPr>
          <w:rFonts w:ascii="Arial" w:hAnsi="Arial" w:eastAsia="Arial" w:cs="Arial"/>
          <w:sz w:val="22"/>
          <w:szCs w:val="22"/>
        </w:rPr>
      </w:pPr>
    </w:p>
    <w:p w:rsidR="5C6094D9" w:rsidP="70B481C9" w:rsidRDefault="5C6094D9" w14:paraId="53603FA8" w14:textId="5EAE72DF">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Malla, A., Joober, R., &amp; Garcia, A. (2021). Community-based mental health care: Historical and contemporary perspectives. </w:t>
      </w:r>
      <w:r w:rsidRPr="70B481C9" w:rsidR="5C6094D9">
        <w:rPr>
          <w:rFonts w:ascii="Arial" w:hAnsi="Arial" w:eastAsia="Arial" w:cs="Arial"/>
          <w:b w:val="0"/>
          <w:bCs w:val="0"/>
          <w:i w:val="1"/>
          <w:iCs w:val="1"/>
          <w:noProof w:val="0"/>
          <w:color w:val="000000" w:themeColor="text1" w:themeTint="FF" w:themeShade="FF"/>
          <w:sz w:val="22"/>
          <w:szCs w:val="22"/>
          <w:lang w:val="en-GB"/>
        </w:rPr>
        <w:t>Canadian Journal of Psychiatry,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66(2), 129–137. Available at: </w:t>
      </w:r>
      <w:hyperlink r:id="Rf442d2665f0243c0">
        <w:r w:rsidRPr="70B481C9" w:rsidR="5C6094D9">
          <w:rPr>
            <w:rStyle w:val="Hyperlink"/>
            <w:rFonts w:ascii="Arial" w:hAnsi="Arial" w:eastAsia="Arial" w:cs="Arial"/>
            <w:b w:val="0"/>
            <w:bCs w:val="0"/>
            <w:i w:val="0"/>
            <w:iCs w:val="0"/>
            <w:noProof w:val="0"/>
            <w:sz w:val="22"/>
            <w:szCs w:val="22"/>
            <w:lang w:val="en-GB"/>
          </w:rPr>
          <w:t>https://doi.org/10.1177/0706743720961713</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17 October 2025).</w:t>
      </w:r>
    </w:p>
    <w:p w:rsidR="70B481C9" w:rsidP="70B481C9" w:rsidRDefault="70B481C9" w14:paraId="67723018" w14:textId="3A0C3408">
      <w:pPr>
        <w:spacing w:before="0" w:beforeAutospacing="off" w:after="0" w:afterAutospacing="off" w:line="360" w:lineRule="auto"/>
        <w:jc w:val="both"/>
        <w:rPr>
          <w:rFonts w:ascii="Arial" w:hAnsi="Arial" w:eastAsia="Arial" w:cs="Arial"/>
          <w:sz w:val="22"/>
          <w:szCs w:val="22"/>
        </w:rPr>
      </w:pPr>
    </w:p>
    <w:p w:rsidR="5C6094D9" w:rsidP="70B481C9" w:rsidRDefault="5C6094D9" w14:paraId="45624E5A" w14:textId="3A8FC4E4">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National Institute for Health and Care Excellence (2020). </w:t>
      </w:r>
      <w:r w:rsidRPr="70B481C9" w:rsidR="5C6094D9">
        <w:rPr>
          <w:rFonts w:ascii="Arial" w:hAnsi="Arial" w:eastAsia="Arial" w:cs="Arial"/>
          <w:b w:val="0"/>
          <w:bCs w:val="0"/>
          <w:i w:val="1"/>
          <w:iCs w:val="1"/>
          <w:noProof w:val="0"/>
          <w:color w:val="000000" w:themeColor="text1" w:themeTint="FF" w:themeShade="FF"/>
          <w:sz w:val="22"/>
          <w:szCs w:val="22"/>
          <w:lang w:val="en-GB"/>
        </w:rPr>
        <w:t>Bipolar disorder: Assessment and management (NICE guideline CG185).</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Available at: </w:t>
      </w:r>
      <w:hyperlink r:id="R0277dba4fbc8442b">
        <w:r w:rsidRPr="70B481C9" w:rsidR="5C6094D9">
          <w:rPr>
            <w:rStyle w:val="Hyperlink"/>
            <w:rFonts w:ascii="Arial" w:hAnsi="Arial" w:eastAsia="Arial" w:cs="Arial"/>
            <w:b w:val="0"/>
            <w:bCs w:val="0"/>
            <w:i w:val="0"/>
            <w:iCs w:val="0"/>
            <w:noProof w:val="0"/>
            <w:sz w:val="22"/>
            <w:szCs w:val="22"/>
            <w:lang w:val="en-GB"/>
          </w:rPr>
          <w:t>https://www.nice.org.uk/guidance/cg185</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16 October 2025).</w:t>
      </w:r>
    </w:p>
    <w:p w:rsidR="70B481C9" w:rsidP="70B481C9" w:rsidRDefault="70B481C9" w14:paraId="3EE69923" w14:textId="4A11A19D">
      <w:pPr>
        <w:spacing w:before="0" w:beforeAutospacing="off" w:after="0" w:afterAutospacing="off" w:line="360" w:lineRule="auto"/>
        <w:jc w:val="both"/>
        <w:rPr>
          <w:rFonts w:ascii="Arial" w:hAnsi="Arial" w:eastAsia="Arial" w:cs="Arial"/>
          <w:sz w:val="22"/>
          <w:szCs w:val="22"/>
        </w:rPr>
      </w:pPr>
    </w:p>
    <w:p w:rsidR="5C6094D9" w:rsidP="70B481C9" w:rsidRDefault="5C6094D9" w14:paraId="3763546D" w14:textId="04435448">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Vieta, E., Berk, M., Schulze, T. G., &amp; Carvalho, A. F. (2020). Bipolar disorders: Treatment advances and challenges. </w:t>
      </w:r>
      <w:r w:rsidRPr="70B481C9" w:rsidR="5C6094D9">
        <w:rPr>
          <w:rFonts w:ascii="Arial" w:hAnsi="Arial" w:eastAsia="Arial" w:cs="Arial"/>
          <w:b w:val="0"/>
          <w:bCs w:val="0"/>
          <w:i w:val="1"/>
          <w:iCs w:val="1"/>
          <w:noProof w:val="0"/>
          <w:color w:val="000000" w:themeColor="text1" w:themeTint="FF" w:themeShade="FF"/>
          <w:sz w:val="22"/>
          <w:szCs w:val="22"/>
          <w:lang w:val="en-GB"/>
        </w:rPr>
        <w:t>Nature Reviews Disease Primers,</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6(1), 1–25. Available at: </w:t>
      </w:r>
      <w:hyperlink r:id="R57b4cea5388243e2">
        <w:r w:rsidRPr="70B481C9" w:rsidR="5C6094D9">
          <w:rPr>
            <w:rStyle w:val="Hyperlink"/>
            <w:rFonts w:ascii="Arial" w:hAnsi="Arial" w:eastAsia="Arial" w:cs="Arial"/>
            <w:b w:val="0"/>
            <w:bCs w:val="0"/>
            <w:i w:val="0"/>
            <w:iCs w:val="0"/>
            <w:noProof w:val="0"/>
            <w:sz w:val="22"/>
            <w:szCs w:val="22"/>
            <w:lang w:val="en-GB"/>
          </w:rPr>
          <w:t>https://doi.org/10.1038/s41572-020-0157-0</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17 October 2025).</w:t>
      </w:r>
    </w:p>
    <w:p w:rsidR="70B481C9" w:rsidP="70B481C9" w:rsidRDefault="70B481C9" w14:paraId="13531D1C" w14:textId="11180C0C">
      <w:pPr>
        <w:spacing w:before="0" w:beforeAutospacing="off" w:after="0" w:afterAutospacing="off" w:line="360" w:lineRule="auto"/>
        <w:jc w:val="both"/>
        <w:rPr>
          <w:rFonts w:ascii="Arial" w:hAnsi="Arial" w:eastAsia="Arial" w:cs="Arial"/>
          <w:sz w:val="22"/>
          <w:szCs w:val="22"/>
        </w:rPr>
      </w:pPr>
    </w:p>
    <w:p w:rsidR="5C6094D9" w:rsidP="70B481C9" w:rsidRDefault="5C6094D9" w14:paraId="5244BB81" w14:textId="68BA6FA9">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World Health Organisation (2023). </w:t>
      </w:r>
      <w:r w:rsidRPr="70B481C9" w:rsidR="5C6094D9">
        <w:rPr>
          <w:rFonts w:ascii="Arial" w:hAnsi="Arial" w:eastAsia="Arial" w:cs="Arial"/>
          <w:b w:val="0"/>
          <w:bCs w:val="0"/>
          <w:i w:val="1"/>
          <w:iCs w:val="1"/>
          <w:noProof w:val="0"/>
          <w:color w:val="000000" w:themeColor="text1" w:themeTint="FF" w:themeShade="FF"/>
          <w:sz w:val="22"/>
          <w:szCs w:val="22"/>
          <w:lang w:val="en-GB"/>
        </w:rPr>
        <w:t>International Classification of Diseases, 11th Revision (ICD-11).</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Available at: </w:t>
      </w:r>
      <w:hyperlink r:id="R0e7b8df93e264c89">
        <w:r w:rsidRPr="70B481C9" w:rsidR="5C6094D9">
          <w:rPr>
            <w:rStyle w:val="Hyperlink"/>
            <w:rFonts w:ascii="Arial" w:hAnsi="Arial" w:eastAsia="Arial" w:cs="Arial"/>
            <w:b w:val="0"/>
            <w:bCs w:val="0"/>
            <w:i w:val="0"/>
            <w:iCs w:val="0"/>
            <w:noProof w:val="0"/>
            <w:sz w:val="22"/>
            <w:szCs w:val="22"/>
            <w:lang w:val="en-GB"/>
          </w:rPr>
          <w:t>https://icd.who.int/</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17 October 2025).</w:t>
      </w:r>
    </w:p>
    <w:p w:rsidR="70B481C9" w:rsidP="70B481C9" w:rsidRDefault="70B481C9" w14:paraId="1F9ED42A" w14:textId="6AA1DC3B">
      <w:pPr>
        <w:spacing w:before="0" w:beforeAutospacing="off" w:after="0" w:afterAutospacing="off" w:line="360" w:lineRule="auto"/>
        <w:jc w:val="both"/>
        <w:rPr>
          <w:rFonts w:ascii="Arial" w:hAnsi="Arial" w:eastAsia="Arial" w:cs="Arial"/>
          <w:sz w:val="22"/>
          <w:szCs w:val="22"/>
        </w:rPr>
      </w:pPr>
    </w:p>
    <w:p w:rsidR="5C6094D9" w:rsidP="70B481C9" w:rsidRDefault="5C6094D9" w14:paraId="66C5C155" w14:textId="4BD202D4">
      <w:pPr>
        <w:spacing w:before="0" w:beforeAutospacing="off" w:after="0" w:afterAutospacing="off" w:line="360" w:lineRule="auto"/>
        <w:jc w:val="both"/>
        <w:rPr>
          <w:rFonts w:ascii="Arial" w:hAnsi="Arial" w:eastAsia="Arial" w:cs="Arial"/>
          <w:b w:val="0"/>
          <w:bCs w:val="0"/>
          <w:i w:val="0"/>
          <w:iCs w:val="0"/>
          <w:noProof w:val="0"/>
          <w:color w:val="000000" w:themeColor="text1" w:themeTint="FF" w:themeShade="FF"/>
          <w:sz w:val="22"/>
          <w:szCs w:val="22"/>
          <w:lang w:val="en-GB"/>
        </w:rPr>
      </w:pPr>
      <w:r w:rsidRPr="70B481C9" w:rsidR="5C6094D9">
        <w:rPr>
          <w:rFonts w:ascii="Arial" w:hAnsi="Arial" w:eastAsia="Arial" w:cs="Arial"/>
          <w:b w:val="0"/>
          <w:bCs w:val="0"/>
          <w:i w:val="0"/>
          <w:iCs w:val="0"/>
          <w:noProof w:val="0"/>
          <w:color w:val="000000" w:themeColor="text1" w:themeTint="FF" w:themeShade="FF"/>
          <w:sz w:val="22"/>
          <w:szCs w:val="22"/>
          <w:lang w:val="en-GB"/>
        </w:rPr>
        <w:t xml:space="preserve">Zimmerman, M. (2020). Misdiagnosis of bipolar disorder: Addressing the diagnostic challenges. </w:t>
      </w:r>
      <w:r w:rsidRPr="70B481C9" w:rsidR="5C6094D9">
        <w:rPr>
          <w:rFonts w:ascii="Arial" w:hAnsi="Arial" w:eastAsia="Arial" w:cs="Arial"/>
          <w:b w:val="0"/>
          <w:bCs w:val="0"/>
          <w:i w:val="1"/>
          <w:iCs w:val="1"/>
          <w:noProof w:val="0"/>
          <w:color w:val="000000" w:themeColor="text1" w:themeTint="FF" w:themeShade="FF"/>
          <w:sz w:val="22"/>
          <w:szCs w:val="22"/>
          <w:lang w:val="en-GB"/>
        </w:rPr>
        <w:t>Journal of Clinical Psychiatry,</w:t>
      </w:r>
      <w:r w:rsidRPr="70B481C9" w:rsidR="5C6094D9">
        <w:rPr>
          <w:rFonts w:ascii="Arial" w:hAnsi="Arial" w:eastAsia="Arial" w:cs="Arial"/>
          <w:b w:val="0"/>
          <w:bCs w:val="0"/>
          <w:i w:val="0"/>
          <w:iCs w:val="0"/>
          <w:noProof w:val="0"/>
          <w:color w:val="000000" w:themeColor="text1" w:themeTint="FF" w:themeShade="FF"/>
          <w:sz w:val="22"/>
          <w:szCs w:val="22"/>
          <w:lang w:val="en-GB"/>
        </w:rPr>
        <w:t xml:space="preserve"> 81(2), 19–25. Available at: </w:t>
      </w:r>
      <w:hyperlink r:id="Rcc1a176b2a7f44d8">
        <w:r w:rsidRPr="70B481C9" w:rsidR="5C6094D9">
          <w:rPr>
            <w:rStyle w:val="Hyperlink"/>
            <w:rFonts w:ascii="Arial" w:hAnsi="Arial" w:eastAsia="Arial" w:cs="Arial"/>
            <w:b w:val="0"/>
            <w:bCs w:val="0"/>
            <w:i w:val="0"/>
            <w:iCs w:val="0"/>
            <w:noProof w:val="0"/>
            <w:sz w:val="22"/>
            <w:szCs w:val="22"/>
            <w:lang w:val="en-GB"/>
          </w:rPr>
          <w:t>https://doi.org/10.4088/JCP.19com13010</w:t>
        </w:r>
      </w:hyperlink>
      <w:r w:rsidRPr="70B481C9" w:rsidR="5C6094D9">
        <w:rPr>
          <w:rFonts w:ascii="Arial" w:hAnsi="Arial" w:eastAsia="Arial" w:cs="Arial"/>
          <w:b w:val="0"/>
          <w:bCs w:val="0"/>
          <w:i w:val="0"/>
          <w:iCs w:val="0"/>
          <w:noProof w:val="0"/>
          <w:color w:val="000000" w:themeColor="text1" w:themeTint="FF" w:themeShade="FF"/>
          <w:sz w:val="22"/>
          <w:szCs w:val="22"/>
          <w:lang w:val="en-GB"/>
        </w:rPr>
        <w:t xml:space="preserve"> (Accessed: 14 October 2025).</w:t>
      </w:r>
    </w:p>
    <w:p w:rsidR="70B481C9" w:rsidP="70B481C9" w:rsidRDefault="70B481C9" w14:paraId="161E8528" w14:textId="4F70C0A6">
      <w:pPr>
        <w:spacing w:line="360" w:lineRule="auto"/>
        <w:jc w:val="both"/>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b32bbfedcb12436d"/>
      <w:footerReference w:type="default" r:id="R72c92b665eee4f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B481C9" w:rsidTr="70B481C9" w14:paraId="6DF7BDC0">
      <w:trPr>
        <w:trHeight w:val="300"/>
      </w:trPr>
      <w:tc>
        <w:tcPr>
          <w:tcW w:w="3005" w:type="dxa"/>
          <w:tcMar/>
        </w:tcPr>
        <w:p w:rsidR="70B481C9" w:rsidP="70B481C9" w:rsidRDefault="70B481C9" w14:paraId="6CD281F3" w14:textId="64E85DCB">
          <w:pPr>
            <w:pStyle w:val="Header"/>
            <w:bidi w:val="0"/>
            <w:ind w:left="-115"/>
            <w:jc w:val="left"/>
          </w:pPr>
        </w:p>
      </w:tc>
      <w:tc>
        <w:tcPr>
          <w:tcW w:w="3005" w:type="dxa"/>
          <w:tcMar/>
        </w:tcPr>
        <w:p w:rsidR="70B481C9" w:rsidP="70B481C9" w:rsidRDefault="70B481C9" w14:paraId="65E0F22A" w14:textId="21FD27A0">
          <w:pPr>
            <w:pStyle w:val="Header"/>
            <w:bidi w:val="0"/>
            <w:jc w:val="center"/>
          </w:pPr>
        </w:p>
      </w:tc>
      <w:tc>
        <w:tcPr>
          <w:tcW w:w="3005" w:type="dxa"/>
          <w:tcMar/>
        </w:tcPr>
        <w:p w:rsidR="70B481C9" w:rsidP="70B481C9" w:rsidRDefault="70B481C9" w14:paraId="0863D27C" w14:textId="2714C476">
          <w:pPr>
            <w:pStyle w:val="Header"/>
            <w:bidi w:val="0"/>
            <w:ind w:right="-115"/>
            <w:jc w:val="right"/>
          </w:pPr>
        </w:p>
      </w:tc>
    </w:tr>
  </w:tbl>
  <w:p w:rsidR="70B481C9" w:rsidP="70B481C9" w:rsidRDefault="70B481C9" w14:paraId="5D26C160" w14:textId="0E1B4B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0B481C9" w:rsidTr="70B481C9" w14:paraId="590DF661">
      <w:trPr>
        <w:trHeight w:val="300"/>
      </w:trPr>
      <w:tc>
        <w:tcPr>
          <w:tcW w:w="3005" w:type="dxa"/>
          <w:tcMar/>
        </w:tcPr>
        <w:p w:rsidR="70B481C9" w:rsidP="70B481C9" w:rsidRDefault="70B481C9" w14:paraId="56C1B47C" w14:textId="4191F59D">
          <w:pPr>
            <w:pStyle w:val="Header"/>
            <w:bidi w:val="0"/>
            <w:ind w:left="-115"/>
            <w:jc w:val="left"/>
          </w:pPr>
        </w:p>
      </w:tc>
      <w:tc>
        <w:tcPr>
          <w:tcW w:w="3005" w:type="dxa"/>
          <w:tcMar/>
        </w:tcPr>
        <w:p w:rsidR="70B481C9" w:rsidP="70B481C9" w:rsidRDefault="70B481C9" w14:paraId="6DA3DEF9" w14:textId="6FF6C3A5">
          <w:pPr>
            <w:pStyle w:val="Header"/>
            <w:bidi w:val="0"/>
            <w:jc w:val="center"/>
          </w:pPr>
        </w:p>
      </w:tc>
      <w:tc>
        <w:tcPr>
          <w:tcW w:w="3005" w:type="dxa"/>
          <w:tcMar/>
        </w:tcPr>
        <w:p w:rsidR="70B481C9" w:rsidP="70B481C9" w:rsidRDefault="70B481C9" w14:paraId="0458DF8B" w14:textId="1F57C66C">
          <w:pPr>
            <w:pStyle w:val="Header"/>
            <w:bidi w:val="0"/>
            <w:ind w:right="-115"/>
            <w:jc w:val="right"/>
          </w:pPr>
        </w:p>
      </w:tc>
    </w:tr>
  </w:tbl>
  <w:p w:rsidR="70B481C9" w:rsidP="70B481C9" w:rsidRDefault="70B481C9" w14:paraId="32849195" w14:textId="7548124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52875"/>
    <w:rsid w:val="006A7B95"/>
    <w:rsid w:val="02C9C916"/>
    <w:rsid w:val="034842D6"/>
    <w:rsid w:val="055E65D9"/>
    <w:rsid w:val="05AA8B14"/>
    <w:rsid w:val="05AC4A95"/>
    <w:rsid w:val="05B5A9B3"/>
    <w:rsid w:val="05B5A9B3"/>
    <w:rsid w:val="0614C773"/>
    <w:rsid w:val="06AC15A0"/>
    <w:rsid w:val="074FA3CB"/>
    <w:rsid w:val="07665F65"/>
    <w:rsid w:val="079EA5CE"/>
    <w:rsid w:val="084029B2"/>
    <w:rsid w:val="0B9E266F"/>
    <w:rsid w:val="0C3210E3"/>
    <w:rsid w:val="0CCFE93D"/>
    <w:rsid w:val="0D8D12CE"/>
    <w:rsid w:val="0DC625BD"/>
    <w:rsid w:val="0F62E033"/>
    <w:rsid w:val="0FF10D8B"/>
    <w:rsid w:val="100BD94A"/>
    <w:rsid w:val="123244F1"/>
    <w:rsid w:val="1255668E"/>
    <w:rsid w:val="12BD2FE8"/>
    <w:rsid w:val="12DC0B91"/>
    <w:rsid w:val="12F2ACD8"/>
    <w:rsid w:val="131266CE"/>
    <w:rsid w:val="13708D1F"/>
    <w:rsid w:val="13708D1F"/>
    <w:rsid w:val="16F1DFDB"/>
    <w:rsid w:val="17531D8B"/>
    <w:rsid w:val="17FC218A"/>
    <w:rsid w:val="184675CC"/>
    <w:rsid w:val="1A068AD1"/>
    <w:rsid w:val="1A6115F6"/>
    <w:rsid w:val="1A8ADE93"/>
    <w:rsid w:val="1B9D5B5D"/>
    <w:rsid w:val="1BEF7820"/>
    <w:rsid w:val="1C165AC2"/>
    <w:rsid w:val="1D39BD46"/>
    <w:rsid w:val="1DA8D46B"/>
    <w:rsid w:val="1F0EF242"/>
    <w:rsid w:val="1F63FA0B"/>
    <w:rsid w:val="20B4867A"/>
    <w:rsid w:val="210F5A9F"/>
    <w:rsid w:val="213E8137"/>
    <w:rsid w:val="220C12DC"/>
    <w:rsid w:val="22AD6D0D"/>
    <w:rsid w:val="23E12AE9"/>
    <w:rsid w:val="256E3AAD"/>
    <w:rsid w:val="262EEF59"/>
    <w:rsid w:val="2668ACA2"/>
    <w:rsid w:val="2733464E"/>
    <w:rsid w:val="28A49117"/>
    <w:rsid w:val="2980D053"/>
    <w:rsid w:val="2B52948A"/>
    <w:rsid w:val="2C9AC1C5"/>
    <w:rsid w:val="2D4811BF"/>
    <w:rsid w:val="2F3A831C"/>
    <w:rsid w:val="2F48BFC1"/>
    <w:rsid w:val="2FCB81F6"/>
    <w:rsid w:val="2FD50C7F"/>
    <w:rsid w:val="31377383"/>
    <w:rsid w:val="3144448E"/>
    <w:rsid w:val="320BBB1E"/>
    <w:rsid w:val="3311E2A6"/>
    <w:rsid w:val="33472B02"/>
    <w:rsid w:val="35A9B83E"/>
    <w:rsid w:val="35AD5AD5"/>
    <w:rsid w:val="373D5899"/>
    <w:rsid w:val="384C4AC7"/>
    <w:rsid w:val="386EA0A5"/>
    <w:rsid w:val="3925753E"/>
    <w:rsid w:val="3A0E0A04"/>
    <w:rsid w:val="3A3F375F"/>
    <w:rsid w:val="3AC2D90B"/>
    <w:rsid w:val="3B5F410B"/>
    <w:rsid w:val="3C215DB9"/>
    <w:rsid w:val="3C4940EA"/>
    <w:rsid w:val="3C95C78D"/>
    <w:rsid w:val="3CE89C86"/>
    <w:rsid w:val="3D955426"/>
    <w:rsid w:val="3E4F6170"/>
    <w:rsid w:val="4046C5EB"/>
    <w:rsid w:val="415065A6"/>
    <w:rsid w:val="41DAA10C"/>
    <w:rsid w:val="4200D584"/>
    <w:rsid w:val="4292137A"/>
    <w:rsid w:val="4429998D"/>
    <w:rsid w:val="44574AE0"/>
    <w:rsid w:val="44574AE0"/>
    <w:rsid w:val="4686D2C7"/>
    <w:rsid w:val="46A65C7E"/>
    <w:rsid w:val="47917201"/>
    <w:rsid w:val="49DDC75A"/>
    <w:rsid w:val="49E7511D"/>
    <w:rsid w:val="4B9B22B3"/>
    <w:rsid w:val="4C2603DE"/>
    <w:rsid w:val="4C6C1C0B"/>
    <w:rsid w:val="4C7A08E1"/>
    <w:rsid w:val="4D43079A"/>
    <w:rsid w:val="4D9808D9"/>
    <w:rsid w:val="4D9808D9"/>
    <w:rsid w:val="4E72D218"/>
    <w:rsid w:val="4F35CCC1"/>
    <w:rsid w:val="51348120"/>
    <w:rsid w:val="5177D2FB"/>
    <w:rsid w:val="521A265D"/>
    <w:rsid w:val="52374716"/>
    <w:rsid w:val="539749D8"/>
    <w:rsid w:val="5504504C"/>
    <w:rsid w:val="5689952C"/>
    <w:rsid w:val="57352875"/>
    <w:rsid w:val="58398418"/>
    <w:rsid w:val="58600E21"/>
    <w:rsid w:val="596B100F"/>
    <w:rsid w:val="5B2369F5"/>
    <w:rsid w:val="5C6094D9"/>
    <w:rsid w:val="5CA64178"/>
    <w:rsid w:val="5D0FB3E2"/>
    <w:rsid w:val="5E7B17EE"/>
    <w:rsid w:val="5F06D896"/>
    <w:rsid w:val="60DF83E6"/>
    <w:rsid w:val="612933D6"/>
    <w:rsid w:val="6148A9B9"/>
    <w:rsid w:val="615DF733"/>
    <w:rsid w:val="62D39430"/>
    <w:rsid w:val="62DA129C"/>
    <w:rsid w:val="631F6178"/>
    <w:rsid w:val="63FD9495"/>
    <w:rsid w:val="64D2F497"/>
    <w:rsid w:val="658A616B"/>
    <w:rsid w:val="65C8790D"/>
    <w:rsid w:val="662A69E1"/>
    <w:rsid w:val="6745E8A5"/>
    <w:rsid w:val="6980848B"/>
    <w:rsid w:val="699C8E24"/>
    <w:rsid w:val="69ED0756"/>
    <w:rsid w:val="6C182F80"/>
    <w:rsid w:val="6D59F32B"/>
    <w:rsid w:val="6D9D42D3"/>
    <w:rsid w:val="6E561290"/>
    <w:rsid w:val="6E5E30CA"/>
    <w:rsid w:val="6EBEA611"/>
    <w:rsid w:val="6F6EB0E2"/>
    <w:rsid w:val="6F8BD4AE"/>
    <w:rsid w:val="6FE87944"/>
    <w:rsid w:val="70B481C9"/>
    <w:rsid w:val="7167818D"/>
    <w:rsid w:val="72BA1168"/>
    <w:rsid w:val="73A71A17"/>
    <w:rsid w:val="74FEA2F6"/>
    <w:rsid w:val="7617197B"/>
    <w:rsid w:val="76678D38"/>
    <w:rsid w:val="784AD15D"/>
    <w:rsid w:val="7982EC3D"/>
    <w:rsid w:val="7B9AE4D6"/>
    <w:rsid w:val="7F1B88D3"/>
    <w:rsid w:val="7F7D24B8"/>
    <w:rsid w:val="7F81E7AD"/>
    <w:rsid w:val="7FC42F67"/>
    <w:rsid w:val="7FF71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52875"/>
  <w15:chartTrackingRefBased/>
  <w15:docId w15:val="{D4D2F870-35EF-4E6C-82A3-D288744619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0B481C9"/>
    <w:rPr>
      <w:color w:val="467886"/>
      <w:u w:val="single"/>
    </w:rPr>
  </w:style>
  <w:style w:type="paragraph" w:styleId="Header">
    <w:uiPriority w:val="99"/>
    <w:name w:val="header"/>
    <w:basedOn w:val="Normal"/>
    <w:unhideWhenUsed/>
    <w:rsid w:val="70B481C9"/>
    <w:pPr>
      <w:tabs>
        <w:tab w:val="center" w:leader="none" w:pos="4680"/>
        <w:tab w:val="right" w:leader="none" w:pos="9360"/>
      </w:tabs>
      <w:spacing w:after="0" w:line="240" w:lineRule="auto"/>
    </w:pPr>
  </w:style>
  <w:style w:type="paragraph" w:styleId="Footer">
    <w:uiPriority w:val="99"/>
    <w:name w:val="footer"/>
    <w:basedOn w:val="Normal"/>
    <w:unhideWhenUsed/>
    <w:rsid w:val="70B481C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93/ijnp/pyz033" TargetMode="External" Id="Ra51b9cbe00f04a92" /><Relationship Type="http://schemas.openxmlformats.org/officeDocument/2006/relationships/hyperlink" Target="https://doi.org/10.1002/wps.20824" TargetMode="External" Id="R0f392e89455b45cd" /><Relationship Type="http://schemas.openxmlformats.org/officeDocument/2006/relationships/hyperlink" Target="https://doi.org/10.1001/archpsyc.62.9.996" TargetMode="External" Id="R4e64bf80cdb740ec" /><Relationship Type="http://schemas.openxmlformats.org/officeDocument/2006/relationships/hyperlink" Target="https://doi.org/10.1016/S0140-6736(13)60857-0" TargetMode="External" Id="Rb4c7193a8c2945e9" /><Relationship Type="http://schemas.openxmlformats.org/officeDocument/2006/relationships/hyperlink" Target="https://doi.org/10.1176/appi.ajp.2021.21040403" TargetMode="External" Id="R0cb66f2fe88641d8" /><Relationship Type="http://schemas.openxmlformats.org/officeDocument/2006/relationships/hyperlink" Target="https://doi.org/10.1111/bdi.13245" TargetMode="External" Id="R863051394de843fa" /><Relationship Type="http://schemas.openxmlformats.org/officeDocument/2006/relationships/hyperlink" Target="https://doi.org/10.1177/0706743720961713" TargetMode="External" Id="Rf442d2665f0243c0" /><Relationship Type="http://schemas.openxmlformats.org/officeDocument/2006/relationships/hyperlink" Target="https://www.nice.org.uk/guidance/cg185" TargetMode="External" Id="R0277dba4fbc8442b" /><Relationship Type="http://schemas.openxmlformats.org/officeDocument/2006/relationships/hyperlink" Target="https://doi.org/10.1038/s41572-020-0157-0" TargetMode="External" Id="R57b4cea5388243e2" /><Relationship Type="http://schemas.openxmlformats.org/officeDocument/2006/relationships/hyperlink" Target="https://icd.who.int/" TargetMode="External" Id="R0e7b8df93e264c89" /><Relationship Type="http://schemas.openxmlformats.org/officeDocument/2006/relationships/hyperlink" Target="https://doi.org/10.4088/JCP.19com13010" TargetMode="External" Id="Rcc1a176b2a7f44d8" /><Relationship Type="http://schemas.openxmlformats.org/officeDocument/2006/relationships/header" Target="/word/header.xml" Id="Rb32bbfedcb12436d" /><Relationship Type="http://schemas.openxmlformats.org/officeDocument/2006/relationships/footer" Target="/word/footer.xml" Id="R72c92b665eee4f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Racheal Becker (2310797)</dc:creator>
  <keywords/>
  <dc:description/>
  <lastModifiedBy>Racheal Becker (2310797)</lastModifiedBy>
  <revision>4</revision>
  <dcterms:created xsi:type="dcterms:W3CDTF">2025-11-10T20:35:14.9940087Z</dcterms:created>
  <dcterms:modified xsi:type="dcterms:W3CDTF">2025-11-15T20:40:38.4808628Z</dcterms:modified>
</coreProperties>
</file>