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E27CD2" w14:textId="56178E86" w:rsidR="00477E8C" w:rsidRDefault="00477E8C" w:rsidP="00477E8C">
      <w:pPr>
        <w:pStyle w:val="NormalWeb"/>
        <w:spacing w:before="0" w:beforeAutospacing="0" w:after="0" w:afterAutospacing="0"/>
        <w:ind w:left="-180" w:right="-334"/>
      </w:pPr>
      <w:r>
        <w:rPr>
          <w:noProof/>
          <w:lang w:val="en-GB" w:eastAsia="en-GB"/>
        </w:rPr>
        <w:drawing>
          <wp:inline distT="0" distB="0" distL="0" distR="0" wp14:anchorId="1036442F" wp14:editId="4821DC91">
            <wp:extent cx="1906270" cy="635635"/>
            <wp:effectExtent l="19050" t="19050" r="17780"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67DB2B2D" w14:textId="77777777" w:rsidR="00477E8C" w:rsidRDefault="00477E8C" w:rsidP="00477E8C">
      <w:pPr>
        <w:pStyle w:val="NormalWeb"/>
        <w:spacing w:before="0" w:beforeAutospacing="0" w:after="0" w:afterAutospacing="0"/>
        <w:ind w:left="-180" w:right="-334"/>
      </w:pPr>
    </w:p>
    <w:p w14:paraId="5E14419A" w14:textId="77777777" w:rsidR="00477E8C" w:rsidRDefault="00477E8C" w:rsidP="00477E8C">
      <w:pPr>
        <w:pStyle w:val="NormalWeb"/>
        <w:spacing w:before="0" w:beforeAutospacing="0" w:after="0" w:afterAutospacing="0"/>
        <w:ind w:left="-180" w:right="-334"/>
      </w:pPr>
    </w:p>
    <w:p w14:paraId="4A258C22" w14:textId="77777777" w:rsidR="00477E8C" w:rsidRDefault="00477E8C" w:rsidP="00477E8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D7DD05E" w14:textId="77777777" w:rsidR="00477E8C" w:rsidRPr="00230F35" w:rsidRDefault="00477E8C" w:rsidP="00477E8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EAF5BB8" w14:textId="77777777" w:rsidR="00477E8C" w:rsidRPr="00230F35" w:rsidRDefault="00477E8C" w:rsidP="00477E8C">
      <w:pPr>
        <w:rPr>
          <w:sz w:val="28"/>
          <w:szCs w:val="28"/>
          <w:lang w:val="cy-GB"/>
        </w:rPr>
      </w:pPr>
    </w:p>
    <w:p w14:paraId="285E9D2D" w14:textId="77777777" w:rsidR="00477E8C" w:rsidRDefault="00477E8C" w:rsidP="00477E8C">
      <w:pPr>
        <w:pStyle w:val="Heading3"/>
        <w:jc w:val="center"/>
        <w:rPr>
          <w:lang w:val="cy-GB"/>
        </w:rPr>
      </w:pPr>
      <w:r>
        <w:rPr>
          <w:lang w:val="cy-GB"/>
        </w:rPr>
        <w:t>THIS SHEET MUST BE THE FIRST PAGE OF THE ASSIGNMENT YOU ARE SUBMITTING  (DO NOT SEND AS A SEPARATE FILE)</w:t>
      </w:r>
    </w:p>
    <w:p w14:paraId="50C0A096" w14:textId="77777777" w:rsidR="00477E8C" w:rsidRDefault="00477E8C" w:rsidP="00477E8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77E8C" w:rsidRPr="00230F35" w14:paraId="34B03C70" w14:textId="77777777" w:rsidTr="00CA3EA9">
        <w:trPr>
          <w:trHeight w:val="614"/>
        </w:trPr>
        <w:tc>
          <w:tcPr>
            <w:tcW w:w="8856" w:type="dxa"/>
            <w:gridSpan w:val="5"/>
          </w:tcPr>
          <w:p w14:paraId="08DD8126" w14:textId="77777777" w:rsidR="00477E8C" w:rsidRPr="00230F35" w:rsidRDefault="00477E8C" w:rsidP="00CA3EA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77E8C" w:rsidRPr="00230F35" w14:paraId="117E5732" w14:textId="77777777" w:rsidTr="00CA3EA9">
        <w:trPr>
          <w:trHeight w:val="718"/>
        </w:trPr>
        <w:tc>
          <w:tcPr>
            <w:tcW w:w="8856" w:type="dxa"/>
            <w:gridSpan w:val="5"/>
          </w:tcPr>
          <w:p w14:paraId="680B5FEA" w14:textId="77777777" w:rsidR="00477E8C" w:rsidRDefault="00477E8C" w:rsidP="00CA3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176B7BF0" w14:textId="5A690CE8" w:rsidR="00477E8C" w:rsidRPr="00230F35" w:rsidRDefault="00477E8C" w:rsidP="00CA3EA9">
            <w:pPr>
              <w:pStyle w:val="NormalWeb"/>
              <w:spacing w:before="0" w:beforeAutospacing="0" w:after="0" w:afterAutospacing="0"/>
              <w:ind w:right="34"/>
              <w:rPr>
                <w:rFonts w:ascii="Arial" w:hAnsi="Arial" w:cs="Arial"/>
                <w:sz w:val="22"/>
                <w:szCs w:val="22"/>
              </w:rPr>
            </w:pPr>
            <w:r>
              <w:rPr>
                <w:rFonts w:ascii="Arial" w:hAnsi="Arial" w:cs="Arial"/>
                <w:sz w:val="22"/>
                <w:szCs w:val="22"/>
              </w:rPr>
              <w:t>Jennifer Zoe Jackson</w:t>
            </w:r>
          </w:p>
        </w:tc>
      </w:tr>
      <w:tr w:rsidR="00477E8C" w:rsidRPr="00230F35" w14:paraId="1285B100" w14:textId="77777777" w:rsidTr="00CA3EA9">
        <w:trPr>
          <w:trHeight w:val="849"/>
        </w:trPr>
        <w:tc>
          <w:tcPr>
            <w:tcW w:w="4788" w:type="dxa"/>
          </w:tcPr>
          <w:p w14:paraId="36E3C4B3" w14:textId="0E681989" w:rsidR="00477E8C" w:rsidRPr="00230F35" w:rsidRDefault="00477E8C" w:rsidP="00CA3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HPCA7005</w:t>
            </w:r>
          </w:p>
          <w:p w14:paraId="5AFDCEF5" w14:textId="77777777" w:rsidR="00477E8C" w:rsidRPr="00230F35" w:rsidRDefault="00477E8C" w:rsidP="00CA3EA9">
            <w:pPr>
              <w:pStyle w:val="NormalWeb"/>
              <w:spacing w:before="0" w:beforeAutospacing="0" w:after="0" w:afterAutospacing="0"/>
              <w:ind w:right="34"/>
              <w:rPr>
                <w:rFonts w:ascii="Arial" w:hAnsi="Arial" w:cs="Arial"/>
                <w:sz w:val="22"/>
                <w:szCs w:val="22"/>
              </w:rPr>
            </w:pPr>
          </w:p>
          <w:p w14:paraId="55F9753A" w14:textId="1EEF936E" w:rsidR="00477E8C" w:rsidRDefault="00477E8C" w:rsidP="00CA3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 </w:t>
            </w:r>
          </w:p>
          <w:p w14:paraId="5E13254F" w14:textId="77777777" w:rsidR="00477E8C" w:rsidRDefault="00477E8C" w:rsidP="00CA3EA9">
            <w:pPr>
              <w:pStyle w:val="NormalWeb"/>
              <w:spacing w:before="0" w:beforeAutospacing="0" w:after="0" w:afterAutospacing="0"/>
              <w:ind w:right="34"/>
              <w:rPr>
                <w:rFonts w:ascii="Arial" w:hAnsi="Arial" w:cs="Arial"/>
                <w:sz w:val="22"/>
                <w:szCs w:val="22"/>
              </w:rPr>
            </w:pPr>
          </w:p>
          <w:p w14:paraId="1F8B2F7A" w14:textId="77777777" w:rsidR="00477E8C" w:rsidRPr="00230F35" w:rsidRDefault="00477E8C" w:rsidP="00CA3EA9">
            <w:pPr>
              <w:pStyle w:val="NormalWeb"/>
              <w:spacing w:before="0" w:beforeAutospacing="0" w:after="0" w:afterAutospacing="0"/>
              <w:ind w:right="34"/>
              <w:rPr>
                <w:rFonts w:ascii="Arial" w:hAnsi="Arial" w:cs="Arial"/>
                <w:sz w:val="22"/>
                <w:szCs w:val="22"/>
              </w:rPr>
            </w:pPr>
          </w:p>
        </w:tc>
        <w:tc>
          <w:tcPr>
            <w:tcW w:w="2266" w:type="dxa"/>
            <w:gridSpan w:val="3"/>
          </w:tcPr>
          <w:p w14:paraId="30E68F64" w14:textId="77777777" w:rsidR="00477E8C" w:rsidRDefault="00477E8C" w:rsidP="00CA3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9A924C0" w14:textId="11906087" w:rsidR="00477E8C" w:rsidRPr="00230F35" w:rsidRDefault="00477E8C" w:rsidP="00CA3EA9">
            <w:pPr>
              <w:pStyle w:val="NormalWeb"/>
              <w:spacing w:before="0" w:beforeAutospacing="0" w:after="0" w:afterAutospacing="0"/>
              <w:ind w:right="34"/>
              <w:rPr>
                <w:rFonts w:ascii="Arial" w:hAnsi="Arial" w:cs="Arial"/>
                <w:sz w:val="22"/>
                <w:szCs w:val="22"/>
              </w:rPr>
            </w:pPr>
            <w:r>
              <w:rPr>
                <w:rFonts w:ascii="Arial" w:hAnsi="Arial" w:cs="Arial"/>
                <w:sz w:val="22"/>
                <w:szCs w:val="22"/>
              </w:rPr>
              <w:t>1601704</w:t>
            </w:r>
          </w:p>
        </w:tc>
        <w:tc>
          <w:tcPr>
            <w:tcW w:w="1802" w:type="dxa"/>
          </w:tcPr>
          <w:p w14:paraId="28F3B3E4" w14:textId="77777777" w:rsidR="00477E8C" w:rsidRPr="00230F35" w:rsidRDefault="00477E8C" w:rsidP="00CA3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848F903" w14:textId="71DC8BAB" w:rsidR="00477E8C" w:rsidRPr="00230F35" w:rsidRDefault="00477E8C" w:rsidP="00CA3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77E8C" w:rsidRPr="00230F35" w14:paraId="1118357D" w14:textId="77777777" w:rsidTr="00CA3EA9">
        <w:trPr>
          <w:trHeight w:val="1139"/>
        </w:trPr>
        <w:tc>
          <w:tcPr>
            <w:tcW w:w="8856" w:type="dxa"/>
            <w:gridSpan w:val="5"/>
          </w:tcPr>
          <w:p w14:paraId="2DE3F65D" w14:textId="606787A8" w:rsidR="00477E8C" w:rsidRPr="00230F35" w:rsidRDefault="00477E8C" w:rsidP="00CA3EA9">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Crystal Adderley and Dr. Dorian Greenbaum</w:t>
            </w:r>
          </w:p>
          <w:p w14:paraId="1D6F0B74" w14:textId="77777777" w:rsidR="00477E8C" w:rsidRPr="00230F35" w:rsidRDefault="00477E8C" w:rsidP="00CA3EA9">
            <w:pPr>
              <w:pStyle w:val="NormalWeb"/>
              <w:spacing w:before="0" w:beforeAutospacing="0" w:after="0" w:afterAutospacing="0"/>
              <w:ind w:right="34"/>
              <w:rPr>
                <w:rFonts w:ascii="Arial" w:hAnsi="Arial" w:cs="Arial"/>
                <w:sz w:val="22"/>
                <w:szCs w:val="22"/>
              </w:rPr>
            </w:pPr>
          </w:p>
          <w:p w14:paraId="4817276C" w14:textId="77777777" w:rsidR="00477E8C" w:rsidRDefault="00477E8C" w:rsidP="00CA3EA9">
            <w:pPr>
              <w:pStyle w:val="NormalWeb"/>
              <w:spacing w:before="0" w:beforeAutospacing="0" w:after="0" w:afterAutospacing="0"/>
              <w:ind w:right="34"/>
              <w:rPr>
                <w:rFonts w:ascii="Arial" w:hAnsi="Arial" w:cs="Arial"/>
                <w:sz w:val="22"/>
                <w:szCs w:val="22"/>
              </w:rPr>
            </w:pPr>
          </w:p>
          <w:p w14:paraId="3B50429C" w14:textId="74A3DFB8" w:rsidR="00477E8C" w:rsidRPr="00230F35" w:rsidRDefault="00477E8C" w:rsidP="00CA3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17/6/19</w:t>
            </w:r>
          </w:p>
        </w:tc>
      </w:tr>
      <w:tr w:rsidR="00477E8C" w:rsidRPr="00230F35" w14:paraId="4242D285" w14:textId="77777777" w:rsidTr="00CA3EA9">
        <w:trPr>
          <w:trHeight w:val="978"/>
        </w:trPr>
        <w:tc>
          <w:tcPr>
            <w:tcW w:w="8856" w:type="dxa"/>
            <w:gridSpan w:val="5"/>
            <w:tcBorders>
              <w:bottom w:val="single" w:sz="4" w:space="0" w:color="000000"/>
            </w:tcBorders>
          </w:tcPr>
          <w:p w14:paraId="68C8B594" w14:textId="77777777" w:rsidR="00477E8C" w:rsidRDefault="00477E8C" w:rsidP="00CA3EA9">
            <w:r>
              <w:t>If your module has multiple submissions please indicate which piece of work this is.</w:t>
            </w:r>
          </w:p>
          <w:p w14:paraId="76EADF4E" w14:textId="77777777" w:rsidR="00477E8C" w:rsidRDefault="00477E8C" w:rsidP="00CA3EA9"/>
          <w:p w14:paraId="2B85ACCC" w14:textId="059C1FA3" w:rsidR="00477E8C" w:rsidRPr="00230F35" w:rsidRDefault="00477E8C" w:rsidP="00CA3EA9">
            <w:r w:rsidRPr="00230F35">
              <w:t>1</w:t>
            </w:r>
            <w:r w:rsidRPr="00230F35">
              <w:rPr>
                <w:vertAlign w:val="superscript"/>
              </w:rPr>
              <w:t xml:space="preserve">st </w:t>
            </w:r>
            <w:r w:rsidRPr="00230F35">
              <w:fldChar w:fldCharType="begin">
                <w:ffData>
                  <w:name w:val="Check13"/>
                  <w:enabled/>
                  <w:calcOnExit w:val="0"/>
                  <w:checkBox>
                    <w:sizeAuto/>
                    <w:default w:val="0"/>
                  </w:checkBox>
                </w:ffData>
              </w:fldChar>
            </w:r>
            <w:bookmarkStart w:id="0" w:name="Check13"/>
            <w:r w:rsidRPr="00230F35">
              <w:instrText xml:space="preserve"> FORMCHECKBOX </w:instrText>
            </w:r>
            <w:r w:rsidR="00A36D51">
              <w:fldChar w:fldCharType="separate"/>
            </w:r>
            <w:r w:rsidRPr="00230F35">
              <w:fldChar w:fldCharType="end"/>
            </w:r>
            <w:bookmarkEnd w:id="0"/>
            <w:r>
              <w:t>X</w:t>
            </w:r>
            <w:r w:rsidRPr="00230F35">
              <w:t xml:space="preserve">    2</w:t>
            </w:r>
            <w:r w:rsidRPr="00230F35">
              <w:rPr>
                <w:vertAlign w:val="superscript"/>
              </w:rPr>
              <w:t>nd</w:t>
            </w:r>
            <w:r w:rsidRPr="00230F35">
              <w:t xml:space="preserve">  </w:t>
            </w:r>
            <w:r w:rsidRPr="00230F35">
              <w:fldChar w:fldCharType="begin">
                <w:ffData>
                  <w:name w:val="Check14"/>
                  <w:enabled/>
                  <w:calcOnExit w:val="0"/>
                  <w:checkBox>
                    <w:sizeAuto/>
                    <w:default w:val="0"/>
                  </w:checkBox>
                </w:ffData>
              </w:fldChar>
            </w:r>
            <w:bookmarkStart w:id="1" w:name="Check14"/>
            <w:r w:rsidRPr="00230F35">
              <w:instrText xml:space="preserve"> FORMCHECKBOX </w:instrText>
            </w:r>
            <w:r w:rsidR="00A36D51">
              <w:fldChar w:fldCharType="separate"/>
            </w:r>
            <w:r w:rsidRPr="00230F35">
              <w:fldChar w:fldCharType="end"/>
            </w:r>
            <w:bookmarkEnd w:id="1"/>
            <w:r w:rsidRPr="00230F35">
              <w:t xml:space="preserve">     3</w:t>
            </w:r>
            <w:r w:rsidRPr="00230F35">
              <w:rPr>
                <w:vertAlign w:val="superscript"/>
              </w:rPr>
              <w:t>rd</w:t>
            </w:r>
            <w:r w:rsidRPr="00230F35">
              <w:t xml:space="preserve">  </w:t>
            </w:r>
            <w:r w:rsidRPr="00230F35">
              <w:fldChar w:fldCharType="begin">
                <w:ffData>
                  <w:name w:val="Check15"/>
                  <w:enabled/>
                  <w:calcOnExit w:val="0"/>
                  <w:checkBox>
                    <w:sizeAuto/>
                    <w:default w:val="0"/>
                  </w:checkBox>
                </w:ffData>
              </w:fldChar>
            </w:r>
            <w:bookmarkStart w:id="2" w:name="Check15"/>
            <w:r w:rsidRPr="00230F35">
              <w:instrText xml:space="preserve"> FORMCHECKBOX </w:instrText>
            </w:r>
            <w:r w:rsidR="00A36D51">
              <w:fldChar w:fldCharType="separate"/>
            </w:r>
            <w:r w:rsidRPr="00230F35">
              <w:fldChar w:fldCharType="end"/>
            </w:r>
            <w:bookmarkEnd w:id="2"/>
            <w:r w:rsidRPr="00230F35">
              <w:t xml:space="preserve">      4</w:t>
            </w:r>
            <w:r w:rsidRPr="00230F35">
              <w:rPr>
                <w:vertAlign w:val="superscript"/>
              </w:rPr>
              <w:t>th</w:t>
            </w:r>
            <w:r w:rsidRPr="00230F35">
              <w:t xml:space="preserve"> </w:t>
            </w:r>
            <w:r w:rsidRPr="00230F35">
              <w:fldChar w:fldCharType="begin">
                <w:ffData>
                  <w:name w:val="Check16"/>
                  <w:enabled/>
                  <w:calcOnExit w:val="0"/>
                  <w:checkBox>
                    <w:sizeAuto/>
                    <w:default w:val="0"/>
                  </w:checkBox>
                </w:ffData>
              </w:fldChar>
            </w:r>
            <w:bookmarkStart w:id="3" w:name="Check16"/>
            <w:r w:rsidRPr="00230F35">
              <w:instrText xml:space="preserve"> FORMCHECKBOX </w:instrText>
            </w:r>
            <w:r w:rsidR="00A36D51">
              <w:fldChar w:fldCharType="separate"/>
            </w:r>
            <w:r w:rsidRPr="00230F35">
              <w:fldChar w:fldCharType="end"/>
            </w:r>
            <w:bookmarkEnd w:id="3"/>
            <w:r w:rsidRPr="00230F35">
              <w:t xml:space="preserve">      5</w:t>
            </w:r>
            <w:r w:rsidRPr="00230F35">
              <w:rPr>
                <w:vertAlign w:val="superscript"/>
              </w:rPr>
              <w:t>th</w:t>
            </w:r>
            <w:r w:rsidRPr="00230F35">
              <w:t xml:space="preserve"> </w:t>
            </w:r>
            <w:r w:rsidRPr="00230F35">
              <w:fldChar w:fldCharType="begin">
                <w:ffData>
                  <w:name w:val="Check17"/>
                  <w:enabled/>
                  <w:calcOnExit w:val="0"/>
                  <w:checkBox>
                    <w:sizeAuto/>
                    <w:default w:val="0"/>
                  </w:checkBox>
                </w:ffData>
              </w:fldChar>
            </w:r>
            <w:bookmarkStart w:id="4" w:name="Check17"/>
            <w:r w:rsidRPr="00230F35">
              <w:instrText xml:space="preserve"> FORMCHECKBOX </w:instrText>
            </w:r>
            <w:r w:rsidR="00A36D51">
              <w:fldChar w:fldCharType="separate"/>
            </w:r>
            <w:r w:rsidRPr="00230F35">
              <w:fldChar w:fldCharType="end"/>
            </w:r>
            <w:bookmarkEnd w:id="4"/>
            <w:r w:rsidRPr="00230F35">
              <w:t xml:space="preserve">      6</w:t>
            </w:r>
            <w:r w:rsidRPr="00230F35">
              <w:rPr>
                <w:vertAlign w:val="superscript"/>
              </w:rPr>
              <w:t>th</w:t>
            </w:r>
            <w:r w:rsidRPr="00230F35">
              <w:t xml:space="preserve"> </w:t>
            </w:r>
            <w:r w:rsidRPr="00230F35">
              <w:fldChar w:fldCharType="begin">
                <w:ffData>
                  <w:name w:val="Check18"/>
                  <w:enabled/>
                  <w:calcOnExit w:val="0"/>
                  <w:checkBox>
                    <w:sizeAuto/>
                    <w:default w:val="0"/>
                  </w:checkBox>
                </w:ffData>
              </w:fldChar>
            </w:r>
            <w:bookmarkStart w:id="5" w:name="Check18"/>
            <w:r w:rsidRPr="00230F35">
              <w:instrText xml:space="preserve"> FORMCHECKBOX </w:instrText>
            </w:r>
            <w:r w:rsidR="00A36D51">
              <w:fldChar w:fldCharType="separate"/>
            </w:r>
            <w:r w:rsidRPr="00230F35">
              <w:fldChar w:fldCharType="end"/>
            </w:r>
            <w:bookmarkEnd w:id="5"/>
          </w:p>
        </w:tc>
      </w:tr>
      <w:tr w:rsidR="00477E8C" w:rsidRPr="00230F35" w14:paraId="4F8E65BA" w14:textId="77777777" w:rsidTr="00CA3EA9">
        <w:trPr>
          <w:trHeight w:val="978"/>
        </w:trPr>
        <w:tc>
          <w:tcPr>
            <w:tcW w:w="8856" w:type="dxa"/>
            <w:gridSpan w:val="5"/>
            <w:shd w:val="clear" w:color="auto" w:fill="D9D9D9"/>
          </w:tcPr>
          <w:p w14:paraId="18930BF0" w14:textId="77777777" w:rsidR="00477E8C" w:rsidRPr="00230F35" w:rsidRDefault="00477E8C" w:rsidP="00CA3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C3DC4F0" w14:textId="77777777" w:rsidR="00477E8C" w:rsidRDefault="00477E8C" w:rsidP="00CA3EA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8B9015B" w14:textId="60487742" w:rsidR="00477E8C" w:rsidRDefault="00477E8C" w:rsidP="00CA3EA9">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7C75D58C" w14:textId="77777777" w:rsidR="00477E8C" w:rsidRPr="00230F35" w:rsidRDefault="00477E8C" w:rsidP="00CA3EA9">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477E8C" w:rsidRPr="00230F35" w14:paraId="299C8BF1" w14:textId="77777777" w:rsidTr="00CA3EA9">
        <w:trPr>
          <w:trHeight w:val="3972"/>
        </w:trPr>
        <w:tc>
          <w:tcPr>
            <w:tcW w:w="8856" w:type="dxa"/>
            <w:gridSpan w:val="5"/>
          </w:tcPr>
          <w:p w14:paraId="24E172CE" w14:textId="77777777" w:rsidR="00477E8C" w:rsidRDefault="00477E8C" w:rsidP="00CA3EA9">
            <w:pPr>
              <w:rPr>
                <w:b/>
              </w:rPr>
            </w:pPr>
          </w:p>
          <w:p w14:paraId="77FE0154" w14:textId="77777777" w:rsidR="00477E8C" w:rsidRPr="00116CE6" w:rsidRDefault="00477E8C" w:rsidP="00CA3EA9">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77E8C" w:rsidRPr="00116CE6" w14:paraId="239243A0" w14:textId="77777777" w:rsidTr="00CA3EA9">
              <w:tc>
                <w:tcPr>
                  <w:tcW w:w="6970" w:type="dxa"/>
                </w:tcPr>
                <w:p w14:paraId="6685F211" w14:textId="77777777" w:rsidR="00477E8C" w:rsidRPr="00116CE6" w:rsidRDefault="00477E8C" w:rsidP="00CA3EA9">
                  <w:pPr>
                    <w:rPr>
                      <w:sz w:val="20"/>
                      <w:szCs w:val="20"/>
                    </w:rPr>
                  </w:pPr>
                </w:p>
                <w:p w14:paraId="3BA46E70" w14:textId="77777777" w:rsidR="00477E8C" w:rsidRPr="00116CE6" w:rsidRDefault="00477E8C" w:rsidP="00CA3EA9">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2E2D869F" w14:textId="77777777" w:rsidR="00477E8C" w:rsidRPr="00116CE6" w:rsidRDefault="00477E8C" w:rsidP="00CA3EA9">
                  <w:pPr>
                    <w:rPr>
                      <w:sz w:val="20"/>
                      <w:szCs w:val="20"/>
                    </w:rPr>
                  </w:pPr>
                </w:p>
              </w:tc>
            </w:tr>
            <w:tr w:rsidR="00477E8C" w:rsidRPr="00116CE6" w14:paraId="74DED758" w14:textId="77777777" w:rsidTr="00CA3EA9">
              <w:tc>
                <w:tcPr>
                  <w:tcW w:w="6970" w:type="dxa"/>
                </w:tcPr>
                <w:p w14:paraId="3D391E00" w14:textId="77777777" w:rsidR="00477E8C" w:rsidRPr="00116CE6" w:rsidRDefault="00477E8C" w:rsidP="00CA3EA9">
                  <w:pPr>
                    <w:rPr>
                      <w:sz w:val="20"/>
                      <w:szCs w:val="20"/>
                    </w:rPr>
                  </w:pPr>
                </w:p>
                <w:p w14:paraId="5340CDC6" w14:textId="77777777" w:rsidR="00477E8C" w:rsidRPr="00116CE6" w:rsidRDefault="00477E8C" w:rsidP="00CA3EA9">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782314B8" w14:textId="77777777" w:rsidR="00477E8C" w:rsidRPr="00116CE6" w:rsidRDefault="00477E8C" w:rsidP="00CA3EA9">
                  <w:pPr>
                    <w:rPr>
                      <w:sz w:val="20"/>
                      <w:szCs w:val="20"/>
                    </w:rPr>
                  </w:pPr>
                </w:p>
              </w:tc>
            </w:tr>
            <w:tr w:rsidR="00477E8C" w:rsidRPr="00116CE6" w14:paraId="465DCB10" w14:textId="77777777" w:rsidTr="00CA3EA9">
              <w:tc>
                <w:tcPr>
                  <w:tcW w:w="6970" w:type="dxa"/>
                </w:tcPr>
                <w:p w14:paraId="23F83897" w14:textId="77777777" w:rsidR="00477E8C" w:rsidRPr="006367FD" w:rsidRDefault="00477E8C" w:rsidP="00CA3EA9">
                  <w:pPr>
                    <w:rPr>
                      <w:color w:val="000000"/>
                      <w:sz w:val="20"/>
                      <w:szCs w:val="20"/>
                    </w:rPr>
                  </w:pPr>
                  <w:r w:rsidRPr="006367FD">
                    <w:rPr>
                      <w:color w:val="000000"/>
                      <w:sz w:val="20"/>
                      <w:szCs w:val="20"/>
                    </w:rPr>
                    <w:t xml:space="preserve">Agreed Internal Mark: </w:t>
                  </w:r>
                </w:p>
                <w:p w14:paraId="049FC8CF" w14:textId="77777777" w:rsidR="00477E8C" w:rsidRPr="00E14D2E" w:rsidRDefault="00477E8C" w:rsidP="00CA3EA9">
                  <w:pPr>
                    <w:rPr>
                      <w:sz w:val="20"/>
                      <w:szCs w:val="20"/>
                      <w:highlight w:val="yellow"/>
                    </w:rPr>
                  </w:pPr>
                </w:p>
              </w:tc>
              <w:tc>
                <w:tcPr>
                  <w:tcW w:w="1660" w:type="dxa"/>
                </w:tcPr>
                <w:p w14:paraId="00E75969" w14:textId="77777777" w:rsidR="00477E8C" w:rsidRPr="00E14D2E" w:rsidRDefault="00477E8C" w:rsidP="00CA3EA9">
                  <w:pPr>
                    <w:rPr>
                      <w:sz w:val="20"/>
                      <w:szCs w:val="20"/>
                      <w:highlight w:val="yellow"/>
                    </w:rPr>
                  </w:pPr>
                </w:p>
              </w:tc>
            </w:tr>
            <w:tr w:rsidR="00477E8C" w:rsidRPr="00116CE6" w14:paraId="3A7B7083" w14:textId="77777777" w:rsidTr="00CA3EA9">
              <w:tc>
                <w:tcPr>
                  <w:tcW w:w="6970" w:type="dxa"/>
                </w:tcPr>
                <w:p w14:paraId="17440E51" w14:textId="77777777" w:rsidR="00477E8C" w:rsidRPr="00116CE6" w:rsidRDefault="00477E8C" w:rsidP="00CA3EA9">
                  <w:pPr>
                    <w:rPr>
                      <w:sz w:val="20"/>
                      <w:szCs w:val="20"/>
                    </w:rPr>
                  </w:pPr>
                </w:p>
                <w:p w14:paraId="28E5EEC7" w14:textId="77777777" w:rsidR="00477E8C" w:rsidRPr="00116CE6" w:rsidRDefault="00477E8C" w:rsidP="00CA3EA9">
                  <w:pPr>
                    <w:rPr>
                      <w:sz w:val="20"/>
                      <w:szCs w:val="20"/>
                    </w:rPr>
                  </w:pPr>
                  <w:r w:rsidRPr="00116CE6">
                    <w:rPr>
                      <w:sz w:val="20"/>
                      <w:szCs w:val="20"/>
                    </w:rPr>
                    <w:t>External Examiner’s mark</w:t>
                  </w:r>
                  <w:r>
                    <w:rPr>
                      <w:sz w:val="20"/>
                      <w:szCs w:val="20"/>
                    </w:rPr>
                    <w:t xml:space="preserve"> (if relevant)</w:t>
                  </w:r>
                </w:p>
              </w:tc>
              <w:tc>
                <w:tcPr>
                  <w:tcW w:w="1660" w:type="dxa"/>
                </w:tcPr>
                <w:p w14:paraId="1806085C" w14:textId="77777777" w:rsidR="00477E8C" w:rsidRPr="00116CE6" w:rsidRDefault="00477E8C" w:rsidP="00CA3EA9">
                  <w:pPr>
                    <w:rPr>
                      <w:sz w:val="20"/>
                      <w:szCs w:val="20"/>
                    </w:rPr>
                  </w:pPr>
                </w:p>
              </w:tc>
            </w:tr>
            <w:tr w:rsidR="00477E8C" w:rsidRPr="00116CE6" w14:paraId="6FEFC86E" w14:textId="77777777" w:rsidTr="00CA3EA9">
              <w:tc>
                <w:tcPr>
                  <w:tcW w:w="6970" w:type="dxa"/>
                </w:tcPr>
                <w:p w14:paraId="2C98292F" w14:textId="77777777" w:rsidR="00477E8C" w:rsidRDefault="00477E8C" w:rsidP="00CA3EA9">
                  <w:pPr>
                    <w:rPr>
                      <w:sz w:val="20"/>
                      <w:szCs w:val="20"/>
                    </w:rPr>
                  </w:pPr>
                </w:p>
                <w:p w14:paraId="6470B083" w14:textId="77777777" w:rsidR="00477E8C" w:rsidRPr="00022345" w:rsidRDefault="00477E8C" w:rsidP="00CA3EA9">
                  <w:pPr>
                    <w:rPr>
                      <w:b/>
                      <w:sz w:val="20"/>
                      <w:szCs w:val="20"/>
                    </w:rPr>
                  </w:pPr>
                  <w:r w:rsidRPr="00022345">
                    <w:rPr>
                      <w:b/>
                      <w:sz w:val="20"/>
                      <w:szCs w:val="20"/>
                    </w:rPr>
                    <w:t>Final Mark</w:t>
                  </w:r>
                </w:p>
                <w:p w14:paraId="52307385" w14:textId="77777777" w:rsidR="00477E8C" w:rsidRPr="00116CE6" w:rsidRDefault="00477E8C" w:rsidP="00CA3EA9">
                  <w:pPr>
                    <w:rPr>
                      <w:sz w:val="20"/>
                      <w:szCs w:val="20"/>
                    </w:rPr>
                  </w:pPr>
                </w:p>
              </w:tc>
              <w:tc>
                <w:tcPr>
                  <w:tcW w:w="1660" w:type="dxa"/>
                </w:tcPr>
                <w:p w14:paraId="27CC9EAB" w14:textId="77777777" w:rsidR="00477E8C" w:rsidRPr="00116CE6" w:rsidRDefault="00477E8C" w:rsidP="00CA3EA9">
                  <w:pPr>
                    <w:rPr>
                      <w:sz w:val="20"/>
                      <w:szCs w:val="20"/>
                    </w:rPr>
                  </w:pPr>
                </w:p>
              </w:tc>
            </w:tr>
          </w:tbl>
          <w:p w14:paraId="5CE91AA5" w14:textId="77777777" w:rsidR="00477E8C" w:rsidRDefault="00477E8C" w:rsidP="00CA3EA9">
            <w:pPr>
              <w:pStyle w:val="NormalWeb"/>
              <w:spacing w:before="0" w:beforeAutospacing="0" w:after="0" w:afterAutospacing="0"/>
              <w:ind w:left="142" w:right="34"/>
              <w:rPr>
                <w:rFonts w:ascii="Arial" w:hAnsi="Arial" w:cs="Arial"/>
                <w:b/>
                <w:sz w:val="22"/>
                <w:szCs w:val="22"/>
              </w:rPr>
            </w:pPr>
          </w:p>
          <w:p w14:paraId="75B0215A" w14:textId="77777777" w:rsidR="00477E8C" w:rsidRPr="00230F35" w:rsidRDefault="00477E8C" w:rsidP="00CA3EA9">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0FC6BBE" w14:textId="77777777" w:rsidR="00477E8C" w:rsidRDefault="00477E8C" w:rsidP="00CA3EA9">
            <w:pPr>
              <w:pStyle w:val="NormalWeb"/>
              <w:spacing w:before="0" w:beforeAutospacing="0" w:after="0" w:afterAutospacing="0"/>
              <w:rPr>
                <w:rFonts w:ascii="Arial" w:hAnsi="Arial" w:cs="Arial"/>
                <w:b/>
                <w:sz w:val="22"/>
                <w:szCs w:val="22"/>
              </w:rPr>
            </w:pPr>
          </w:p>
          <w:p w14:paraId="6EBDF6D1" w14:textId="77777777" w:rsidR="00477E8C" w:rsidRDefault="00477E8C" w:rsidP="00CA3EA9">
            <w:pPr>
              <w:pStyle w:val="NormalWeb"/>
              <w:spacing w:before="0" w:beforeAutospacing="0" w:after="0" w:afterAutospacing="0"/>
              <w:rPr>
                <w:rFonts w:ascii="Arial" w:hAnsi="Arial" w:cs="Arial"/>
                <w:b/>
                <w:sz w:val="22"/>
                <w:szCs w:val="22"/>
              </w:rPr>
            </w:pPr>
          </w:p>
          <w:p w14:paraId="08B2A2DF" w14:textId="77777777" w:rsidR="00477E8C" w:rsidRDefault="00477E8C" w:rsidP="00CA3EA9">
            <w:pPr>
              <w:pStyle w:val="NormalWeb"/>
              <w:spacing w:before="0" w:beforeAutospacing="0" w:after="0" w:afterAutospacing="0"/>
              <w:rPr>
                <w:rFonts w:ascii="Arial" w:hAnsi="Arial" w:cs="Arial"/>
                <w:b/>
                <w:sz w:val="22"/>
                <w:szCs w:val="22"/>
              </w:rPr>
            </w:pPr>
          </w:p>
          <w:p w14:paraId="481EF617" w14:textId="77777777" w:rsidR="00477E8C" w:rsidRDefault="00477E8C" w:rsidP="00CA3EA9">
            <w:pPr>
              <w:pStyle w:val="NormalWeb"/>
              <w:spacing w:before="0" w:beforeAutospacing="0" w:after="0" w:afterAutospacing="0"/>
              <w:rPr>
                <w:rFonts w:ascii="Arial" w:hAnsi="Arial" w:cs="Arial"/>
                <w:b/>
                <w:sz w:val="22"/>
                <w:szCs w:val="22"/>
              </w:rPr>
            </w:pPr>
          </w:p>
          <w:p w14:paraId="66D3A938" w14:textId="77777777" w:rsidR="00477E8C" w:rsidRPr="00230F35" w:rsidRDefault="00477E8C" w:rsidP="00CA3EA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10FB384" w14:textId="77777777" w:rsidR="00477E8C" w:rsidRDefault="00477E8C" w:rsidP="00CA3EA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266B78E" w14:textId="77777777" w:rsidR="00477E8C" w:rsidRPr="00001C3B" w:rsidRDefault="00477E8C" w:rsidP="00CA3EA9">
            <w:pPr>
              <w:pStyle w:val="NormalWeb"/>
              <w:rPr>
                <w:rFonts w:ascii="Arial" w:hAnsi="Arial" w:cs="Arial"/>
                <w:sz w:val="22"/>
                <w:szCs w:val="22"/>
              </w:rPr>
            </w:pPr>
          </w:p>
        </w:tc>
      </w:tr>
      <w:tr w:rsidR="00477E8C" w:rsidRPr="00230F35" w14:paraId="34B38532" w14:textId="77777777" w:rsidTr="00CA3EA9">
        <w:trPr>
          <w:trHeight w:val="492"/>
        </w:trPr>
        <w:tc>
          <w:tcPr>
            <w:tcW w:w="6768" w:type="dxa"/>
            <w:gridSpan w:val="3"/>
          </w:tcPr>
          <w:p w14:paraId="75B16FB8" w14:textId="77777777" w:rsidR="00477E8C" w:rsidRPr="00230F35" w:rsidRDefault="00477E8C" w:rsidP="00CA3EA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317D783" w14:textId="77777777" w:rsidR="00477E8C" w:rsidRPr="00230F35" w:rsidRDefault="00477E8C" w:rsidP="00CA3EA9">
            <w:pPr>
              <w:pStyle w:val="NormalWeb"/>
              <w:spacing w:after="0"/>
              <w:ind w:left="142" w:right="34"/>
              <w:rPr>
                <w:rFonts w:ascii="Arial" w:hAnsi="Arial" w:cs="Arial"/>
                <w:sz w:val="22"/>
                <w:szCs w:val="22"/>
              </w:rPr>
            </w:pPr>
            <w:r w:rsidRPr="00230F35">
              <w:rPr>
                <w:rFonts w:ascii="Arial" w:hAnsi="Arial" w:cs="Arial"/>
                <w:sz w:val="22"/>
                <w:szCs w:val="22"/>
              </w:rPr>
              <w:t>Date:</w:t>
            </w:r>
          </w:p>
        </w:tc>
      </w:tr>
      <w:tr w:rsidR="00477E8C" w:rsidRPr="002F467C" w14:paraId="54B0BA41" w14:textId="77777777" w:rsidTr="00CA3EA9">
        <w:tc>
          <w:tcPr>
            <w:tcW w:w="8856" w:type="dxa"/>
            <w:gridSpan w:val="5"/>
          </w:tcPr>
          <w:p w14:paraId="6609A960" w14:textId="77777777" w:rsidR="00477E8C" w:rsidRPr="00230F35" w:rsidRDefault="00477E8C" w:rsidP="00CA3EA9">
            <w:pPr>
              <w:pStyle w:val="NormalWeb"/>
              <w:spacing w:before="0" w:beforeAutospacing="0" w:after="0" w:afterAutospacing="0"/>
              <w:ind w:right="-334"/>
              <w:rPr>
                <w:rFonts w:ascii="Arial" w:hAnsi="Arial" w:cs="Arial"/>
                <w:bCs/>
                <w:i/>
                <w:sz w:val="22"/>
                <w:szCs w:val="22"/>
              </w:rPr>
            </w:pPr>
          </w:p>
          <w:p w14:paraId="1BB3BC64" w14:textId="77777777" w:rsidR="00477E8C" w:rsidRPr="00230F35" w:rsidRDefault="00477E8C" w:rsidP="00CA3EA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94F0D1C" w14:textId="77777777" w:rsidR="00477E8C" w:rsidRPr="00230F35" w:rsidRDefault="00477E8C" w:rsidP="00CA3EA9">
            <w:pPr>
              <w:pStyle w:val="NormalWeb"/>
              <w:spacing w:before="0" w:beforeAutospacing="0" w:after="0" w:afterAutospacing="0"/>
              <w:ind w:right="-334"/>
              <w:rPr>
                <w:rFonts w:ascii="Arial" w:hAnsi="Arial" w:cs="Arial"/>
                <w:b/>
                <w:bCs/>
                <w:sz w:val="22"/>
                <w:szCs w:val="22"/>
              </w:rPr>
            </w:pPr>
          </w:p>
          <w:p w14:paraId="48B6E1A2" w14:textId="77777777" w:rsidR="00477E8C" w:rsidRPr="00230F35" w:rsidRDefault="00477E8C" w:rsidP="00CA3EA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AFAE45C" w14:textId="77777777" w:rsidR="00477E8C" w:rsidRPr="00230F35" w:rsidRDefault="00477E8C" w:rsidP="00CA3EA9">
            <w:pPr>
              <w:pStyle w:val="NormalWeb"/>
              <w:spacing w:before="0" w:beforeAutospacing="0" w:after="0" w:afterAutospacing="0"/>
              <w:ind w:right="-334"/>
              <w:rPr>
                <w:rFonts w:ascii="Arial" w:hAnsi="Arial" w:cs="Arial"/>
                <w:bCs/>
                <w:sz w:val="22"/>
                <w:szCs w:val="22"/>
              </w:rPr>
            </w:pPr>
          </w:p>
          <w:p w14:paraId="76177576" w14:textId="77777777" w:rsidR="00477E8C" w:rsidRPr="00230F35" w:rsidRDefault="00477E8C" w:rsidP="00CA3EA9">
            <w:pPr>
              <w:pStyle w:val="NormalWeb"/>
              <w:spacing w:before="0" w:beforeAutospacing="0" w:after="0" w:afterAutospacing="0"/>
              <w:ind w:right="-334"/>
              <w:rPr>
                <w:rFonts w:ascii="Arial" w:hAnsi="Arial" w:cs="Arial"/>
                <w:bCs/>
                <w:sz w:val="22"/>
                <w:szCs w:val="22"/>
              </w:rPr>
            </w:pPr>
          </w:p>
          <w:p w14:paraId="7D021A1D" w14:textId="77777777" w:rsidR="00477E8C" w:rsidRPr="00230F35" w:rsidRDefault="00477E8C" w:rsidP="00CA3EA9">
            <w:pPr>
              <w:pStyle w:val="NormalWeb"/>
              <w:spacing w:before="0" w:beforeAutospacing="0" w:after="0" w:afterAutospacing="0"/>
              <w:ind w:right="-334"/>
              <w:rPr>
                <w:rFonts w:ascii="Arial" w:hAnsi="Arial" w:cs="Arial"/>
                <w:bCs/>
                <w:sz w:val="22"/>
                <w:szCs w:val="22"/>
              </w:rPr>
            </w:pPr>
          </w:p>
        </w:tc>
      </w:tr>
      <w:tr w:rsidR="00477E8C" w:rsidRPr="002F467C" w14:paraId="2A7D5693" w14:textId="77777777" w:rsidTr="00CA3EA9">
        <w:trPr>
          <w:trHeight w:val="720"/>
        </w:trPr>
        <w:tc>
          <w:tcPr>
            <w:tcW w:w="5211" w:type="dxa"/>
            <w:gridSpan w:val="2"/>
          </w:tcPr>
          <w:p w14:paraId="1AE622DC" w14:textId="77777777" w:rsidR="00477E8C" w:rsidRPr="00230F35" w:rsidRDefault="00477E8C" w:rsidP="00CA3EA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9D42432" w14:textId="77777777" w:rsidR="00477E8C" w:rsidRPr="00230F35" w:rsidRDefault="00477E8C" w:rsidP="00CA3EA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77E8C" w:rsidRPr="002F467C" w14:paraId="072DF3FB" w14:textId="77777777" w:rsidTr="00CA3EA9">
        <w:trPr>
          <w:trHeight w:val="720"/>
        </w:trPr>
        <w:tc>
          <w:tcPr>
            <w:tcW w:w="8856" w:type="dxa"/>
            <w:gridSpan w:val="5"/>
          </w:tcPr>
          <w:p w14:paraId="256F1906" w14:textId="77777777" w:rsidR="00477E8C" w:rsidRPr="006367FD" w:rsidRDefault="00477E8C" w:rsidP="00CA3EA9">
            <w:pPr>
              <w:rPr>
                <w:b/>
              </w:rPr>
            </w:pPr>
            <w:r w:rsidRPr="006367FD">
              <w:rPr>
                <w:b/>
              </w:rPr>
              <w:t>AGREED INTERNAL MARK (where necessary):</w:t>
            </w:r>
          </w:p>
          <w:p w14:paraId="321FC9EE" w14:textId="77777777" w:rsidR="00477E8C" w:rsidRPr="006367FD" w:rsidRDefault="00477E8C" w:rsidP="00CA3EA9">
            <w:pPr>
              <w:rPr>
                <w:b/>
              </w:rPr>
            </w:pPr>
          </w:p>
          <w:p w14:paraId="089285A2" w14:textId="77777777" w:rsidR="00477E8C" w:rsidRDefault="00477E8C" w:rsidP="00CA3EA9">
            <w:pPr>
              <w:rPr>
                <w:b/>
              </w:rPr>
            </w:pPr>
            <w:r w:rsidRPr="006367FD">
              <w:rPr>
                <w:b/>
              </w:rPr>
              <w:t>Comment on process of arriving at agreed mark:</w:t>
            </w:r>
          </w:p>
          <w:p w14:paraId="781D46FA" w14:textId="77777777" w:rsidR="00477E8C" w:rsidRDefault="00477E8C" w:rsidP="00CA3EA9">
            <w:pPr>
              <w:rPr>
                <w:b/>
              </w:rPr>
            </w:pPr>
          </w:p>
          <w:p w14:paraId="1638EEB1" w14:textId="77777777" w:rsidR="00477E8C" w:rsidRDefault="00477E8C" w:rsidP="00CA3EA9">
            <w:pPr>
              <w:rPr>
                <w:b/>
              </w:rPr>
            </w:pPr>
          </w:p>
          <w:p w14:paraId="2129B82C" w14:textId="77777777" w:rsidR="00477E8C" w:rsidRDefault="00477E8C" w:rsidP="00CA3EA9">
            <w:pPr>
              <w:rPr>
                <w:b/>
              </w:rPr>
            </w:pPr>
          </w:p>
          <w:p w14:paraId="588B287B" w14:textId="77777777" w:rsidR="00477E8C" w:rsidRDefault="00477E8C" w:rsidP="00CA3EA9">
            <w:pPr>
              <w:rPr>
                <w:b/>
              </w:rPr>
            </w:pPr>
          </w:p>
          <w:p w14:paraId="6D9CCEDF" w14:textId="77777777" w:rsidR="00477E8C" w:rsidRDefault="00477E8C" w:rsidP="00CA3EA9">
            <w:pPr>
              <w:rPr>
                <w:b/>
              </w:rPr>
            </w:pPr>
          </w:p>
          <w:p w14:paraId="33B93933" w14:textId="77777777" w:rsidR="00477E8C" w:rsidRDefault="00477E8C" w:rsidP="00CA3EA9">
            <w:pPr>
              <w:rPr>
                <w:b/>
              </w:rPr>
            </w:pPr>
          </w:p>
          <w:p w14:paraId="63D41A7D" w14:textId="77777777" w:rsidR="00477E8C" w:rsidRDefault="00477E8C" w:rsidP="00CA3EA9">
            <w:pPr>
              <w:rPr>
                <w:b/>
              </w:rPr>
            </w:pPr>
          </w:p>
          <w:p w14:paraId="5B0919C1" w14:textId="77777777" w:rsidR="00477E8C" w:rsidRPr="00B34964" w:rsidRDefault="00477E8C" w:rsidP="00CA3EA9">
            <w:pPr>
              <w:rPr>
                <w:b/>
              </w:rPr>
            </w:pPr>
          </w:p>
        </w:tc>
      </w:tr>
      <w:tr w:rsidR="00477E8C" w:rsidRPr="002F467C" w14:paraId="76D4E6A2" w14:textId="77777777" w:rsidTr="00CA3EA9">
        <w:trPr>
          <w:trHeight w:val="720"/>
        </w:trPr>
        <w:tc>
          <w:tcPr>
            <w:tcW w:w="8856" w:type="dxa"/>
            <w:gridSpan w:val="5"/>
          </w:tcPr>
          <w:p w14:paraId="08F5A91F" w14:textId="77777777" w:rsidR="00477E8C" w:rsidRPr="00B34964" w:rsidRDefault="00477E8C" w:rsidP="00CA3EA9">
            <w:pPr>
              <w:rPr>
                <w:b/>
              </w:rPr>
            </w:pPr>
            <w:r w:rsidRPr="00B34964">
              <w:rPr>
                <w:b/>
              </w:rPr>
              <w:lastRenderedPageBreak/>
              <w:t>External Examiner’s comments (if relevant)</w:t>
            </w:r>
          </w:p>
          <w:p w14:paraId="5365C1EF" w14:textId="77777777" w:rsidR="00477E8C" w:rsidRDefault="00477E8C" w:rsidP="00CA3EA9">
            <w:pPr>
              <w:pStyle w:val="NormalWeb"/>
              <w:spacing w:before="0" w:beforeAutospacing="0" w:after="0" w:afterAutospacing="0"/>
              <w:ind w:right="-334"/>
              <w:rPr>
                <w:rFonts w:ascii="Arial" w:hAnsi="Arial" w:cs="Arial"/>
                <w:bCs/>
                <w:sz w:val="22"/>
                <w:szCs w:val="22"/>
              </w:rPr>
            </w:pPr>
          </w:p>
          <w:p w14:paraId="01CDC618" w14:textId="77777777" w:rsidR="00477E8C" w:rsidRDefault="00477E8C" w:rsidP="00CA3EA9">
            <w:pPr>
              <w:pStyle w:val="NormalWeb"/>
              <w:spacing w:before="0" w:beforeAutospacing="0" w:after="0" w:afterAutospacing="0"/>
              <w:ind w:right="-334"/>
              <w:rPr>
                <w:rFonts w:ascii="Arial" w:hAnsi="Arial" w:cs="Arial"/>
                <w:bCs/>
                <w:sz w:val="22"/>
                <w:szCs w:val="22"/>
              </w:rPr>
            </w:pPr>
          </w:p>
          <w:p w14:paraId="4E353925" w14:textId="77777777" w:rsidR="00477E8C" w:rsidRDefault="00477E8C" w:rsidP="00CA3EA9">
            <w:pPr>
              <w:pStyle w:val="NormalWeb"/>
              <w:spacing w:before="0" w:beforeAutospacing="0" w:after="0" w:afterAutospacing="0"/>
              <w:ind w:right="-334"/>
              <w:rPr>
                <w:rFonts w:ascii="Arial" w:hAnsi="Arial" w:cs="Arial"/>
                <w:bCs/>
                <w:sz w:val="22"/>
                <w:szCs w:val="22"/>
              </w:rPr>
            </w:pPr>
          </w:p>
          <w:p w14:paraId="6ADE23A6" w14:textId="77777777" w:rsidR="00477E8C" w:rsidRDefault="00477E8C" w:rsidP="00CA3EA9">
            <w:pPr>
              <w:pStyle w:val="NormalWeb"/>
              <w:spacing w:before="0" w:beforeAutospacing="0" w:after="0" w:afterAutospacing="0"/>
              <w:ind w:right="-334"/>
              <w:rPr>
                <w:rFonts w:ascii="Arial" w:hAnsi="Arial" w:cs="Arial"/>
                <w:bCs/>
                <w:sz w:val="22"/>
                <w:szCs w:val="22"/>
              </w:rPr>
            </w:pPr>
          </w:p>
          <w:p w14:paraId="670A74AA" w14:textId="77777777" w:rsidR="00477E8C" w:rsidRPr="00230F35" w:rsidRDefault="00477E8C" w:rsidP="00CA3EA9">
            <w:pPr>
              <w:pStyle w:val="NormalWeb"/>
              <w:spacing w:before="0" w:beforeAutospacing="0" w:after="0" w:afterAutospacing="0"/>
              <w:ind w:right="-334"/>
              <w:rPr>
                <w:rFonts w:ascii="Arial" w:hAnsi="Arial" w:cs="Arial"/>
                <w:bCs/>
                <w:sz w:val="22"/>
                <w:szCs w:val="22"/>
              </w:rPr>
            </w:pPr>
          </w:p>
          <w:p w14:paraId="172A8430" w14:textId="77777777" w:rsidR="00477E8C" w:rsidRPr="00230F35" w:rsidRDefault="00477E8C" w:rsidP="00CA3EA9">
            <w:pPr>
              <w:pStyle w:val="NormalWeb"/>
              <w:spacing w:before="0" w:beforeAutospacing="0" w:after="0" w:afterAutospacing="0"/>
              <w:ind w:right="-334"/>
              <w:rPr>
                <w:rFonts w:ascii="Arial" w:hAnsi="Arial" w:cs="Arial"/>
                <w:bCs/>
                <w:sz w:val="22"/>
                <w:szCs w:val="22"/>
              </w:rPr>
            </w:pPr>
          </w:p>
          <w:p w14:paraId="551DE487" w14:textId="77777777" w:rsidR="00477E8C" w:rsidRPr="00230F35" w:rsidRDefault="00477E8C" w:rsidP="00CA3EA9">
            <w:pPr>
              <w:pStyle w:val="NormalWeb"/>
              <w:spacing w:before="0" w:beforeAutospacing="0" w:after="0" w:afterAutospacing="0"/>
              <w:ind w:right="-334"/>
              <w:rPr>
                <w:rFonts w:ascii="Arial" w:hAnsi="Arial" w:cs="Arial"/>
                <w:bCs/>
                <w:sz w:val="22"/>
                <w:szCs w:val="22"/>
              </w:rPr>
            </w:pPr>
          </w:p>
        </w:tc>
      </w:tr>
      <w:tr w:rsidR="00477E8C" w:rsidRPr="002F467C" w14:paraId="259AF1EF" w14:textId="77777777" w:rsidTr="00CA3EA9">
        <w:trPr>
          <w:trHeight w:val="720"/>
        </w:trPr>
        <w:tc>
          <w:tcPr>
            <w:tcW w:w="5211" w:type="dxa"/>
            <w:gridSpan w:val="2"/>
          </w:tcPr>
          <w:p w14:paraId="60A0BBA7" w14:textId="77777777" w:rsidR="00477E8C" w:rsidRPr="00230F35" w:rsidRDefault="00477E8C" w:rsidP="00CA3EA9">
            <w:r w:rsidRPr="00230F35">
              <w:t>External Examiner’s Signature:</w:t>
            </w:r>
          </w:p>
        </w:tc>
        <w:tc>
          <w:tcPr>
            <w:tcW w:w="3645" w:type="dxa"/>
            <w:gridSpan w:val="3"/>
          </w:tcPr>
          <w:p w14:paraId="114BD79A" w14:textId="77777777" w:rsidR="00477E8C" w:rsidRPr="00230F35" w:rsidRDefault="00477E8C" w:rsidP="00CA3EA9">
            <w:r w:rsidRPr="00230F35">
              <w:t>Date:</w:t>
            </w:r>
          </w:p>
        </w:tc>
      </w:tr>
    </w:tbl>
    <w:p w14:paraId="44402023" w14:textId="77777777" w:rsidR="00477E8C" w:rsidRPr="00D67BF8" w:rsidRDefault="00477E8C" w:rsidP="00477E8C">
      <w:pPr>
        <w:pStyle w:val="NormalWeb"/>
        <w:spacing w:before="0" w:beforeAutospacing="0" w:after="0" w:afterAutospacing="0"/>
        <w:ind w:right="-334"/>
        <w:rPr>
          <w:rFonts w:ascii="Trebuchet MS" w:hAnsi="Trebuchet MS" w:cs="Tahoma"/>
          <w:bCs/>
        </w:rPr>
      </w:pPr>
    </w:p>
    <w:p w14:paraId="00000001" w14:textId="77777777" w:rsidR="00E3499D" w:rsidRDefault="00701812">
      <w:pPr>
        <w:spacing w:line="480" w:lineRule="auto"/>
        <w:jc w:val="center"/>
        <w:rPr>
          <w:rFonts w:ascii="Times New Roman" w:eastAsia="Times New Roman" w:hAnsi="Times New Roman" w:cs="Times New Roman"/>
          <w:i/>
          <w:sz w:val="24"/>
          <w:szCs w:val="24"/>
          <w:u w:val="single"/>
        </w:rPr>
      </w:pPr>
      <w:r>
        <w:rPr>
          <w:rFonts w:ascii="Times New Roman" w:eastAsia="Times New Roman" w:hAnsi="Times New Roman" w:cs="Times New Roman"/>
          <w:sz w:val="24"/>
          <w:szCs w:val="24"/>
          <w:u w:val="single"/>
        </w:rPr>
        <w:t xml:space="preserve">A critical review of Cicero’s arguments against divination in </w:t>
      </w:r>
      <w:r>
        <w:rPr>
          <w:rFonts w:ascii="Times New Roman" w:eastAsia="Times New Roman" w:hAnsi="Times New Roman" w:cs="Times New Roman"/>
          <w:i/>
          <w:sz w:val="24"/>
          <w:szCs w:val="24"/>
          <w:u w:val="single"/>
        </w:rPr>
        <w:t xml:space="preserve">De </w:t>
      </w:r>
      <w:proofErr w:type="spellStart"/>
      <w:r>
        <w:rPr>
          <w:rFonts w:ascii="Times New Roman" w:eastAsia="Times New Roman" w:hAnsi="Times New Roman" w:cs="Times New Roman"/>
          <w:i/>
          <w:sz w:val="24"/>
          <w:szCs w:val="24"/>
          <w:u w:val="single"/>
        </w:rPr>
        <w:t>divinatione</w:t>
      </w:r>
      <w:proofErr w:type="spellEnd"/>
    </w:p>
    <w:p w14:paraId="00000002" w14:textId="2938E2BC" w:rsidR="00E3499D"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essay critically reviews Marcus Tullius Cicero’s work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divinatione</w:t>
      </w:r>
      <w:proofErr w:type="spellEnd"/>
      <w:r>
        <w:rPr>
          <w:rFonts w:ascii="Times New Roman" w:eastAsia="Times New Roman" w:hAnsi="Times New Roman" w:cs="Times New Roman"/>
          <w:i/>
          <w:sz w:val="24"/>
          <w:szCs w:val="24"/>
        </w:rPr>
        <w:t>.</w:t>
      </w:r>
      <w:r>
        <w:rPr>
          <w:rFonts w:ascii="Times New Roman" w:eastAsia="Times New Roman" w:hAnsi="Times New Roman" w:cs="Times New Roman"/>
          <w:i/>
          <w:sz w:val="24"/>
          <w:szCs w:val="24"/>
          <w:vertAlign w:val="superscript"/>
        </w:rPr>
        <w:footnoteReference w:id="1"/>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This work was written between 45-44 BC, towards the end of the Roman Republic, and formed part of a trilogy on religion and theology, comprising of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natura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deorum</w:t>
      </w:r>
      <w:proofErr w:type="spellEnd"/>
      <w:r>
        <w:rPr>
          <w:rFonts w:ascii="Times New Roman" w:eastAsia="Times New Roman" w:hAnsi="Times New Roman" w:cs="Times New Roman"/>
          <w:sz w:val="24"/>
          <w:szCs w:val="24"/>
        </w:rPr>
        <w:t xml:space="preserve">, which was a treatise on the role of the gods,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divinatione</w:t>
      </w:r>
      <w:proofErr w:type="spellEnd"/>
      <w:r>
        <w:rPr>
          <w:rFonts w:ascii="Times New Roman" w:eastAsia="Times New Roman" w:hAnsi="Times New Roman" w:cs="Times New Roman"/>
          <w:sz w:val="24"/>
          <w:szCs w:val="24"/>
        </w:rPr>
        <w:t xml:space="preserve">, a treatise on divination, and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fato</w:t>
      </w:r>
      <w:proofErr w:type="spellEnd"/>
      <w:r>
        <w:rPr>
          <w:rFonts w:ascii="Times New Roman" w:eastAsia="Times New Roman" w:hAnsi="Times New Roman" w:cs="Times New Roman"/>
          <w:sz w:val="24"/>
          <w:szCs w:val="24"/>
        </w:rPr>
        <w:t xml:space="preserve">, a treatise on fate and its effect on human affairs, which survives only in part. All three are in the form of philosophical dialogues, where two or more characters within the dialogue discuss various aspects of the focus of the work. In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divinatione</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the dialogue is between the </w:t>
      </w:r>
      <w:r w:rsidR="006702F6">
        <w:rPr>
          <w:rFonts w:ascii="Times New Roman" w:eastAsia="Times New Roman" w:hAnsi="Times New Roman" w:cs="Times New Roman"/>
          <w:sz w:val="24"/>
          <w:szCs w:val="24"/>
        </w:rPr>
        <w:t>characters</w:t>
      </w:r>
      <w:r>
        <w:rPr>
          <w:rFonts w:ascii="Times New Roman" w:eastAsia="Times New Roman" w:hAnsi="Times New Roman" w:cs="Times New Roman"/>
          <w:sz w:val="24"/>
          <w:szCs w:val="24"/>
        </w:rPr>
        <w:t xml:space="preserve"> of Quintus Cicero, who dominates Book 1, the argument for the existence of divination, and Marcus Cicero, who dominates Book 2, who refutes Quintus’ arguments. These two characters should not be confused with the real life brothers of the same name, as it was common in Cicero’s works to use real living people as characters in his dialogues, and, as Santangelo says, was a great </w:t>
      </w:r>
      <w:proofErr w:type="spellStart"/>
      <w:r>
        <w:rPr>
          <w:rFonts w:ascii="Times New Roman" w:eastAsia="Times New Roman" w:hAnsi="Times New Roman" w:cs="Times New Roman"/>
          <w:sz w:val="24"/>
          <w:szCs w:val="24"/>
        </w:rPr>
        <w:t>honour</w:t>
      </w:r>
      <w:proofErr w:type="spellEnd"/>
      <w:r>
        <w:rPr>
          <w:rFonts w:ascii="Times New Roman" w:eastAsia="Times New Roman" w:hAnsi="Times New Roman" w:cs="Times New Roman"/>
          <w:sz w:val="24"/>
          <w:szCs w:val="24"/>
        </w:rPr>
        <w:t xml:space="preserve"> among the Roman intellectual elite.</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This Roman intellectual elite were also likely the audience for the work, as they were the ones with the education to understand the many references to poetry, history, and the philosophical views put forward by Quintus and Marcus. They would also have understood the method that Cicero is using </w:t>
      </w:r>
      <w:r>
        <w:rPr>
          <w:rFonts w:ascii="Times New Roman" w:eastAsia="Times New Roman" w:hAnsi="Times New Roman" w:cs="Times New Roman"/>
          <w:sz w:val="24"/>
          <w:szCs w:val="24"/>
        </w:rPr>
        <w:lastRenderedPageBreak/>
        <w:t>here, as the dialogue using two opposing views is typical of the Academic school of philosophy, used first by Plato in his teaching in the early fourth century BC.</w:t>
      </w:r>
    </w:p>
    <w:p w14:paraId="00000003" w14:textId="77777777" w:rsidR="00E3499D"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books of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divinatione</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are structured in a similar way. Both have a prologue, written in the voice of Cicero rather than the character of Marcus, and both are dominated by a single character putting forward their own point of view, though Book 2 does have a conclusion again written in the voice of Cicero. The opening of Book 1 outlines the different types of divination and the different peoples that have used it, e.g. astrology used by the Assyrians and the Chaldeans, oracles through inspiration by the Greeks. He also discusses the methods used specifically by the Romans, including augury, haruspicy, dreams, and again, oracles by inspiration, such as the Sibylline books, before naming various philosophers and their opinions on divination, noting that the Stoic school in particular defend all types of divination.</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In 1.4, Cicero lays out his agenda, to compare the arguments for and against, as he did in the previous work in the trilogy,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natura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deorum</w:t>
      </w:r>
      <w:proofErr w:type="spellEnd"/>
      <w:r>
        <w:rPr>
          <w:rFonts w:ascii="Times New Roman" w:eastAsia="Times New Roman" w:hAnsi="Times New Roman" w:cs="Times New Roman"/>
          <w:sz w:val="24"/>
          <w:szCs w:val="24"/>
        </w:rPr>
        <w:t>. This is followed by Quintus’ argument, which comes from the premise that the gods exist, they are concerned about humans and want to look after them, and therefore divination exists in order for the gods to do this.</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He goes on to say that he will look at the result rather than the causes, as this is proof enough to him that divination exists, and looking into the causes is not necessary.</w:t>
      </w:r>
      <w:r>
        <w:rPr>
          <w:rFonts w:ascii="Times New Roman" w:eastAsia="Times New Roman" w:hAnsi="Times New Roman" w:cs="Times New Roman"/>
          <w:sz w:val="24"/>
          <w:szCs w:val="24"/>
          <w:vertAlign w:val="superscript"/>
        </w:rPr>
        <w:footnoteReference w:id="5"/>
      </w:r>
    </w:p>
    <w:p w14:paraId="00000004" w14:textId="77777777" w:rsidR="00E3499D"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Briefly, what follows in Book 1 are many, many examples where different types of divination have apparently foreseen the future. Quintus, following a largely Stoic philosophy, discusses all the different types of divination as described above, outlining two categories of divination, those that are an art, using observation and deduction (e.g. augury, haruspicy), and other types, such as dreaming and inspiration.</w:t>
      </w:r>
      <w:r>
        <w:rPr>
          <w:rFonts w:ascii="Times New Roman" w:eastAsia="Times New Roman" w:hAnsi="Times New Roman" w:cs="Times New Roman"/>
          <w:sz w:val="24"/>
          <w:szCs w:val="24"/>
          <w:vertAlign w:val="superscript"/>
        </w:rPr>
        <w:footnoteReference w:id="6"/>
      </w:r>
      <w:r>
        <w:rPr>
          <w:rFonts w:ascii="Times New Roman" w:eastAsia="Times New Roman" w:hAnsi="Times New Roman" w:cs="Times New Roman"/>
          <w:sz w:val="24"/>
          <w:szCs w:val="24"/>
        </w:rPr>
        <w:t xml:space="preserve"> He does this through anecdotes regarding people he knows, as well as </w:t>
      </w:r>
      <w:r>
        <w:rPr>
          <w:rFonts w:ascii="Times New Roman" w:eastAsia="Times New Roman" w:hAnsi="Times New Roman" w:cs="Times New Roman"/>
          <w:sz w:val="24"/>
          <w:szCs w:val="24"/>
        </w:rPr>
        <w:lastRenderedPageBreak/>
        <w:t>concerning famous people, but also using examples from philosophers, and even Homeric and Roman poetry. Perhaps the most interesting examples he describes are from the life and works of Cicero himself, who, as an augur, has used augury while in office,</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xml:space="preserve"> and even claimed to have had a prophetic dream about the statesman Marius while banished from Rome.</w:t>
      </w:r>
      <w:r>
        <w:rPr>
          <w:rFonts w:ascii="Times New Roman" w:eastAsia="Times New Roman" w:hAnsi="Times New Roman" w:cs="Times New Roman"/>
          <w:sz w:val="24"/>
          <w:szCs w:val="24"/>
          <w:vertAlign w:val="superscript"/>
        </w:rPr>
        <w:footnoteReference w:id="8"/>
      </w:r>
      <w:r>
        <w:rPr>
          <w:rFonts w:ascii="Times New Roman" w:eastAsia="Times New Roman" w:hAnsi="Times New Roman" w:cs="Times New Roman"/>
          <w:sz w:val="24"/>
          <w:szCs w:val="24"/>
        </w:rPr>
        <w:t xml:space="preserve"> This is something that Marcus will then have to deal with in Book 2.</w:t>
      </w:r>
    </w:p>
    <w:p w14:paraId="00000005" w14:textId="77777777" w:rsidR="00E3499D"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Book 2, then, deals with the arguments against divination, with Marcus taking the examples Quintus uses in order to deny the existence of divination. However, to begin, Cicero outlines a series of his works, described by Santangelo as a </w:t>
      </w:r>
      <w:r>
        <w:rPr>
          <w:rFonts w:ascii="Times New Roman" w:eastAsia="Times New Roman" w:hAnsi="Times New Roman" w:cs="Times New Roman"/>
          <w:i/>
          <w:sz w:val="24"/>
          <w:szCs w:val="24"/>
        </w:rPr>
        <w:t>catalogue raisonné</w:t>
      </w:r>
      <w:r>
        <w:rPr>
          <w:rFonts w:ascii="Times New Roman" w:eastAsia="Times New Roman" w:hAnsi="Times New Roman" w:cs="Times New Roman"/>
          <w:sz w:val="24"/>
          <w:szCs w:val="24"/>
        </w:rPr>
        <w:t xml:space="preserve"> that makes clear that the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divinatione</w:t>
      </w:r>
      <w:proofErr w:type="spellEnd"/>
      <w:r>
        <w:rPr>
          <w:rFonts w:ascii="Times New Roman" w:eastAsia="Times New Roman" w:hAnsi="Times New Roman" w:cs="Times New Roman"/>
          <w:sz w:val="24"/>
          <w:szCs w:val="24"/>
        </w:rPr>
        <w:t xml:space="preserve"> has the same concerns as the rest of Cicero’s philosophical output,</w:t>
      </w:r>
      <w:r>
        <w:rPr>
          <w:rFonts w:ascii="Times New Roman" w:eastAsia="Times New Roman" w:hAnsi="Times New Roman" w:cs="Times New Roman"/>
          <w:sz w:val="24"/>
          <w:szCs w:val="24"/>
          <w:vertAlign w:val="superscript"/>
        </w:rPr>
        <w:footnoteReference w:id="9"/>
      </w:r>
      <w:r>
        <w:rPr>
          <w:rFonts w:ascii="Times New Roman" w:eastAsia="Times New Roman" w:hAnsi="Times New Roman" w:cs="Times New Roman"/>
          <w:sz w:val="24"/>
          <w:szCs w:val="24"/>
        </w:rPr>
        <w:t xml:space="preserve"> namely to serve the State and give comfort and guidance, as he sees the State in grave condition.</w:t>
      </w:r>
      <w:r>
        <w:rPr>
          <w:rFonts w:ascii="Times New Roman" w:eastAsia="Times New Roman" w:hAnsi="Times New Roman" w:cs="Times New Roman"/>
          <w:sz w:val="24"/>
          <w:szCs w:val="24"/>
          <w:vertAlign w:val="superscript"/>
        </w:rPr>
        <w:footnoteReference w:id="10"/>
      </w:r>
      <w:r>
        <w:rPr>
          <w:rFonts w:ascii="Times New Roman" w:eastAsia="Times New Roman" w:hAnsi="Times New Roman" w:cs="Times New Roman"/>
          <w:sz w:val="24"/>
          <w:szCs w:val="24"/>
        </w:rPr>
        <w:t xml:space="preserve"> Schofield says that the case for divination in Book 1 has mostly rested on experience, while Marcus’ case in Book 2 against relies on reason,</w:t>
      </w:r>
      <w:r>
        <w:rPr>
          <w:rFonts w:ascii="Times New Roman" w:eastAsia="Times New Roman" w:hAnsi="Times New Roman" w:cs="Times New Roman"/>
          <w:sz w:val="24"/>
          <w:szCs w:val="24"/>
          <w:vertAlign w:val="superscript"/>
        </w:rPr>
        <w:footnoteReference w:id="11"/>
      </w:r>
      <w:r>
        <w:rPr>
          <w:rFonts w:ascii="Times New Roman" w:eastAsia="Times New Roman" w:hAnsi="Times New Roman" w:cs="Times New Roman"/>
          <w:sz w:val="24"/>
          <w:szCs w:val="24"/>
        </w:rPr>
        <w:t xml:space="preserve"> as he systematically, for the most part, uses Quintus’ own examples against him, therefore, as Fox says, subjecting the same anecdotes to two very different interpretations.</w:t>
      </w:r>
      <w:r>
        <w:rPr>
          <w:rFonts w:ascii="Times New Roman" w:eastAsia="Times New Roman" w:hAnsi="Times New Roman" w:cs="Times New Roman"/>
          <w:sz w:val="24"/>
          <w:szCs w:val="24"/>
          <w:vertAlign w:val="superscript"/>
        </w:rPr>
        <w:footnoteReference w:id="12"/>
      </w:r>
      <w:r>
        <w:rPr>
          <w:rFonts w:ascii="Times New Roman" w:eastAsia="Times New Roman" w:hAnsi="Times New Roman" w:cs="Times New Roman"/>
          <w:sz w:val="24"/>
          <w:szCs w:val="24"/>
        </w:rPr>
        <w:t xml:space="preserve"> He dismisses Quintus’ definition of divination as the foreknowledge and foretelling of things which happen by chance, by saying if events happen by chance, then they cannot be foreseen, even by the gods, but if they can be foreseen, then there is no such thing as chance,</w:t>
      </w:r>
      <w:r>
        <w:rPr>
          <w:rFonts w:ascii="Times New Roman" w:eastAsia="Times New Roman" w:hAnsi="Times New Roman" w:cs="Times New Roman"/>
          <w:sz w:val="24"/>
          <w:szCs w:val="24"/>
          <w:vertAlign w:val="superscript"/>
        </w:rPr>
        <w:footnoteReference w:id="13"/>
      </w:r>
      <w:r>
        <w:rPr>
          <w:rFonts w:ascii="Times New Roman" w:eastAsia="Times New Roman" w:hAnsi="Times New Roman" w:cs="Times New Roman"/>
          <w:sz w:val="24"/>
          <w:szCs w:val="24"/>
        </w:rPr>
        <w:t xml:space="preserve"> highlighting that Quintus’ definition has not been sufficient in this case, and does not really make sense, taking a typically Academic and </w:t>
      </w:r>
      <w:proofErr w:type="spellStart"/>
      <w:r>
        <w:rPr>
          <w:rFonts w:ascii="Times New Roman" w:eastAsia="Times New Roman" w:hAnsi="Times New Roman" w:cs="Times New Roman"/>
          <w:sz w:val="24"/>
          <w:szCs w:val="24"/>
        </w:rPr>
        <w:t>sceptical</w:t>
      </w:r>
      <w:proofErr w:type="spellEnd"/>
      <w:r>
        <w:rPr>
          <w:rFonts w:ascii="Times New Roman" w:eastAsia="Times New Roman" w:hAnsi="Times New Roman" w:cs="Times New Roman"/>
          <w:sz w:val="24"/>
          <w:szCs w:val="24"/>
        </w:rPr>
        <w:t xml:space="preserve"> view of the subject from the start.</w:t>
      </w:r>
    </w:p>
    <w:p w14:paraId="00000006" w14:textId="77777777" w:rsidR="00E3499D"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Other strong criticisms include his argument against haruspicy, that a change in the body of the sacrificial animal takes place as the animal is sacrificed,</w:t>
      </w:r>
      <w:r>
        <w:rPr>
          <w:rFonts w:ascii="Times New Roman" w:eastAsia="Times New Roman" w:hAnsi="Times New Roman" w:cs="Times New Roman"/>
          <w:sz w:val="24"/>
          <w:szCs w:val="24"/>
          <w:vertAlign w:val="superscript"/>
        </w:rPr>
        <w:footnoteReference w:id="14"/>
      </w:r>
      <w:r>
        <w:rPr>
          <w:rFonts w:ascii="Times New Roman" w:eastAsia="Times New Roman" w:hAnsi="Times New Roman" w:cs="Times New Roman"/>
          <w:sz w:val="24"/>
          <w:szCs w:val="24"/>
        </w:rPr>
        <w:t xml:space="preserve"> or that a bull’s heart can disappear,</w:t>
      </w:r>
      <w:r>
        <w:rPr>
          <w:rFonts w:ascii="Times New Roman" w:eastAsia="Times New Roman" w:hAnsi="Times New Roman" w:cs="Times New Roman"/>
          <w:sz w:val="24"/>
          <w:szCs w:val="24"/>
          <w:vertAlign w:val="superscript"/>
        </w:rPr>
        <w:footnoteReference w:id="15"/>
      </w:r>
      <w:r>
        <w:rPr>
          <w:rFonts w:ascii="Times New Roman" w:eastAsia="Times New Roman" w:hAnsi="Times New Roman" w:cs="Times New Roman"/>
          <w:sz w:val="24"/>
          <w:szCs w:val="24"/>
        </w:rPr>
        <w:t xml:space="preserve"> is impossible and against known physiology is a valid argument, although by using it Marcus does deny the power of the gods to do what they like. His criticism of dreams, too, is quite straightforward, that they are often unclear, easily forgotten, and it is impossible to discern the prophetic ones from the ordinary ones.</w:t>
      </w:r>
      <w:r>
        <w:rPr>
          <w:rFonts w:ascii="Times New Roman" w:eastAsia="Times New Roman" w:hAnsi="Times New Roman" w:cs="Times New Roman"/>
          <w:sz w:val="24"/>
          <w:szCs w:val="24"/>
          <w:vertAlign w:val="superscript"/>
        </w:rPr>
        <w:footnoteReference w:id="16"/>
      </w:r>
      <w:r>
        <w:rPr>
          <w:rFonts w:ascii="Times New Roman" w:eastAsia="Times New Roman" w:hAnsi="Times New Roman" w:cs="Times New Roman"/>
          <w:sz w:val="24"/>
          <w:szCs w:val="24"/>
        </w:rPr>
        <w:t xml:space="preserve"> He also points out that it is common to dream about something that one is worried about, and points to his own so-called prophetic dream that Quintus had highlighted in Book 1, stating that he had dreamed of the statesman Marius because he had been thinking about him,</w:t>
      </w:r>
      <w:r>
        <w:rPr>
          <w:rFonts w:ascii="Times New Roman" w:eastAsia="Times New Roman" w:hAnsi="Times New Roman" w:cs="Times New Roman"/>
          <w:sz w:val="24"/>
          <w:szCs w:val="24"/>
          <w:vertAlign w:val="superscript"/>
        </w:rPr>
        <w:footnoteReference w:id="17"/>
      </w:r>
      <w:r>
        <w:rPr>
          <w:rFonts w:ascii="Times New Roman" w:eastAsia="Times New Roman" w:hAnsi="Times New Roman" w:cs="Times New Roman"/>
          <w:sz w:val="24"/>
          <w:szCs w:val="24"/>
        </w:rPr>
        <w:t xml:space="preserve"> and had never had another apparently prophetic dream.</w:t>
      </w:r>
      <w:r>
        <w:rPr>
          <w:rFonts w:ascii="Times New Roman" w:eastAsia="Times New Roman" w:hAnsi="Times New Roman" w:cs="Times New Roman"/>
          <w:sz w:val="24"/>
          <w:szCs w:val="24"/>
          <w:vertAlign w:val="superscript"/>
        </w:rPr>
        <w:footnoteReference w:id="18"/>
      </w:r>
      <w:r>
        <w:rPr>
          <w:rFonts w:ascii="Times New Roman" w:eastAsia="Times New Roman" w:hAnsi="Times New Roman" w:cs="Times New Roman"/>
          <w:sz w:val="24"/>
          <w:szCs w:val="24"/>
        </w:rPr>
        <w:t xml:space="preserve"> This links with his slightly earlier point that dreams need an interpreter, and interpreters can contradict one another and therefore true interpreters do not exist.</w:t>
      </w:r>
      <w:r>
        <w:rPr>
          <w:rFonts w:ascii="Times New Roman" w:eastAsia="Times New Roman" w:hAnsi="Times New Roman" w:cs="Times New Roman"/>
          <w:sz w:val="24"/>
          <w:szCs w:val="24"/>
          <w:vertAlign w:val="superscript"/>
        </w:rPr>
        <w:footnoteReference w:id="19"/>
      </w:r>
      <w:r>
        <w:rPr>
          <w:rFonts w:ascii="Times New Roman" w:eastAsia="Times New Roman" w:hAnsi="Times New Roman" w:cs="Times New Roman"/>
          <w:sz w:val="24"/>
          <w:szCs w:val="24"/>
        </w:rPr>
        <w:t xml:space="preserve"> A similar argument is used earlier in Book 2 regarding the interpretation of signs and portents, that because the interpretation relies on conjecture, they can be interpreted in contradictory ways,</w:t>
      </w:r>
      <w:r>
        <w:rPr>
          <w:rFonts w:ascii="Times New Roman" w:eastAsia="Times New Roman" w:hAnsi="Times New Roman" w:cs="Times New Roman"/>
          <w:sz w:val="24"/>
          <w:szCs w:val="24"/>
          <w:vertAlign w:val="superscript"/>
        </w:rPr>
        <w:footnoteReference w:id="20"/>
      </w:r>
      <w:r>
        <w:rPr>
          <w:rFonts w:ascii="Times New Roman" w:eastAsia="Times New Roman" w:hAnsi="Times New Roman" w:cs="Times New Roman"/>
          <w:sz w:val="24"/>
          <w:szCs w:val="24"/>
        </w:rPr>
        <w:t xml:space="preserve">  or that soothsayers predictions often don’t even come true.</w:t>
      </w:r>
      <w:r>
        <w:rPr>
          <w:rFonts w:ascii="Times New Roman" w:eastAsia="Times New Roman" w:hAnsi="Times New Roman" w:cs="Times New Roman"/>
          <w:sz w:val="24"/>
          <w:szCs w:val="24"/>
          <w:vertAlign w:val="superscript"/>
        </w:rPr>
        <w:footnoteReference w:id="21"/>
      </w:r>
      <w:r>
        <w:rPr>
          <w:rFonts w:ascii="Times New Roman" w:eastAsia="Times New Roman" w:hAnsi="Times New Roman" w:cs="Times New Roman"/>
          <w:sz w:val="24"/>
          <w:szCs w:val="24"/>
        </w:rPr>
        <w:t xml:space="preserve"> Here his arguments are fairly rational, although he is partially blaming the quality of the interpreter, rather than the potential prophetic event.</w:t>
      </w:r>
    </w:p>
    <w:p w14:paraId="00000007" w14:textId="77777777" w:rsidR="00E3499D"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there are areas where his arguments are not so strong. Part of his refutation of divination in Book 2 does involve ridicule and dismissal rather than reason. For example, he ridicules the idea that gods send humans dreams, seeming to laugh at the idea that “gods flit about the beds of </w:t>
      </w:r>
      <w:r>
        <w:rPr>
          <w:rFonts w:ascii="Times New Roman" w:eastAsia="Times New Roman" w:hAnsi="Times New Roman" w:cs="Times New Roman"/>
          <w:sz w:val="24"/>
          <w:szCs w:val="24"/>
        </w:rPr>
        <w:lastRenderedPageBreak/>
        <w:t>mortals, throwing them dreams.”</w:t>
      </w:r>
      <w:r>
        <w:rPr>
          <w:rFonts w:ascii="Times New Roman" w:eastAsia="Times New Roman" w:hAnsi="Times New Roman" w:cs="Times New Roman"/>
          <w:sz w:val="24"/>
          <w:szCs w:val="24"/>
          <w:vertAlign w:val="superscript"/>
        </w:rPr>
        <w:footnoteReference w:id="22"/>
      </w:r>
      <w:r>
        <w:rPr>
          <w:rFonts w:ascii="Times New Roman" w:eastAsia="Times New Roman" w:hAnsi="Times New Roman" w:cs="Times New Roman"/>
          <w:sz w:val="24"/>
          <w:szCs w:val="24"/>
        </w:rPr>
        <w:t xml:space="preserve"> He also describes astrology as madness.</w:t>
      </w:r>
      <w:r>
        <w:rPr>
          <w:rFonts w:ascii="Times New Roman" w:eastAsia="Times New Roman" w:hAnsi="Times New Roman" w:cs="Times New Roman"/>
          <w:sz w:val="24"/>
          <w:szCs w:val="24"/>
          <w:vertAlign w:val="superscript"/>
        </w:rPr>
        <w:footnoteReference w:id="23"/>
      </w:r>
      <w:r>
        <w:rPr>
          <w:rFonts w:ascii="Times New Roman" w:eastAsia="Times New Roman" w:hAnsi="Times New Roman" w:cs="Times New Roman"/>
          <w:sz w:val="24"/>
          <w:szCs w:val="24"/>
        </w:rPr>
        <w:t>This type of criticism is undoubtedly a weak,  reflexive argument, and somewhat unnecessary, and without support would be easy to set aside as it is without basis in logic.</w:t>
      </w:r>
    </w:p>
    <w:p w14:paraId="00000008" w14:textId="6D80A50D" w:rsidR="00E3499D"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potentially weak argument regards his treatment of augury. He appears disgusted with the way this can be manipulated, giving the example of the augural ritual with chickens, where it is a good omen if grain falls from their mouths, and that this can be manipulated by the </w:t>
      </w:r>
      <w:proofErr w:type="spellStart"/>
      <w:r>
        <w:rPr>
          <w:rFonts w:ascii="Times New Roman" w:eastAsia="Times New Roman" w:hAnsi="Times New Roman" w:cs="Times New Roman"/>
          <w:sz w:val="24"/>
          <w:szCs w:val="24"/>
        </w:rPr>
        <w:t>po</w:t>
      </w:r>
      <w:r w:rsidR="00A36D51">
        <w:rPr>
          <w:rFonts w:ascii="Times New Roman" w:eastAsia="Times New Roman" w:hAnsi="Times New Roman" w:cs="Times New Roman"/>
          <w:sz w:val="24"/>
          <w:szCs w:val="24"/>
        </w:rPr>
        <w:t>u</w:t>
      </w:r>
      <w:r>
        <w:rPr>
          <w:rFonts w:ascii="Times New Roman" w:eastAsia="Times New Roman" w:hAnsi="Times New Roman" w:cs="Times New Roman"/>
          <w:sz w:val="24"/>
          <w:szCs w:val="24"/>
        </w:rPr>
        <w:t>lterer</w:t>
      </w:r>
      <w:proofErr w:type="spellEnd"/>
      <w:r>
        <w:rPr>
          <w:rFonts w:ascii="Times New Roman" w:eastAsia="Times New Roman" w:hAnsi="Times New Roman" w:cs="Times New Roman"/>
          <w:sz w:val="24"/>
          <w:szCs w:val="24"/>
        </w:rPr>
        <w:t xml:space="preserve"> starving the chickens beforehand.</w:t>
      </w:r>
      <w:r>
        <w:rPr>
          <w:rFonts w:ascii="Times New Roman" w:eastAsia="Times New Roman" w:hAnsi="Times New Roman" w:cs="Times New Roman"/>
          <w:sz w:val="24"/>
          <w:szCs w:val="24"/>
          <w:vertAlign w:val="superscript"/>
        </w:rPr>
        <w:footnoteReference w:id="24"/>
      </w:r>
      <w:r>
        <w:rPr>
          <w:rFonts w:ascii="Times New Roman" w:eastAsia="Times New Roman" w:hAnsi="Times New Roman" w:cs="Times New Roman"/>
          <w:sz w:val="24"/>
          <w:szCs w:val="24"/>
        </w:rPr>
        <w:t xml:space="preserve"> He also states that there is no uniformity or consistency among augurs.</w:t>
      </w:r>
      <w:r>
        <w:rPr>
          <w:rFonts w:ascii="Times New Roman" w:eastAsia="Times New Roman" w:hAnsi="Times New Roman" w:cs="Times New Roman"/>
          <w:sz w:val="24"/>
          <w:szCs w:val="24"/>
          <w:vertAlign w:val="superscript"/>
        </w:rPr>
        <w:footnoteReference w:id="25"/>
      </w:r>
      <w:r>
        <w:rPr>
          <w:rFonts w:ascii="Times New Roman" w:eastAsia="Times New Roman" w:hAnsi="Times New Roman" w:cs="Times New Roman"/>
          <w:sz w:val="24"/>
          <w:szCs w:val="24"/>
        </w:rPr>
        <w:t xml:space="preserve"> However, he has earlier stated that augury should be maintained as it is part of the established Roman religion and therefore deserves respect.</w:t>
      </w:r>
      <w:r>
        <w:rPr>
          <w:rFonts w:ascii="Times New Roman" w:eastAsia="Times New Roman" w:hAnsi="Times New Roman" w:cs="Times New Roman"/>
          <w:sz w:val="24"/>
          <w:szCs w:val="24"/>
          <w:vertAlign w:val="superscript"/>
        </w:rPr>
        <w:footnoteReference w:id="26"/>
      </w:r>
      <w:r>
        <w:rPr>
          <w:rFonts w:ascii="Times New Roman" w:eastAsia="Times New Roman" w:hAnsi="Times New Roman" w:cs="Times New Roman"/>
          <w:sz w:val="24"/>
          <w:szCs w:val="24"/>
        </w:rPr>
        <w:t xml:space="preserve"> This is contradictory, as something that is described as of no use, and in fact open to manipulation, should, if Cicero is being as rational as he claims, deserve no respect. Earlier, Quintus pointed out that Cicero had used augury himself while in office,</w:t>
      </w:r>
      <w:r>
        <w:rPr>
          <w:rFonts w:ascii="Times New Roman" w:eastAsia="Times New Roman" w:hAnsi="Times New Roman" w:cs="Times New Roman"/>
          <w:sz w:val="24"/>
          <w:szCs w:val="24"/>
          <w:vertAlign w:val="superscript"/>
        </w:rPr>
        <w:footnoteReference w:id="27"/>
      </w:r>
      <w:r>
        <w:rPr>
          <w:rFonts w:ascii="Times New Roman" w:eastAsia="Times New Roman" w:hAnsi="Times New Roman" w:cs="Times New Roman"/>
          <w:sz w:val="24"/>
          <w:szCs w:val="24"/>
        </w:rPr>
        <w:t xml:space="preserve"> and this therefore may be an attempt to justify his own use of it. In addition, augury was ingrained into Roman society since the time of its foundation, and Cicero may not want to challenge this.</w:t>
      </w:r>
    </w:p>
    <w:p w14:paraId="00000009" w14:textId="77777777" w:rsidR="00E3499D"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Astrology also had a very long tradition in the ancient world, yet it is dismissed by Marcus, who questions how the planets, being so far away, could influence the earth,</w:t>
      </w:r>
      <w:r>
        <w:rPr>
          <w:rFonts w:ascii="Times New Roman" w:eastAsia="Times New Roman" w:hAnsi="Times New Roman" w:cs="Times New Roman"/>
          <w:sz w:val="24"/>
          <w:szCs w:val="24"/>
          <w:vertAlign w:val="superscript"/>
        </w:rPr>
        <w:footnoteReference w:id="28"/>
      </w:r>
      <w:r>
        <w:rPr>
          <w:rFonts w:ascii="Times New Roman" w:eastAsia="Times New Roman" w:hAnsi="Times New Roman" w:cs="Times New Roman"/>
          <w:sz w:val="24"/>
          <w:szCs w:val="24"/>
        </w:rPr>
        <w:t xml:space="preserve"> or how all persons born under the same horoscope could possibly share the same future.</w:t>
      </w:r>
      <w:r>
        <w:rPr>
          <w:rFonts w:ascii="Times New Roman" w:eastAsia="Times New Roman" w:hAnsi="Times New Roman" w:cs="Times New Roman"/>
          <w:sz w:val="24"/>
          <w:szCs w:val="24"/>
          <w:vertAlign w:val="superscript"/>
        </w:rPr>
        <w:footnoteReference w:id="29"/>
      </w:r>
      <w:r>
        <w:rPr>
          <w:rFonts w:ascii="Times New Roman" w:eastAsia="Times New Roman" w:hAnsi="Times New Roman" w:cs="Times New Roman"/>
          <w:sz w:val="24"/>
          <w:szCs w:val="24"/>
        </w:rPr>
        <w:t xml:space="preserve"> He goes on to point out that inheritance and environment affect a child more.</w:t>
      </w:r>
      <w:r>
        <w:rPr>
          <w:rFonts w:ascii="Times New Roman" w:eastAsia="Times New Roman" w:hAnsi="Times New Roman" w:cs="Times New Roman"/>
          <w:sz w:val="24"/>
          <w:szCs w:val="24"/>
          <w:vertAlign w:val="superscript"/>
        </w:rPr>
        <w:footnoteReference w:id="30"/>
      </w:r>
      <w:r>
        <w:rPr>
          <w:rFonts w:ascii="Times New Roman" w:eastAsia="Times New Roman" w:hAnsi="Times New Roman" w:cs="Times New Roman"/>
          <w:sz w:val="24"/>
          <w:szCs w:val="24"/>
        </w:rPr>
        <w:t xml:space="preserve"> These arguments again are rational, however, </w:t>
      </w:r>
      <w:r>
        <w:rPr>
          <w:rFonts w:ascii="Times New Roman" w:eastAsia="Times New Roman" w:hAnsi="Times New Roman" w:cs="Times New Roman"/>
          <w:sz w:val="24"/>
          <w:szCs w:val="24"/>
        </w:rPr>
        <w:lastRenderedPageBreak/>
        <w:t>given the tradition behind astrology, why does it not deserve the same amount of respect as augury? Perhaps the answer is that it has a great deal of eastern tradition,  but little Roman tradition behind it, and could therefore be regarded as un-Roman.</w:t>
      </w:r>
    </w:p>
    <w:p w14:paraId="0000000A" w14:textId="77777777" w:rsidR="00E3499D"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His criticism that oracles by inspiration are obscure and difficult to understand,</w:t>
      </w:r>
      <w:r>
        <w:rPr>
          <w:rFonts w:ascii="Times New Roman" w:eastAsia="Times New Roman" w:hAnsi="Times New Roman" w:cs="Times New Roman"/>
          <w:sz w:val="24"/>
          <w:szCs w:val="24"/>
          <w:vertAlign w:val="superscript"/>
        </w:rPr>
        <w:footnoteReference w:id="31"/>
      </w:r>
      <w:r>
        <w:rPr>
          <w:rFonts w:ascii="Times New Roman" w:eastAsia="Times New Roman" w:hAnsi="Times New Roman" w:cs="Times New Roman"/>
          <w:sz w:val="24"/>
          <w:szCs w:val="24"/>
        </w:rPr>
        <w:t xml:space="preserve"> has basis in fact, as many oracular utterances have been preserved, for instance in Herodotus, an example of which is given by Marcus. He also points out that oracles can be bribed, giving the example of Philip of Macedon.</w:t>
      </w:r>
      <w:r>
        <w:rPr>
          <w:rFonts w:ascii="Times New Roman" w:eastAsia="Times New Roman" w:hAnsi="Times New Roman" w:cs="Times New Roman"/>
          <w:sz w:val="24"/>
          <w:szCs w:val="24"/>
          <w:vertAlign w:val="superscript"/>
        </w:rPr>
        <w:footnoteReference w:id="32"/>
      </w:r>
      <w:r>
        <w:rPr>
          <w:rFonts w:ascii="Times New Roman" w:eastAsia="Times New Roman" w:hAnsi="Times New Roman" w:cs="Times New Roman"/>
          <w:sz w:val="24"/>
          <w:szCs w:val="24"/>
        </w:rPr>
        <w:t xml:space="preserve"> Herodotus also gives examples of this.</w:t>
      </w:r>
      <w:r>
        <w:rPr>
          <w:rFonts w:ascii="Times New Roman" w:eastAsia="Times New Roman" w:hAnsi="Times New Roman" w:cs="Times New Roman"/>
          <w:sz w:val="24"/>
          <w:szCs w:val="24"/>
          <w:vertAlign w:val="superscript"/>
        </w:rPr>
        <w:footnoteReference w:id="33"/>
      </w:r>
      <w:r>
        <w:rPr>
          <w:rFonts w:ascii="Times New Roman" w:eastAsia="Times New Roman" w:hAnsi="Times New Roman" w:cs="Times New Roman"/>
          <w:sz w:val="24"/>
          <w:szCs w:val="24"/>
        </w:rPr>
        <w:t xml:space="preserve"> But again, here he is questioning the validity of the interpreters and those who might interfere with the utterances, not the validity of the oracular utterances themselves. He also says that if the power existed at Delphi, then it should be eternal,</w:t>
      </w:r>
      <w:r>
        <w:rPr>
          <w:rFonts w:ascii="Times New Roman" w:eastAsia="Times New Roman" w:hAnsi="Times New Roman" w:cs="Times New Roman"/>
          <w:sz w:val="24"/>
          <w:szCs w:val="24"/>
          <w:vertAlign w:val="superscript"/>
        </w:rPr>
        <w:footnoteReference w:id="34"/>
      </w:r>
      <w:r>
        <w:rPr>
          <w:rFonts w:ascii="Times New Roman" w:eastAsia="Times New Roman" w:hAnsi="Times New Roman" w:cs="Times New Roman"/>
          <w:sz w:val="24"/>
          <w:szCs w:val="24"/>
        </w:rPr>
        <w:t xml:space="preserve"> but does not state why that should be a rule, as surely the gods could withdraw if they wished.</w:t>
      </w:r>
    </w:p>
    <w:p w14:paraId="0000000B" w14:textId="77777777" w:rsidR="00E3499D"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Cicero, in his own voice, states at the start of Book 2 that he wants to give comfort and guidance in his works, stating that he believes that there is no comfort in divination, and that knowledge of the future is a disadvantage and would not have comforted the famous figures of Crassus, Pompey or Caesar, who all came to bad ends.</w:t>
      </w:r>
      <w:r>
        <w:rPr>
          <w:rFonts w:ascii="Times New Roman" w:eastAsia="Times New Roman" w:hAnsi="Times New Roman" w:cs="Times New Roman"/>
          <w:sz w:val="24"/>
          <w:szCs w:val="24"/>
          <w:vertAlign w:val="superscript"/>
        </w:rPr>
        <w:footnoteReference w:id="35"/>
      </w:r>
      <w:r>
        <w:rPr>
          <w:rFonts w:ascii="Times New Roman" w:eastAsia="Times New Roman" w:hAnsi="Times New Roman" w:cs="Times New Roman"/>
          <w:sz w:val="24"/>
          <w:szCs w:val="24"/>
        </w:rPr>
        <w:t xml:space="preserve"> Ignorance of the future, in his opinion, is bliss. However, his denial of the existence of divination may not be particularly comforting to those who may wish to believe in Quintus’ words in Book 1 that the gods have provided divination because they care for humans and want to look after them. Marcus’ assertion that divination does not exist brings in an element of chaos to the world that may not be comforting to many Romans. Fox states that in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divinatione</w:t>
      </w:r>
      <w:proofErr w:type="spellEnd"/>
      <w:r>
        <w:rPr>
          <w:rFonts w:ascii="Times New Roman" w:eastAsia="Times New Roman" w:hAnsi="Times New Roman" w:cs="Times New Roman"/>
          <w:sz w:val="24"/>
          <w:szCs w:val="24"/>
        </w:rPr>
        <w:t xml:space="preserve">, Cicero is contrasting “two different worldviews, one which stresses order, </w:t>
      </w:r>
      <w:r>
        <w:rPr>
          <w:rFonts w:ascii="Times New Roman" w:eastAsia="Times New Roman" w:hAnsi="Times New Roman" w:cs="Times New Roman"/>
          <w:sz w:val="24"/>
          <w:szCs w:val="24"/>
        </w:rPr>
        <w:lastRenderedPageBreak/>
        <w:t>regularity, and the continuation of tradition; the other which stresses accident, disorder and the arbitrary quality of tradition.”</w:t>
      </w:r>
      <w:r>
        <w:rPr>
          <w:rFonts w:ascii="Times New Roman" w:eastAsia="Times New Roman" w:hAnsi="Times New Roman" w:cs="Times New Roman"/>
          <w:sz w:val="24"/>
          <w:szCs w:val="24"/>
          <w:vertAlign w:val="superscript"/>
        </w:rPr>
        <w:footnoteReference w:id="36"/>
      </w:r>
      <w:r>
        <w:rPr>
          <w:rFonts w:ascii="Times New Roman" w:eastAsia="Times New Roman" w:hAnsi="Times New Roman" w:cs="Times New Roman"/>
          <w:sz w:val="24"/>
          <w:szCs w:val="24"/>
        </w:rPr>
        <w:t xml:space="preserve"> </w:t>
      </w:r>
    </w:p>
    <w:p w14:paraId="0000000C" w14:textId="77777777" w:rsidR="00E3499D"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Cicero might not be giving the comfort he claims in his case against divination, he could be said to be giving guidance. Book 2 does not question the existence of the gods, nor does it say that they should not be worshipped, but instead Cicero’s aim seems to be to abolish the superstition he sees in the use of divinatory practices, as he discusses in the final section of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divinatione</w:t>
      </w:r>
      <w:proofErr w:type="spellEnd"/>
      <w:r>
        <w:rPr>
          <w:rFonts w:ascii="Times New Roman" w:eastAsia="Times New Roman" w:hAnsi="Times New Roman" w:cs="Times New Roman"/>
          <w:sz w:val="24"/>
          <w:szCs w:val="24"/>
        </w:rPr>
        <w:t>, which may be in his own voice.</w:t>
      </w:r>
      <w:r>
        <w:rPr>
          <w:rFonts w:ascii="Times New Roman" w:eastAsia="Times New Roman" w:hAnsi="Times New Roman" w:cs="Times New Roman"/>
          <w:sz w:val="24"/>
          <w:szCs w:val="24"/>
          <w:vertAlign w:val="superscript"/>
        </w:rPr>
        <w:footnoteReference w:id="37"/>
      </w:r>
      <w:r>
        <w:rPr>
          <w:rFonts w:ascii="Times New Roman" w:eastAsia="Times New Roman" w:hAnsi="Times New Roman" w:cs="Times New Roman"/>
          <w:sz w:val="24"/>
          <w:szCs w:val="24"/>
        </w:rPr>
        <w:t xml:space="preserve"> He says that it is his duty to do so, as superstition takes hold of people and can disturb their state of mind. He states that while it is good and wise to follow religion and perform the traditional ceremonies of the state, being caught up in superstition is not wise. In this way Cicero is offering the guidance he claims at the start of Book 2, while also perhaps offering the comfort of involvement in traditional Roman religion.</w:t>
      </w:r>
    </w:p>
    <w:p w14:paraId="0000000D" w14:textId="3C2644AB" w:rsidR="006702F6" w:rsidRDefault="00701812">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divinatione</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was probably written as a philosophical exercise for an intellectual Roman readership who would understand the concepts put forward here by Cicero. The subject he chose here was one that was interesting to the cultural elite at the time, presented in a dialogue form that was common in his works, and followed philosophical practice, particularly that of the Academy. The choice of interlocutors, Marcus and his brother, perhaps indicates, according to Beard,</w:t>
      </w:r>
      <w:r>
        <w:rPr>
          <w:rFonts w:ascii="Times New Roman" w:eastAsia="Times New Roman" w:hAnsi="Times New Roman" w:cs="Times New Roman"/>
          <w:sz w:val="24"/>
          <w:szCs w:val="24"/>
          <w:vertAlign w:val="superscript"/>
        </w:rPr>
        <w:footnoteReference w:id="38"/>
      </w:r>
      <w:r>
        <w:rPr>
          <w:rFonts w:ascii="Times New Roman" w:eastAsia="Times New Roman" w:hAnsi="Times New Roman" w:cs="Times New Roman"/>
          <w:sz w:val="24"/>
          <w:szCs w:val="24"/>
        </w:rPr>
        <w:t xml:space="preserve"> that he meant his readership to take both sides of the argument seriously and equally, so they could make up their own minds about divination, as Cicero suggests at the very end of his work.</w:t>
      </w:r>
      <w:r>
        <w:rPr>
          <w:rFonts w:ascii="Times New Roman" w:eastAsia="Times New Roman" w:hAnsi="Times New Roman" w:cs="Times New Roman"/>
          <w:sz w:val="24"/>
          <w:szCs w:val="24"/>
          <w:vertAlign w:val="superscript"/>
        </w:rPr>
        <w:footnoteReference w:id="39"/>
      </w:r>
      <w:r>
        <w:rPr>
          <w:rFonts w:ascii="Times New Roman" w:eastAsia="Times New Roman" w:hAnsi="Times New Roman" w:cs="Times New Roman"/>
          <w:sz w:val="24"/>
          <w:szCs w:val="24"/>
        </w:rPr>
        <w:t xml:space="preserve"> While </w:t>
      </w:r>
      <w:r>
        <w:rPr>
          <w:rFonts w:ascii="Times New Roman" w:eastAsia="Times New Roman" w:hAnsi="Times New Roman" w:cs="Times New Roman"/>
          <w:i/>
          <w:sz w:val="24"/>
          <w:szCs w:val="24"/>
        </w:rPr>
        <w:t xml:space="preserve">De </w:t>
      </w:r>
      <w:proofErr w:type="spellStart"/>
      <w:r>
        <w:rPr>
          <w:rFonts w:ascii="Times New Roman" w:eastAsia="Times New Roman" w:hAnsi="Times New Roman" w:cs="Times New Roman"/>
          <w:i/>
          <w:sz w:val="24"/>
          <w:szCs w:val="24"/>
        </w:rPr>
        <w:t>divinatione</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is a good source for divinatory practices and how they were integrated into Roman society and history, it is also a contrast between order and disorder, tradition and rationalism, </w:t>
      </w:r>
      <w:r>
        <w:rPr>
          <w:rFonts w:ascii="Times New Roman" w:eastAsia="Times New Roman" w:hAnsi="Times New Roman" w:cs="Times New Roman"/>
          <w:sz w:val="24"/>
          <w:szCs w:val="24"/>
        </w:rPr>
        <w:lastRenderedPageBreak/>
        <w:t xml:space="preserve">doctrine and freedom, Stoic and Academic philosophy. Cicero’s arguments against divination, both strong and weak, are part of his philosophical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and in this case probably do not </w:t>
      </w:r>
      <w:r w:rsidR="00A36D51">
        <w:rPr>
          <w:rFonts w:ascii="Times New Roman" w:eastAsia="Times New Roman" w:hAnsi="Times New Roman" w:cs="Times New Roman"/>
          <w:sz w:val="24"/>
          <w:szCs w:val="24"/>
        </w:rPr>
        <w:t xml:space="preserve">totally </w:t>
      </w:r>
      <w:bookmarkStart w:id="6" w:name="_GoBack"/>
      <w:bookmarkEnd w:id="6"/>
      <w:r>
        <w:rPr>
          <w:rFonts w:ascii="Times New Roman" w:eastAsia="Times New Roman" w:hAnsi="Times New Roman" w:cs="Times New Roman"/>
          <w:sz w:val="24"/>
          <w:szCs w:val="24"/>
        </w:rPr>
        <w:t xml:space="preserve">reflect his own views. </w:t>
      </w:r>
    </w:p>
    <w:p w14:paraId="07ABC0F0" w14:textId="77777777" w:rsidR="006702F6" w:rsidRDefault="006702F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302CE73" w14:textId="01224460" w:rsidR="00E3499D" w:rsidRDefault="006702F6">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1AA5C24C" w14:textId="2780AC61" w:rsidR="006702F6" w:rsidRDefault="006702F6">
      <w:pPr>
        <w:spacing w:line="48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Primary</w:t>
      </w:r>
    </w:p>
    <w:p w14:paraId="0E61BC8A" w14:textId="615EEE97" w:rsidR="006702F6" w:rsidRPr="006702F6" w:rsidRDefault="006702F6" w:rsidP="006702F6">
      <w:pPr>
        <w:spacing w:line="480" w:lineRule="auto"/>
        <w:jc w:val="both"/>
        <w:rPr>
          <w:rFonts w:ascii="Times New Roman" w:hAnsi="Times New Roman" w:cs="Times New Roman"/>
          <w:sz w:val="24"/>
          <w:szCs w:val="24"/>
        </w:rPr>
      </w:pPr>
      <w:r w:rsidRPr="006702F6">
        <w:rPr>
          <w:rFonts w:ascii="Times New Roman" w:hAnsi="Times New Roman" w:cs="Times New Roman"/>
          <w:sz w:val="24"/>
          <w:szCs w:val="24"/>
        </w:rPr>
        <w:t xml:space="preserve">Cicero, </w:t>
      </w:r>
      <w:r w:rsidRPr="006702F6">
        <w:rPr>
          <w:rFonts w:ascii="Times New Roman" w:hAnsi="Times New Roman" w:cs="Times New Roman"/>
          <w:i/>
          <w:sz w:val="24"/>
          <w:szCs w:val="24"/>
        </w:rPr>
        <w:t xml:space="preserve">De </w:t>
      </w:r>
      <w:proofErr w:type="spellStart"/>
      <w:r w:rsidRPr="006702F6">
        <w:rPr>
          <w:rFonts w:ascii="Times New Roman" w:hAnsi="Times New Roman" w:cs="Times New Roman"/>
          <w:i/>
          <w:sz w:val="24"/>
          <w:szCs w:val="24"/>
        </w:rPr>
        <w:t>divinatione</w:t>
      </w:r>
      <w:proofErr w:type="spellEnd"/>
      <w:r w:rsidRPr="006702F6">
        <w:rPr>
          <w:rFonts w:ascii="Times New Roman" w:hAnsi="Times New Roman" w:cs="Times New Roman"/>
          <w:i/>
          <w:sz w:val="24"/>
          <w:szCs w:val="24"/>
        </w:rPr>
        <w:t xml:space="preserve">, </w:t>
      </w:r>
      <w:r w:rsidRPr="006702F6">
        <w:rPr>
          <w:rFonts w:ascii="Times New Roman" w:hAnsi="Times New Roman" w:cs="Times New Roman"/>
          <w:sz w:val="24"/>
          <w:szCs w:val="24"/>
        </w:rPr>
        <w:t>trans. by William Armistead Falconer (Cambridge, MA: Harvard University Press, 1923)</w:t>
      </w:r>
    </w:p>
    <w:p w14:paraId="31399C47" w14:textId="1D03C13F" w:rsidR="006702F6" w:rsidRPr="006702F6" w:rsidRDefault="006702F6" w:rsidP="006702F6">
      <w:pPr>
        <w:spacing w:line="480" w:lineRule="auto"/>
        <w:jc w:val="both"/>
        <w:rPr>
          <w:rFonts w:ascii="Times New Roman" w:hAnsi="Times New Roman" w:cs="Times New Roman"/>
          <w:sz w:val="24"/>
          <w:szCs w:val="24"/>
        </w:rPr>
      </w:pPr>
      <w:r w:rsidRPr="006702F6">
        <w:rPr>
          <w:rFonts w:ascii="Times New Roman" w:hAnsi="Times New Roman" w:cs="Times New Roman"/>
          <w:sz w:val="24"/>
          <w:szCs w:val="24"/>
        </w:rPr>
        <w:t xml:space="preserve">Herodotus, </w:t>
      </w:r>
      <w:r w:rsidRPr="006702F6">
        <w:rPr>
          <w:rFonts w:ascii="Times New Roman" w:hAnsi="Times New Roman" w:cs="Times New Roman"/>
          <w:i/>
          <w:sz w:val="24"/>
          <w:szCs w:val="24"/>
        </w:rPr>
        <w:t xml:space="preserve">The Persian Wars, </w:t>
      </w:r>
      <w:r w:rsidRPr="006702F6">
        <w:rPr>
          <w:rFonts w:ascii="Times New Roman" w:hAnsi="Times New Roman" w:cs="Times New Roman"/>
          <w:sz w:val="24"/>
          <w:szCs w:val="24"/>
        </w:rPr>
        <w:t>trans. Godley, A. D. The Persian Wars. Rev. ed., (Harvard University Press, 1920)</w:t>
      </w:r>
    </w:p>
    <w:p w14:paraId="172A2D68" w14:textId="77777777" w:rsidR="009A521B" w:rsidRDefault="009A521B" w:rsidP="009A521B">
      <w:pPr>
        <w:spacing w:line="480" w:lineRule="auto"/>
        <w:jc w:val="both"/>
        <w:rPr>
          <w:rFonts w:ascii="Times New Roman" w:hAnsi="Times New Roman" w:cs="Times New Roman"/>
          <w:i/>
          <w:sz w:val="24"/>
          <w:szCs w:val="24"/>
        </w:rPr>
      </w:pPr>
      <w:r>
        <w:rPr>
          <w:rFonts w:ascii="Times New Roman" w:hAnsi="Times New Roman" w:cs="Times New Roman"/>
          <w:i/>
          <w:sz w:val="24"/>
          <w:szCs w:val="24"/>
        </w:rPr>
        <w:t>Secondary</w:t>
      </w:r>
    </w:p>
    <w:p w14:paraId="3699BCF3" w14:textId="6A7EA26D" w:rsidR="006702F6" w:rsidRPr="009A521B" w:rsidRDefault="006702F6" w:rsidP="009A521B">
      <w:pPr>
        <w:spacing w:line="480" w:lineRule="auto"/>
        <w:jc w:val="both"/>
        <w:rPr>
          <w:rFonts w:ascii="Times New Roman" w:hAnsi="Times New Roman" w:cs="Times New Roman"/>
          <w:i/>
          <w:sz w:val="24"/>
          <w:szCs w:val="24"/>
        </w:rPr>
      </w:pPr>
      <w:r w:rsidRPr="006702F6">
        <w:rPr>
          <w:rFonts w:ascii="Times New Roman" w:hAnsi="Times New Roman" w:cs="Times New Roman"/>
          <w:sz w:val="24"/>
          <w:szCs w:val="24"/>
        </w:rPr>
        <w:t xml:space="preserve">Beard, M. </w:t>
      </w:r>
      <w:r w:rsidRPr="006702F6">
        <w:rPr>
          <w:rFonts w:ascii="Times New Roman" w:hAnsi="Times New Roman" w:cs="Times New Roman"/>
          <w:i/>
          <w:iCs/>
          <w:sz w:val="24"/>
          <w:szCs w:val="24"/>
        </w:rPr>
        <w:t>'Cicero and Divination: The Formation of a Latin Discourse'</w:t>
      </w:r>
      <w:r w:rsidRPr="006702F6">
        <w:rPr>
          <w:rFonts w:ascii="Times New Roman" w:hAnsi="Times New Roman" w:cs="Times New Roman"/>
          <w:sz w:val="24"/>
          <w:szCs w:val="24"/>
        </w:rPr>
        <w:t xml:space="preserve">, The Journal of Roman Studies, 76 (1986), 33-46 </w:t>
      </w:r>
    </w:p>
    <w:p w14:paraId="42F297AF" w14:textId="07458B21" w:rsidR="006702F6" w:rsidRPr="006702F6" w:rsidRDefault="006702F6" w:rsidP="006702F6">
      <w:pPr>
        <w:pStyle w:val="NormalWeb"/>
        <w:spacing w:line="480" w:lineRule="auto"/>
      </w:pPr>
      <w:r w:rsidRPr="006702F6">
        <w:t>Fox, M.A.</w:t>
      </w:r>
      <w:r w:rsidRPr="006702F6">
        <w:rPr>
          <w:i/>
          <w:iCs/>
        </w:rPr>
        <w:t xml:space="preserve"> Cicero's philosophy of history</w:t>
      </w:r>
      <w:r w:rsidRPr="006702F6">
        <w:t xml:space="preserve"> (Oxford: Oxford : Oxford University Press, 2007) </w:t>
      </w:r>
    </w:p>
    <w:p w14:paraId="6FB1F381" w14:textId="39E92913" w:rsidR="006702F6" w:rsidRPr="006702F6" w:rsidRDefault="006702F6" w:rsidP="006702F6">
      <w:pPr>
        <w:pStyle w:val="NormalWeb"/>
        <w:spacing w:line="480" w:lineRule="auto"/>
      </w:pPr>
      <w:proofErr w:type="spellStart"/>
      <w:r w:rsidRPr="006702F6">
        <w:t>Goar</w:t>
      </w:r>
      <w:proofErr w:type="spellEnd"/>
      <w:r w:rsidRPr="006702F6">
        <w:t xml:space="preserve">, R.J. </w:t>
      </w:r>
      <w:r w:rsidRPr="006702F6">
        <w:rPr>
          <w:i/>
          <w:iCs/>
        </w:rPr>
        <w:t xml:space="preserve">'The Purpose of De </w:t>
      </w:r>
      <w:proofErr w:type="spellStart"/>
      <w:r w:rsidRPr="006702F6">
        <w:rPr>
          <w:i/>
          <w:iCs/>
        </w:rPr>
        <w:t>Divinatione</w:t>
      </w:r>
      <w:proofErr w:type="spellEnd"/>
      <w:r w:rsidRPr="006702F6">
        <w:rPr>
          <w:i/>
          <w:iCs/>
        </w:rPr>
        <w:t>'</w:t>
      </w:r>
      <w:r w:rsidRPr="006702F6">
        <w:t xml:space="preserve">, Transactions and Proceedings of the American Philological Association, 99 (1968), 241-248 </w:t>
      </w:r>
    </w:p>
    <w:p w14:paraId="18D7A163" w14:textId="1F324CF0" w:rsidR="006702F6" w:rsidRPr="006702F6" w:rsidRDefault="006702F6" w:rsidP="006702F6">
      <w:pPr>
        <w:pStyle w:val="NormalWeb"/>
        <w:spacing w:line="480" w:lineRule="auto"/>
      </w:pPr>
      <w:r w:rsidRPr="006702F6">
        <w:t>Santangelo, F.</w:t>
      </w:r>
      <w:r w:rsidRPr="006702F6">
        <w:rPr>
          <w:i/>
          <w:iCs/>
        </w:rPr>
        <w:t xml:space="preserve"> Divination, prediction and the end of the Roman Republic</w:t>
      </w:r>
      <w:r w:rsidRPr="006702F6">
        <w:t xml:space="preserve"> (Cambridge; New York: Cambridge; New York : Cambridge University Press, 2013) </w:t>
      </w:r>
    </w:p>
    <w:p w14:paraId="235720D1" w14:textId="514168CC" w:rsidR="006702F6" w:rsidRPr="006702F6" w:rsidRDefault="006702F6" w:rsidP="006702F6">
      <w:pPr>
        <w:pStyle w:val="NormalWeb"/>
        <w:spacing w:line="480" w:lineRule="auto"/>
      </w:pPr>
      <w:r w:rsidRPr="006702F6">
        <w:t xml:space="preserve">Schofield, M. </w:t>
      </w:r>
      <w:r w:rsidRPr="006702F6">
        <w:rPr>
          <w:i/>
          <w:iCs/>
        </w:rPr>
        <w:t>'Cicero for and against Divination'</w:t>
      </w:r>
      <w:r w:rsidRPr="006702F6">
        <w:t>, The Journal of Roman Studies, 76 (1986)</w:t>
      </w:r>
      <w:r w:rsidR="009A521B">
        <w:t>,</w:t>
      </w:r>
      <w:r w:rsidRPr="006702F6">
        <w:t xml:space="preserve"> 47-65 </w:t>
      </w:r>
    </w:p>
    <w:p w14:paraId="37F0C97E" w14:textId="7AB7B8D1" w:rsidR="006702F6" w:rsidRPr="006702F6" w:rsidRDefault="006702F6" w:rsidP="006702F6">
      <w:pPr>
        <w:spacing w:line="480" w:lineRule="auto"/>
        <w:jc w:val="both"/>
        <w:rPr>
          <w:rFonts w:ascii="Times New Roman" w:eastAsia="Times New Roman" w:hAnsi="Times New Roman" w:cs="Times New Roman"/>
          <w:i/>
          <w:sz w:val="24"/>
          <w:szCs w:val="24"/>
        </w:rPr>
      </w:pPr>
    </w:p>
    <w:sectPr w:rsidR="006702F6" w:rsidRPr="006702F6">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E15EDA" w14:textId="77777777" w:rsidR="00BA3AEF" w:rsidRDefault="00701812">
      <w:pPr>
        <w:spacing w:line="240" w:lineRule="auto"/>
      </w:pPr>
      <w:r>
        <w:separator/>
      </w:r>
    </w:p>
  </w:endnote>
  <w:endnote w:type="continuationSeparator" w:id="0">
    <w:p w14:paraId="61AB8668" w14:textId="77777777" w:rsidR="00BA3AEF" w:rsidRDefault="007018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13" w14:textId="6444D853" w:rsidR="00E3499D" w:rsidRDefault="00701812">
    <w:pPr>
      <w:jc w:val="right"/>
    </w:pPr>
    <w:r>
      <w:fldChar w:fldCharType="begin"/>
    </w:r>
    <w:r>
      <w:instrText>PAGE</w:instrText>
    </w:r>
    <w:r>
      <w:fldChar w:fldCharType="separate"/>
    </w:r>
    <w:r>
      <w:rPr>
        <w:noProof/>
      </w:rPr>
      <w:t>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C7AC69" w14:textId="77777777" w:rsidR="00BA3AEF" w:rsidRDefault="00701812">
      <w:pPr>
        <w:spacing w:line="240" w:lineRule="auto"/>
      </w:pPr>
      <w:r>
        <w:separator/>
      </w:r>
    </w:p>
  </w:footnote>
  <w:footnote w:type="continuationSeparator" w:id="0">
    <w:p w14:paraId="10064B6D" w14:textId="77777777" w:rsidR="00BA3AEF" w:rsidRDefault="00701812">
      <w:pPr>
        <w:spacing w:line="240" w:lineRule="auto"/>
      </w:pPr>
      <w:r>
        <w:continuationSeparator/>
      </w:r>
    </w:p>
  </w:footnote>
  <w:footnote w:id="1">
    <w:p w14:paraId="0000000E" w14:textId="77777777" w:rsidR="00E3499D" w:rsidRDefault="00701812">
      <w:pPr>
        <w:spacing w:line="240" w:lineRule="auto"/>
        <w:rPr>
          <w:sz w:val="20"/>
          <w:szCs w:val="20"/>
        </w:rPr>
      </w:pPr>
      <w:r>
        <w:rPr>
          <w:vertAlign w:val="superscript"/>
        </w:rPr>
        <w:footnoteRef/>
      </w:r>
      <w:r>
        <w:rPr>
          <w:sz w:val="20"/>
          <w:szCs w:val="20"/>
        </w:rPr>
        <w:t xml:space="preserve"> Cicero, </w:t>
      </w:r>
      <w:r>
        <w:rPr>
          <w:i/>
          <w:sz w:val="20"/>
          <w:szCs w:val="20"/>
        </w:rPr>
        <w:t xml:space="preserve">De </w:t>
      </w:r>
      <w:proofErr w:type="spellStart"/>
      <w:r>
        <w:rPr>
          <w:i/>
          <w:sz w:val="20"/>
          <w:szCs w:val="20"/>
        </w:rPr>
        <w:t>divinatione</w:t>
      </w:r>
      <w:proofErr w:type="spellEnd"/>
      <w:r>
        <w:rPr>
          <w:i/>
          <w:sz w:val="20"/>
          <w:szCs w:val="20"/>
        </w:rPr>
        <w:t xml:space="preserve">, </w:t>
      </w:r>
      <w:r>
        <w:rPr>
          <w:sz w:val="20"/>
          <w:szCs w:val="20"/>
        </w:rPr>
        <w:t xml:space="preserve">trans. By William Armistead Falconer (Cambridge, MA: Harvard University Press, 1923) [hereafter Cicero, </w:t>
      </w:r>
      <w:proofErr w:type="spellStart"/>
      <w:r>
        <w:rPr>
          <w:i/>
          <w:sz w:val="20"/>
          <w:szCs w:val="20"/>
        </w:rPr>
        <w:t>Div</w:t>
      </w:r>
      <w:proofErr w:type="spellEnd"/>
      <w:r>
        <w:rPr>
          <w:sz w:val="20"/>
          <w:szCs w:val="20"/>
        </w:rPr>
        <w:t>]</w:t>
      </w:r>
    </w:p>
  </w:footnote>
  <w:footnote w:id="2">
    <w:p w14:paraId="0000000F" w14:textId="77777777" w:rsidR="00E3499D" w:rsidRDefault="00701812">
      <w:pPr>
        <w:spacing w:line="240" w:lineRule="auto"/>
        <w:rPr>
          <w:sz w:val="20"/>
          <w:szCs w:val="20"/>
        </w:rPr>
      </w:pPr>
      <w:r>
        <w:rPr>
          <w:vertAlign w:val="superscript"/>
        </w:rPr>
        <w:footnoteRef/>
      </w:r>
      <w:r>
        <w:rPr>
          <w:sz w:val="20"/>
          <w:szCs w:val="20"/>
        </w:rPr>
        <w:t xml:space="preserve"> Federico Santangelo, </w:t>
      </w:r>
      <w:r>
        <w:rPr>
          <w:i/>
          <w:sz w:val="20"/>
          <w:szCs w:val="20"/>
        </w:rPr>
        <w:t>Divination, Prediction and the End of the Roman Republic</w:t>
      </w:r>
      <w:r>
        <w:rPr>
          <w:sz w:val="20"/>
          <w:szCs w:val="20"/>
        </w:rPr>
        <w:t xml:space="preserve"> (Cambridge; New York: Cambridge University Press, 2013), [hereafter Santangelo, </w:t>
      </w:r>
      <w:r>
        <w:rPr>
          <w:i/>
          <w:sz w:val="20"/>
          <w:szCs w:val="20"/>
        </w:rPr>
        <w:t>Divination</w:t>
      </w:r>
      <w:r>
        <w:rPr>
          <w:sz w:val="20"/>
          <w:szCs w:val="20"/>
        </w:rPr>
        <w:t>], p. 19</w:t>
      </w:r>
    </w:p>
  </w:footnote>
  <w:footnote w:id="3">
    <w:p w14:paraId="00000010"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sz w:val="20"/>
          <w:szCs w:val="20"/>
        </w:rPr>
        <w:t xml:space="preserve">, </w:t>
      </w:r>
      <w:proofErr w:type="spellStart"/>
      <w:r>
        <w:rPr>
          <w:sz w:val="20"/>
          <w:szCs w:val="20"/>
        </w:rPr>
        <w:t>I.i</w:t>
      </w:r>
      <w:proofErr w:type="spellEnd"/>
      <w:r>
        <w:rPr>
          <w:sz w:val="20"/>
          <w:szCs w:val="20"/>
        </w:rPr>
        <w:t>-iii pp.223-31</w:t>
      </w:r>
    </w:p>
  </w:footnote>
  <w:footnote w:id="4">
    <w:p w14:paraId="00000011"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sz w:val="20"/>
          <w:szCs w:val="20"/>
        </w:rPr>
        <w:t>, I.vi.10 p.235</w:t>
      </w:r>
    </w:p>
  </w:footnote>
  <w:footnote w:id="5">
    <w:p w14:paraId="00000012"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sz w:val="20"/>
          <w:szCs w:val="20"/>
        </w:rPr>
        <w:t>, I.vi.12 p.235</w:t>
      </w:r>
    </w:p>
  </w:footnote>
  <w:footnote w:id="6">
    <w:p w14:paraId="00000014"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sz w:val="20"/>
          <w:szCs w:val="20"/>
        </w:rPr>
        <w:t>, I.xviii.34 p.263</w:t>
      </w:r>
    </w:p>
  </w:footnote>
  <w:footnote w:id="7">
    <w:p w14:paraId="00000015" w14:textId="77777777" w:rsidR="00E3499D" w:rsidRDefault="00701812">
      <w:pPr>
        <w:spacing w:line="240" w:lineRule="auto"/>
        <w:rPr>
          <w:sz w:val="20"/>
          <w:szCs w:val="20"/>
        </w:rPr>
      </w:pPr>
      <w:r>
        <w:rPr>
          <w:vertAlign w:val="superscript"/>
        </w:rPr>
        <w:footnoteRef/>
      </w:r>
      <w:r>
        <w:rPr>
          <w:sz w:val="20"/>
          <w:szCs w:val="20"/>
        </w:rPr>
        <w:t xml:space="preserve"> Cicero,</w:t>
      </w:r>
      <w:r>
        <w:rPr>
          <w:i/>
          <w:sz w:val="20"/>
          <w:szCs w:val="20"/>
        </w:rPr>
        <w:t xml:space="preserve"> </w:t>
      </w:r>
      <w:proofErr w:type="spellStart"/>
      <w:r>
        <w:rPr>
          <w:i/>
          <w:sz w:val="20"/>
          <w:szCs w:val="20"/>
        </w:rPr>
        <w:t>Div</w:t>
      </w:r>
      <w:proofErr w:type="spellEnd"/>
      <w:r>
        <w:rPr>
          <w:sz w:val="20"/>
          <w:szCs w:val="20"/>
        </w:rPr>
        <w:t>, I.xxxxvii.105 p.337</w:t>
      </w:r>
    </w:p>
  </w:footnote>
  <w:footnote w:id="8">
    <w:p w14:paraId="00000016" w14:textId="77777777" w:rsidR="00E3499D" w:rsidRDefault="00701812">
      <w:pPr>
        <w:spacing w:line="240" w:lineRule="auto"/>
        <w:rPr>
          <w:sz w:val="20"/>
          <w:szCs w:val="20"/>
        </w:rPr>
      </w:pPr>
      <w:r>
        <w:rPr>
          <w:vertAlign w:val="superscript"/>
        </w:rPr>
        <w:footnoteRef/>
      </w:r>
      <w:r>
        <w:rPr>
          <w:sz w:val="20"/>
          <w:szCs w:val="20"/>
        </w:rPr>
        <w:t xml:space="preserve"> Cicero, </w:t>
      </w:r>
      <w:r>
        <w:rPr>
          <w:i/>
          <w:sz w:val="20"/>
          <w:szCs w:val="20"/>
        </w:rPr>
        <w:t>Div</w:t>
      </w:r>
      <w:r>
        <w:rPr>
          <w:sz w:val="20"/>
          <w:szCs w:val="20"/>
        </w:rPr>
        <w:t>. I.xxviii.59 p.289</w:t>
      </w:r>
    </w:p>
  </w:footnote>
  <w:footnote w:id="9">
    <w:p w14:paraId="0000001A" w14:textId="77777777" w:rsidR="00E3499D" w:rsidRDefault="00701812">
      <w:pPr>
        <w:spacing w:line="240" w:lineRule="auto"/>
        <w:rPr>
          <w:sz w:val="20"/>
          <w:szCs w:val="20"/>
        </w:rPr>
      </w:pPr>
      <w:r>
        <w:rPr>
          <w:vertAlign w:val="superscript"/>
        </w:rPr>
        <w:footnoteRef/>
      </w:r>
      <w:r>
        <w:rPr>
          <w:sz w:val="20"/>
          <w:szCs w:val="20"/>
        </w:rPr>
        <w:t xml:space="preserve">  Santangelo,</w:t>
      </w:r>
      <w:r>
        <w:rPr>
          <w:i/>
          <w:sz w:val="20"/>
          <w:szCs w:val="20"/>
        </w:rPr>
        <w:t xml:space="preserve"> Divination</w:t>
      </w:r>
      <w:r>
        <w:rPr>
          <w:sz w:val="20"/>
          <w:szCs w:val="20"/>
        </w:rPr>
        <w:t>, p.11</w:t>
      </w:r>
    </w:p>
  </w:footnote>
  <w:footnote w:id="10">
    <w:p w14:paraId="00000018"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sz w:val="20"/>
          <w:szCs w:val="20"/>
        </w:rPr>
        <w:t>, II. i-ii.4-6 p.373-5</w:t>
      </w:r>
    </w:p>
  </w:footnote>
  <w:footnote w:id="11">
    <w:p w14:paraId="00000017" w14:textId="72484F73" w:rsidR="00E3499D" w:rsidRDefault="00701812">
      <w:pPr>
        <w:pBdr>
          <w:top w:val="nil"/>
          <w:left w:val="nil"/>
          <w:bottom w:val="nil"/>
          <w:right w:val="nil"/>
          <w:between w:val="nil"/>
        </w:pBdr>
        <w:spacing w:line="240" w:lineRule="auto"/>
        <w:rPr>
          <w:sz w:val="20"/>
          <w:szCs w:val="20"/>
        </w:rPr>
      </w:pPr>
      <w:r>
        <w:rPr>
          <w:vertAlign w:val="superscript"/>
        </w:rPr>
        <w:footnoteRef/>
      </w:r>
      <w:r>
        <w:rPr>
          <w:sz w:val="20"/>
          <w:szCs w:val="20"/>
        </w:rPr>
        <w:t xml:space="preserve"> Malcom Schofield, “Cicero for and against Divination.” </w:t>
      </w:r>
      <w:r>
        <w:rPr>
          <w:i/>
          <w:sz w:val="20"/>
          <w:szCs w:val="20"/>
        </w:rPr>
        <w:t>The Journal of Roman Studies</w:t>
      </w:r>
      <w:r>
        <w:rPr>
          <w:sz w:val="20"/>
          <w:szCs w:val="20"/>
        </w:rPr>
        <w:t xml:space="preserve">, vol. 76, </w:t>
      </w:r>
      <w:r w:rsidR="006702F6">
        <w:rPr>
          <w:sz w:val="20"/>
          <w:szCs w:val="20"/>
        </w:rPr>
        <w:t>(</w:t>
      </w:r>
      <w:r>
        <w:rPr>
          <w:sz w:val="20"/>
          <w:szCs w:val="20"/>
        </w:rPr>
        <w:t>1986</w:t>
      </w:r>
      <w:r w:rsidR="006702F6">
        <w:rPr>
          <w:sz w:val="20"/>
          <w:szCs w:val="20"/>
        </w:rPr>
        <w:t>)</w:t>
      </w:r>
      <w:r>
        <w:rPr>
          <w:sz w:val="20"/>
          <w:szCs w:val="20"/>
        </w:rPr>
        <w:t>, p. 51</w:t>
      </w:r>
    </w:p>
  </w:footnote>
  <w:footnote w:id="12">
    <w:p w14:paraId="0000001C" w14:textId="77777777" w:rsidR="00E3499D" w:rsidRDefault="00701812">
      <w:pPr>
        <w:spacing w:line="240" w:lineRule="auto"/>
        <w:rPr>
          <w:sz w:val="20"/>
          <w:szCs w:val="20"/>
        </w:rPr>
      </w:pPr>
      <w:r>
        <w:rPr>
          <w:vertAlign w:val="superscript"/>
        </w:rPr>
        <w:footnoteRef/>
      </w:r>
      <w:r>
        <w:rPr>
          <w:sz w:val="20"/>
          <w:szCs w:val="20"/>
        </w:rPr>
        <w:t xml:space="preserve"> Matthew Fox, </w:t>
      </w:r>
      <w:r>
        <w:rPr>
          <w:i/>
          <w:sz w:val="20"/>
          <w:szCs w:val="20"/>
        </w:rPr>
        <w:t xml:space="preserve">Cicero’s Philosophy of History, </w:t>
      </w:r>
      <w:r>
        <w:rPr>
          <w:sz w:val="20"/>
          <w:szCs w:val="20"/>
        </w:rPr>
        <w:t xml:space="preserve">(Oxford, Oxford University Press, 2007) [Hereafter Fox, </w:t>
      </w:r>
      <w:r>
        <w:rPr>
          <w:i/>
          <w:sz w:val="20"/>
          <w:szCs w:val="20"/>
        </w:rPr>
        <w:t>Philosophy</w:t>
      </w:r>
      <w:r>
        <w:rPr>
          <w:sz w:val="20"/>
          <w:szCs w:val="20"/>
        </w:rPr>
        <w:t>] p. 210</w:t>
      </w:r>
    </w:p>
  </w:footnote>
  <w:footnote w:id="13">
    <w:p w14:paraId="00000019"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sz w:val="20"/>
          <w:szCs w:val="20"/>
        </w:rPr>
        <w:t xml:space="preserve">, </w:t>
      </w:r>
      <w:proofErr w:type="spellStart"/>
      <w:r>
        <w:rPr>
          <w:sz w:val="20"/>
          <w:szCs w:val="20"/>
        </w:rPr>
        <w:t>II.vii</w:t>
      </w:r>
      <w:proofErr w:type="spellEnd"/>
      <w:r>
        <w:rPr>
          <w:sz w:val="20"/>
          <w:szCs w:val="20"/>
        </w:rPr>
        <w:t xml:space="preserve"> pp.389-91</w:t>
      </w:r>
    </w:p>
  </w:footnote>
  <w:footnote w:id="14">
    <w:p w14:paraId="00000021"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II.xv.36 p.409</w:t>
      </w:r>
    </w:p>
  </w:footnote>
  <w:footnote w:id="15">
    <w:p w14:paraId="00000022"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II.xv.36-37 p.411</w:t>
      </w:r>
    </w:p>
  </w:footnote>
  <w:footnote w:id="16">
    <w:p w14:paraId="00000023" w14:textId="77777777" w:rsidR="00E3499D" w:rsidRDefault="00701812">
      <w:pPr>
        <w:spacing w:line="240" w:lineRule="auto"/>
        <w:rPr>
          <w:sz w:val="20"/>
          <w:szCs w:val="20"/>
        </w:rPr>
      </w:pPr>
      <w:r>
        <w:rPr>
          <w:vertAlign w:val="superscript"/>
        </w:rPr>
        <w:footnoteRef/>
      </w:r>
      <w:r>
        <w:rPr>
          <w:sz w:val="20"/>
          <w:szCs w:val="20"/>
        </w:rPr>
        <w:t xml:space="preserve"> Cicero,</w:t>
      </w:r>
      <w:r>
        <w:rPr>
          <w:i/>
          <w:sz w:val="20"/>
          <w:szCs w:val="20"/>
        </w:rPr>
        <w:t xml:space="preserve"> </w:t>
      </w:r>
      <w:proofErr w:type="spellStart"/>
      <w:r>
        <w:rPr>
          <w:i/>
          <w:sz w:val="20"/>
          <w:szCs w:val="20"/>
        </w:rPr>
        <w:t>Div</w:t>
      </w:r>
      <w:proofErr w:type="spellEnd"/>
      <w:r>
        <w:rPr>
          <w:i/>
          <w:sz w:val="20"/>
          <w:szCs w:val="20"/>
        </w:rPr>
        <w:t xml:space="preserve">, </w:t>
      </w:r>
      <w:proofErr w:type="spellStart"/>
      <w:r>
        <w:rPr>
          <w:sz w:val="20"/>
          <w:szCs w:val="20"/>
        </w:rPr>
        <w:t>II.lx</w:t>
      </w:r>
      <w:proofErr w:type="spellEnd"/>
      <w:r>
        <w:rPr>
          <w:sz w:val="20"/>
          <w:szCs w:val="20"/>
        </w:rPr>
        <w:t>-lxi pp.511-13</w:t>
      </w:r>
    </w:p>
  </w:footnote>
  <w:footnote w:id="17">
    <w:p w14:paraId="00000024"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proofErr w:type="spellStart"/>
      <w:r>
        <w:rPr>
          <w:sz w:val="20"/>
          <w:szCs w:val="20"/>
        </w:rPr>
        <w:t>II.lxvii</w:t>
      </w:r>
      <w:proofErr w:type="spellEnd"/>
      <w:r>
        <w:rPr>
          <w:sz w:val="20"/>
          <w:szCs w:val="20"/>
        </w:rPr>
        <w:t xml:space="preserve"> pp.525-27</w:t>
      </w:r>
    </w:p>
  </w:footnote>
  <w:footnote w:id="18">
    <w:p w14:paraId="00000025"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II.lxviii.124 p.529</w:t>
      </w:r>
    </w:p>
  </w:footnote>
  <w:footnote w:id="19">
    <w:p w14:paraId="00000026"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II.lxi.127 p.513 &amp; II.lxiii.129 pp.517-19</w:t>
      </w:r>
    </w:p>
  </w:footnote>
  <w:footnote w:id="20">
    <w:p w14:paraId="00000027"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II.xxvi.55 pp.433-35</w:t>
      </w:r>
    </w:p>
  </w:footnote>
  <w:footnote w:id="21">
    <w:p w14:paraId="00000028"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II.xxiv.52 p.431</w:t>
      </w:r>
    </w:p>
  </w:footnote>
  <w:footnote w:id="22">
    <w:p w14:paraId="00000029" w14:textId="77777777" w:rsidR="00E3499D" w:rsidRDefault="00701812">
      <w:pPr>
        <w:spacing w:line="240" w:lineRule="auto"/>
        <w:rPr>
          <w:sz w:val="20"/>
          <w:szCs w:val="20"/>
        </w:rPr>
      </w:pPr>
      <w:r>
        <w:rPr>
          <w:vertAlign w:val="superscript"/>
        </w:rPr>
        <w:footnoteRef/>
      </w:r>
      <w:r>
        <w:rPr>
          <w:sz w:val="20"/>
          <w:szCs w:val="20"/>
        </w:rPr>
        <w:t xml:space="preserve"> Cicero, </w:t>
      </w:r>
      <w:r>
        <w:rPr>
          <w:i/>
          <w:sz w:val="20"/>
          <w:szCs w:val="20"/>
        </w:rPr>
        <w:t xml:space="preserve">Div. </w:t>
      </w:r>
      <w:r>
        <w:rPr>
          <w:sz w:val="20"/>
          <w:szCs w:val="20"/>
        </w:rPr>
        <w:t>II.lxii.129 pp.515-17</w:t>
      </w:r>
    </w:p>
  </w:footnote>
  <w:footnote w:id="23">
    <w:p w14:paraId="0000002A"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II.xxxxiii.90 p.473 &amp; II.xxxxv.94 p.477</w:t>
      </w:r>
    </w:p>
  </w:footnote>
  <w:footnote w:id="24">
    <w:p w14:paraId="0000002B"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w:t>
      </w:r>
      <w:r>
        <w:rPr>
          <w:sz w:val="20"/>
          <w:szCs w:val="20"/>
        </w:rPr>
        <w:t xml:space="preserve"> </w:t>
      </w:r>
      <w:proofErr w:type="spellStart"/>
      <w:r>
        <w:rPr>
          <w:sz w:val="20"/>
          <w:szCs w:val="20"/>
        </w:rPr>
        <w:t>II.xxxiv</w:t>
      </w:r>
      <w:proofErr w:type="spellEnd"/>
      <w:r>
        <w:rPr>
          <w:sz w:val="20"/>
          <w:szCs w:val="20"/>
        </w:rPr>
        <w:t>-xxxv pp. 453-55</w:t>
      </w:r>
    </w:p>
  </w:footnote>
  <w:footnote w:id="25">
    <w:p w14:paraId="0000002C"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II.xxxix.82 p. 462</w:t>
      </w:r>
    </w:p>
  </w:footnote>
  <w:footnote w:id="26">
    <w:p w14:paraId="0000002D"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II.xxxiii.70 p451</w:t>
      </w:r>
    </w:p>
  </w:footnote>
  <w:footnote w:id="27">
    <w:p w14:paraId="0000001E" w14:textId="77777777" w:rsidR="00E3499D" w:rsidRDefault="00701812">
      <w:pPr>
        <w:spacing w:line="240" w:lineRule="auto"/>
        <w:rPr>
          <w:sz w:val="20"/>
          <w:szCs w:val="20"/>
        </w:rPr>
      </w:pPr>
      <w:r>
        <w:rPr>
          <w:vertAlign w:val="superscript"/>
        </w:rPr>
        <w:footnoteRef/>
      </w:r>
      <w:r>
        <w:rPr>
          <w:sz w:val="20"/>
          <w:szCs w:val="20"/>
        </w:rPr>
        <w:t xml:space="preserve"> Cicero,</w:t>
      </w:r>
      <w:r>
        <w:rPr>
          <w:i/>
          <w:sz w:val="20"/>
          <w:szCs w:val="20"/>
        </w:rPr>
        <w:t xml:space="preserve"> </w:t>
      </w:r>
      <w:proofErr w:type="spellStart"/>
      <w:r>
        <w:rPr>
          <w:i/>
          <w:sz w:val="20"/>
          <w:szCs w:val="20"/>
        </w:rPr>
        <w:t>Div</w:t>
      </w:r>
      <w:proofErr w:type="spellEnd"/>
      <w:r>
        <w:rPr>
          <w:sz w:val="20"/>
          <w:szCs w:val="20"/>
        </w:rPr>
        <w:t>, I.xxxxvii.105 p.337</w:t>
      </w:r>
    </w:p>
  </w:footnote>
  <w:footnote w:id="28">
    <w:p w14:paraId="0000002E"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II.xxxxiii.90 pp.473-75</w:t>
      </w:r>
    </w:p>
  </w:footnote>
  <w:footnote w:id="29">
    <w:p w14:paraId="0000002F"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w:t>
      </w:r>
      <w:r>
        <w:rPr>
          <w:sz w:val="20"/>
          <w:szCs w:val="20"/>
        </w:rPr>
        <w:t xml:space="preserve"> </w:t>
      </w:r>
      <w:proofErr w:type="spellStart"/>
      <w:r>
        <w:rPr>
          <w:sz w:val="20"/>
          <w:szCs w:val="20"/>
        </w:rPr>
        <w:t>II.xxxxiv</w:t>
      </w:r>
      <w:proofErr w:type="spellEnd"/>
      <w:r>
        <w:rPr>
          <w:sz w:val="20"/>
          <w:szCs w:val="20"/>
        </w:rPr>
        <w:t xml:space="preserve"> pp.475-77</w:t>
      </w:r>
    </w:p>
  </w:footnote>
  <w:footnote w:id="30">
    <w:p w14:paraId="00000030"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proofErr w:type="spellStart"/>
      <w:r>
        <w:rPr>
          <w:sz w:val="20"/>
          <w:szCs w:val="20"/>
        </w:rPr>
        <w:t>II.xxxxv-xxxxvi</w:t>
      </w:r>
      <w:proofErr w:type="spellEnd"/>
      <w:r>
        <w:rPr>
          <w:sz w:val="20"/>
          <w:szCs w:val="20"/>
        </w:rPr>
        <w:t xml:space="preserve"> pp. 477-79</w:t>
      </w:r>
    </w:p>
  </w:footnote>
  <w:footnote w:id="31">
    <w:p w14:paraId="00000031"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II.lvi.115 p.501</w:t>
      </w:r>
    </w:p>
  </w:footnote>
  <w:footnote w:id="32">
    <w:p w14:paraId="00000032"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II.lvii.118 p.505</w:t>
      </w:r>
    </w:p>
  </w:footnote>
  <w:footnote w:id="33">
    <w:p w14:paraId="00000035" w14:textId="2E41D98B" w:rsidR="00E3499D" w:rsidRDefault="00701812">
      <w:pPr>
        <w:spacing w:line="240" w:lineRule="auto"/>
        <w:rPr>
          <w:sz w:val="20"/>
          <w:szCs w:val="20"/>
        </w:rPr>
      </w:pPr>
      <w:r>
        <w:rPr>
          <w:vertAlign w:val="superscript"/>
        </w:rPr>
        <w:footnoteRef/>
      </w:r>
      <w:r>
        <w:rPr>
          <w:sz w:val="20"/>
          <w:szCs w:val="20"/>
        </w:rPr>
        <w:t xml:space="preserve"> Herodotus, </w:t>
      </w:r>
      <w:r>
        <w:rPr>
          <w:i/>
          <w:sz w:val="20"/>
          <w:szCs w:val="20"/>
        </w:rPr>
        <w:t xml:space="preserve">The Persian Wars, </w:t>
      </w:r>
      <w:r>
        <w:rPr>
          <w:sz w:val="20"/>
          <w:szCs w:val="20"/>
        </w:rPr>
        <w:t xml:space="preserve">trans. Godley, A. D. The Persian Wars. Rev. ed., </w:t>
      </w:r>
      <w:r w:rsidR="006702F6">
        <w:rPr>
          <w:sz w:val="20"/>
          <w:szCs w:val="20"/>
        </w:rPr>
        <w:t>(</w:t>
      </w:r>
      <w:r>
        <w:rPr>
          <w:sz w:val="20"/>
          <w:szCs w:val="20"/>
        </w:rPr>
        <w:t>Harvard University Press, 1920</w:t>
      </w:r>
      <w:r w:rsidR="006702F6">
        <w:rPr>
          <w:sz w:val="20"/>
          <w:szCs w:val="20"/>
        </w:rPr>
        <w:t>)</w:t>
      </w:r>
      <w:r>
        <w:rPr>
          <w:sz w:val="20"/>
          <w:szCs w:val="20"/>
        </w:rPr>
        <w:t xml:space="preserve"> </w:t>
      </w:r>
      <w:proofErr w:type="spellStart"/>
      <w:r>
        <w:rPr>
          <w:sz w:val="20"/>
          <w:szCs w:val="20"/>
        </w:rPr>
        <w:t>V.lxii</w:t>
      </w:r>
      <w:proofErr w:type="spellEnd"/>
      <w:r>
        <w:rPr>
          <w:sz w:val="20"/>
          <w:szCs w:val="20"/>
        </w:rPr>
        <w:t xml:space="preserve"> pp.67-69 &amp; </w:t>
      </w:r>
      <w:proofErr w:type="spellStart"/>
      <w:r>
        <w:rPr>
          <w:sz w:val="20"/>
          <w:szCs w:val="20"/>
        </w:rPr>
        <w:t>VI.lxvi</w:t>
      </w:r>
      <w:proofErr w:type="spellEnd"/>
      <w:r>
        <w:rPr>
          <w:sz w:val="20"/>
          <w:szCs w:val="20"/>
        </w:rPr>
        <w:t xml:space="preserve"> p.215</w:t>
      </w:r>
    </w:p>
  </w:footnote>
  <w:footnote w:id="34">
    <w:p w14:paraId="00000033"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II.lvii.118 p.505</w:t>
      </w:r>
    </w:p>
  </w:footnote>
  <w:footnote w:id="35">
    <w:p w14:paraId="00000034"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proofErr w:type="spellStart"/>
      <w:r>
        <w:rPr>
          <w:sz w:val="20"/>
          <w:szCs w:val="20"/>
        </w:rPr>
        <w:t>II.ix</w:t>
      </w:r>
      <w:proofErr w:type="spellEnd"/>
      <w:r>
        <w:rPr>
          <w:sz w:val="20"/>
          <w:szCs w:val="20"/>
        </w:rPr>
        <w:t xml:space="preserve"> pp.395-97</w:t>
      </w:r>
    </w:p>
  </w:footnote>
  <w:footnote w:id="36">
    <w:p w14:paraId="0000001B" w14:textId="77777777" w:rsidR="00E3499D" w:rsidRDefault="00701812">
      <w:pPr>
        <w:spacing w:line="240" w:lineRule="auto"/>
        <w:rPr>
          <w:sz w:val="20"/>
          <w:szCs w:val="20"/>
        </w:rPr>
      </w:pPr>
      <w:r>
        <w:rPr>
          <w:vertAlign w:val="superscript"/>
        </w:rPr>
        <w:footnoteRef/>
      </w:r>
      <w:r>
        <w:rPr>
          <w:sz w:val="20"/>
          <w:szCs w:val="20"/>
        </w:rPr>
        <w:t xml:space="preserve"> Fox, </w:t>
      </w:r>
      <w:r>
        <w:rPr>
          <w:i/>
          <w:sz w:val="20"/>
          <w:szCs w:val="20"/>
        </w:rPr>
        <w:t>Philosophy</w:t>
      </w:r>
      <w:r>
        <w:rPr>
          <w:sz w:val="20"/>
          <w:szCs w:val="20"/>
        </w:rPr>
        <w:t>, p. 210</w:t>
      </w:r>
    </w:p>
  </w:footnote>
  <w:footnote w:id="37">
    <w:p w14:paraId="0000001D"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II.lxxii.148-149 pp. 537-9</w:t>
      </w:r>
    </w:p>
  </w:footnote>
  <w:footnote w:id="38">
    <w:p w14:paraId="0000001F" w14:textId="39541F1E" w:rsidR="00E3499D" w:rsidRDefault="00701812">
      <w:pPr>
        <w:spacing w:line="240" w:lineRule="auto"/>
        <w:rPr>
          <w:sz w:val="20"/>
          <w:szCs w:val="20"/>
        </w:rPr>
      </w:pPr>
      <w:r>
        <w:rPr>
          <w:vertAlign w:val="superscript"/>
        </w:rPr>
        <w:footnoteRef/>
      </w:r>
      <w:r>
        <w:rPr>
          <w:sz w:val="20"/>
          <w:szCs w:val="20"/>
        </w:rPr>
        <w:t xml:space="preserve"> Mary Beard, “Cicero and Divination: The Formation of a Latin Discourse.” </w:t>
      </w:r>
      <w:r>
        <w:rPr>
          <w:i/>
          <w:sz w:val="20"/>
          <w:szCs w:val="20"/>
        </w:rPr>
        <w:t>The Journal of Roman Studies</w:t>
      </w:r>
      <w:r>
        <w:rPr>
          <w:sz w:val="20"/>
          <w:szCs w:val="20"/>
        </w:rPr>
        <w:t xml:space="preserve">, vol. 76, </w:t>
      </w:r>
      <w:r w:rsidR="006702F6">
        <w:rPr>
          <w:sz w:val="20"/>
          <w:szCs w:val="20"/>
        </w:rPr>
        <w:t>(</w:t>
      </w:r>
      <w:r>
        <w:rPr>
          <w:sz w:val="20"/>
          <w:szCs w:val="20"/>
        </w:rPr>
        <w:t>1986</w:t>
      </w:r>
      <w:r w:rsidR="006702F6">
        <w:rPr>
          <w:sz w:val="20"/>
          <w:szCs w:val="20"/>
        </w:rPr>
        <w:t>)</w:t>
      </w:r>
      <w:r>
        <w:rPr>
          <w:sz w:val="20"/>
          <w:szCs w:val="20"/>
        </w:rPr>
        <w:t>, p. 44</w:t>
      </w:r>
    </w:p>
  </w:footnote>
  <w:footnote w:id="39">
    <w:p w14:paraId="00000036" w14:textId="77777777" w:rsidR="00E3499D" w:rsidRDefault="00701812">
      <w:pPr>
        <w:spacing w:line="240" w:lineRule="auto"/>
        <w:rPr>
          <w:sz w:val="20"/>
          <w:szCs w:val="20"/>
        </w:rPr>
      </w:pPr>
      <w:r>
        <w:rPr>
          <w:vertAlign w:val="superscript"/>
        </w:rPr>
        <w:footnoteRef/>
      </w:r>
      <w:r>
        <w:rPr>
          <w:sz w:val="20"/>
          <w:szCs w:val="20"/>
        </w:rPr>
        <w:t xml:space="preserve"> Cicero, </w:t>
      </w:r>
      <w:proofErr w:type="spellStart"/>
      <w:r>
        <w:rPr>
          <w:i/>
          <w:sz w:val="20"/>
          <w:szCs w:val="20"/>
        </w:rPr>
        <w:t>Div</w:t>
      </w:r>
      <w:proofErr w:type="spellEnd"/>
      <w:r>
        <w:rPr>
          <w:i/>
          <w:sz w:val="20"/>
          <w:szCs w:val="20"/>
        </w:rPr>
        <w:t xml:space="preserve">, </w:t>
      </w:r>
      <w:r>
        <w:rPr>
          <w:sz w:val="20"/>
          <w:szCs w:val="20"/>
        </w:rPr>
        <w:t>II.lxxii.150 p.539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20" w14:textId="77777777" w:rsidR="00E3499D" w:rsidRDefault="00E3499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99D"/>
    <w:rsid w:val="00425997"/>
    <w:rsid w:val="00477E8C"/>
    <w:rsid w:val="006702F6"/>
    <w:rsid w:val="00701812"/>
    <w:rsid w:val="009A521B"/>
    <w:rsid w:val="00A36D51"/>
    <w:rsid w:val="00BA3AEF"/>
    <w:rsid w:val="00E34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05B92"/>
  <w15:docId w15:val="{EB8171F1-70FF-43B4-9493-2F0460AAA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nhideWhenUsed/>
    <w:rsid w:val="006702F6"/>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2215</Words>
  <Characters>12631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Jackson</dc:creator>
  <cp:lastModifiedBy>Zoe Jackson</cp:lastModifiedBy>
  <cp:revision>5</cp:revision>
  <dcterms:created xsi:type="dcterms:W3CDTF">2019-06-14T10:40:00Z</dcterms:created>
  <dcterms:modified xsi:type="dcterms:W3CDTF">2019-06-16T14:57:00Z</dcterms:modified>
</cp:coreProperties>
</file>