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8F7BB8" w14:textId="77777777" w:rsidR="00146AC4" w:rsidRPr="00BF421A" w:rsidRDefault="00146AC4" w:rsidP="00146AC4">
      <w:pPr>
        <w:rPr>
          <w:rFonts w:ascii="Arial" w:hAnsi="Arial" w:cs="Arial"/>
          <w:b/>
          <w:bCs/>
          <w:color w:val="000000" w:themeColor="text1"/>
        </w:rPr>
      </w:pPr>
      <w:proofErr w:type="spellStart"/>
      <w:r w:rsidRPr="00BF421A">
        <w:rPr>
          <w:rFonts w:ascii="Arial" w:hAnsi="Arial" w:cs="Arial"/>
          <w:b/>
          <w:bCs/>
          <w:color w:val="000000" w:themeColor="text1"/>
        </w:rPr>
        <w:t>Nikol</w:t>
      </w:r>
      <w:proofErr w:type="spellEnd"/>
      <w:r w:rsidRPr="00BF421A">
        <w:rPr>
          <w:rFonts w:ascii="Arial" w:hAnsi="Arial" w:cs="Arial"/>
          <w:b/>
          <w:bCs/>
          <w:color w:val="000000" w:themeColor="text1"/>
        </w:rPr>
        <w:t xml:space="preserve"> Ivanova</w:t>
      </w:r>
    </w:p>
    <w:p w14:paraId="5289FE63" w14:textId="77777777" w:rsidR="00146AC4" w:rsidRPr="006867F9" w:rsidRDefault="00146AC4" w:rsidP="00146AC4">
      <w:pPr>
        <w:rPr>
          <w:rFonts w:ascii="Arial" w:hAnsi="Arial" w:cs="Arial"/>
          <w:b/>
          <w:color w:val="000000" w:themeColor="text1"/>
        </w:rPr>
      </w:pPr>
      <w:r w:rsidRPr="006867F9">
        <w:rPr>
          <w:rFonts w:ascii="Arial" w:hAnsi="Arial" w:cs="Arial"/>
          <w:b/>
          <w:color w:val="000000" w:themeColor="text1"/>
        </w:rPr>
        <w:t>Principles of Professional Legal Practice</w:t>
      </w:r>
    </w:p>
    <w:p w14:paraId="12F0ECD1" w14:textId="77777777" w:rsidR="00146AC4" w:rsidRPr="006867F9" w:rsidRDefault="00146AC4" w:rsidP="00146AC4">
      <w:pPr>
        <w:rPr>
          <w:rFonts w:ascii="Arial" w:hAnsi="Arial" w:cs="Arial"/>
          <w:b/>
          <w:color w:val="000000" w:themeColor="text1"/>
        </w:rPr>
      </w:pPr>
    </w:p>
    <w:p w14:paraId="3FB9C107" w14:textId="0F02133D" w:rsidR="00146AC4" w:rsidRPr="006867F9" w:rsidRDefault="00146AC4" w:rsidP="00146AC4">
      <w:pPr>
        <w:rPr>
          <w:rFonts w:ascii="Arial" w:hAnsi="Arial" w:cs="Arial"/>
          <w:color w:val="000000" w:themeColor="text1"/>
        </w:rPr>
      </w:pPr>
      <w:r w:rsidRPr="006867F9">
        <w:rPr>
          <w:rFonts w:ascii="Arial" w:hAnsi="Arial" w:cs="Arial"/>
          <w:b/>
          <w:color w:val="000000" w:themeColor="text1"/>
        </w:rPr>
        <w:t>Assignment 2 - Equality and Diversity</w:t>
      </w:r>
    </w:p>
    <w:p w14:paraId="542EFEBC" w14:textId="77777777" w:rsidR="00146AC4" w:rsidRPr="006867F9" w:rsidRDefault="00146AC4" w:rsidP="00146AC4">
      <w:pPr>
        <w:rPr>
          <w:rFonts w:ascii="Arial" w:hAnsi="Arial" w:cs="Arial"/>
          <w:color w:val="000000" w:themeColor="text1"/>
        </w:rPr>
      </w:pPr>
    </w:p>
    <w:p w14:paraId="29EF604B" w14:textId="77777777" w:rsidR="00146AC4" w:rsidRPr="006867F9" w:rsidRDefault="00146AC4" w:rsidP="00146AC4">
      <w:pPr>
        <w:rPr>
          <w:rFonts w:ascii="Arial" w:hAnsi="Arial" w:cs="Arial"/>
          <w:color w:val="000000" w:themeColor="text1"/>
        </w:rPr>
      </w:pPr>
      <w:r w:rsidRPr="006867F9">
        <w:rPr>
          <w:rFonts w:ascii="Arial" w:hAnsi="Arial" w:cs="Arial"/>
          <w:color w:val="000000" w:themeColor="text1"/>
          <w:shd w:val="clear" w:color="auto" w:fill="FFFFFF"/>
        </w:rPr>
        <w:t>Although there is a legal definition of equal opportunity, the general understanding of "equal opportunity" is the principle of treating individuals and/or groups fairly and without discrimination. Equality and diversity are crucial in the legal profession for several reasons. Firstly, the legal profession should reflect the diversity of the society it serves and should not be limited to a particular group. Secondly, promoting equality and diversity can help to create a more inclusive and welcoming environment for all individuals, regardless of their background. This, in turn, can help to attract and retain talent from a wider range of backgrounds. Thirdly, it can help to ensure that legal professionals are better equipped to understand and serve the needs of a diverse range of clients. Finally, promoting equality and diversity can help to build trust and confidence in the legal profession, both among clients and the wider public.</w:t>
      </w:r>
    </w:p>
    <w:p w14:paraId="5F4DE999" w14:textId="77777777" w:rsidR="00146AC4" w:rsidRPr="006867F9" w:rsidRDefault="00146AC4" w:rsidP="00146AC4">
      <w:pPr>
        <w:rPr>
          <w:rFonts w:ascii="Arial" w:hAnsi="Arial" w:cs="Arial"/>
          <w:color w:val="000000" w:themeColor="text1"/>
        </w:rPr>
      </w:pPr>
    </w:p>
    <w:p w14:paraId="0C1A1129" w14:textId="5F1106F1" w:rsidR="009B3F28" w:rsidRPr="006867F9" w:rsidRDefault="00146AC4" w:rsidP="00146AC4">
      <w:pPr>
        <w:rPr>
          <w:rFonts w:ascii="Arial" w:hAnsi="Arial" w:cs="Arial"/>
          <w:color w:val="000000" w:themeColor="text1"/>
        </w:rPr>
      </w:pPr>
      <w:r w:rsidRPr="006867F9">
        <w:rPr>
          <w:rFonts w:ascii="Arial" w:hAnsi="Arial" w:cs="Arial"/>
          <w:color w:val="000000" w:themeColor="text1"/>
        </w:rPr>
        <w:t>The Equality Act 2010 sets out the legal framework for promoting equality and diversity in the UK, including in the legal profession. The Act prohibits discrimination based on age, disability, gender reassignment, marriage and civil partnership, pregnancy and maternity, race, religion or belief, sex, and sexual orientation. The Act requires that all individuals are treated fairly and without discrimination and that reasonable adjustments are made to ensure that individuals with disabilities are not placed at a disadvantage.</w:t>
      </w:r>
    </w:p>
    <w:p w14:paraId="775E56D3" w14:textId="77777777" w:rsidR="00146AC4" w:rsidRPr="006867F9" w:rsidRDefault="00146AC4" w:rsidP="00146AC4">
      <w:pPr>
        <w:rPr>
          <w:rFonts w:ascii="Arial" w:hAnsi="Arial" w:cs="Arial"/>
          <w:color w:val="000000" w:themeColor="text1"/>
        </w:rPr>
      </w:pPr>
    </w:p>
    <w:p w14:paraId="7935DA87" w14:textId="77777777" w:rsidR="00146AC4" w:rsidRPr="006867F9" w:rsidRDefault="00146AC4" w:rsidP="00146AC4">
      <w:pPr>
        <w:rPr>
          <w:rFonts w:ascii="Arial" w:hAnsi="Arial" w:cs="Arial"/>
          <w:color w:val="000000" w:themeColor="text1"/>
        </w:rPr>
      </w:pPr>
      <w:r w:rsidRPr="006867F9">
        <w:rPr>
          <w:rFonts w:ascii="Arial" w:hAnsi="Arial" w:cs="Arial"/>
          <w:color w:val="000000" w:themeColor="text1"/>
        </w:rPr>
        <w:t xml:space="preserve">The SRA Code of Conduct (2019) provides guidance for legal professionals on their professional conduct and ethical obligations. The Code requires legal professionals to act with integrity, uphold the rule of law, and promote public trust and confidence in the legal profession. Also creates an inclusive work environment, providing equal access to legal services, and avoiding discriminatory language or behaviour. </w:t>
      </w:r>
    </w:p>
    <w:p w14:paraId="220D733E" w14:textId="77777777" w:rsidR="00146AC4" w:rsidRPr="006867F9" w:rsidRDefault="00146AC4" w:rsidP="00146AC4">
      <w:pPr>
        <w:rPr>
          <w:rFonts w:ascii="Arial" w:hAnsi="Arial" w:cs="Arial"/>
          <w:color w:val="000000" w:themeColor="text1"/>
        </w:rPr>
      </w:pPr>
    </w:p>
    <w:p w14:paraId="790AD149" w14:textId="77777777" w:rsidR="00146AC4" w:rsidRPr="006867F9" w:rsidRDefault="00146AC4" w:rsidP="00146AC4">
      <w:pPr>
        <w:rPr>
          <w:rFonts w:ascii="Arial" w:hAnsi="Arial" w:cs="Arial"/>
          <w:color w:val="000000" w:themeColor="text1"/>
        </w:rPr>
      </w:pPr>
      <w:r w:rsidRPr="006867F9">
        <w:rPr>
          <w:rFonts w:ascii="Arial" w:hAnsi="Arial" w:cs="Arial"/>
          <w:color w:val="000000" w:themeColor="text1"/>
        </w:rPr>
        <w:t>The EOC's main responsibility is to enforce the law in the public interest. They assist individuals with complaints and legal proceedings, hold inquiries and investigations, issue non-discrimination notices, and take preliminary action in employment cases and those involving discrimination in advertising or instructions. The EOC considers access to justice to be a crucial right, and their ability to offer legal representation or other forms of aid is essential. Cases supported by the EOC have been helpful in interpreting and enforcing the law. Their recommendations for enforcing the law are aimed at improving the system's effectiveness. The EOC provides legal advice and assistance to people who seek it. However, this reactive service can only make a limited contribution to their long-term goals since they have no control over who seeks help and what issues they are concerned about. Their plans aim to give the EOC broader and more powerful abilities in both individual cases and formal investigations, allowing them to take a more strategic approach to law enforcement.</w:t>
      </w:r>
    </w:p>
    <w:p w14:paraId="73D0972A" w14:textId="77777777" w:rsidR="009B3F28" w:rsidRPr="006867F9" w:rsidRDefault="009B3F28" w:rsidP="00146AC4">
      <w:pPr>
        <w:rPr>
          <w:rFonts w:ascii="Arial" w:hAnsi="Arial" w:cs="Arial"/>
          <w:color w:val="000000" w:themeColor="text1"/>
        </w:rPr>
      </w:pPr>
    </w:p>
    <w:p w14:paraId="64F49514" w14:textId="7362D2AC" w:rsidR="009B3F28" w:rsidRPr="006867F9" w:rsidRDefault="009B3F28" w:rsidP="00146AC4">
      <w:pPr>
        <w:rPr>
          <w:rFonts w:ascii="Arial" w:hAnsi="Arial" w:cs="Arial"/>
          <w:color w:val="000000" w:themeColor="text1"/>
        </w:rPr>
      </w:pPr>
      <w:r w:rsidRPr="006867F9">
        <w:rPr>
          <w:rFonts w:ascii="Arial" w:hAnsi="Arial" w:cs="Arial"/>
          <w:color w:val="000000" w:themeColor="text1"/>
        </w:rPr>
        <w:t>The Law Society (2021) states that "Equality, diversity and inclusion are essential components of a modern, forward-thinking legal profession. They are fundamental to the provision of high-quality legal services and a key driver of business success."</w:t>
      </w:r>
    </w:p>
    <w:p w14:paraId="2F0BCD77" w14:textId="77777777" w:rsidR="00146AC4" w:rsidRPr="006867F9" w:rsidRDefault="00146AC4" w:rsidP="00146AC4">
      <w:pPr>
        <w:rPr>
          <w:rFonts w:ascii="Arial" w:hAnsi="Arial" w:cs="Arial"/>
          <w:color w:val="000000" w:themeColor="text1"/>
        </w:rPr>
      </w:pPr>
    </w:p>
    <w:p w14:paraId="72D61017" w14:textId="2CAA5514" w:rsidR="00146AC4" w:rsidRPr="006867F9" w:rsidRDefault="00146AC4" w:rsidP="00146AC4">
      <w:pPr>
        <w:rPr>
          <w:rFonts w:ascii="Arial" w:hAnsi="Arial" w:cs="Arial"/>
          <w:color w:val="000000" w:themeColor="text1"/>
        </w:rPr>
      </w:pPr>
      <w:r w:rsidRPr="006867F9">
        <w:rPr>
          <w:rFonts w:ascii="Arial" w:hAnsi="Arial" w:cs="Arial"/>
          <w:color w:val="000000" w:themeColor="text1"/>
        </w:rPr>
        <w:lastRenderedPageBreak/>
        <w:t xml:space="preserve">The Equality Act places a positive duty on public bodies to promote "equality of opportunity" between individuals </w:t>
      </w:r>
      <w:r w:rsidR="004971CD">
        <w:rPr>
          <w:rFonts w:ascii="Arial" w:hAnsi="Arial" w:cs="Arial"/>
          <w:color w:val="000000" w:themeColor="text1"/>
        </w:rPr>
        <w:t>with protected characteristics and those without</w:t>
      </w:r>
      <w:r w:rsidRPr="006867F9">
        <w:rPr>
          <w:rFonts w:ascii="Arial" w:hAnsi="Arial" w:cs="Arial"/>
          <w:color w:val="000000" w:themeColor="text1"/>
        </w:rPr>
        <w:t xml:space="preserve">. However, the meaning of "equality of opportunity" is not clearly defined, and it has both procedural and substantive aspects. Procedural justice does not guarantee any particular outcome, but </w:t>
      </w:r>
      <w:r w:rsidR="004971CD">
        <w:rPr>
          <w:rFonts w:ascii="Arial" w:hAnsi="Arial" w:cs="Arial"/>
          <w:color w:val="000000" w:themeColor="text1"/>
        </w:rPr>
        <w:t>it is</w:t>
      </w:r>
      <w:r w:rsidRPr="006867F9">
        <w:rPr>
          <w:rFonts w:ascii="Arial" w:hAnsi="Arial" w:cs="Arial"/>
          <w:color w:val="000000" w:themeColor="text1"/>
        </w:rPr>
        <w:t xml:space="preserve"> argu</w:t>
      </w:r>
      <w:r w:rsidR="004971CD">
        <w:rPr>
          <w:rFonts w:ascii="Arial" w:hAnsi="Arial" w:cs="Arial"/>
          <w:color w:val="000000" w:themeColor="text1"/>
        </w:rPr>
        <w:t>able</w:t>
      </w:r>
      <w:r w:rsidRPr="006867F9">
        <w:rPr>
          <w:rFonts w:ascii="Arial" w:hAnsi="Arial" w:cs="Arial"/>
          <w:color w:val="000000" w:themeColor="text1"/>
        </w:rPr>
        <w:t xml:space="preserve"> that equality of opportunity includes both the opportunity to pursue one's chosen objectives and the process of choice itself. This can be judged from the perspective of the outcome or by considering the way in which a person reaches the outcome. Although "third way" theorists generally support equality of opportunity because it aligns with other principles of individual responsibility and choice, there is much debate over when and to what extent redistribution is justified. </w:t>
      </w:r>
    </w:p>
    <w:p w14:paraId="19343599" w14:textId="77777777" w:rsidR="00146AC4" w:rsidRPr="006867F9" w:rsidRDefault="00146AC4" w:rsidP="00146AC4">
      <w:pPr>
        <w:rPr>
          <w:rFonts w:ascii="Arial" w:hAnsi="Arial" w:cs="Arial"/>
          <w:color w:val="000000" w:themeColor="text1"/>
        </w:rPr>
      </w:pPr>
    </w:p>
    <w:p w14:paraId="02F8F026" w14:textId="7D2746AE" w:rsidR="00146AC4" w:rsidRPr="006867F9" w:rsidRDefault="00146AC4" w:rsidP="00146AC4">
      <w:pPr>
        <w:rPr>
          <w:rFonts w:ascii="Arial" w:hAnsi="Arial" w:cs="Arial"/>
          <w:color w:val="000000" w:themeColor="text1"/>
        </w:rPr>
      </w:pPr>
      <w:r w:rsidRPr="006867F9">
        <w:rPr>
          <w:rFonts w:ascii="Arial" w:hAnsi="Arial" w:cs="Arial"/>
          <w:color w:val="000000" w:themeColor="text1"/>
        </w:rPr>
        <w:t xml:space="preserve">The legal profession should reflect the diversity of society to ensure that the law is applied fairly to all individuals, regardless of their background or characteristics. A diverse legal profession can also bring different perspectives and approaches to legal issues, leading to a more nuanced and effective legal system. Additionally, promoting equality and diversity within the legal profession can help </w:t>
      </w:r>
      <w:r w:rsidR="004971CD">
        <w:rPr>
          <w:rFonts w:ascii="Arial" w:hAnsi="Arial" w:cs="Arial"/>
          <w:color w:val="000000" w:themeColor="text1"/>
        </w:rPr>
        <w:t xml:space="preserve">address historical imbalances and discrimination and </w:t>
      </w:r>
      <w:r w:rsidRPr="006867F9">
        <w:rPr>
          <w:rFonts w:ascii="Arial" w:hAnsi="Arial" w:cs="Arial"/>
          <w:color w:val="000000" w:themeColor="text1"/>
        </w:rPr>
        <w:t>promote a sense of inclusion and belonging for all individuals. Also ensures that everyone has an equal chance to succeed, regardless of their background or personal characteristics.</w:t>
      </w:r>
    </w:p>
    <w:p w14:paraId="232192CF" w14:textId="77777777" w:rsidR="00146AC4" w:rsidRPr="006867F9" w:rsidRDefault="00146AC4" w:rsidP="00146AC4">
      <w:pPr>
        <w:rPr>
          <w:rFonts w:ascii="Arial" w:hAnsi="Arial" w:cs="Arial"/>
          <w:color w:val="000000" w:themeColor="text1"/>
        </w:rPr>
      </w:pPr>
    </w:p>
    <w:p w14:paraId="5A09E119" w14:textId="77777777" w:rsidR="00146AC4" w:rsidRPr="006867F9" w:rsidRDefault="00146AC4" w:rsidP="00146AC4">
      <w:pPr>
        <w:rPr>
          <w:rFonts w:ascii="Arial" w:hAnsi="Arial" w:cs="Arial"/>
          <w:color w:val="000000" w:themeColor="text1"/>
          <w:shd w:val="clear" w:color="auto" w:fill="FFFFFF"/>
        </w:rPr>
      </w:pPr>
      <w:r w:rsidRPr="006867F9">
        <w:rPr>
          <w:rFonts w:ascii="Arial" w:hAnsi="Arial" w:cs="Arial"/>
          <w:color w:val="000000" w:themeColor="text1"/>
          <w:shd w:val="clear" w:color="auto" w:fill="FFFFFF"/>
        </w:rPr>
        <w:t xml:space="preserve">While the concept of indirect discrimination is important, it is not enough to achieve equality of outcomes. Professor </w:t>
      </w:r>
      <w:proofErr w:type="spellStart"/>
      <w:r w:rsidRPr="006867F9">
        <w:rPr>
          <w:rFonts w:ascii="Arial" w:hAnsi="Arial" w:cs="Arial"/>
          <w:color w:val="000000" w:themeColor="text1"/>
          <w:shd w:val="clear" w:color="auto" w:fill="FFFFFF"/>
        </w:rPr>
        <w:t>Fredman</w:t>
      </w:r>
      <w:proofErr w:type="spellEnd"/>
      <w:r w:rsidRPr="006867F9">
        <w:rPr>
          <w:rFonts w:ascii="Arial" w:hAnsi="Arial" w:cs="Arial"/>
          <w:color w:val="000000" w:themeColor="text1"/>
          <w:shd w:val="clear" w:color="auto" w:fill="FFFFFF"/>
        </w:rPr>
        <w:t xml:space="preserve"> argues that ‘’if no exclusionary criteria can be identified, no action needs to be taken.’’ Direct and indirect discrimination provisions are limited because they do not require any action to be taken unless an individual respondent is responsible for the discrimination and the complainant is a direct victim. In contrast, a positive duty to promote equality is proactive and sidesteps these limitations. The law identifies public authorities and employers as those in the best position to promote equality, and the duty is triggered by visible patterns of underrepresentation.</w:t>
      </w:r>
    </w:p>
    <w:p w14:paraId="480D5B04" w14:textId="77777777" w:rsidR="00146AC4" w:rsidRPr="006867F9" w:rsidRDefault="00146AC4" w:rsidP="00146AC4">
      <w:pPr>
        <w:rPr>
          <w:rFonts w:ascii="Arial" w:hAnsi="Arial" w:cs="Arial"/>
          <w:color w:val="000000" w:themeColor="text1"/>
          <w:shd w:val="clear" w:color="auto" w:fill="FFFFFF"/>
        </w:rPr>
      </w:pPr>
    </w:p>
    <w:p w14:paraId="4369879D" w14:textId="53E7E39F" w:rsidR="00146AC4" w:rsidRPr="006867F9" w:rsidRDefault="00ED4EB7" w:rsidP="00146AC4">
      <w:pPr>
        <w:rPr>
          <w:rFonts w:ascii="Arial" w:hAnsi="Arial" w:cs="Arial"/>
          <w:color w:val="000000" w:themeColor="text1"/>
        </w:rPr>
      </w:pPr>
      <w:r>
        <w:rPr>
          <w:rFonts w:ascii="Arial" w:hAnsi="Arial" w:cs="Arial"/>
          <w:color w:val="000000" w:themeColor="text1"/>
          <w:shd w:val="clear" w:color="auto" w:fill="FFFFFF"/>
        </w:rPr>
        <w:t>At times</w:t>
      </w:r>
      <w:r w:rsidR="00146AC4" w:rsidRPr="006867F9">
        <w:rPr>
          <w:rFonts w:ascii="Arial" w:hAnsi="Arial" w:cs="Arial"/>
          <w:color w:val="000000" w:themeColor="text1"/>
          <w:shd w:val="clear" w:color="auto" w:fill="FFFFFF"/>
        </w:rPr>
        <w:t xml:space="preserve"> it is unclear if promoting equality of opportunity is a narrow procedural obligation or a broader substantive one. The procedural view of equal opportunities is concerned with removing obstacles or barriers that prevent equal opportunities, such as word-of-mouth recruitment or non-job-related selection criteria.</w:t>
      </w:r>
    </w:p>
    <w:p w14:paraId="42845FBC" w14:textId="217EF848" w:rsidR="00146AC4" w:rsidRPr="006867F9" w:rsidRDefault="00146AC4" w:rsidP="00146AC4">
      <w:pPr>
        <w:rPr>
          <w:rFonts w:ascii="Arial" w:hAnsi="Arial" w:cs="Arial"/>
          <w:color w:val="000000" w:themeColor="text1"/>
        </w:rPr>
      </w:pPr>
      <w:r w:rsidRPr="006867F9">
        <w:rPr>
          <w:rFonts w:ascii="Arial" w:hAnsi="Arial" w:cs="Arial"/>
          <w:color w:val="000000" w:themeColor="text1"/>
        </w:rPr>
        <w:t>This opens more opportunities but does "not guarantee that more women or minorities will, in fact, be in a position to take advantage of those opportunities</w:t>
      </w:r>
      <w:r w:rsidR="00ED4EB7">
        <w:rPr>
          <w:rFonts w:ascii="Arial" w:hAnsi="Arial" w:cs="Arial"/>
          <w:color w:val="000000" w:themeColor="text1"/>
        </w:rPr>
        <w:t xml:space="preserve"> </w:t>
      </w:r>
      <w:r w:rsidRPr="006867F9">
        <w:rPr>
          <w:rFonts w:ascii="Arial" w:hAnsi="Arial" w:cs="Arial"/>
          <w:color w:val="000000" w:themeColor="text1"/>
        </w:rPr>
        <w:t xml:space="preserve">because their capacities have been limited by the effects of social disadvantage." Anti-discrimination provisions are only one aspect of a broader framework for the promotion of equality. </w:t>
      </w:r>
    </w:p>
    <w:p w14:paraId="6B5996FF" w14:textId="77777777" w:rsidR="00146AC4" w:rsidRPr="006867F9" w:rsidRDefault="00146AC4" w:rsidP="00146AC4">
      <w:pPr>
        <w:rPr>
          <w:rFonts w:ascii="Arial" w:hAnsi="Arial" w:cs="Arial"/>
          <w:color w:val="000000" w:themeColor="text1"/>
        </w:rPr>
      </w:pPr>
    </w:p>
    <w:p w14:paraId="67029D76" w14:textId="77777777" w:rsidR="00146AC4" w:rsidRPr="006867F9" w:rsidRDefault="00146AC4" w:rsidP="00146AC4">
      <w:pPr>
        <w:rPr>
          <w:rFonts w:ascii="Arial" w:hAnsi="Arial" w:cs="Arial"/>
          <w:color w:val="000000" w:themeColor="text1"/>
          <w:shd w:val="clear" w:color="auto" w:fill="FFFFFF"/>
        </w:rPr>
      </w:pPr>
      <w:r w:rsidRPr="006867F9">
        <w:rPr>
          <w:rFonts w:ascii="Arial" w:hAnsi="Arial" w:cs="Arial"/>
          <w:color w:val="000000" w:themeColor="text1"/>
        </w:rPr>
        <w:t xml:space="preserve">The comparator requirement in the 2010 Act is materially identical to that which was found in the Act's predecessor provisions. At least prior to the decision of the House of Lords in </w:t>
      </w:r>
      <w:proofErr w:type="spellStart"/>
      <w:r w:rsidRPr="006867F9">
        <w:rPr>
          <w:rFonts w:ascii="Arial" w:hAnsi="Arial" w:cs="Arial"/>
          <w:color w:val="000000" w:themeColor="text1"/>
        </w:rPr>
        <w:t>Shamoon</w:t>
      </w:r>
      <w:proofErr w:type="spellEnd"/>
      <w:r w:rsidRPr="006867F9">
        <w:rPr>
          <w:rFonts w:ascii="Arial" w:hAnsi="Arial" w:cs="Arial"/>
          <w:color w:val="000000" w:themeColor="text1"/>
        </w:rPr>
        <w:t xml:space="preserve"> v Chief Constable of the Royal Ulster Constabulary (2003), </w:t>
      </w:r>
      <w:r w:rsidRPr="006867F9">
        <w:rPr>
          <w:rFonts w:ascii="Arial" w:hAnsi="Arial" w:cs="Arial"/>
          <w:color w:val="000000" w:themeColor="text1"/>
          <w:shd w:val="clear" w:color="auto" w:fill="FFFFFF"/>
        </w:rPr>
        <w:t xml:space="preserve">courts often used a two-stage approach to determine if there was actionable discrimination. The first stage was to establish if the claimant had received less favourable treatment than an appropriate comparator (real or hypothetical). The second stage was to determine if the less favourable treatment was on the relevant protected ground. Lord Nicholls pointed out that while this approach could be helpful, </w:t>
      </w:r>
      <w:r w:rsidRPr="006867F9">
        <w:rPr>
          <w:rFonts w:ascii="Arial" w:hAnsi="Arial" w:cs="Arial"/>
          <w:color w:val="000000" w:themeColor="text1"/>
          <w:shd w:val="clear" w:color="auto" w:fill="FFFFFF"/>
        </w:rPr>
        <w:lastRenderedPageBreak/>
        <w:t>it was not mandated by the law and could be complicated in cases where the identity of the relevant comparator was a matter of dispute.</w:t>
      </w:r>
    </w:p>
    <w:p w14:paraId="6A5F9633" w14:textId="77777777" w:rsidR="00146AC4" w:rsidRPr="006867F9" w:rsidRDefault="00146AC4" w:rsidP="00146AC4">
      <w:pPr>
        <w:rPr>
          <w:rFonts w:ascii="Arial" w:hAnsi="Arial" w:cs="Arial"/>
          <w:color w:val="000000" w:themeColor="text1"/>
          <w:shd w:val="clear" w:color="auto" w:fill="FFFFFF"/>
        </w:rPr>
      </w:pPr>
    </w:p>
    <w:p w14:paraId="701216AA" w14:textId="77777777" w:rsidR="00146AC4" w:rsidRPr="006867F9" w:rsidRDefault="00146AC4" w:rsidP="00146AC4">
      <w:pPr>
        <w:pStyle w:val="NormalWeb"/>
        <w:spacing w:before="0" w:after="0"/>
        <w:rPr>
          <w:rFonts w:ascii="Arial" w:hAnsi="Arial" w:cs="Arial"/>
          <w:color w:val="000000" w:themeColor="text1"/>
          <w:lang w:eastAsia="en-GB"/>
        </w:rPr>
      </w:pPr>
      <w:r w:rsidRPr="006867F9">
        <w:rPr>
          <w:rFonts w:ascii="Arial" w:hAnsi="Arial" w:cs="Arial"/>
          <w:color w:val="000000" w:themeColor="text1"/>
        </w:rPr>
        <w:t xml:space="preserve">According to the case of Jenkins, R, 'Equal opportunity in the private sector the limits of voluntarism', in Jenkins, R and </w:t>
      </w:r>
      <w:proofErr w:type="spellStart"/>
      <w:r w:rsidRPr="006867F9">
        <w:rPr>
          <w:rFonts w:ascii="Arial" w:hAnsi="Arial" w:cs="Arial"/>
          <w:color w:val="000000" w:themeColor="text1"/>
        </w:rPr>
        <w:t>Solomos</w:t>
      </w:r>
      <w:proofErr w:type="spellEnd"/>
      <w:r w:rsidRPr="006867F9">
        <w:rPr>
          <w:rFonts w:ascii="Arial" w:hAnsi="Arial" w:cs="Arial"/>
          <w:color w:val="000000" w:themeColor="text1"/>
        </w:rPr>
        <w:t xml:space="preserve">, J (eds), Racism and Equal Opportunity Policies in the 1980s, 1987, Cambridge: CUP, pp 113-15: </w:t>
      </w:r>
      <w:r w:rsidRPr="006867F9">
        <w:rPr>
          <w:rFonts w:ascii="Arial" w:hAnsi="Arial" w:cs="Arial"/>
          <w:color w:val="000000" w:themeColor="text1"/>
          <w:lang w:eastAsia="en-GB"/>
        </w:rPr>
        <w:t>There are at least seven factors which may lie behind the initial organisational decision to adopt an [equal opportunities] policy ... i</w:t>
      </w:r>
      <w:r w:rsidRPr="006867F9">
        <w:rPr>
          <w:rFonts w:ascii="Arial" w:hAnsi="Arial" w:cs="Arial"/>
          <w:color w:val="000000" w:themeColor="text1"/>
        </w:rPr>
        <w:t>n the first place, an EO policy may represent a straightforward response to a 'race' problem, such as, for example, pressure from the Commission for Racial Equality, an unfavourable [legal] decision, or a 'race'-related industrial relations problem.</w:t>
      </w:r>
    </w:p>
    <w:p w14:paraId="43EC15A4" w14:textId="77777777" w:rsidR="009F7550" w:rsidRPr="006867F9" w:rsidRDefault="009F7550" w:rsidP="009F7550">
      <w:pPr>
        <w:pStyle w:val="NormalWeb"/>
        <w:spacing w:before="0" w:after="0"/>
        <w:rPr>
          <w:rFonts w:ascii="Arial" w:hAnsi="Arial" w:cs="Arial"/>
          <w:color w:val="000000" w:themeColor="text1"/>
          <w:lang w:eastAsia="en-GB"/>
        </w:rPr>
      </w:pPr>
    </w:p>
    <w:p w14:paraId="53070307" w14:textId="15D2EBAB" w:rsidR="009F7550" w:rsidRPr="006867F9" w:rsidRDefault="009F7550" w:rsidP="009F7550">
      <w:pPr>
        <w:pStyle w:val="NormalWeb"/>
        <w:spacing w:before="0" w:after="0"/>
        <w:rPr>
          <w:rFonts w:ascii="Arial" w:hAnsi="Arial" w:cs="Arial"/>
          <w:color w:val="000000" w:themeColor="text1"/>
          <w:shd w:val="clear" w:color="auto" w:fill="FFFFFF"/>
        </w:rPr>
      </w:pPr>
      <w:r w:rsidRPr="006867F9">
        <w:rPr>
          <w:rFonts w:ascii="Arial" w:hAnsi="Arial" w:cs="Arial"/>
          <w:color w:val="000000" w:themeColor="text1"/>
          <w:shd w:val="clear" w:color="auto" w:fill="FFFFFF"/>
        </w:rPr>
        <w:t xml:space="preserve">According to recent research, </w:t>
      </w:r>
      <w:r w:rsidRPr="006867F9">
        <w:rPr>
          <w:rFonts w:ascii="Arial" w:hAnsi="Arial" w:cs="Arial"/>
          <w:color w:val="000000" w:themeColor="text1"/>
          <w:shd w:val="clear" w:color="auto" w:fill="FFFFFF"/>
        </w:rPr>
        <w:t>‘’The legal profession has a responsibility to promote equality and diversity, as research has shown that diverse teams are more effective and better able to identify and manage risks ‘’ (Huang and Flynn, 2021).</w:t>
      </w:r>
    </w:p>
    <w:p w14:paraId="00FC666E" w14:textId="77777777" w:rsidR="00146AC4" w:rsidRPr="006867F9" w:rsidRDefault="00146AC4" w:rsidP="00146AC4">
      <w:pPr>
        <w:rPr>
          <w:rFonts w:ascii="Arial" w:hAnsi="Arial" w:cs="Arial"/>
          <w:color w:val="000000" w:themeColor="text1"/>
        </w:rPr>
      </w:pPr>
    </w:p>
    <w:p w14:paraId="6DF24860" w14:textId="77777777" w:rsidR="00146AC4" w:rsidRPr="006867F9" w:rsidRDefault="00146AC4" w:rsidP="00146AC4">
      <w:pPr>
        <w:rPr>
          <w:rFonts w:ascii="Arial" w:hAnsi="Arial" w:cs="Arial"/>
          <w:color w:val="000000" w:themeColor="text1"/>
          <w:shd w:val="clear" w:color="auto" w:fill="FFFFFF"/>
        </w:rPr>
      </w:pPr>
      <w:r w:rsidRPr="006867F9">
        <w:rPr>
          <w:rFonts w:ascii="Arial" w:hAnsi="Arial" w:cs="Arial"/>
          <w:color w:val="000000" w:themeColor="text1"/>
          <w:shd w:val="clear" w:color="auto" w:fill="FFFFFF"/>
        </w:rPr>
        <w:t>The Act doesn't have a purpose clause, which some people had asked the Government to include before the Act was created. The Joint Committee on Human Rights agreed that a constitutional guarantee to equality and a purpose clause are different things, but they advised the Government to use the Equality Bill to create a new constitutional right to equality. The Committee believed that a purpose clause or constitutional guarantee could help solve problems with interpretation. However, the Government didn't want to include a purpose clause directly in the Act.</w:t>
      </w:r>
    </w:p>
    <w:p w14:paraId="02CF707C" w14:textId="77777777" w:rsidR="00146AC4" w:rsidRPr="006867F9" w:rsidRDefault="00146AC4" w:rsidP="00146AC4">
      <w:pPr>
        <w:rPr>
          <w:rFonts w:ascii="Arial" w:hAnsi="Arial" w:cs="Arial"/>
          <w:color w:val="000000" w:themeColor="text1"/>
        </w:rPr>
      </w:pPr>
      <w:r w:rsidRPr="006867F9">
        <w:rPr>
          <w:rFonts w:ascii="Arial" w:hAnsi="Arial" w:cs="Arial"/>
          <w:color w:val="000000" w:themeColor="text1"/>
        </w:rPr>
        <w:t>The Act provides that there is to be paid out of money provided by Parliament any increase attributable to the Act in the expenses of a Minister of the Crown.</w:t>
      </w:r>
    </w:p>
    <w:p w14:paraId="6B1AE963" w14:textId="77777777" w:rsidR="00146AC4" w:rsidRPr="006867F9" w:rsidRDefault="00146AC4" w:rsidP="00146AC4">
      <w:pPr>
        <w:rPr>
          <w:rFonts w:ascii="Arial" w:hAnsi="Arial" w:cs="Arial"/>
          <w:color w:val="000000" w:themeColor="text1"/>
        </w:rPr>
      </w:pPr>
    </w:p>
    <w:p w14:paraId="40835FBB" w14:textId="41F76613" w:rsidR="0072012A" w:rsidRPr="006867F9" w:rsidRDefault="0072012A" w:rsidP="00146AC4">
      <w:pPr>
        <w:rPr>
          <w:rFonts w:ascii="Arial" w:hAnsi="Arial" w:cs="Arial"/>
          <w:color w:val="000000" w:themeColor="text1"/>
        </w:rPr>
      </w:pPr>
      <w:r w:rsidRPr="006867F9">
        <w:rPr>
          <w:rFonts w:ascii="Arial" w:hAnsi="Arial" w:cs="Arial"/>
          <w:color w:val="000000" w:themeColor="text1"/>
          <w:shd w:val="clear" w:color="auto" w:fill="FFFFFF"/>
        </w:rPr>
        <w:t>"Promoting diversity and inclusion within the legal profession is essential for ensuring that the profession is accessible to everyone, regardless of their background, and for improving the quality of legal services provided" (Legal Services Board, 2021). </w:t>
      </w:r>
    </w:p>
    <w:p w14:paraId="44CF9A4D" w14:textId="77777777" w:rsidR="0072012A" w:rsidRPr="006867F9" w:rsidRDefault="0072012A" w:rsidP="00146AC4">
      <w:pPr>
        <w:rPr>
          <w:rFonts w:ascii="Arial" w:hAnsi="Arial" w:cs="Arial"/>
          <w:color w:val="000000" w:themeColor="text1"/>
        </w:rPr>
      </w:pPr>
    </w:p>
    <w:p w14:paraId="0278587B" w14:textId="77777777" w:rsidR="00146AC4" w:rsidRPr="006867F9" w:rsidRDefault="00146AC4" w:rsidP="00146AC4">
      <w:pPr>
        <w:pStyle w:val="NormalWeb"/>
        <w:spacing w:before="0" w:after="0"/>
        <w:rPr>
          <w:rFonts w:ascii="Arial" w:hAnsi="Arial" w:cs="Arial"/>
          <w:color w:val="000000" w:themeColor="text1"/>
        </w:rPr>
      </w:pPr>
      <w:r w:rsidRPr="006867F9">
        <w:rPr>
          <w:rFonts w:ascii="Arial" w:hAnsi="Arial" w:cs="Arial"/>
          <w:color w:val="000000" w:themeColor="text1"/>
        </w:rPr>
        <w:t xml:space="preserve">As stated in Redefining Equality edited by Neal </w:t>
      </w:r>
      <w:proofErr w:type="spellStart"/>
      <w:r w:rsidRPr="006867F9">
        <w:rPr>
          <w:rFonts w:ascii="Arial" w:hAnsi="Arial" w:cs="Arial"/>
          <w:color w:val="000000" w:themeColor="text1"/>
        </w:rPr>
        <w:t>Devins</w:t>
      </w:r>
      <w:proofErr w:type="spellEnd"/>
      <w:r w:rsidRPr="006867F9">
        <w:rPr>
          <w:rFonts w:ascii="Arial" w:hAnsi="Arial" w:cs="Arial"/>
          <w:color w:val="000000" w:themeColor="text1"/>
        </w:rPr>
        <w:t xml:space="preserve"> and Davison Douglas, ‘’ </w:t>
      </w:r>
      <w:r w:rsidRPr="006867F9">
        <w:rPr>
          <w:rFonts w:ascii="Arial" w:hAnsi="Arial" w:cs="Arial"/>
          <w:color w:val="000000" w:themeColor="text1"/>
          <w:lang w:eastAsia="en-GB"/>
        </w:rPr>
        <w:t xml:space="preserve">I believe that those who rely on the distinction between equality of opportunity and equality of result have this principle in mind as at least the minimum content of equality of opportunity.’’ </w:t>
      </w:r>
      <w:r w:rsidRPr="006867F9">
        <w:rPr>
          <w:rFonts w:ascii="Arial" w:hAnsi="Arial" w:cs="Arial"/>
          <w:color w:val="000000" w:themeColor="text1"/>
        </w:rPr>
        <w:t>The principle of formal equality of opportunity means that people should have the chance to pursue a career based on their skills and abilities. Discrimination based on factors like social class or race should not be allowed to prevent someone from getting a job or position they're qualified for. For example, in the past, people born into non-aristocratic families were often discriminated against when it came to certain jobs. Today, a similar example might be someone from a particular racial group being prevented from working in certain professions. Laws that discriminate against people based on factors like race deny them equal opportunities.</w:t>
      </w:r>
    </w:p>
    <w:p w14:paraId="28242EAF" w14:textId="77777777" w:rsidR="009F7550" w:rsidRPr="006867F9" w:rsidRDefault="009F7550" w:rsidP="00146AC4">
      <w:pPr>
        <w:pStyle w:val="NormalWeb"/>
        <w:spacing w:before="0" w:after="0"/>
        <w:rPr>
          <w:rFonts w:ascii="Arial" w:hAnsi="Arial" w:cs="Arial"/>
          <w:color w:val="000000" w:themeColor="text1"/>
        </w:rPr>
      </w:pPr>
    </w:p>
    <w:p w14:paraId="61F3041C" w14:textId="17A938F7" w:rsidR="00EA3CA1" w:rsidRPr="006867F9" w:rsidRDefault="009F7550" w:rsidP="009F7550">
      <w:pPr>
        <w:rPr>
          <w:rFonts w:ascii="Arial" w:hAnsi="Arial" w:cs="Arial"/>
          <w:color w:val="000000" w:themeColor="text1"/>
        </w:rPr>
      </w:pPr>
      <w:r w:rsidRPr="006867F9">
        <w:rPr>
          <w:rFonts w:ascii="Arial" w:hAnsi="Arial" w:cs="Arial"/>
          <w:color w:val="000000" w:themeColor="text1"/>
        </w:rPr>
        <w:t xml:space="preserve">Recent research has suggested that </w:t>
      </w:r>
      <w:r w:rsidRPr="006867F9">
        <w:rPr>
          <w:rFonts w:ascii="Arial" w:hAnsi="Arial" w:cs="Arial"/>
          <w:color w:val="000000" w:themeColor="text1"/>
        </w:rPr>
        <w:t>‘’</w:t>
      </w:r>
      <w:r w:rsidRPr="006867F9">
        <w:rPr>
          <w:rFonts w:ascii="Arial" w:hAnsi="Arial" w:cs="Arial"/>
          <w:color w:val="000000" w:themeColor="text1"/>
        </w:rPr>
        <w:t>staff race networks can play an important role in promoting diversity and inclusion within the workplace</w:t>
      </w:r>
      <w:r w:rsidRPr="006867F9">
        <w:rPr>
          <w:rFonts w:ascii="Arial" w:hAnsi="Arial" w:cs="Arial"/>
          <w:color w:val="000000" w:themeColor="text1"/>
        </w:rPr>
        <w:t>’’</w:t>
      </w:r>
      <w:r w:rsidRPr="006867F9">
        <w:rPr>
          <w:rFonts w:ascii="Arial" w:hAnsi="Arial" w:cs="Arial"/>
          <w:color w:val="000000" w:themeColor="text1"/>
        </w:rPr>
        <w:t xml:space="preserve"> (</w:t>
      </w:r>
      <w:r w:rsidRPr="006867F9">
        <w:rPr>
          <w:rFonts w:ascii="Arial" w:hAnsi="Arial" w:cs="Arial"/>
          <w:color w:val="000000" w:themeColor="text1"/>
        </w:rPr>
        <w:t>Smith, J. 2021</w:t>
      </w:r>
      <w:r w:rsidRPr="006867F9">
        <w:rPr>
          <w:rFonts w:ascii="Arial" w:hAnsi="Arial" w:cs="Arial"/>
          <w:color w:val="000000" w:themeColor="text1"/>
        </w:rPr>
        <w:t>).</w:t>
      </w:r>
    </w:p>
    <w:p w14:paraId="463E9F76" w14:textId="77777777" w:rsidR="00EA3CA1" w:rsidRPr="006867F9" w:rsidRDefault="00EA3CA1" w:rsidP="00146AC4">
      <w:pPr>
        <w:pStyle w:val="NormalWeb"/>
        <w:spacing w:before="0" w:after="0"/>
        <w:rPr>
          <w:rFonts w:ascii="Arial" w:hAnsi="Arial" w:cs="Arial"/>
          <w:color w:val="000000" w:themeColor="text1"/>
        </w:rPr>
      </w:pPr>
    </w:p>
    <w:p w14:paraId="77421FDE" w14:textId="77777777" w:rsidR="00EA3CA1" w:rsidRPr="006867F9" w:rsidRDefault="00EA3CA1" w:rsidP="00EA3CA1">
      <w:pPr>
        <w:rPr>
          <w:rFonts w:ascii="Arial" w:hAnsi="Arial" w:cs="Arial"/>
          <w:color w:val="000000" w:themeColor="text1"/>
        </w:rPr>
      </w:pPr>
      <w:r w:rsidRPr="006867F9">
        <w:rPr>
          <w:rFonts w:ascii="Arial" w:hAnsi="Arial" w:cs="Arial"/>
          <w:color w:val="000000" w:themeColor="text1"/>
        </w:rPr>
        <w:t>"Promoting diversity and inclusion within the legal profession can help to improve the quality of legal services by bringing a wider range of perspectives and experiences to bear on legal issues" (Prospects, 2021, p. 1).</w:t>
      </w:r>
    </w:p>
    <w:p w14:paraId="5DE7253F" w14:textId="77777777" w:rsidR="00146AC4" w:rsidRPr="006867F9" w:rsidRDefault="00146AC4" w:rsidP="00146AC4">
      <w:pPr>
        <w:rPr>
          <w:rFonts w:ascii="Arial" w:hAnsi="Arial" w:cs="Arial"/>
          <w:color w:val="000000" w:themeColor="text1"/>
        </w:rPr>
      </w:pPr>
    </w:p>
    <w:p w14:paraId="078CD56F" w14:textId="04CEBF0D" w:rsidR="00146AC4" w:rsidRPr="006867F9" w:rsidRDefault="00146AC4" w:rsidP="00146AC4">
      <w:pPr>
        <w:rPr>
          <w:rFonts w:ascii="Arial" w:hAnsi="Arial" w:cs="Arial"/>
          <w:color w:val="000000" w:themeColor="text1"/>
        </w:rPr>
      </w:pPr>
      <w:r w:rsidRPr="006867F9">
        <w:rPr>
          <w:rFonts w:ascii="Arial" w:hAnsi="Arial" w:cs="Arial"/>
          <w:color w:val="000000" w:themeColor="text1"/>
        </w:rPr>
        <w:lastRenderedPageBreak/>
        <w:t xml:space="preserve">Equality and diversity are important within the legal profession because they help to ensure that justice is served, and everyone is treated with respect and dignity. </w:t>
      </w:r>
      <w:r w:rsidR="009B3F28" w:rsidRPr="006867F9">
        <w:rPr>
          <w:rFonts w:ascii="Arial" w:hAnsi="Arial" w:cs="Arial"/>
          <w:color w:val="000000" w:themeColor="text1"/>
        </w:rPr>
        <w:t xml:space="preserve">As the research suggests, an equalities implementation gap </w:t>
      </w:r>
      <w:r w:rsidRPr="006867F9">
        <w:rPr>
          <w:rFonts w:ascii="Arial" w:hAnsi="Arial" w:cs="Arial"/>
          <w:color w:val="000000" w:themeColor="text1"/>
        </w:rPr>
        <w:t xml:space="preserve">can lead to certain groups being unfairly disadvantaged and excluded from opportunities. This can be particularly problematic in the legal profession, where the decisions made by lawyers and judges can </w:t>
      </w:r>
      <w:r w:rsidR="0072012A" w:rsidRPr="006867F9">
        <w:rPr>
          <w:rFonts w:ascii="Arial" w:hAnsi="Arial" w:cs="Arial"/>
          <w:color w:val="000000" w:themeColor="text1"/>
        </w:rPr>
        <w:t>significantly impact</w:t>
      </w:r>
      <w:r w:rsidRPr="006867F9">
        <w:rPr>
          <w:rFonts w:ascii="Arial" w:hAnsi="Arial" w:cs="Arial"/>
          <w:color w:val="000000" w:themeColor="text1"/>
        </w:rPr>
        <w:t xml:space="preserve"> people's lives. By embracing diversity and promoting equality, we can help to ensure that the legal profession is more representative of society and that everyone has an equal chance to access justice and receive fair treatment under the law.</w:t>
      </w:r>
    </w:p>
    <w:p w14:paraId="5B3DAE0D" w14:textId="77777777" w:rsidR="00146AC4" w:rsidRPr="006867F9" w:rsidRDefault="00146AC4" w:rsidP="00146AC4">
      <w:pPr>
        <w:rPr>
          <w:rFonts w:ascii="Arial" w:hAnsi="Arial" w:cs="Arial"/>
          <w:color w:val="000000" w:themeColor="text1"/>
        </w:rPr>
      </w:pPr>
    </w:p>
    <w:p w14:paraId="684B1405" w14:textId="77777777" w:rsidR="00146AC4" w:rsidRPr="006867F9" w:rsidRDefault="00146AC4" w:rsidP="00146AC4">
      <w:pPr>
        <w:rPr>
          <w:rFonts w:ascii="Arial" w:hAnsi="Arial" w:cs="Arial"/>
          <w:color w:val="000000" w:themeColor="text1"/>
        </w:rPr>
      </w:pPr>
    </w:p>
    <w:p w14:paraId="4CE37FD5" w14:textId="77777777" w:rsidR="009B3F28" w:rsidRPr="006867F9" w:rsidRDefault="009B3F28" w:rsidP="00146AC4">
      <w:pPr>
        <w:rPr>
          <w:rFonts w:ascii="Arial" w:hAnsi="Arial" w:cs="Arial"/>
        </w:rPr>
      </w:pPr>
    </w:p>
    <w:p w14:paraId="32633040" w14:textId="77777777" w:rsidR="009B3F28" w:rsidRPr="006867F9" w:rsidRDefault="009B3F28" w:rsidP="00146AC4">
      <w:pPr>
        <w:rPr>
          <w:rFonts w:ascii="Arial" w:hAnsi="Arial" w:cs="Arial"/>
        </w:rPr>
      </w:pPr>
    </w:p>
    <w:p w14:paraId="6214581A" w14:textId="77777777" w:rsidR="009B3F28" w:rsidRPr="006867F9" w:rsidRDefault="009B3F28" w:rsidP="00146AC4">
      <w:pPr>
        <w:rPr>
          <w:rFonts w:ascii="Arial" w:hAnsi="Arial" w:cs="Arial"/>
        </w:rPr>
      </w:pPr>
    </w:p>
    <w:p w14:paraId="1EC8370B" w14:textId="77777777" w:rsidR="009B3F28" w:rsidRPr="006867F9" w:rsidRDefault="009B3F28" w:rsidP="00146AC4">
      <w:pPr>
        <w:rPr>
          <w:rFonts w:ascii="Arial" w:hAnsi="Arial" w:cs="Arial"/>
        </w:rPr>
      </w:pPr>
    </w:p>
    <w:p w14:paraId="171143D8" w14:textId="77777777" w:rsidR="009B3F28" w:rsidRPr="006867F9" w:rsidRDefault="009B3F28" w:rsidP="00146AC4">
      <w:pPr>
        <w:rPr>
          <w:rFonts w:ascii="Arial" w:hAnsi="Arial" w:cs="Arial"/>
        </w:rPr>
      </w:pPr>
    </w:p>
    <w:p w14:paraId="06486FFE" w14:textId="77777777" w:rsidR="009B3F28" w:rsidRPr="006867F9" w:rsidRDefault="009B3F28" w:rsidP="00146AC4">
      <w:pPr>
        <w:rPr>
          <w:rFonts w:ascii="Arial" w:hAnsi="Arial" w:cs="Arial"/>
        </w:rPr>
      </w:pPr>
    </w:p>
    <w:p w14:paraId="4163FE25" w14:textId="77777777" w:rsidR="009B3F28" w:rsidRPr="006867F9" w:rsidRDefault="009B3F28" w:rsidP="00146AC4">
      <w:pPr>
        <w:rPr>
          <w:rFonts w:ascii="Arial" w:hAnsi="Arial" w:cs="Arial"/>
        </w:rPr>
      </w:pPr>
    </w:p>
    <w:p w14:paraId="55CD11D9" w14:textId="77777777" w:rsidR="009B3F28" w:rsidRPr="006867F9" w:rsidRDefault="009B3F28" w:rsidP="00146AC4">
      <w:pPr>
        <w:rPr>
          <w:rFonts w:ascii="Arial" w:hAnsi="Arial" w:cs="Arial"/>
        </w:rPr>
      </w:pPr>
    </w:p>
    <w:p w14:paraId="29C60FEA" w14:textId="77777777" w:rsidR="009B3F28" w:rsidRPr="006867F9" w:rsidRDefault="009B3F28" w:rsidP="00146AC4">
      <w:pPr>
        <w:rPr>
          <w:rFonts w:ascii="Arial" w:hAnsi="Arial" w:cs="Arial"/>
        </w:rPr>
      </w:pPr>
    </w:p>
    <w:p w14:paraId="4EBDE150" w14:textId="77777777" w:rsidR="009B3F28" w:rsidRPr="006867F9" w:rsidRDefault="009B3F28" w:rsidP="00146AC4">
      <w:pPr>
        <w:rPr>
          <w:rFonts w:ascii="Arial" w:hAnsi="Arial" w:cs="Arial"/>
        </w:rPr>
      </w:pPr>
    </w:p>
    <w:p w14:paraId="07003601" w14:textId="77777777" w:rsidR="009B3F28" w:rsidRPr="006867F9" w:rsidRDefault="009B3F28" w:rsidP="00146AC4">
      <w:pPr>
        <w:rPr>
          <w:rFonts w:ascii="Arial" w:hAnsi="Arial" w:cs="Arial"/>
        </w:rPr>
      </w:pPr>
    </w:p>
    <w:p w14:paraId="479D8A35" w14:textId="77777777" w:rsidR="009B3F28" w:rsidRPr="006867F9" w:rsidRDefault="009B3F28" w:rsidP="00146AC4">
      <w:pPr>
        <w:rPr>
          <w:rFonts w:ascii="Arial" w:hAnsi="Arial" w:cs="Arial"/>
        </w:rPr>
      </w:pPr>
    </w:p>
    <w:p w14:paraId="0A336249" w14:textId="77777777" w:rsidR="009B3F28" w:rsidRPr="006867F9" w:rsidRDefault="009B3F28" w:rsidP="00146AC4">
      <w:pPr>
        <w:rPr>
          <w:rFonts w:ascii="Arial" w:hAnsi="Arial" w:cs="Arial"/>
        </w:rPr>
      </w:pPr>
    </w:p>
    <w:p w14:paraId="077BE7F9" w14:textId="77777777" w:rsidR="009B3F28" w:rsidRPr="006867F9" w:rsidRDefault="009B3F28" w:rsidP="00146AC4">
      <w:pPr>
        <w:rPr>
          <w:rFonts w:ascii="Arial" w:hAnsi="Arial" w:cs="Arial"/>
        </w:rPr>
      </w:pPr>
    </w:p>
    <w:p w14:paraId="1E80F764" w14:textId="77777777" w:rsidR="009B3F28" w:rsidRPr="006867F9" w:rsidRDefault="009B3F28" w:rsidP="00146AC4">
      <w:pPr>
        <w:rPr>
          <w:rFonts w:ascii="Arial" w:hAnsi="Arial" w:cs="Arial"/>
        </w:rPr>
      </w:pPr>
    </w:p>
    <w:p w14:paraId="059FD22E" w14:textId="77777777" w:rsidR="009B3F28" w:rsidRPr="006867F9" w:rsidRDefault="009B3F28" w:rsidP="00146AC4">
      <w:pPr>
        <w:rPr>
          <w:rFonts w:ascii="Arial" w:hAnsi="Arial" w:cs="Arial"/>
        </w:rPr>
      </w:pPr>
    </w:p>
    <w:p w14:paraId="710B9450" w14:textId="77777777" w:rsidR="009B3F28" w:rsidRPr="006867F9" w:rsidRDefault="009B3F28" w:rsidP="00146AC4">
      <w:pPr>
        <w:rPr>
          <w:rFonts w:ascii="Arial" w:hAnsi="Arial" w:cs="Arial"/>
        </w:rPr>
      </w:pPr>
    </w:p>
    <w:p w14:paraId="61427466" w14:textId="77777777" w:rsidR="009B3F28" w:rsidRPr="006867F9" w:rsidRDefault="009B3F28" w:rsidP="00146AC4">
      <w:pPr>
        <w:rPr>
          <w:rFonts w:ascii="Arial" w:hAnsi="Arial" w:cs="Arial"/>
        </w:rPr>
      </w:pPr>
    </w:p>
    <w:p w14:paraId="1D8ECAF9" w14:textId="77777777" w:rsidR="009B3F28" w:rsidRPr="006867F9" w:rsidRDefault="009B3F28" w:rsidP="00146AC4">
      <w:pPr>
        <w:rPr>
          <w:rFonts w:ascii="Arial" w:hAnsi="Arial" w:cs="Arial"/>
        </w:rPr>
      </w:pPr>
    </w:p>
    <w:p w14:paraId="4200517C" w14:textId="77777777" w:rsidR="009B3F28" w:rsidRPr="006867F9" w:rsidRDefault="009B3F28" w:rsidP="00146AC4">
      <w:pPr>
        <w:rPr>
          <w:rFonts w:ascii="Arial" w:hAnsi="Arial" w:cs="Arial"/>
        </w:rPr>
      </w:pPr>
    </w:p>
    <w:p w14:paraId="1B765699" w14:textId="77777777" w:rsidR="009B3F28" w:rsidRPr="006867F9" w:rsidRDefault="009B3F28" w:rsidP="00146AC4">
      <w:pPr>
        <w:rPr>
          <w:rFonts w:ascii="Arial" w:hAnsi="Arial" w:cs="Arial"/>
        </w:rPr>
      </w:pPr>
    </w:p>
    <w:p w14:paraId="5B1F93A9" w14:textId="77777777" w:rsidR="009B3F28" w:rsidRPr="006867F9" w:rsidRDefault="009B3F28" w:rsidP="00146AC4">
      <w:pPr>
        <w:rPr>
          <w:rFonts w:ascii="Arial" w:hAnsi="Arial" w:cs="Arial"/>
        </w:rPr>
      </w:pPr>
    </w:p>
    <w:p w14:paraId="2B18F1CA" w14:textId="77777777" w:rsidR="009B3F28" w:rsidRPr="006867F9" w:rsidRDefault="009B3F28" w:rsidP="00146AC4">
      <w:pPr>
        <w:rPr>
          <w:rFonts w:ascii="Arial" w:hAnsi="Arial" w:cs="Arial"/>
        </w:rPr>
      </w:pPr>
    </w:p>
    <w:p w14:paraId="6D831368" w14:textId="77777777" w:rsidR="009B3F28" w:rsidRPr="006867F9" w:rsidRDefault="009B3F28" w:rsidP="00146AC4">
      <w:pPr>
        <w:rPr>
          <w:rFonts w:ascii="Arial" w:hAnsi="Arial" w:cs="Arial"/>
        </w:rPr>
      </w:pPr>
    </w:p>
    <w:p w14:paraId="1D6D8649" w14:textId="77777777" w:rsidR="009B3F28" w:rsidRPr="006867F9" w:rsidRDefault="009B3F28" w:rsidP="00146AC4">
      <w:pPr>
        <w:rPr>
          <w:rFonts w:ascii="Arial" w:hAnsi="Arial" w:cs="Arial"/>
        </w:rPr>
      </w:pPr>
    </w:p>
    <w:p w14:paraId="65495C6B" w14:textId="77777777" w:rsidR="009B3F28" w:rsidRPr="006867F9" w:rsidRDefault="009B3F28" w:rsidP="00146AC4">
      <w:pPr>
        <w:rPr>
          <w:rFonts w:ascii="Arial" w:hAnsi="Arial" w:cs="Arial"/>
        </w:rPr>
      </w:pPr>
    </w:p>
    <w:p w14:paraId="16DED26E" w14:textId="77777777" w:rsidR="009B3F28" w:rsidRPr="006867F9" w:rsidRDefault="009B3F28" w:rsidP="00146AC4">
      <w:pPr>
        <w:rPr>
          <w:rFonts w:ascii="Arial" w:hAnsi="Arial" w:cs="Arial"/>
        </w:rPr>
      </w:pPr>
    </w:p>
    <w:p w14:paraId="7199C239" w14:textId="77777777" w:rsidR="009B3F28" w:rsidRPr="006867F9" w:rsidRDefault="009B3F28" w:rsidP="00146AC4">
      <w:pPr>
        <w:rPr>
          <w:rFonts w:ascii="Arial" w:hAnsi="Arial" w:cs="Arial"/>
        </w:rPr>
      </w:pPr>
    </w:p>
    <w:p w14:paraId="15925180" w14:textId="77777777" w:rsidR="009B3F28" w:rsidRPr="006867F9" w:rsidRDefault="009B3F28" w:rsidP="00146AC4">
      <w:pPr>
        <w:rPr>
          <w:rFonts w:ascii="Arial" w:hAnsi="Arial" w:cs="Arial"/>
        </w:rPr>
      </w:pPr>
    </w:p>
    <w:p w14:paraId="19B59223" w14:textId="77777777" w:rsidR="009B3F28" w:rsidRPr="006867F9" w:rsidRDefault="009B3F28" w:rsidP="00146AC4">
      <w:pPr>
        <w:rPr>
          <w:rFonts w:ascii="Arial" w:hAnsi="Arial" w:cs="Arial"/>
        </w:rPr>
      </w:pPr>
    </w:p>
    <w:p w14:paraId="45B08C08" w14:textId="77777777" w:rsidR="009B3F28" w:rsidRPr="006867F9" w:rsidRDefault="009B3F28" w:rsidP="00146AC4">
      <w:pPr>
        <w:rPr>
          <w:rFonts w:ascii="Arial" w:hAnsi="Arial" w:cs="Arial"/>
        </w:rPr>
      </w:pPr>
    </w:p>
    <w:p w14:paraId="08DD4F5D" w14:textId="77777777" w:rsidR="009B3F28" w:rsidRPr="006867F9" w:rsidRDefault="009B3F28" w:rsidP="00146AC4">
      <w:pPr>
        <w:rPr>
          <w:rFonts w:ascii="Arial" w:hAnsi="Arial" w:cs="Arial"/>
        </w:rPr>
      </w:pPr>
    </w:p>
    <w:p w14:paraId="31A77E8A" w14:textId="77777777" w:rsidR="009B3F28" w:rsidRPr="006867F9" w:rsidRDefault="009B3F28" w:rsidP="00146AC4">
      <w:pPr>
        <w:rPr>
          <w:rFonts w:ascii="Arial" w:hAnsi="Arial" w:cs="Arial"/>
        </w:rPr>
      </w:pPr>
    </w:p>
    <w:p w14:paraId="157F4BD1" w14:textId="77777777" w:rsidR="009B3F28" w:rsidRPr="006867F9" w:rsidRDefault="009B3F28" w:rsidP="00146AC4">
      <w:pPr>
        <w:rPr>
          <w:rFonts w:ascii="Arial" w:hAnsi="Arial" w:cs="Arial"/>
        </w:rPr>
      </w:pPr>
    </w:p>
    <w:p w14:paraId="5245F64F" w14:textId="77777777" w:rsidR="009B3F28" w:rsidRPr="006867F9" w:rsidRDefault="009B3F28" w:rsidP="00146AC4">
      <w:pPr>
        <w:rPr>
          <w:rFonts w:ascii="Arial" w:hAnsi="Arial" w:cs="Arial"/>
        </w:rPr>
      </w:pPr>
    </w:p>
    <w:p w14:paraId="68244606" w14:textId="77777777" w:rsidR="009B3F28" w:rsidRPr="006867F9" w:rsidRDefault="009B3F28" w:rsidP="00146AC4">
      <w:pPr>
        <w:rPr>
          <w:rFonts w:ascii="Arial" w:hAnsi="Arial" w:cs="Arial"/>
        </w:rPr>
      </w:pPr>
    </w:p>
    <w:p w14:paraId="44C88D08" w14:textId="77777777" w:rsidR="009B3F28" w:rsidRPr="006867F9" w:rsidRDefault="009B3F28" w:rsidP="00146AC4">
      <w:pPr>
        <w:rPr>
          <w:rFonts w:ascii="Arial" w:hAnsi="Arial" w:cs="Arial"/>
        </w:rPr>
      </w:pPr>
    </w:p>
    <w:p w14:paraId="65D86C9E" w14:textId="77777777" w:rsidR="009B3F28" w:rsidRPr="006867F9" w:rsidRDefault="009B3F28" w:rsidP="00146AC4">
      <w:pPr>
        <w:rPr>
          <w:rFonts w:ascii="Arial" w:hAnsi="Arial" w:cs="Arial"/>
        </w:rPr>
      </w:pPr>
    </w:p>
    <w:p w14:paraId="3A88B93B" w14:textId="77777777" w:rsidR="009B3F28" w:rsidRPr="006867F9" w:rsidRDefault="009B3F28" w:rsidP="00146AC4">
      <w:pPr>
        <w:rPr>
          <w:rFonts w:ascii="Arial" w:hAnsi="Arial" w:cs="Arial"/>
        </w:rPr>
      </w:pPr>
    </w:p>
    <w:p w14:paraId="17E7B4B3" w14:textId="77777777" w:rsidR="009B3F28" w:rsidRPr="006867F9" w:rsidRDefault="009B3F28" w:rsidP="00146AC4">
      <w:pPr>
        <w:rPr>
          <w:rFonts w:ascii="Arial" w:hAnsi="Arial" w:cs="Arial"/>
        </w:rPr>
      </w:pPr>
    </w:p>
    <w:p w14:paraId="234BE1DA" w14:textId="77777777" w:rsidR="00146AC4" w:rsidRPr="006867F9" w:rsidRDefault="00146AC4" w:rsidP="00146AC4">
      <w:pPr>
        <w:rPr>
          <w:rFonts w:ascii="Arial" w:hAnsi="Arial" w:cs="Arial"/>
          <w:b/>
          <w:bCs/>
          <w:u w:val="single"/>
        </w:rPr>
      </w:pPr>
      <w:r w:rsidRPr="006867F9">
        <w:rPr>
          <w:rFonts w:ascii="Arial" w:hAnsi="Arial" w:cs="Arial"/>
          <w:b/>
          <w:bCs/>
          <w:u w:val="single"/>
        </w:rPr>
        <w:t xml:space="preserve">Harvard referencing </w:t>
      </w:r>
    </w:p>
    <w:p w14:paraId="4145A86B" w14:textId="77777777" w:rsidR="00E94A3F" w:rsidRPr="006867F9" w:rsidRDefault="00E94A3F" w:rsidP="00146AC4">
      <w:pPr>
        <w:rPr>
          <w:rFonts w:ascii="Arial" w:hAnsi="Arial" w:cs="Arial"/>
        </w:rPr>
      </w:pPr>
    </w:p>
    <w:p w14:paraId="425D65CA" w14:textId="77777777" w:rsidR="00E94A3F" w:rsidRPr="006867F9" w:rsidRDefault="00E94A3F" w:rsidP="00E94A3F">
      <w:pPr>
        <w:rPr>
          <w:rFonts w:ascii="Arial" w:hAnsi="Arial" w:cs="Arial"/>
          <w:color w:val="000000" w:themeColor="text1"/>
        </w:rPr>
      </w:pPr>
      <w:r w:rsidRPr="006867F9">
        <w:rPr>
          <w:rFonts w:ascii="Arial" w:hAnsi="Arial" w:cs="Arial"/>
          <w:color w:val="000000" w:themeColor="text1"/>
        </w:rPr>
        <w:t>Connolly, M. (2018). Townshend-Smith on Discrimination Law: Text, Cases and Materials (2nd ed.). Oxford University Press.</w:t>
      </w:r>
    </w:p>
    <w:p w14:paraId="43BCF059" w14:textId="77777777" w:rsidR="00E94A3F" w:rsidRPr="006867F9" w:rsidRDefault="00E94A3F" w:rsidP="00146AC4">
      <w:pPr>
        <w:rPr>
          <w:rFonts w:ascii="Arial" w:hAnsi="Arial" w:cs="Arial"/>
          <w:color w:val="000000" w:themeColor="text1"/>
        </w:rPr>
      </w:pPr>
    </w:p>
    <w:p w14:paraId="5A6CB2EF" w14:textId="77777777" w:rsidR="00E94A3F" w:rsidRPr="006867F9" w:rsidRDefault="00E94A3F" w:rsidP="00E94A3F">
      <w:pPr>
        <w:rPr>
          <w:rFonts w:ascii="Arial" w:hAnsi="Arial" w:cs="Arial"/>
          <w:color w:val="000000" w:themeColor="text1"/>
        </w:rPr>
      </w:pPr>
      <w:proofErr w:type="spellStart"/>
      <w:r w:rsidRPr="006867F9">
        <w:rPr>
          <w:rFonts w:ascii="Arial" w:hAnsi="Arial" w:cs="Arial"/>
          <w:color w:val="000000" w:themeColor="text1"/>
        </w:rPr>
        <w:t>Devins</w:t>
      </w:r>
      <w:proofErr w:type="spellEnd"/>
      <w:r w:rsidRPr="006867F9">
        <w:rPr>
          <w:rFonts w:ascii="Arial" w:hAnsi="Arial" w:cs="Arial"/>
          <w:color w:val="000000" w:themeColor="text1"/>
        </w:rPr>
        <w:t>, N., &amp; Douglas, D. M. (Eds.). (2006). Redefining Equality. University of Virginia Press.</w:t>
      </w:r>
    </w:p>
    <w:p w14:paraId="3BDE4E40" w14:textId="77777777" w:rsidR="00E94A3F" w:rsidRPr="006867F9" w:rsidRDefault="00E94A3F" w:rsidP="00146AC4">
      <w:pPr>
        <w:rPr>
          <w:rFonts w:ascii="Arial" w:hAnsi="Arial" w:cs="Arial"/>
          <w:color w:val="000000" w:themeColor="text1"/>
        </w:rPr>
      </w:pPr>
    </w:p>
    <w:p w14:paraId="569ACB37" w14:textId="77777777" w:rsidR="00E94A3F" w:rsidRPr="006867F9" w:rsidRDefault="00E94A3F" w:rsidP="00E94A3F">
      <w:pPr>
        <w:rPr>
          <w:rFonts w:ascii="Arial" w:hAnsi="Arial" w:cs="Arial"/>
          <w:color w:val="000000" w:themeColor="text1"/>
        </w:rPr>
      </w:pPr>
      <w:r w:rsidRPr="006867F9">
        <w:rPr>
          <w:rFonts w:ascii="Arial" w:hAnsi="Arial" w:cs="Arial"/>
          <w:color w:val="000000" w:themeColor="text1"/>
        </w:rPr>
        <w:t xml:space="preserve">Doyle, B., </w:t>
      </w:r>
      <w:proofErr w:type="spellStart"/>
      <w:r w:rsidRPr="006867F9">
        <w:rPr>
          <w:rFonts w:ascii="Arial" w:hAnsi="Arial" w:cs="Arial"/>
          <w:color w:val="000000" w:themeColor="text1"/>
        </w:rPr>
        <w:t>Casserley</w:t>
      </w:r>
      <w:proofErr w:type="spellEnd"/>
      <w:r w:rsidRPr="006867F9">
        <w:rPr>
          <w:rFonts w:ascii="Arial" w:hAnsi="Arial" w:cs="Arial"/>
          <w:color w:val="000000" w:themeColor="text1"/>
        </w:rPr>
        <w:t xml:space="preserve">, C., Cheetham, S., Gay, V., &amp; </w:t>
      </w:r>
      <w:proofErr w:type="spellStart"/>
      <w:r w:rsidRPr="006867F9">
        <w:rPr>
          <w:rFonts w:ascii="Arial" w:hAnsi="Arial" w:cs="Arial"/>
          <w:color w:val="000000" w:themeColor="text1"/>
        </w:rPr>
        <w:t>Hyams</w:t>
      </w:r>
      <w:proofErr w:type="spellEnd"/>
      <w:r w:rsidRPr="006867F9">
        <w:rPr>
          <w:rFonts w:ascii="Arial" w:hAnsi="Arial" w:cs="Arial"/>
          <w:color w:val="000000" w:themeColor="text1"/>
        </w:rPr>
        <w:t>, O. (2017). Equality and Discrimination: The New Law. Oxford University Press.</w:t>
      </w:r>
    </w:p>
    <w:p w14:paraId="4A9BD081" w14:textId="77777777" w:rsidR="00E94A3F" w:rsidRPr="006867F9" w:rsidRDefault="00E94A3F" w:rsidP="00146AC4">
      <w:pPr>
        <w:rPr>
          <w:rFonts w:ascii="Arial" w:hAnsi="Arial" w:cs="Arial"/>
          <w:color w:val="000000" w:themeColor="text1"/>
        </w:rPr>
      </w:pPr>
    </w:p>
    <w:p w14:paraId="29EF41B2" w14:textId="77777777" w:rsidR="00E94A3F" w:rsidRPr="006867F9" w:rsidRDefault="00E94A3F" w:rsidP="00E94A3F">
      <w:pPr>
        <w:rPr>
          <w:rFonts w:ascii="Arial" w:hAnsi="Arial" w:cs="Arial"/>
          <w:color w:val="000000" w:themeColor="text1"/>
        </w:rPr>
      </w:pPr>
      <w:proofErr w:type="spellStart"/>
      <w:r w:rsidRPr="006867F9">
        <w:rPr>
          <w:rFonts w:ascii="Arial" w:hAnsi="Arial" w:cs="Arial"/>
          <w:color w:val="000000" w:themeColor="text1"/>
        </w:rPr>
        <w:t>Hepple</w:t>
      </w:r>
      <w:proofErr w:type="spellEnd"/>
      <w:r w:rsidRPr="006867F9">
        <w:rPr>
          <w:rFonts w:ascii="Arial" w:hAnsi="Arial" w:cs="Arial"/>
          <w:color w:val="000000" w:themeColor="text1"/>
        </w:rPr>
        <w:t xml:space="preserve">, B., </w:t>
      </w:r>
      <w:proofErr w:type="spellStart"/>
      <w:r w:rsidRPr="006867F9">
        <w:rPr>
          <w:rFonts w:ascii="Arial" w:hAnsi="Arial" w:cs="Arial"/>
          <w:color w:val="000000" w:themeColor="text1"/>
        </w:rPr>
        <w:t>Coussey</w:t>
      </w:r>
      <w:proofErr w:type="spellEnd"/>
      <w:r w:rsidRPr="006867F9">
        <w:rPr>
          <w:rFonts w:ascii="Arial" w:hAnsi="Arial" w:cs="Arial"/>
          <w:color w:val="000000" w:themeColor="text1"/>
        </w:rPr>
        <w:t>, M., &amp; Choudhury, T. (2000). Equality: A New Framework Report of the Independent Review of the Enforcement of UK Anti-Discrimination Legislation. Hart Pub.</w:t>
      </w:r>
    </w:p>
    <w:p w14:paraId="505A3FF1" w14:textId="77777777" w:rsidR="00E94A3F" w:rsidRPr="006867F9" w:rsidRDefault="00E94A3F" w:rsidP="00146AC4">
      <w:pPr>
        <w:rPr>
          <w:rFonts w:ascii="Arial" w:hAnsi="Arial" w:cs="Arial"/>
          <w:color w:val="000000" w:themeColor="text1"/>
        </w:rPr>
      </w:pPr>
    </w:p>
    <w:p w14:paraId="4520460F" w14:textId="77777777" w:rsidR="00E94A3F" w:rsidRPr="006867F9" w:rsidRDefault="00E94A3F" w:rsidP="00E94A3F">
      <w:pPr>
        <w:rPr>
          <w:rFonts w:ascii="Arial" w:hAnsi="Arial" w:cs="Arial"/>
          <w:color w:val="000000" w:themeColor="text1"/>
        </w:rPr>
      </w:pPr>
      <w:proofErr w:type="spellStart"/>
      <w:r w:rsidRPr="006867F9">
        <w:rPr>
          <w:rFonts w:ascii="Arial" w:hAnsi="Arial" w:cs="Arial"/>
          <w:color w:val="000000" w:themeColor="text1"/>
        </w:rPr>
        <w:t>Hepple</w:t>
      </w:r>
      <w:proofErr w:type="spellEnd"/>
      <w:r w:rsidRPr="006867F9">
        <w:rPr>
          <w:rFonts w:ascii="Arial" w:hAnsi="Arial" w:cs="Arial"/>
          <w:color w:val="000000" w:themeColor="text1"/>
        </w:rPr>
        <w:t>, B. (2005). Equality: The legal framework (2nd ed.). Cambridge: Cambridge University Press.</w:t>
      </w:r>
    </w:p>
    <w:p w14:paraId="0D53062B" w14:textId="77777777" w:rsidR="00E94A3F" w:rsidRPr="006867F9" w:rsidRDefault="00E94A3F" w:rsidP="00146AC4">
      <w:pPr>
        <w:rPr>
          <w:rFonts w:ascii="Arial" w:hAnsi="Arial" w:cs="Arial"/>
          <w:color w:val="000000" w:themeColor="text1"/>
        </w:rPr>
      </w:pPr>
    </w:p>
    <w:p w14:paraId="215341F0" w14:textId="07136431" w:rsidR="006867F9" w:rsidRPr="006867F9" w:rsidRDefault="006867F9" w:rsidP="00146AC4">
      <w:pPr>
        <w:rPr>
          <w:rFonts w:ascii="Arial" w:hAnsi="Arial" w:cs="Arial"/>
          <w:color w:val="000000" w:themeColor="text1"/>
        </w:rPr>
      </w:pPr>
      <w:r w:rsidRPr="006867F9">
        <w:rPr>
          <w:rFonts w:ascii="Arial" w:hAnsi="Arial" w:cs="Arial"/>
          <w:color w:val="000000" w:themeColor="text1"/>
          <w:shd w:val="clear" w:color="auto" w:fill="FFFFFF"/>
        </w:rPr>
        <w:t>Huang, J. and Flynn, A. (2021). The importance of equality and diversity within the legal profession. Journal of Law and Society, [online] 48(1), pp. 3-24. Available at:</w:t>
      </w:r>
      <w:r w:rsidRPr="006867F9">
        <w:rPr>
          <w:rStyle w:val="apple-converted-space"/>
          <w:rFonts w:ascii="Arial" w:hAnsi="Arial" w:cs="Arial"/>
          <w:color w:val="000000" w:themeColor="text1"/>
          <w:shd w:val="clear" w:color="auto" w:fill="FFFFFF"/>
        </w:rPr>
        <w:t> </w:t>
      </w:r>
      <w:hyperlink r:id="rId4" w:tgtFrame="_blank" w:history="1">
        <w:r w:rsidRPr="006867F9">
          <w:rPr>
            <w:rStyle w:val="Hyperlink"/>
            <w:rFonts w:ascii="Arial" w:hAnsi="Arial" w:cs="Arial"/>
            <w:color w:val="000000" w:themeColor="text1"/>
          </w:rPr>
          <w:t>https://onlinelibrary.wiley.com/doi/full/10.1111/jols.12382</w:t>
        </w:r>
      </w:hyperlink>
      <w:r w:rsidRPr="006867F9">
        <w:rPr>
          <w:rStyle w:val="apple-converted-space"/>
          <w:rFonts w:ascii="Arial" w:hAnsi="Arial" w:cs="Arial"/>
          <w:color w:val="000000" w:themeColor="text1"/>
          <w:shd w:val="clear" w:color="auto" w:fill="FFFFFF"/>
        </w:rPr>
        <w:t> </w:t>
      </w:r>
      <w:r w:rsidRPr="006867F9">
        <w:rPr>
          <w:rFonts w:ascii="Arial" w:hAnsi="Arial" w:cs="Arial"/>
          <w:color w:val="000000" w:themeColor="text1"/>
          <w:shd w:val="clear" w:color="auto" w:fill="FFFFFF"/>
        </w:rPr>
        <w:t>[Accessed 10 May 2023].</w:t>
      </w:r>
    </w:p>
    <w:p w14:paraId="5750E093" w14:textId="77777777" w:rsidR="006867F9" w:rsidRPr="006867F9" w:rsidRDefault="006867F9" w:rsidP="00146AC4">
      <w:pPr>
        <w:rPr>
          <w:rFonts w:ascii="Arial" w:hAnsi="Arial" w:cs="Arial"/>
          <w:color w:val="000000" w:themeColor="text1"/>
        </w:rPr>
      </w:pPr>
    </w:p>
    <w:p w14:paraId="6B5B52A0" w14:textId="77777777" w:rsidR="00E94A3F" w:rsidRPr="006867F9" w:rsidRDefault="00E94A3F" w:rsidP="00E94A3F">
      <w:pPr>
        <w:rPr>
          <w:rFonts w:ascii="Arial" w:hAnsi="Arial" w:cs="Arial"/>
          <w:color w:val="000000" w:themeColor="text1"/>
        </w:rPr>
      </w:pPr>
      <w:r w:rsidRPr="006867F9">
        <w:rPr>
          <w:rFonts w:ascii="Arial" w:hAnsi="Arial" w:cs="Arial"/>
          <w:color w:val="000000" w:themeColor="text1"/>
        </w:rPr>
        <w:t>Legal Services Board (2021) 'Diversity and inclusion', [online] Available at:</w:t>
      </w:r>
      <w:r w:rsidRPr="006867F9">
        <w:rPr>
          <w:rStyle w:val="apple-converted-space"/>
          <w:rFonts w:ascii="Arial" w:hAnsi="Arial" w:cs="Arial"/>
          <w:color w:val="000000" w:themeColor="text1"/>
        </w:rPr>
        <w:t> </w:t>
      </w:r>
      <w:hyperlink r:id="rId5" w:tgtFrame="_blank" w:history="1">
        <w:r w:rsidRPr="006867F9">
          <w:rPr>
            <w:rStyle w:val="Hyperlink"/>
            <w:rFonts w:ascii="Arial" w:hAnsi="Arial" w:cs="Arial"/>
            <w:color w:val="000000" w:themeColor="text1"/>
          </w:rPr>
          <w:t>https://legalservicesboard.org.uk/about-us/diversity-and-inclusion</w:t>
        </w:r>
      </w:hyperlink>
      <w:r w:rsidRPr="006867F9">
        <w:rPr>
          <w:rStyle w:val="apple-converted-space"/>
          <w:rFonts w:ascii="Arial" w:hAnsi="Arial" w:cs="Arial"/>
          <w:color w:val="000000" w:themeColor="text1"/>
        </w:rPr>
        <w:t> </w:t>
      </w:r>
      <w:r w:rsidRPr="006867F9">
        <w:rPr>
          <w:rFonts w:ascii="Arial" w:hAnsi="Arial" w:cs="Arial"/>
          <w:color w:val="000000" w:themeColor="text1"/>
        </w:rPr>
        <w:t>(Accessed: 10 May 2023).</w:t>
      </w:r>
    </w:p>
    <w:p w14:paraId="7FB66237" w14:textId="77777777" w:rsidR="00E94A3F" w:rsidRPr="006867F9" w:rsidRDefault="00E94A3F" w:rsidP="00146AC4">
      <w:pPr>
        <w:rPr>
          <w:rFonts w:ascii="Arial" w:hAnsi="Arial" w:cs="Arial"/>
          <w:color w:val="000000" w:themeColor="text1"/>
        </w:rPr>
      </w:pPr>
    </w:p>
    <w:p w14:paraId="44B528D2" w14:textId="77777777" w:rsidR="00E94A3F" w:rsidRPr="006867F9" w:rsidRDefault="00E94A3F" w:rsidP="00E94A3F">
      <w:pPr>
        <w:rPr>
          <w:rFonts w:ascii="Arial" w:hAnsi="Arial" w:cs="Arial"/>
          <w:color w:val="000000" w:themeColor="text1"/>
        </w:rPr>
      </w:pPr>
      <w:r w:rsidRPr="006867F9">
        <w:rPr>
          <w:rFonts w:ascii="Arial" w:hAnsi="Arial" w:cs="Arial"/>
          <w:color w:val="000000" w:themeColor="text1"/>
        </w:rPr>
        <w:t xml:space="preserve">McColgan, A. (2010). Human Rights Law in Perspective: Discrimination, </w:t>
      </w:r>
      <w:proofErr w:type="gramStart"/>
      <w:r w:rsidRPr="006867F9">
        <w:rPr>
          <w:rFonts w:ascii="Arial" w:hAnsi="Arial" w:cs="Arial"/>
          <w:color w:val="000000" w:themeColor="text1"/>
        </w:rPr>
        <w:t>Equality</w:t>
      </w:r>
      <w:proofErr w:type="gramEnd"/>
      <w:r w:rsidRPr="006867F9">
        <w:rPr>
          <w:rFonts w:ascii="Arial" w:hAnsi="Arial" w:cs="Arial"/>
          <w:color w:val="000000" w:themeColor="text1"/>
        </w:rPr>
        <w:t xml:space="preserve"> and the Law. Hart Publishing.</w:t>
      </w:r>
    </w:p>
    <w:p w14:paraId="08DA5467" w14:textId="77777777" w:rsidR="00E94A3F" w:rsidRPr="006867F9" w:rsidRDefault="00E94A3F" w:rsidP="00146AC4">
      <w:pPr>
        <w:rPr>
          <w:rFonts w:ascii="Arial" w:hAnsi="Arial" w:cs="Arial"/>
          <w:color w:val="000000" w:themeColor="text1"/>
        </w:rPr>
      </w:pPr>
    </w:p>
    <w:p w14:paraId="1FB84488" w14:textId="0EF501CB" w:rsidR="006867F9" w:rsidRPr="006867F9" w:rsidRDefault="006867F9" w:rsidP="00146AC4">
      <w:pPr>
        <w:rPr>
          <w:rFonts w:ascii="Arial" w:hAnsi="Arial" w:cs="Arial"/>
          <w:color w:val="000000" w:themeColor="text1"/>
        </w:rPr>
      </w:pPr>
      <w:r w:rsidRPr="006867F9">
        <w:rPr>
          <w:rFonts w:ascii="Arial" w:hAnsi="Arial" w:cs="Arial"/>
          <w:color w:val="000000" w:themeColor="text1"/>
          <w:shd w:val="clear" w:color="auto" w:fill="FFFFFF"/>
        </w:rPr>
        <w:t>Prospects. (2021). Diversity in the legal profession. [online] Available at:</w:t>
      </w:r>
      <w:r w:rsidRPr="006867F9">
        <w:rPr>
          <w:rStyle w:val="apple-converted-space"/>
          <w:rFonts w:ascii="Arial" w:hAnsi="Arial" w:cs="Arial"/>
          <w:color w:val="000000" w:themeColor="text1"/>
          <w:shd w:val="clear" w:color="auto" w:fill="FFFFFF"/>
        </w:rPr>
        <w:t> </w:t>
      </w:r>
      <w:hyperlink r:id="rId6" w:tgtFrame="_blank" w:history="1">
        <w:r w:rsidRPr="006867F9">
          <w:rPr>
            <w:rStyle w:val="Hyperlink"/>
            <w:rFonts w:ascii="Arial" w:hAnsi="Arial" w:cs="Arial"/>
            <w:color w:val="000000" w:themeColor="text1"/>
          </w:rPr>
          <w:t>https://www.prospects.ac.uk/jobs-and-work-experience/job-sectors/law-sector/diversity-in-the-legal-profession</w:t>
        </w:r>
      </w:hyperlink>
      <w:r w:rsidRPr="006867F9">
        <w:rPr>
          <w:rFonts w:ascii="Arial" w:hAnsi="Arial" w:cs="Arial"/>
          <w:color w:val="000000" w:themeColor="text1"/>
          <w:shd w:val="clear" w:color="auto" w:fill="FFFFFF"/>
        </w:rPr>
        <w:t>[Accessed 10 May 2023].</w:t>
      </w:r>
    </w:p>
    <w:p w14:paraId="71CC4663" w14:textId="77777777" w:rsidR="00E94A3F" w:rsidRPr="006867F9" w:rsidRDefault="00E94A3F" w:rsidP="00146AC4">
      <w:pPr>
        <w:rPr>
          <w:rFonts w:ascii="Arial" w:hAnsi="Arial" w:cs="Arial"/>
          <w:color w:val="000000" w:themeColor="text1"/>
        </w:rPr>
      </w:pPr>
    </w:p>
    <w:p w14:paraId="2914187A" w14:textId="77777777" w:rsidR="00E94A3F" w:rsidRPr="006867F9" w:rsidRDefault="00E94A3F" w:rsidP="00E94A3F">
      <w:pPr>
        <w:rPr>
          <w:rFonts w:ascii="Arial" w:hAnsi="Arial" w:cs="Arial"/>
          <w:color w:val="000000" w:themeColor="text1"/>
        </w:rPr>
      </w:pPr>
      <w:r w:rsidRPr="006867F9">
        <w:rPr>
          <w:rFonts w:ascii="Arial" w:hAnsi="Arial" w:cs="Arial"/>
          <w:color w:val="000000" w:themeColor="text1"/>
        </w:rPr>
        <w:t>Rubenstein, K. (1998). Equality in the 21st Century: A New Sex Equality Law for Britain. Hart Publishing.</w:t>
      </w:r>
    </w:p>
    <w:p w14:paraId="23897507" w14:textId="77777777" w:rsidR="00E94A3F" w:rsidRPr="006867F9" w:rsidRDefault="00E94A3F" w:rsidP="00146AC4">
      <w:pPr>
        <w:rPr>
          <w:rFonts w:ascii="Arial" w:hAnsi="Arial" w:cs="Arial"/>
          <w:color w:val="000000" w:themeColor="text1"/>
        </w:rPr>
      </w:pPr>
    </w:p>
    <w:p w14:paraId="6B147371" w14:textId="0DF763DA" w:rsidR="00E94A3F" w:rsidRPr="006867F9" w:rsidRDefault="00E94A3F" w:rsidP="00146AC4">
      <w:pPr>
        <w:rPr>
          <w:rFonts w:ascii="Arial" w:hAnsi="Arial" w:cs="Arial"/>
          <w:color w:val="000000" w:themeColor="text1"/>
        </w:rPr>
      </w:pPr>
      <w:r w:rsidRPr="006867F9">
        <w:rPr>
          <w:rFonts w:ascii="Arial" w:hAnsi="Arial" w:cs="Arial"/>
          <w:color w:val="000000" w:themeColor="text1"/>
        </w:rPr>
        <w:t xml:space="preserve">Smith, J. (2021). Addressing inequalities: The role of staff race networks. </w:t>
      </w:r>
      <w:proofErr w:type="spellStart"/>
      <w:r w:rsidRPr="006867F9">
        <w:rPr>
          <w:rFonts w:ascii="Arial" w:hAnsi="Arial" w:cs="Arial"/>
          <w:color w:val="000000" w:themeColor="text1"/>
        </w:rPr>
        <w:t>Acas</w:t>
      </w:r>
      <w:proofErr w:type="spellEnd"/>
      <w:r w:rsidRPr="006867F9">
        <w:rPr>
          <w:rFonts w:ascii="Arial" w:hAnsi="Arial" w:cs="Arial"/>
          <w:color w:val="000000" w:themeColor="text1"/>
        </w:rPr>
        <w:t>. Retrieved from </w:t>
      </w:r>
      <w:hyperlink r:id="rId7" w:tgtFrame="_blank" w:history="1">
        <w:r w:rsidRPr="006867F9">
          <w:rPr>
            <w:rFonts w:ascii="Arial" w:hAnsi="Arial" w:cs="Arial"/>
            <w:color w:val="000000" w:themeColor="text1"/>
            <w:u w:val="single"/>
          </w:rPr>
          <w:t>https://www.acas.org.uk/addressing-inequalities-the-role-of-staff-race-networks/html</w:t>
        </w:r>
      </w:hyperlink>
    </w:p>
    <w:p w14:paraId="3BB85705" w14:textId="77777777" w:rsidR="00E94A3F" w:rsidRPr="006867F9" w:rsidRDefault="00E94A3F" w:rsidP="00146AC4">
      <w:pPr>
        <w:rPr>
          <w:rFonts w:ascii="Arial" w:hAnsi="Arial" w:cs="Arial"/>
          <w:color w:val="000000" w:themeColor="text1"/>
        </w:rPr>
      </w:pPr>
    </w:p>
    <w:p w14:paraId="119ECC95" w14:textId="58127FAD" w:rsidR="009B3F28" w:rsidRPr="006867F9" w:rsidRDefault="009B3F28" w:rsidP="00146AC4">
      <w:pPr>
        <w:rPr>
          <w:rFonts w:ascii="Arial" w:hAnsi="Arial" w:cs="Arial"/>
          <w:color w:val="000000" w:themeColor="text1"/>
        </w:rPr>
      </w:pPr>
      <w:r w:rsidRPr="006867F9">
        <w:rPr>
          <w:rFonts w:ascii="Arial" w:hAnsi="Arial" w:cs="Arial"/>
          <w:color w:val="000000" w:themeColor="text1"/>
        </w:rPr>
        <w:t>The Law Society. (2021). Diversity and inclusion framework. [online] Available at:</w:t>
      </w:r>
      <w:r w:rsidRPr="006867F9">
        <w:rPr>
          <w:rStyle w:val="apple-converted-space"/>
          <w:rFonts w:ascii="Arial" w:hAnsi="Arial" w:cs="Arial"/>
          <w:color w:val="000000" w:themeColor="text1"/>
        </w:rPr>
        <w:t> </w:t>
      </w:r>
      <w:hyperlink r:id="rId8" w:tgtFrame="_blank" w:history="1">
        <w:r w:rsidRPr="006867F9">
          <w:rPr>
            <w:rStyle w:val="Hyperlink"/>
            <w:rFonts w:ascii="Arial" w:hAnsi="Arial" w:cs="Arial"/>
            <w:color w:val="000000" w:themeColor="text1"/>
          </w:rPr>
          <w:t>https://www.lawsociety.org.uk/topics/diversity-and-inclusion-framework</w:t>
        </w:r>
      </w:hyperlink>
      <w:r w:rsidRPr="006867F9">
        <w:rPr>
          <w:rStyle w:val="apple-converted-space"/>
          <w:rFonts w:ascii="Arial" w:hAnsi="Arial" w:cs="Arial"/>
          <w:color w:val="000000" w:themeColor="text1"/>
        </w:rPr>
        <w:t> </w:t>
      </w:r>
      <w:r w:rsidRPr="006867F9">
        <w:rPr>
          <w:rFonts w:ascii="Arial" w:hAnsi="Arial" w:cs="Arial"/>
          <w:color w:val="000000" w:themeColor="text1"/>
        </w:rPr>
        <w:t>[Accessed 10 May 2023].</w:t>
      </w:r>
    </w:p>
    <w:p w14:paraId="5C529E79" w14:textId="77777777" w:rsidR="00146AC4" w:rsidRPr="006867F9" w:rsidRDefault="00146AC4" w:rsidP="00146AC4">
      <w:pPr>
        <w:rPr>
          <w:rFonts w:ascii="Arial" w:hAnsi="Arial" w:cs="Arial"/>
          <w:color w:val="000000" w:themeColor="text1"/>
        </w:rPr>
      </w:pPr>
    </w:p>
    <w:p w14:paraId="4AD39AEF" w14:textId="77777777" w:rsidR="009F7550" w:rsidRPr="006867F9" w:rsidRDefault="009F7550" w:rsidP="00146AC4">
      <w:pPr>
        <w:rPr>
          <w:rFonts w:ascii="Arial" w:hAnsi="Arial" w:cs="Arial"/>
          <w:color w:val="000000" w:themeColor="text1"/>
        </w:rPr>
      </w:pPr>
    </w:p>
    <w:p w14:paraId="34B6E619" w14:textId="5CE99144" w:rsidR="007D6D0D" w:rsidRPr="006867F9" w:rsidRDefault="007D6D0D">
      <w:pPr>
        <w:rPr>
          <w:rFonts w:ascii="Arial" w:hAnsi="Arial" w:cs="Arial"/>
          <w:color w:val="000000" w:themeColor="text1"/>
        </w:rPr>
      </w:pPr>
    </w:p>
    <w:sectPr w:rsidR="007D6D0D" w:rsidRPr="006867F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6AC4"/>
    <w:rsid w:val="00146AC4"/>
    <w:rsid w:val="00420897"/>
    <w:rsid w:val="00453716"/>
    <w:rsid w:val="004971CD"/>
    <w:rsid w:val="006867F9"/>
    <w:rsid w:val="0072012A"/>
    <w:rsid w:val="007D6D0D"/>
    <w:rsid w:val="00843D50"/>
    <w:rsid w:val="009B3F28"/>
    <w:rsid w:val="009F7550"/>
    <w:rsid w:val="00BF421A"/>
    <w:rsid w:val="00D56336"/>
    <w:rsid w:val="00E94A3F"/>
    <w:rsid w:val="00EA3CA1"/>
    <w:rsid w:val="00ED4E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B3308C9"/>
  <w15:chartTrackingRefBased/>
  <w15:docId w15:val="{1AEF36D0-2555-B54D-9766-D67AD4C4D0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7550"/>
    <w:rPr>
      <w:rFonts w:ascii="Times New Roman" w:eastAsia="Times New Roman" w:hAnsi="Times New Roman" w:cs="Times New Roman"/>
      <w:kern w:val="0"/>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146AC4"/>
    <w:pPr>
      <w:spacing w:before="100" w:after="100"/>
    </w:pPr>
    <w:rPr>
      <w:lang w:eastAsia="en-US"/>
    </w:rPr>
  </w:style>
  <w:style w:type="character" w:styleId="Emphasis">
    <w:name w:val="Emphasis"/>
    <w:basedOn w:val="DefaultParagraphFont"/>
    <w:uiPriority w:val="20"/>
    <w:qFormat/>
    <w:rsid w:val="00453716"/>
    <w:rPr>
      <w:i/>
      <w:iCs/>
    </w:rPr>
  </w:style>
  <w:style w:type="character" w:customStyle="1" w:styleId="apple-converted-space">
    <w:name w:val="apple-converted-space"/>
    <w:basedOn w:val="DefaultParagraphFont"/>
    <w:rsid w:val="00EA3CA1"/>
  </w:style>
  <w:style w:type="character" w:styleId="Hyperlink">
    <w:name w:val="Hyperlink"/>
    <w:basedOn w:val="DefaultParagraphFont"/>
    <w:uiPriority w:val="99"/>
    <w:semiHidden/>
    <w:unhideWhenUsed/>
    <w:rsid w:val="00EA3CA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992748">
      <w:bodyDiv w:val="1"/>
      <w:marLeft w:val="0"/>
      <w:marRight w:val="0"/>
      <w:marTop w:val="0"/>
      <w:marBottom w:val="0"/>
      <w:divBdr>
        <w:top w:val="none" w:sz="0" w:space="0" w:color="auto"/>
        <w:left w:val="none" w:sz="0" w:space="0" w:color="auto"/>
        <w:bottom w:val="none" w:sz="0" w:space="0" w:color="auto"/>
        <w:right w:val="none" w:sz="0" w:space="0" w:color="auto"/>
      </w:divBdr>
      <w:divsChild>
        <w:div w:id="149251086">
          <w:marLeft w:val="0"/>
          <w:marRight w:val="0"/>
          <w:marTop w:val="0"/>
          <w:marBottom w:val="0"/>
          <w:divBdr>
            <w:top w:val="none" w:sz="0" w:space="0" w:color="auto"/>
            <w:left w:val="none" w:sz="0" w:space="0" w:color="auto"/>
            <w:bottom w:val="none" w:sz="0" w:space="0" w:color="auto"/>
            <w:right w:val="none" w:sz="0" w:space="0" w:color="auto"/>
          </w:divBdr>
          <w:divsChild>
            <w:div w:id="454299205">
              <w:marLeft w:val="0"/>
              <w:marRight w:val="0"/>
              <w:marTop w:val="0"/>
              <w:marBottom w:val="0"/>
              <w:divBdr>
                <w:top w:val="none" w:sz="0" w:space="0" w:color="auto"/>
                <w:left w:val="none" w:sz="0" w:space="0" w:color="auto"/>
                <w:bottom w:val="none" w:sz="0" w:space="0" w:color="auto"/>
                <w:right w:val="none" w:sz="0" w:space="0" w:color="auto"/>
              </w:divBdr>
              <w:divsChild>
                <w:div w:id="1566407255">
                  <w:marLeft w:val="0"/>
                  <w:marRight w:val="0"/>
                  <w:marTop w:val="120"/>
                  <w:marBottom w:val="0"/>
                  <w:divBdr>
                    <w:top w:val="none" w:sz="0" w:space="0" w:color="auto"/>
                    <w:left w:val="none" w:sz="0" w:space="0" w:color="auto"/>
                    <w:bottom w:val="none" w:sz="0" w:space="0" w:color="auto"/>
                    <w:right w:val="none" w:sz="0" w:space="0" w:color="auto"/>
                  </w:divBdr>
                  <w:divsChild>
                    <w:div w:id="1795829362">
                      <w:marLeft w:val="0"/>
                      <w:marRight w:val="0"/>
                      <w:marTop w:val="0"/>
                      <w:marBottom w:val="0"/>
                      <w:divBdr>
                        <w:top w:val="none" w:sz="0" w:space="0" w:color="auto"/>
                        <w:left w:val="none" w:sz="0" w:space="0" w:color="auto"/>
                        <w:bottom w:val="none" w:sz="0" w:space="0" w:color="auto"/>
                        <w:right w:val="none" w:sz="0" w:space="0" w:color="auto"/>
                      </w:divBdr>
                      <w:divsChild>
                        <w:div w:id="705638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34958818">
      <w:bodyDiv w:val="1"/>
      <w:marLeft w:val="0"/>
      <w:marRight w:val="0"/>
      <w:marTop w:val="0"/>
      <w:marBottom w:val="0"/>
      <w:divBdr>
        <w:top w:val="none" w:sz="0" w:space="0" w:color="auto"/>
        <w:left w:val="none" w:sz="0" w:space="0" w:color="auto"/>
        <w:bottom w:val="none" w:sz="0" w:space="0" w:color="auto"/>
        <w:right w:val="none" w:sz="0" w:space="0" w:color="auto"/>
      </w:divBdr>
      <w:divsChild>
        <w:div w:id="1669597362">
          <w:marLeft w:val="0"/>
          <w:marRight w:val="0"/>
          <w:marTop w:val="0"/>
          <w:marBottom w:val="0"/>
          <w:divBdr>
            <w:top w:val="none" w:sz="0" w:space="0" w:color="auto"/>
            <w:left w:val="none" w:sz="0" w:space="0" w:color="auto"/>
            <w:bottom w:val="none" w:sz="0" w:space="0" w:color="auto"/>
            <w:right w:val="none" w:sz="0" w:space="0" w:color="auto"/>
          </w:divBdr>
          <w:divsChild>
            <w:div w:id="501624454">
              <w:marLeft w:val="0"/>
              <w:marRight w:val="0"/>
              <w:marTop w:val="0"/>
              <w:marBottom w:val="0"/>
              <w:divBdr>
                <w:top w:val="none" w:sz="0" w:space="0" w:color="auto"/>
                <w:left w:val="none" w:sz="0" w:space="0" w:color="auto"/>
                <w:bottom w:val="none" w:sz="0" w:space="0" w:color="auto"/>
                <w:right w:val="none" w:sz="0" w:space="0" w:color="auto"/>
              </w:divBdr>
              <w:divsChild>
                <w:div w:id="2097707394">
                  <w:marLeft w:val="0"/>
                  <w:marRight w:val="0"/>
                  <w:marTop w:val="120"/>
                  <w:marBottom w:val="0"/>
                  <w:divBdr>
                    <w:top w:val="none" w:sz="0" w:space="0" w:color="auto"/>
                    <w:left w:val="none" w:sz="0" w:space="0" w:color="auto"/>
                    <w:bottom w:val="none" w:sz="0" w:space="0" w:color="auto"/>
                    <w:right w:val="none" w:sz="0" w:space="0" w:color="auto"/>
                  </w:divBdr>
                  <w:divsChild>
                    <w:div w:id="1615022118">
                      <w:marLeft w:val="0"/>
                      <w:marRight w:val="0"/>
                      <w:marTop w:val="0"/>
                      <w:marBottom w:val="0"/>
                      <w:divBdr>
                        <w:top w:val="none" w:sz="0" w:space="0" w:color="auto"/>
                        <w:left w:val="none" w:sz="0" w:space="0" w:color="auto"/>
                        <w:bottom w:val="none" w:sz="0" w:space="0" w:color="auto"/>
                        <w:right w:val="none" w:sz="0" w:space="0" w:color="auto"/>
                      </w:divBdr>
                      <w:divsChild>
                        <w:div w:id="1667586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99829233">
      <w:bodyDiv w:val="1"/>
      <w:marLeft w:val="0"/>
      <w:marRight w:val="0"/>
      <w:marTop w:val="0"/>
      <w:marBottom w:val="0"/>
      <w:divBdr>
        <w:top w:val="none" w:sz="0" w:space="0" w:color="auto"/>
        <w:left w:val="none" w:sz="0" w:space="0" w:color="auto"/>
        <w:bottom w:val="none" w:sz="0" w:space="0" w:color="auto"/>
        <w:right w:val="none" w:sz="0" w:space="0" w:color="auto"/>
      </w:divBdr>
      <w:divsChild>
        <w:div w:id="1146166629">
          <w:marLeft w:val="0"/>
          <w:marRight w:val="0"/>
          <w:marTop w:val="0"/>
          <w:marBottom w:val="0"/>
          <w:divBdr>
            <w:top w:val="none" w:sz="0" w:space="0" w:color="auto"/>
            <w:left w:val="none" w:sz="0" w:space="0" w:color="auto"/>
            <w:bottom w:val="none" w:sz="0" w:space="0" w:color="auto"/>
            <w:right w:val="none" w:sz="0" w:space="0" w:color="auto"/>
          </w:divBdr>
        </w:div>
      </w:divsChild>
    </w:div>
    <w:div w:id="1245989893">
      <w:bodyDiv w:val="1"/>
      <w:marLeft w:val="0"/>
      <w:marRight w:val="0"/>
      <w:marTop w:val="0"/>
      <w:marBottom w:val="0"/>
      <w:divBdr>
        <w:top w:val="none" w:sz="0" w:space="0" w:color="auto"/>
        <w:left w:val="none" w:sz="0" w:space="0" w:color="auto"/>
        <w:bottom w:val="none" w:sz="0" w:space="0" w:color="auto"/>
        <w:right w:val="none" w:sz="0" w:space="0" w:color="auto"/>
      </w:divBdr>
      <w:divsChild>
        <w:div w:id="1332567832">
          <w:marLeft w:val="0"/>
          <w:marRight w:val="0"/>
          <w:marTop w:val="0"/>
          <w:marBottom w:val="0"/>
          <w:divBdr>
            <w:top w:val="none" w:sz="0" w:space="0" w:color="auto"/>
            <w:left w:val="none" w:sz="0" w:space="0" w:color="auto"/>
            <w:bottom w:val="none" w:sz="0" w:space="0" w:color="auto"/>
            <w:right w:val="none" w:sz="0" w:space="0" w:color="auto"/>
          </w:divBdr>
          <w:divsChild>
            <w:div w:id="183597367">
              <w:marLeft w:val="0"/>
              <w:marRight w:val="0"/>
              <w:marTop w:val="0"/>
              <w:marBottom w:val="0"/>
              <w:divBdr>
                <w:top w:val="none" w:sz="0" w:space="0" w:color="auto"/>
                <w:left w:val="none" w:sz="0" w:space="0" w:color="auto"/>
                <w:bottom w:val="none" w:sz="0" w:space="0" w:color="auto"/>
                <w:right w:val="none" w:sz="0" w:space="0" w:color="auto"/>
              </w:divBdr>
              <w:divsChild>
                <w:div w:id="1589732856">
                  <w:marLeft w:val="0"/>
                  <w:marRight w:val="0"/>
                  <w:marTop w:val="120"/>
                  <w:marBottom w:val="0"/>
                  <w:divBdr>
                    <w:top w:val="none" w:sz="0" w:space="0" w:color="auto"/>
                    <w:left w:val="none" w:sz="0" w:space="0" w:color="auto"/>
                    <w:bottom w:val="none" w:sz="0" w:space="0" w:color="auto"/>
                    <w:right w:val="none" w:sz="0" w:space="0" w:color="auto"/>
                  </w:divBdr>
                  <w:divsChild>
                    <w:div w:id="1603993956">
                      <w:marLeft w:val="0"/>
                      <w:marRight w:val="0"/>
                      <w:marTop w:val="0"/>
                      <w:marBottom w:val="0"/>
                      <w:divBdr>
                        <w:top w:val="none" w:sz="0" w:space="0" w:color="auto"/>
                        <w:left w:val="none" w:sz="0" w:space="0" w:color="auto"/>
                        <w:bottom w:val="none" w:sz="0" w:space="0" w:color="auto"/>
                        <w:right w:val="none" w:sz="0" w:space="0" w:color="auto"/>
                      </w:divBdr>
                      <w:divsChild>
                        <w:div w:id="1613974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65929325">
      <w:bodyDiv w:val="1"/>
      <w:marLeft w:val="0"/>
      <w:marRight w:val="0"/>
      <w:marTop w:val="0"/>
      <w:marBottom w:val="0"/>
      <w:divBdr>
        <w:top w:val="none" w:sz="0" w:space="0" w:color="auto"/>
        <w:left w:val="none" w:sz="0" w:space="0" w:color="auto"/>
        <w:bottom w:val="none" w:sz="0" w:space="0" w:color="auto"/>
        <w:right w:val="none" w:sz="0" w:space="0" w:color="auto"/>
      </w:divBdr>
      <w:divsChild>
        <w:div w:id="2031253902">
          <w:marLeft w:val="0"/>
          <w:marRight w:val="0"/>
          <w:marTop w:val="0"/>
          <w:marBottom w:val="0"/>
          <w:divBdr>
            <w:top w:val="none" w:sz="0" w:space="0" w:color="auto"/>
            <w:left w:val="none" w:sz="0" w:space="0" w:color="auto"/>
            <w:bottom w:val="none" w:sz="0" w:space="0" w:color="auto"/>
            <w:right w:val="none" w:sz="0" w:space="0" w:color="auto"/>
          </w:divBdr>
        </w:div>
      </w:divsChild>
    </w:div>
    <w:div w:id="1873154715">
      <w:bodyDiv w:val="1"/>
      <w:marLeft w:val="0"/>
      <w:marRight w:val="0"/>
      <w:marTop w:val="0"/>
      <w:marBottom w:val="0"/>
      <w:divBdr>
        <w:top w:val="none" w:sz="0" w:space="0" w:color="auto"/>
        <w:left w:val="none" w:sz="0" w:space="0" w:color="auto"/>
        <w:bottom w:val="none" w:sz="0" w:space="0" w:color="auto"/>
        <w:right w:val="none" w:sz="0" w:space="0" w:color="auto"/>
      </w:divBdr>
      <w:divsChild>
        <w:div w:id="1892961789">
          <w:marLeft w:val="0"/>
          <w:marRight w:val="0"/>
          <w:marTop w:val="0"/>
          <w:marBottom w:val="0"/>
          <w:divBdr>
            <w:top w:val="none" w:sz="0" w:space="0" w:color="000000"/>
            <w:left w:val="none" w:sz="0" w:space="0" w:color="000000"/>
            <w:bottom w:val="none" w:sz="0" w:space="0" w:color="000000"/>
            <w:right w:val="none" w:sz="0" w:space="0" w:color="000000"/>
          </w:divBdr>
        </w:div>
      </w:divsChild>
    </w:div>
    <w:div w:id="2039237057">
      <w:bodyDiv w:val="1"/>
      <w:marLeft w:val="0"/>
      <w:marRight w:val="0"/>
      <w:marTop w:val="0"/>
      <w:marBottom w:val="0"/>
      <w:divBdr>
        <w:top w:val="none" w:sz="0" w:space="0" w:color="auto"/>
        <w:left w:val="none" w:sz="0" w:space="0" w:color="auto"/>
        <w:bottom w:val="none" w:sz="0" w:space="0" w:color="auto"/>
        <w:right w:val="none" w:sz="0" w:space="0" w:color="auto"/>
      </w:divBdr>
      <w:divsChild>
        <w:div w:id="1572882283">
          <w:marLeft w:val="0"/>
          <w:marRight w:val="0"/>
          <w:marTop w:val="0"/>
          <w:marBottom w:val="0"/>
          <w:divBdr>
            <w:top w:val="none" w:sz="0" w:space="0" w:color="auto"/>
            <w:left w:val="none" w:sz="0" w:space="0" w:color="auto"/>
            <w:bottom w:val="none" w:sz="0" w:space="0" w:color="auto"/>
            <w:right w:val="none" w:sz="0" w:space="0" w:color="auto"/>
          </w:divBdr>
          <w:divsChild>
            <w:div w:id="530075232">
              <w:marLeft w:val="0"/>
              <w:marRight w:val="0"/>
              <w:marTop w:val="0"/>
              <w:marBottom w:val="0"/>
              <w:divBdr>
                <w:top w:val="none" w:sz="0" w:space="0" w:color="auto"/>
                <w:left w:val="none" w:sz="0" w:space="0" w:color="auto"/>
                <w:bottom w:val="none" w:sz="0" w:space="0" w:color="auto"/>
                <w:right w:val="none" w:sz="0" w:space="0" w:color="auto"/>
              </w:divBdr>
              <w:divsChild>
                <w:div w:id="402608812">
                  <w:marLeft w:val="0"/>
                  <w:marRight w:val="0"/>
                  <w:marTop w:val="120"/>
                  <w:marBottom w:val="0"/>
                  <w:divBdr>
                    <w:top w:val="none" w:sz="0" w:space="0" w:color="auto"/>
                    <w:left w:val="none" w:sz="0" w:space="0" w:color="auto"/>
                    <w:bottom w:val="none" w:sz="0" w:space="0" w:color="auto"/>
                    <w:right w:val="none" w:sz="0" w:space="0" w:color="auto"/>
                  </w:divBdr>
                  <w:divsChild>
                    <w:div w:id="1156457475">
                      <w:marLeft w:val="0"/>
                      <w:marRight w:val="0"/>
                      <w:marTop w:val="0"/>
                      <w:marBottom w:val="0"/>
                      <w:divBdr>
                        <w:top w:val="none" w:sz="0" w:space="0" w:color="auto"/>
                        <w:left w:val="none" w:sz="0" w:space="0" w:color="auto"/>
                        <w:bottom w:val="none" w:sz="0" w:space="0" w:color="auto"/>
                        <w:right w:val="none" w:sz="0" w:space="0" w:color="auto"/>
                      </w:divBdr>
                      <w:divsChild>
                        <w:div w:id="764571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61245720">
      <w:bodyDiv w:val="1"/>
      <w:marLeft w:val="0"/>
      <w:marRight w:val="0"/>
      <w:marTop w:val="0"/>
      <w:marBottom w:val="0"/>
      <w:divBdr>
        <w:top w:val="none" w:sz="0" w:space="0" w:color="auto"/>
        <w:left w:val="none" w:sz="0" w:space="0" w:color="auto"/>
        <w:bottom w:val="none" w:sz="0" w:space="0" w:color="auto"/>
        <w:right w:val="none" w:sz="0" w:space="0" w:color="auto"/>
      </w:divBdr>
      <w:divsChild>
        <w:div w:id="391584012">
          <w:marLeft w:val="0"/>
          <w:marRight w:val="0"/>
          <w:marTop w:val="0"/>
          <w:marBottom w:val="0"/>
          <w:divBdr>
            <w:top w:val="none" w:sz="0" w:space="0" w:color="auto"/>
            <w:left w:val="none" w:sz="0" w:space="0" w:color="auto"/>
            <w:bottom w:val="none" w:sz="0" w:space="0" w:color="auto"/>
            <w:right w:val="none" w:sz="0" w:space="0" w:color="auto"/>
          </w:divBdr>
          <w:divsChild>
            <w:div w:id="1134911782">
              <w:marLeft w:val="0"/>
              <w:marRight w:val="0"/>
              <w:marTop w:val="0"/>
              <w:marBottom w:val="0"/>
              <w:divBdr>
                <w:top w:val="none" w:sz="0" w:space="0" w:color="auto"/>
                <w:left w:val="none" w:sz="0" w:space="0" w:color="auto"/>
                <w:bottom w:val="none" w:sz="0" w:space="0" w:color="auto"/>
                <w:right w:val="none" w:sz="0" w:space="0" w:color="auto"/>
              </w:divBdr>
              <w:divsChild>
                <w:div w:id="771055077">
                  <w:marLeft w:val="0"/>
                  <w:marRight w:val="0"/>
                  <w:marTop w:val="120"/>
                  <w:marBottom w:val="0"/>
                  <w:divBdr>
                    <w:top w:val="none" w:sz="0" w:space="0" w:color="auto"/>
                    <w:left w:val="none" w:sz="0" w:space="0" w:color="auto"/>
                    <w:bottom w:val="none" w:sz="0" w:space="0" w:color="auto"/>
                    <w:right w:val="none" w:sz="0" w:space="0" w:color="auto"/>
                  </w:divBdr>
                  <w:divsChild>
                    <w:div w:id="449281194">
                      <w:marLeft w:val="0"/>
                      <w:marRight w:val="0"/>
                      <w:marTop w:val="0"/>
                      <w:marBottom w:val="0"/>
                      <w:divBdr>
                        <w:top w:val="none" w:sz="0" w:space="0" w:color="auto"/>
                        <w:left w:val="none" w:sz="0" w:space="0" w:color="auto"/>
                        <w:bottom w:val="none" w:sz="0" w:space="0" w:color="auto"/>
                        <w:right w:val="none" w:sz="0" w:space="0" w:color="auto"/>
                      </w:divBdr>
                      <w:divsChild>
                        <w:div w:id="2006274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awsociety.org.uk/topics/diversity-and-inclusion-framework" TargetMode="External"/><Relationship Id="rId3" Type="http://schemas.openxmlformats.org/officeDocument/2006/relationships/webSettings" Target="webSettings.xml"/><Relationship Id="rId7" Type="http://schemas.openxmlformats.org/officeDocument/2006/relationships/hyperlink" Target="https://www.acas.org.uk/addressing-inequalities-the-role-of-staff-race-networks/html"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prospects.ac.uk/jobs-and-work-experience/job-sectors/law-sector/diversity-in-the-legal-profession" TargetMode="External"/><Relationship Id="rId5" Type="http://schemas.openxmlformats.org/officeDocument/2006/relationships/hyperlink" Target="https://legalservicesboard.org.uk/about-us/diversity-and-inclusion" TargetMode="External"/><Relationship Id="rId10" Type="http://schemas.openxmlformats.org/officeDocument/2006/relationships/theme" Target="theme/theme1.xml"/><Relationship Id="rId4" Type="http://schemas.openxmlformats.org/officeDocument/2006/relationships/hyperlink" Target="https://onlinelibrary.wiley.com/doi/full/10.1111/jols.12382" TargetMode="Externa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1983</Words>
  <Characters>11304</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Nikol Ivanova (2219702)</dc:creator>
  <cp:keywords/>
  <dc:description/>
  <cp:lastModifiedBy>Nikol Ivanova (2219702)</cp:lastModifiedBy>
  <cp:revision>2</cp:revision>
  <dcterms:created xsi:type="dcterms:W3CDTF">2023-05-11T01:10:00Z</dcterms:created>
  <dcterms:modified xsi:type="dcterms:W3CDTF">2023-05-11T01:10:00Z</dcterms:modified>
</cp:coreProperties>
</file>