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93362" w14:textId="56CED24E" w:rsidR="005A573F" w:rsidRDefault="005A573F" w:rsidP="1F2AE74A">
      <w:pPr>
        <w:jc w:val="center"/>
        <w:rPr>
          <w:rFonts w:ascii="Arial" w:eastAsia="Arial" w:hAnsi="Arial" w:cs="Arial"/>
          <w:b/>
          <w:bCs/>
        </w:rPr>
      </w:pPr>
    </w:p>
    <w:p w14:paraId="21C0F970" w14:textId="0AB7D922" w:rsidR="005A573F" w:rsidRDefault="005A573F" w:rsidP="1F2AE74A">
      <w:pPr>
        <w:jc w:val="center"/>
        <w:rPr>
          <w:rFonts w:ascii="Arial" w:eastAsia="Arial" w:hAnsi="Arial" w:cs="Arial"/>
          <w:b/>
          <w:bCs/>
        </w:rPr>
      </w:pPr>
    </w:p>
    <w:p w14:paraId="1CD90C1B" w14:textId="27A89A5A" w:rsidR="005A573F" w:rsidRDefault="005A573F" w:rsidP="1F2AE74A">
      <w:pPr>
        <w:jc w:val="center"/>
        <w:rPr>
          <w:rFonts w:ascii="Arial" w:eastAsia="Arial" w:hAnsi="Arial" w:cs="Arial"/>
          <w:b/>
          <w:bCs/>
        </w:rPr>
      </w:pPr>
    </w:p>
    <w:p w14:paraId="2A7B3B30" w14:textId="22E6C959" w:rsidR="005A573F" w:rsidRDefault="005A573F" w:rsidP="1F2AE74A">
      <w:pPr>
        <w:jc w:val="center"/>
        <w:rPr>
          <w:rFonts w:ascii="Arial" w:eastAsia="Arial" w:hAnsi="Arial" w:cs="Arial"/>
          <w:b/>
          <w:bCs/>
        </w:rPr>
      </w:pPr>
    </w:p>
    <w:p w14:paraId="553140CE" w14:textId="21FA80D5" w:rsidR="005A573F" w:rsidRDefault="005A573F" w:rsidP="1F2AE74A">
      <w:pPr>
        <w:jc w:val="center"/>
        <w:rPr>
          <w:rFonts w:ascii="Arial" w:eastAsia="Arial" w:hAnsi="Arial" w:cs="Arial"/>
          <w:b/>
          <w:bCs/>
        </w:rPr>
      </w:pPr>
    </w:p>
    <w:p w14:paraId="0C3DCED8" w14:textId="231E7A80" w:rsidR="005A573F" w:rsidRDefault="005A573F" w:rsidP="1F2AE74A">
      <w:pPr>
        <w:jc w:val="center"/>
        <w:rPr>
          <w:rFonts w:ascii="Arial" w:eastAsia="Arial" w:hAnsi="Arial" w:cs="Arial"/>
          <w:b/>
          <w:bCs/>
        </w:rPr>
      </w:pPr>
    </w:p>
    <w:p w14:paraId="2CABF17C" w14:textId="3263DACE" w:rsidR="005A573F" w:rsidRDefault="005A573F" w:rsidP="1F2AE74A">
      <w:pPr>
        <w:jc w:val="center"/>
        <w:rPr>
          <w:rFonts w:ascii="Arial" w:eastAsia="Arial" w:hAnsi="Arial" w:cs="Arial"/>
          <w:b/>
          <w:bCs/>
        </w:rPr>
      </w:pPr>
    </w:p>
    <w:p w14:paraId="2DE3A3C2" w14:textId="14FD6B7C" w:rsidR="005A573F" w:rsidRDefault="005A573F" w:rsidP="1F2AE74A">
      <w:pPr>
        <w:jc w:val="center"/>
        <w:rPr>
          <w:rFonts w:ascii="Arial" w:eastAsia="Arial" w:hAnsi="Arial" w:cs="Arial"/>
          <w:b/>
          <w:bCs/>
        </w:rPr>
      </w:pPr>
    </w:p>
    <w:p w14:paraId="11AB01BA" w14:textId="7DC076C1" w:rsidR="005A573F" w:rsidRDefault="005A573F" w:rsidP="1F2AE74A">
      <w:pPr>
        <w:jc w:val="center"/>
        <w:rPr>
          <w:rFonts w:ascii="Arial" w:eastAsia="Arial" w:hAnsi="Arial" w:cs="Arial"/>
          <w:b/>
          <w:bCs/>
        </w:rPr>
      </w:pPr>
    </w:p>
    <w:p w14:paraId="69D8384F" w14:textId="76A98D8A" w:rsidR="005A573F" w:rsidRDefault="1658E377" w:rsidP="1F2AE74A">
      <w:pPr>
        <w:jc w:val="center"/>
        <w:rPr>
          <w:rFonts w:ascii="Arial" w:eastAsia="Arial" w:hAnsi="Arial" w:cs="Arial"/>
          <w:b/>
          <w:bCs/>
          <w:sz w:val="32"/>
          <w:szCs w:val="32"/>
        </w:rPr>
      </w:pPr>
      <w:r w:rsidRPr="1F2AE74A">
        <w:rPr>
          <w:rFonts w:ascii="Arial" w:eastAsia="Arial" w:hAnsi="Arial" w:cs="Arial"/>
          <w:b/>
          <w:bCs/>
          <w:sz w:val="32"/>
          <w:szCs w:val="32"/>
        </w:rPr>
        <w:t>Shabnam Kausar</w:t>
      </w:r>
    </w:p>
    <w:p w14:paraId="4D6095FD" w14:textId="53F2DD59" w:rsidR="005A573F" w:rsidRDefault="1658E377" w:rsidP="1F2AE74A">
      <w:pPr>
        <w:jc w:val="center"/>
        <w:rPr>
          <w:rFonts w:ascii="Arial" w:eastAsia="Arial" w:hAnsi="Arial" w:cs="Arial"/>
          <w:b/>
          <w:bCs/>
          <w:sz w:val="32"/>
          <w:szCs w:val="32"/>
        </w:rPr>
      </w:pPr>
      <w:r w:rsidRPr="1F2AE74A">
        <w:rPr>
          <w:rFonts w:ascii="Arial" w:eastAsia="Arial" w:hAnsi="Arial" w:cs="Arial"/>
          <w:b/>
          <w:bCs/>
          <w:sz w:val="32"/>
          <w:szCs w:val="32"/>
        </w:rPr>
        <w:t>2319036</w:t>
      </w:r>
    </w:p>
    <w:p w14:paraId="4571641F" w14:textId="4D62F10E" w:rsidR="005A573F" w:rsidRDefault="4B76DF2D" w:rsidP="1F2AE74A">
      <w:pPr>
        <w:jc w:val="center"/>
        <w:rPr>
          <w:rFonts w:ascii="Arial" w:eastAsia="Arial" w:hAnsi="Arial" w:cs="Arial"/>
          <w:sz w:val="32"/>
          <w:szCs w:val="32"/>
        </w:rPr>
      </w:pPr>
      <w:r w:rsidRPr="1F2AE74A">
        <w:rPr>
          <w:rFonts w:ascii="Arial" w:eastAsia="Arial" w:hAnsi="Arial" w:cs="Arial"/>
          <w:b/>
          <w:bCs/>
          <w:sz w:val="32"/>
          <w:szCs w:val="32"/>
        </w:rPr>
        <w:t>BMHP6029</w:t>
      </w:r>
    </w:p>
    <w:p w14:paraId="5E5787A5" w14:textId="6D0A9319" w:rsidR="005A573F" w:rsidRDefault="1658E377" w:rsidP="1F2AE74A">
      <w:pPr>
        <w:jc w:val="center"/>
        <w:rPr>
          <w:rFonts w:ascii="Arial" w:eastAsia="Arial" w:hAnsi="Arial" w:cs="Arial"/>
          <w:b/>
          <w:bCs/>
        </w:rPr>
      </w:pPr>
      <w:r w:rsidRPr="1F2AE74A">
        <w:rPr>
          <w:rFonts w:ascii="Arial" w:eastAsia="Arial" w:hAnsi="Arial" w:cs="Arial"/>
          <w:b/>
          <w:bCs/>
          <w:sz w:val="32"/>
          <w:szCs w:val="32"/>
        </w:rPr>
        <w:t>Component 2: Written Assignment</w:t>
      </w:r>
    </w:p>
    <w:p w14:paraId="556D0C5A" w14:textId="01BE66BA" w:rsidR="1F2AE74A" w:rsidRDefault="1F2AE74A" w:rsidP="1F2AE74A">
      <w:pPr>
        <w:jc w:val="center"/>
        <w:rPr>
          <w:rFonts w:ascii="Arial" w:eastAsia="Arial" w:hAnsi="Arial" w:cs="Arial"/>
          <w:b/>
          <w:bCs/>
          <w:sz w:val="32"/>
          <w:szCs w:val="32"/>
        </w:rPr>
      </w:pPr>
    </w:p>
    <w:p w14:paraId="11164957" w14:textId="582ED02C" w:rsidR="1F2AE74A" w:rsidRDefault="1F2AE74A" w:rsidP="1F2AE74A">
      <w:pPr>
        <w:jc w:val="center"/>
        <w:rPr>
          <w:rFonts w:ascii="Arial" w:eastAsia="Arial" w:hAnsi="Arial" w:cs="Arial"/>
          <w:b/>
          <w:bCs/>
          <w:sz w:val="32"/>
          <w:szCs w:val="32"/>
        </w:rPr>
      </w:pPr>
    </w:p>
    <w:p w14:paraId="61312426" w14:textId="4119EE6B" w:rsidR="1F2AE74A" w:rsidRDefault="1F2AE74A" w:rsidP="1F2AE74A">
      <w:pPr>
        <w:jc w:val="center"/>
        <w:rPr>
          <w:rFonts w:ascii="Arial" w:eastAsia="Arial" w:hAnsi="Arial" w:cs="Arial"/>
          <w:b/>
          <w:bCs/>
          <w:sz w:val="32"/>
          <w:szCs w:val="32"/>
        </w:rPr>
      </w:pPr>
    </w:p>
    <w:p w14:paraId="3EF7DBC9" w14:textId="2F43FC63" w:rsidR="1F2AE74A" w:rsidRDefault="1F2AE74A" w:rsidP="1F2AE74A">
      <w:pPr>
        <w:jc w:val="center"/>
        <w:rPr>
          <w:rFonts w:ascii="Arial" w:eastAsia="Arial" w:hAnsi="Arial" w:cs="Arial"/>
          <w:b/>
          <w:bCs/>
          <w:sz w:val="32"/>
          <w:szCs w:val="32"/>
        </w:rPr>
      </w:pPr>
    </w:p>
    <w:p w14:paraId="30978D4A" w14:textId="0F4B89D1" w:rsidR="1F2AE74A" w:rsidRDefault="1F2AE74A" w:rsidP="1F2AE74A">
      <w:pPr>
        <w:jc w:val="center"/>
        <w:rPr>
          <w:rFonts w:ascii="Arial" w:eastAsia="Arial" w:hAnsi="Arial" w:cs="Arial"/>
          <w:b/>
          <w:bCs/>
          <w:sz w:val="32"/>
          <w:szCs w:val="32"/>
        </w:rPr>
      </w:pPr>
    </w:p>
    <w:p w14:paraId="7F77ED86" w14:textId="4E50A9A9" w:rsidR="1F2AE74A" w:rsidRDefault="1F2AE74A" w:rsidP="1F2AE74A">
      <w:pPr>
        <w:jc w:val="center"/>
        <w:rPr>
          <w:rFonts w:ascii="Arial" w:eastAsia="Arial" w:hAnsi="Arial" w:cs="Arial"/>
          <w:b/>
          <w:bCs/>
          <w:sz w:val="32"/>
          <w:szCs w:val="32"/>
        </w:rPr>
      </w:pPr>
    </w:p>
    <w:p w14:paraId="1D42B864" w14:textId="5401C6A9" w:rsidR="1F2AE74A" w:rsidRDefault="1F2AE74A" w:rsidP="1F2AE74A">
      <w:pPr>
        <w:jc w:val="center"/>
        <w:rPr>
          <w:rFonts w:ascii="Arial" w:eastAsia="Arial" w:hAnsi="Arial" w:cs="Arial"/>
          <w:b/>
          <w:bCs/>
          <w:sz w:val="32"/>
          <w:szCs w:val="32"/>
        </w:rPr>
      </w:pPr>
    </w:p>
    <w:p w14:paraId="1BC3E2D3" w14:textId="734DB934" w:rsidR="1F2AE74A" w:rsidRDefault="1F2AE74A" w:rsidP="1F2AE74A">
      <w:pPr>
        <w:jc w:val="center"/>
        <w:rPr>
          <w:rFonts w:ascii="Arial" w:eastAsia="Arial" w:hAnsi="Arial" w:cs="Arial"/>
          <w:b/>
          <w:bCs/>
          <w:sz w:val="32"/>
          <w:szCs w:val="32"/>
        </w:rPr>
      </w:pPr>
    </w:p>
    <w:p w14:paraId="5700F0C5" w14:textId="70F1266A" w:rsidR="1F2AE74A" w:rsidRDefault="1F2AE74A" w:rsidP="1F2AE74A">
      <w:pPr>
        <w:jc w:val="center"/>
        <w:rPr>
          <w:rFonts w:ascii="Arial" w:eastAsia="Arial" w:hAnsi="Arial" w:cs="Arial"/>
          <w:b/>
          <w:bCs/>
          <w:sz w:val="32"/>
          <w:szCs w:val="32"/>
        </w:rPr>
      </w:pPr>
    </w:p>
    <w:p w14:paraId="73ECECB1" w14:textId="5F18320E" w:rsidR="1F2AE74A" w:rsidRDefault="1F2AE74A" w:rsidP="1F2AE74A">
      <w:pPr>
        <w:jc w:val="center"/>
        <w:rPr>
          <w:rFonts w:ascii="Arial" w:eastAsia="Arial" w:hAnsi="Arial" w:cs="Arial"/>
          <w:b/>
          <w:bCs/>
          <w:sz w:val="32"/>
          <w:szCs w:val="32"/>
        </w:rPr>
      </w:pPr>
    </w:p>
    <w:p w14:paraId="2362091F" w14:textId="61ED944C" w:rsidR="1F2AE74A" w:rsidRDefault="1F2AE74A" w:rsidP="1F2AE74A">
      <w:pPr>
        <w:jc w:val="center"/>
        <w:rPr>
          <w:rFonts w:ascii="Arial" w:eastAsia="Arial" w:hAnsi="Arial" w:cs="Arial"/>
          <w:b/>
          <w:bCs/>
          <w:sz w:val="32"/>
          <w:szCs w:val="32"/>
        </w:rPr>
      </w:pPr>
    </w:p>
    <w:p w14:paraId="49557B16" w14:textId="1C58FFD7" w:rsidR="1F2AE74A" w:rsidRDefault="1F2AE74A" w:rsidP="1F2AE74A">
      <w:pPr>
        <w:jc w:val="center"/>
        <w:rPr>
          <w:rFonts w:ascii="Arial" w:eastAsia="Arial" w:hAnsi="Arial" w:cs="Arial"/>
          <w:b/>
          <w:bCs/>
          <w:sz w:val="32"/>
          <w:szCs w:val="32"/>
        </w:rPr>
      </w:pPr>
    </w:p>
    <w:p w14:paraId="715DC832" w14:textId="798DCA83" w:rsidR="6D13C20B" w:rsidRDefault="6D13C20B" w:rsidP="1F2AE74A">
      <w:pPr>
        <w:rPr>
          <w:rFonts w:ascii="Arial" w:eastAsia="Arial" w:hAnsi="Arial" w:cs="Arial"/>
          <w:b/>
          <w:bCs/>
          <w:u w:val="single"/>
        </w:rPr>
      </w:pPr>
      <w:r w:rsidRPr="1F2AE74A">
        <w:rPr>
          <w:rFonts w:ascii="Arial" w:eastAsia="Arial" w:hAnsi="Arial" w:cs="Arial"/>
          <w:b/>
          <w:bCs/>
          <w:u w:val="single"/>
        </w:rPr>
        <w:t>A Critical Examination of Obsessive-Compulsive Disorder: Classification, Diagnosis, Treatment and Rehabilitation.</w:t>
      </w:r>
    </w:p>
    <w:p w14:paraId="11CD162C" w14:textId="4CE5C859" w:rsidR="1F2AE74A" w:rsidRDefault="1F2AE74A" w:rsidP="1F2AE74A">
      <w:pPr>
        <w:rPr>
          <w:rFonts w:ascii="Arial" w:eastAsia="Arial" w:hAnsi="Arial" w:cs="Arial"/>
          <w:u w:val="single"/>
        </w:rPr>
      </w:pPr>
    </w:p>
    <w:p w14:paraId="63B5399D" w14:textId="0706B62C" w:rsidR="78AB65A5" w:rsidRDefault="78AB65A5"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Introduction</w:t>
      </w:r>
    </w:p>
    <w:p w14:paraId="070A4C00" w14:textId="18174F9C" w:rsidR="78AB65A5" w:rsidRDefault="78AB65A5" w:rsidP="1F2AE74A">
      <w:pPr>
        <w:spacing w:before="240" w:after="240"/>
      </w:pPr>
      <w:r w:rsidRPr="1F2AE74A">
        <w:rPr>
          <w:rFonts w:ascii="Arial" w:eastAsia="Arial" w:hAnsi="Arial" w:cs="Arial"/>
        </w:rPr>
        <w:t>Obsessive-Compulsive Disorder (OCD) is a serious and often disabling mental health condition that can significantly affect an individual’s emotional wellbeing, relationships, education, employment and overall quality of life. Although the term is sometimes used casually in everyday conversation, clinical OCD is far more complex than a preference for tidiness or order. It is characterised by the presence of persistent and intrusive thoughts, images or urges, known as obsessions, alongside repetitive behaviours or mental acts, known as compulsions, which the individual feels driven to perform in order to reduce distress or prevent a feared outcome (World Health Organization, 2024). These symptoms can become time-consuming, distressing and highly disruptive to normal functioning.</w:t>
      </w:r>
    </w:p>
    <w:p w14:paraId="594B3E63" w14:textId="39A33C50" w:rsidR="78AB65A5" w:rsidRDefault="78AB65A5" w:rsidP="1F2AE74A">
      <w:pPr>
        <w:spacing w:before="240" w:after="240"/>
      </w:pPr>
      <w:r w:rsidRPr="1F2AE74A">
        <w:rPr>
          <w:rFonts w:ascii="Arial" w:eastAsia="Arial" w:hAnsi="Arial" w:cs="Arial"/>
        </w:rPr>
        <w:t xml:space="preserve">OCD is classified in the </w:t>
      </w:r>
      <w:r w:rsidRPr="1F2AE74A">
        <w:rPr>
          <w:rFonts w:ascii="Arial" w:eastAsia="Arial" w:hAnsi="Arial" w:cs="Arial"/>
          <w:i/>
          <w:iCs/>
        </w:rPr>
        <w:t>International Classification of Diseases, 11th Revision</w:t>
      </w:r>
      <w:r w:rsidRPr="1F2AE74A">
        <w:rPr>
          <w:rFonts w:ascii="Arial" w:eastAsia="Arial" w:hAnsi="Arial" w:cs="Arial"/>
        </w:rPr>
        <w:t xml:space="preserve"> (ICD-11) within the category of obsessive-compulsive and related disorders, reflecting its distinct clinical profile and the growing understanding that it should not simply be viewed as a subtype of anxiety disorder (World Health Organization, 2024; Stein </w:t>
      </w:r>
      <w:r w:rsidRPr="1F2AE74A">
        <w:rPr>
          <w:rFonts w:ascii="Arial" w:eastAsia="Arial" w:hAnsi="Arial" w:cs="Arial"/>
          <w:i/>
          <w:iCs/>
        </w:rPr>
        <w:t>et al</w:t>
      </w:r>
      <w:r w:rsidRPr="1F2AE74A">
        <w:rPr>
          <w:rFonts w:ascii="Arial" w:eastAsia="Arial" w:hAnsi="Arial" w:cs="Arial"/>
        </w:rPr>
        <w:t>., 2016). This is an important development because it recognises the specific nature of OCD, including its repetitive patterns of thought and behaviour, the varying degrees of insight present, and its overlap with related conditions such as body dysmorphic disorder and hoarding disorder.</w:t>
      </w:r>
    </w:p>
    <w:p w14:paraId="2A295DA1" w14:textId="00D69AEF" w:rsidR="78AB65A5" w:rsidRDefault="78AB65A5" w:rsidP="1F2AE74A">
      <w:pPr>
        <w:spacing w:before="240" w:after="240"/>
      </w:pPr>
      <w:r w:rsidRPr="1F2AE74A">
        <w:rPr>
          <w:rFonts w:ascii="Arial" w:eastAsia="Arial" w:hAnsi="Arial" w:cs="Arial"/>
        </w:rPr>
        <w:t>This report provides a critical examination of OCD, focusing on its classification in ICD-11, the diagnostic criteria and assessment process, current treatment approaches, and rehabilitation and recovery. It also explores contemporary debates surrounding the disorder, including diagnostic boundaries, access to specialist treatment, digital interventions and treatment-resistant OCD. The discussion is informed by contemporary academic literature and aims to present an up-to-date and balanced analysis of the condition.</w:t>
      </w:r>
    </w:p>
    <w:p w14:paraId="350FAF40" w14:textId="6AA0E0B8" w:rsidR="78AB65A5" w:rsidRDefault="78AB65A5"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Classification of OCD in ICD-11</w:t>
      </w:r>
    </w:p>
    <w:p w14:paraId="49D00CE5" w14:textId="6FA9F118" w:rsidR="78AB65A5" w:rsidRDefault="78AB65A5" w:rsidP="1F2AE74A">
      <w:pPr>
        <w:spacing w:before="240" w:after="240"/>
      </w:pPr>
      <w:r w:rsidRPr="1F2AE74A">
        <w:rPr>
          <w:rFonts w:ascii="Arial" w:eastAsia="Arial" w:hAnsi="Arial" w:cs="Arial"/>
        </w:rPr>
        <w:t xml:space="preserve">The classification of OCD has changed over time as clinical understanding has developed. In older diagnostic systems, OCD was commonly grouped with anxiety disorders. However, ICD-11 now places OCD within a separate grouping titled </w:t>
      </w:r>
      <w:r w:rsidRPr="1F2AE74A">
        <w:rPr>
          <w:rFonts w:ascii="Arial" w:eastAsia="Arial" w:hAnsi="Arial" w:cs="Arial"/>
          <w:b/>
          <w:bCs/>
        </w:rPr>
        <w:t>Obsessive-Compulsive and Related Disorders</w:t>
      </w:r>
      <w:r w:rsidRPr="1F2AE74A">
        <w:rPr>
          <w:rFonts w:ascii="Arial" w:eastAsia="Arial" w:hAnsi="Arial" w:cs="Arial"/>
        </w:rPr>
        <w:t xml:space="preserve">, alongside conditions such as body dysmorphic disorder, olfactory reference disorder, hypochondriasis and hoarding disorder (World Health Organization, 2024). This change reflects evidence that, although anxiety is often present in OCD, the condition has distinct psychological and behavioural features that justify separate classification (Stein </w:t>
      </w:r>
      <w:r w:rsidRPr="1F2AE74A">
        <w:rPr>
          <w:rFonts w:ascii="Arial" w:eastAsia="Arial" w:hAnsi="Arial" w:cs="Arial"/>
          <w:i/>
          <w:iCs/>
        </w:rPr>
        <w:t>et al</w:t>
      </w:r>
      <w:r w:rsidRPr="1F2AE74A">
        <w:rPr>
          <w:rFonts w:ascii="Arial" w:eastAsia="Arial" w:hAnsi="Arial" w:cs="Arial"/>
        </w:rPr>
        <w:t>., 2016).</w:t>
      </w:r>
    </w:p>
    <w:p w14:paraId="2482D362" w14:textId="3A97D85B" w:rsidR="787AA44E" w:rsidRDefault="787AA44E" w:rsidP="1F2AE74A">
      <w:pPr>
        <w:spacing w:before="240" w:after="240"/>
      </w:pPr>
      <w:r w:rsidRPr="1F2AE74A">
        <w:t>According to ICD-11, OCD involves persistent obsessions and/or compulsions that are excessive, time-consuming, and linked to distress or impaired functioning (World Health Organization, 2024). Obsessions are intrusive unwanted thoughts, images or impulses, while compulsions are repetitive behaviours or mental acts such as washing, checking or counting (World Health Organization, 2024). ICD-11 also recognises that compulsions may be visible actions or internal mental rituals, which improves diagnostic clarity.</w:t>
      </w:r>
    </w:p>
    <w:p w14:paraId="55B87703" w14:textId="566236E7" w:rsidR="787AA44E" w:rsidRDefault="787AA44E" w:rsidP="1F2AE74A">
      <w:pPr>
        <w:spacing w:before="240" w:after="240"/>
      </w:pPr>
      <w:r w:rsidRPr="1F2AE74A">
        <w:t xml:space="preserve">A key strength of ICD-11 is its clinical utility. Reed </w:t>
      </w:r>
      <w:r w:rsidRPr="1F2AE74A">
        <w:rPr>
          <w:i/>
          <w:iCs/>
        </w:rPr>
        <w:t>et al</w:t>
      </w:r>
      <w:r w:rsidRPr="1F2AE74A">
        <w:t>. (2019) state that it was designed to improve diagnosis across different healthcare settings and cultures. This is useful in OCD because symptoms vary widely between individuals, from contamination fears to taboo intrusive thoughts. A flexible system therefore supports broader but consistent recognition.</w:t>
      </w:r>
    </w:p>
    <w:p w14:paraId="4D348508" w14:textId="0F926E28" w:rsidR="787AA44E" w:rsidRDefault="787AA44E" w:rsidP="1F2AE74A">
      <w:pPr>
        <w:spacing w:before="240" w:after="240"/>
      </w:pPr>
      <w:r w:rsidRPr="1F2AE74A">
        <w:t xml:space="preserve">However, challenges remain. Kogan </w:t>
      </w:r>
      <w:r w:rsidRPr="1F2AE74A">
        <w:rPr>
          <w:i/>
          <w:iCs/>
        </w:rPr>
        <w:t>et al</w:t>
      </w:r>
      <w:r w:rsidRPr="1F2AE74A">
        <w:t>. (2020) found that ICD-11 improved diagnostic accuracy compared with ICD-10, but complex cases were still difficult. This shows that classification alone is not enough, and accurate diagnosis still depends on clinical skill and experience.</w:t>
      </w:r>
    </w:p>
    <w:p w14:paraId="57A5DEA8" w14:textId="687D4F62" w:rsidR="787AA44E" w:rsidRDefault="787AA44E" w:rsidP="1F2AE74A">
      <w:pPr>
        <w:spacing w:before="240" w:after="240"/>
      </w:pPr>
      <w:r w:rsidRPr="1F2AE74A">
        <w:t xml:space="preserve">ICD-11 also separates OCD more clearly from psychotic disorders. This matters because obsessive thoughts may appear irrational, especially where insight is poor. However, unlike delusions, obsessions are usually experienced as intrusive and distressing (Simpson </w:t>
      </w:r>
      <w:r w:rsidRPr="1F2AE74A">
        <w:rPr>
          <w:i/>
          <w:iCs/>
        </w:rPr>
        <w:t>et al</w:t>
      </w:r>
      <w:r w:rsidRPr="1F2AE74A">
        <w:t>., 2014). Overall, ICD-11 provides a clearer and more useful framework for understanding OCD.</w:t>
      </w:r>
      <w:r w:rsidRPr="1F2AE74A">
        <w:rPr>
          <w:rFonts w:ascii="Arial" w:eastAsia="Arial" w:hAnsi="Arial" w:cs="Arial"/>
          <w:b/>
          <w:bCs/>
          <w:sz w:val="36"/>
          <w:szCs w:val="36"/>
        </w:rPr>
        <w:t xml:space="preserve"> </w:t>
      </w:r>
    </w:p>
    <w:p w14:paraId="14048AC5" w14:textId="0E9CFD75" w:rsidR="731B97D3" w:rsidRDefault="731B97D3"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Diagnosis and Diagnostic Process</w:t>
      </w:r>
    </w:p>
    <w:p w14:paraId="7C303E07" w14:textId="070367D5" w:rsidR="731B97D3" w:rsidRDefault="731B97D3" w:rsidP="1F2AE74A">
      <w:pPr>
        <w:spacing w:before="240" w:after="240"/>
      </w:pPr>
      <w:r w:rsidRPr="1F2AE74A">
        <w:rPr>
          <w:rFonts w:ascii="Arial" w:eastAsia="Arial" w:hAnsi="Arial" w:cs="Arial"/>
        </w:rPr>
        <w:t>The diagnosis of OCD requires careful assessment. Repetitive behaviours alone are not enough, because they can appear in other mental health and neurodevelopmental conditions. A full assessment should examine obsessions, compulsions, the link between them, the time they take, the distress caused, the impact on daily functioning, and the person’s level of insight (World Health Organization, 2024).</w:t>
      </w:r>
    </w:p>
    <w:p w14:paraId="1A00D440" w14:textId="79B4444C" w:rsidR="731B97D3" w:rsidRDefault="731B97D3" w:rsidP="1F2AE74A">
      <w:pPr>
        <w:spacing w:before="240" w:after="240"/>
      </w:pPr>
      <w:r w:rsidRPr="1F2AE74A">
        <w:rPr>
          <w:rFonts w:ascii="Arial" w:eastAsia="Arial" w:hAnsi="Arial" w:cs="Arial"/>
        </w:rPr>
        <w:t xml:space="preserve">NHS guidance states that OCD is usually diagnosed when obsessions and compulsions cause significant distress, interfere with daily life, or take up a lot of time, often more than one hour a day (NHS, 2025a). However, many people delay seeking help because of shame, embarrassment, or fear of judgement, especially when their thoughts involve aggressive, sexual, or blasphemous themes. This means OCD is often under-recognised in its early stages (Bey </w:t>
      </w:r>
      <w:r w:rsidRPr="1F2AE74A">
        <w:rPr>
          <w:rFonts w:ascii="Arial" w:eastAsia="Arial" w:hAnsi="Arial" w:cs="Arial"/>
          <w:i/>
          <w:iCs/>
        </w:rPr>
        <w:t>et al</w:t>
      </w:r>
      <w:r w:rsidRPr="1F2AE74A">
        <w:rPr>
          <w:rFonts w:ascii="Arial" w:eastAsia="Arial" w:hAnsi="Arial" w:cs="Arial"/>
        </w:rPr>
        <w:t>., 2025). Early diagnosis matters because untreated OCD can become more severe and harder to treat.</w:t>
      </w:r>
    </w:p>
    <w:p w14:paraId="715BA0A4" w14:textId="3E3CCAEF" w:rsidR="731B97D3" w:rsidRDefault="731B97D3" w:rsidP="1F2AE74A">
      <w:pPr>
        <w:spacing w:before="240" w:after="240"/>
      </w:pPr>
      <w:r w:rsidRPr="1F2AE74A">
        <w:rPr>
          <w:rFonts w:ascii="Arial" w:eastAsia="Arial" w:hAnsi="Arial" w:cs="Arial"/>
        </w:rPr>
        <w:t xml:space="preserve">Differential diagnosis is also important. OCD can be mistaken for anxiety disorders, depression, autism spectrum disorder, tic disorders, psychosis, and other related conditions (Singh </w:t>
      </w:r>
      <w:r w:rsidRPr="1F2AE74A">
        <w:rPr>
          <w:rFonts w:ascii="Arial" w:eastAsia="Arial" w:hAnsi="Arial" w:cs="Arial"/>
          <w:i/>
          <w:iCs/>
        </w:rPr>
        <w:t>et al</w:t>
      </w:r>
      <w:r w:rsidRPr="1F2AE74A">
        <w:rPr>
          <w:rFonts w:ascii="Arial" w:eastAsia="Arial" w:hAnsi="Arial" w:cs="Arial"/>
        </w:rPr>
        <w:t xml:space="preserve">., 2023). For example, repetitive behaviours in autism may be self-soothing rather than driven by obsessions. In psychosis, beliefs are usually fixed, whereas obsessions are unwanted and distressing, even when insight is reduced (Simpson </w:t>
      </w:r>
      <w:r w:rsidRPr="1F2AE74A">
        <w:rPr>
          <w:rFonts w:ascii="Arial" w:eastAsia="Arial" w:hAnsi="Arial" w:cs="Arial"/>
          <w:i/>
          <w:iCs/>
        </w:rPr>
        <w:t>et al</w:t>
      </w:r>
      <w:r w:rsidRPr="1F2AE74A">
        <w:rPr>
          <w:rFonts w:ascii="Arial" w:eastAsia="Arial" w:hAnsi="Arial" w:cs="Arial"/>
        </w:rPr>
        <w:t>., 2014).</w:t>
      </w:r>
    </w:p>
    <w:p w14:paraId="5CB135F9" w14:textId="20DFFFFD" w:rsidR="731B97D3" w:rsidRDefault="731B97D3" w:rsidP="1F2AE74A">
      <w:pPr>
        <w:spacing w:before="240" w:after="240"/>
      </w:pPr>
      <w:r w:rsidRPr="1F2AE74A">
        <w:rPr>
          <w:rFonts w:ascii="Arial" w:eastAsia="Arial" w:hAnsi="Arial" w:cs="Arial"/>
        </w:rPr>
        <w:t xml:space="preserve">OCD also commonly occurs alongside depression and anxiety. These comorbidities can increase the severity of the condition and make treatment more difficult (Singh </w:t>
      </w:r>
      <w:r w:rsidRPr="1F2AE74A">
        <w:rPr>
          <w:rFonts w:ascii="Arial" w:eastAsia="Arial" w:hAnsi="Arial" w:cs="Arial"/>
          <w:i/>
          <w:iCs/>
        </w:rPr>
        <w:t>et al</w:t>
      </w:r>
      <w:r w:rsidRPr="1F2AE74A">
        <w:rPr>
          <w:rFonts w:ascii="Arial" w:eastAsia="Arial" w:hAnsi="Arial" w:cs="Arial"/>
        </w:rPr>
        <w:t xml:space="preserve">., 2023). Severe OCD has also been linked to suicidal thoughts and self-harm risk (Brakoulias </w:t>
      </w:r>
      <w:r w:rsidRPr="1F2AE74A">
        <w:rPr>
          <w:rFonts w:ascii="Arial" w:eastAsia="Arial" w:hAnsi="Arial" w:cs="Arial"/>
          <w:i/>
          <w:iCs/>
        </w:rPr>
        <w:t>et al</w:t>
      </w:r>
      <w:r w:rsidRPr="1F2AE74A">
        <w:rPr>
          <w:rFonts w:ascii="Arial" w:eastAsia="Arial" w:hAnsi="Arial" w:cs="Arial"/>
        </w:rPr>
        <w:t xml:space="preserve">., 2024). Therefore, assessment should also consider mood, risk, substance use, family impact, and social and occupational functioning </w:t>
      </w:r>
    </w:p>
    <w:p w14:paraId="0EAC1B63" w14:textId="6C5BBF55" w:rsidR="78AB65A5" w:rsidRDefault="78AB65A5" w:rsidP="1F2AE74A">
      <w:pPr>
        <w:spacing w:before="240" w:after="240"/>
      </w:pPr>
      <w:r w:rsidRPr="1F2AE74A">
        <w:rPr>
          <w:rFonts w:ascii="Arial" w:eastAsia="Arial" w:hAnsi="Arial" w:cs="Arial"/>
        </w:rPr>
        <w:t>Although structured interviews and rating scales can support diagnosis, these tools do not replace clinical expertise. Recent research confirms that diagnosis continues to rely primarily on detailed clinical evaluation, supported where appropriate by validated assessment instruments (Brock and Hany, 2024). This highlights an important issue in mental health practice: diagnosis is not a purely technical exercise, but a process of understanding the meaning, impact and context of symptoms within the individual’s lived experience.</w:t>
      </w:r>
    </w:p>
    <w:p w14:paraId="05AF4427" w14:textId="65B8438C" w:rsidR="78AB65A5" w:rsidRDefault="78AB65A5"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Treatment of OCD</w:t>
      </w:r>
    </w:p>
    <w:p w14:paraId="0C64FADF" w14:textId="3A7A1EEA" w:rsidR="78AB65A5" w:rsidRDefault="78AB65A5" w:rsidP="1F2AE74A">
      <w:pPr>
        <w:spacing w:before="240" w:after="240"/>
      </w:pPr>
      <w:r w:rsidRPr="1F2AE74A">
        <w:rPr>
          <w:rFonts w:ascii="Arial" w:eastAsia="Arial" w:hAnsi="Arial" w:cs="Arial"/>
        </w:rPr>
        <w:t xml:space="preserve">The treatment of OCD is supported by a well-established evidence base, with </w:t>
      </w:r>
      <w:r w:rsidRPr="1F2AE74A">
        <w:rPr>
          <w:rFonts w:ascii="Arial" w:eastAsia="Arial" w:hAnsi="Arial" w:cs="Arial"/>
          <w:b/>
          <w:bCs/>
        </w:rPr>
        <w:t>cognitive behavioural therapy (CBT) incorporating exposure and response prevention (ERP)</w:t>
      </w:r>
      <w:r w:rsidRPr="1F2AE74A">
        <w:rPr>
          <w:rFonts w:ascii="Arial" w:eastAsia="Arial" w:hAnsi="Arial" w:cs="Arial"/>
        </w:rPr>
        <w:t xml:space="preserve"> and </w:t>
      </w:r>
      <w:r w:rsidRPr="1F2AE74A">
        <w:rPr>
          <w:rFonts w:ascii="Arial" w:eastAsia="Arial" w:hAnsi="Arial" w:cs="Arial"/>
          <w:b/>
          <w:bCs/>
        </w:rPr>
        <w:t>selective serotonin reuptake inhibitors (SSRIs)</w:t>
      </w:r>
      <w:r w:rsidRPr="1F2AE74A">
        <w:rPr>
          <w:rFonts w:ascii="Arial" w:eastAsia="Arial" w:hAnsi="Arial" w:cs="Arial"/>
        </w:rPr>
        <w:t xml:space="preserve"> recognised as the principal first-line interventions (NICE, 2005; NHS, 2025b). NICE guidance recommends a stepped-care model in which the type and intensity of treatment should reflect symptom severity, functional impairment, comorbidity and patient preference (NICE, 2005). This approach is important because OCD exists on a spectrum, and not all individuals require the same level of intervention.</w:t>
      </w:r>
    </w:p>
    <w:p w14:paraId="48ED684C" w14:textId="5A146FBF" w:rsidR="78AB65A5" w:rsidRDefault="78AB65A5" w:rsidP="1F2AE74A">
      <w:pPr>
        <w:spacing w:before="240" w:after="240"/>
      </w:pPr>
      <w:r w:rsidRPr="1F2AE74A">
        <w:rPr>
          <w:rFonts w:ascii="Arial" w:eastAsia="Arial" w:hAnsi="Arial" w:cs="Arial"/>
        </w:rPr>
        <w:t xml:space="preserve">ERP is widely regarded as the most effective psychological treatment for OCD. It involves the individual being gradually exposed to feared situations, thoughts or triggers while resisting the urge to carry out compulsions. Through repeated practice, the person learns that anxiety reduces naturally over time and that feared consequences do not occur in the way anticipated (Ferrando </w:t>
      </w:r>
      <w:r w:rsidRPr="1F2AE74A">
        <w:rPr>
          <w:rFonts w:ascii="Arial" w:eastAsia="Arial" w:hAnsi="Arial" w:cs="Arial"/>
          <w:i/>
          <w:iCs/>
        </w:rPr>
        <w:t>et al</w:t>
      </w:r>
      <w:r w:rsidRPr="1F2AE74A">
        <w:rPr>
          <w:rFonts w:ascii="Arial" w:eastAsia="Arial" w:hAnsi="Arial" w:cs="Arial"/>
        </w:rPr>
        <w:t xml:space="preserve">., 2021). This treatment directly targets the cycle that maintains OCD, in which compulsions provide short-term relief but reinforce the obsessional fear in the longer term. A systematic review and meta-analysis by Ferrando </w:t>
      </w:r>
      <w:r w:rsidRPr="1F2AE74A">
        <w:rPr>
          <w:rFonts w:ascii="Arial" w:eastAsia="Arial" w:hAnsi="Arial" w:cs="Arial"/>
          <w:i/>
          <w:iCs/>
        </w:rPr>
        <w:t>et al</w:t>
      </w:r>
      <w:r w:rsidRPr="1F2AE74A">
        <w:rPr>
          <w:rFonts w:ascii="Arial" w:eastAsia="Arial" w:hAnsi="Arial" w:cs="Arial"/>
        </w:rPr>
        <w:t>. (2021) found that ERP remains highly effective in reducing OCD symptoms, although the authors also identified variation in study quality and some methodological limitations. Nevertheless, the overall evidence strongly supports its role as a core treatment.</w:t>
      </w:r>
    </w:p>
    <w:p w14:paraId="3B191FDC" w14:textId="34A2F8C7" w:rsidR="78AB65A5" w:rsidRDefault="78AB65A5" w:rsidP="1F2AE74A">
      <w:pPr>
        <w:spacing w:before="240" w:after="240"/>
      </w:pPr>
      <w:r w:rsidRPr="1F2AE74A">
        <w:rPr>
          <w:rFonts w:ascii="Arial" w:eastAsia="Arial" w:hAnsi="Arial" w:cs="Arial"/>
        </w:rPr>
        <w:t>Medication is also an important part of treatment, particularly for individuals with moderate to severe symptoms, limited access to therapy, or coexisting depression and anxiety (Elsouri, Subhawong and Bhandari, 2024). SSRIs are the most commonly prescribed medicines for OCD and have demonstrated effectiveness in reducing obsessional thinking and compulsive behaviour (Arumugham, Reddy and Math, 2017). However, OCD often requires higher doses and longer treatment periods than depressive disorders, which raises important clinical questions about side effects, adherence and the balance between benefit and harm (Elsouri, Subhawong and Bhandari, 2024).</w:t>
      </w:r>
    </w:p>
    <w:p w14:paraId="7BAC2E70" w14:textId="2149C676" w:rsidR="78AB65A5" w:rsidRDefault="78AB65A5" w:rsidP="1F2AE74A">
      <w:pPr>
        <w:spacing w:before="240" w:after="240"/>
      </w:pPr>
      <w:r w:rsidRPr="1F2AE74A">
        <w:rPr>
          <w:rFonts w:ascii="Arial" w:eastAsia="Arial" w:hAnsi="Arial" w:cs="Arial"/>
        </w:rPr>
        <w:t xml:space="preserve">Combined treatment may be especially useful in more severe or chronic cases. Evidence suggests that ERP in combination with SSRI treatment may provide additional benefit, particularly where symptom burden is high or previous treatment response has been limited (Steele </w:t>
      </w:r>
      <w:r w:rsidRPr="1F2AE74A">
        <w:rPr>
          <w:rFonts w:ascii="Arial" w:eastAsia="Arial" w:hAnsi="Arial" w:cs="Arial"/>
          <w:i/>
          <w:iCs/>
        </w:rPr>
        <w:t>et al</w:t>
      </w:r>
      <w:r w:rsidRPr="1F2AE74A">
        <w:rPr>
          <w:rFonts w:ascii="Arial" w:eastAsia="Arial" w:hAnsi="Arial" w:cs="Arial"/>
        </w:rPr>
        <w:t>., 2024). This highlights the importance of person-centred care. While some individuals respond well to psychological therapy alone, others may benefit from a combined biopsychosocial approach that addresses emotional, behavioural and neurochemical aspects of the disorder.</w:t>
      </w:r>
    </w:p>
    <w:p w14:paraId="7A4E67D6" w14:textId="3A211208" w:rsidR="78AB65A5" w:rsidRDefault="78AB65A5" w:rsidP="1F2AE74A">
      <w:pPr>
        <w:spacing w:before="240" w:after="240"/>
      </w:pPr>
      <w:r w:rsidRPr="1F2AE74A">
        <w:rPr>
          <w:rFonts w:ascii="Arial" w:eastAsia="Arial" w:hAnsi="Arial" w:cs="Arial"/>
        </w:rPr>
        <w:t xml:space="preserve">In recent years, there has been growing interest in digital and remote delivery models for OCD treatment. Internet-based CBT has emerged as a possible way to improve access to evidence-based care, especially in contexts where specialist ERP therapists are limited. Polak </w:t>
      </w:r>
      <w:r w:rsidRPr="1F2AE74A">
        <w:rPr>
          <w:rFonts w:ascii="Arial" w:eastAsia="Arial" w:hAnsi="Arial" w:cs="Arial"/>
          <w:i/>
          <w:iCs/>
        </w:rPr>
        <w:t>et al</w:t>
      </w:r>
      <w:r w:rsidRPr="1F2AE74A">
        <w:rPr>
          <w:rFonts w:ascii="Arial" w:eastAsia="Arial" w:hAnsi="Arial" w:cs="Arial"/>
        </w:rPr>
        <w:t xml:space="preserve">. (2024) found that internet-based CBT can be effective for adults with OCD, particularly when therapist support is included. Similarly, Waks </w:t>
      </w:r>
      <w:r w:rsidRPr="1F2AE74A">
        <w:rPr>
          <w:rFonts w:ascii="Arial" w:eastAsia="Arial" w:hAnsi="Arial" w:cs="Arial"/>
          <w:i/>
          <w:iCs/>
        </w:rPr>
        <w:t>et al</w:t>
      </w:r>
      <w:r w:rsidRPr="1F2AE74A">
        <w:rPr>
          <w:rFonts w:ascii="Arial" w:eastAsia="Arial" w:hAnsi="Arial" w:cs="Arial"/>
        </w:rPr>
        <w:t>. (2024) highlighted that internet-delivered interventions may be acceptable to many service users. However, these developments also raise concerns. Digital therapy may not suit everyone, particularly individuals with severe symptoms, limited privacy, poor digital access or complex risk issues. For this reason, remote treatment should be viewed as a useful addition rather than a complete replacement for face-to-face specialist care.</w:t>
      </w:r>
    </w:p>
    <w:p w14:paraId="575B9661" w14:textId="3E54D27A" w:rsidR="78AB65A5" w:rsidRDefault="78AB65A5" w:rsidP="1F2AE74A">
      <w:pPr>
        <w:spacing w:before="240" w:after="240"/>
      </w:pPr>
      <w:r w:rsidRPr="1F2AE74A">
        <w:rPr>
          <w:rFonts w:ascii="Arial" w:eastAsia="Arial" w:hAnsi="Arial" w:cs="Arial"/>
        </w:rPr>
        <w:t xml:space="preserve">A further challenge in treatment is the management of </w:t>
      </w:r>
      <w:r w:rsidRPr="1F2AE74A">
        <w:rPr>
          <w:rFonts w:ascii="Arial" w:eastAsia="Arial" w:hAnsi="Arial" w:cs="Arial"/>
          <w:b/>
          <w:bCs/>
        </w:rPr>
        <w:t>treatment-resistant OCD</w:t>
      </w:r>
      <w:r w:rsidRPr="1F2AE74A">
        <w:rPr>
          <w:rFonts w:ascii="Arial" w:eastAsia="Arial" w:hAnsi="Arial" w:cs="Arial"/>
        </w:rPr>
        <w:t>. Some individuals continue to experience severe symptoms despite adequate trials of ERP and SSRI medication. Elsouri, Subhawong and Bhandari (2024) note that treatment resistance remains a major clinical issue and may require more intensive, longer-term or augmented interventions. This is an important area of debate because it shows that, although current evidence-based treatments are effective for many people, they do not work equally well for everyone. Mental health services therefore need flexibility, specialist input and long-term follow-up for those whose recovery is slower or more complex.</w:t>
      </w:r>
    </w:p>
    <w:p w14:paraId="3C0075D5" w14:textId="46F00BD6" w:rsidR="78AB65A5" w:rsidRDefault="78AB65A5"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Rehabilitation and Recovery</w:t>
      </w:r>
    </w:p>
    <w:p w14:paraId="4AE7BEAE" w14:textId="301497F0" w:rsidR="78AB65A5" w:rsidRDefault="78AB65A5" w:rsidP="1F2AE74A">
      <w:pPr>
        <w:spacing w:before="240" w:after="240"/>
      </w:pPr>
      <w:r w:rsidRPr="1F2AE74A">
        <w:rPr>
          <w:rFonts w:ascii="Arial" w:eastAsia="Arial" w:hAnsi="Arial" w:cs="Arial"/>
        </w:rPr>
        <w:t xml:space="preserve">Although much of the literature on OCD focuses on symptom reduction, rehabilitation is equally important. Recovery from OCD should not be understood only as a decrease in obsessions and compulsions. A person may show measurable clinical improvement while still struggling with education, work, family life, social confidence or independent living. OCD can consume hours each day, lead to avoidance of places or people, and affect relationships through reassurance-seeking, ritual involvement or emotional withdrawal (Coluccia </w:t>
      </w:r>
      <w:r w:rsidRPr="1F2AE74A">
        <w:rPr>
          <w:rFonts w:ascii="Arial" w:eastAsia="Arial" w:hAnsi="Arial" w:cs="Arial"/>
          <w:i/>
          <w:iCs/>
        </w:rPr>
        <w:t>et al</w:t>
      </w:r>
      <w:r w:rsidRPr="1F2AE74A">
        <w:rPr>
          <w:rFonts w:ascii="Arial" w:eastAsia="Arial" w:hAnsi="Arial" w:cs="Arial"/>
        </w:rPr>
        <w:t>., 2016). Therefore, rehabilitation must address the wider functional and social consequences of the condition.</w:t>
      </w:r>
    </w:p>
    <w:p w14:paraId="69A6A6A0" w14:textId="115F6561" w:rsidR="500918E8" w:rsidRDefault="500918E8" w:rsidP="1F2AE74A">
      <w:pPr>
        <w:spacing w:before="240" w:after="240"/>
      </w:pPr>
      <w:r w:rsidRPr="1F2AE74A">
        <w:t xml:space="preserve">Quality of life is an important issue in OCD. Coluccia </w:t>
      </w:r>
      <w:r w:rsidRPr="1F2AE74A">
        <w:rPr>
          <w:i/>
          <w:iCs/>
        </w:rPr>
        <w:t>et al</w:t>
      </w:r>
      <w:r w:rsidRPr="1F2AE74A">
        <w:t>. (2016) found that adults with OCD have poorer quality of life than healthy groups across emotional, social and family areas. This shows that OCD affects more than symptoms alone and can limit daily life and opportunities. Rehabilitation should therefore support social reintegration, confidence and coping strategies.</w:t>
      </w:r>
    </w:p>
    <w:p w14:paraId="0AEC87CD" w14:textId="3A386B50" w:rsidR="500918E8" w:rsidRDefault="500918E8" w:rsidP="1F2AE74A">
      <w:pPr>
        <w:spacing w:before="240" w:after="240"/>
      </w:pPr>
      <w:r w:rsidRPr="1F2AE74A">
        <w:t>Family involvement is also important. Relatives may give reassurance, help avoidance, or take part in rituals, which can unintentionally maintain symptoms (NICE, 2005). For this reason, psychoeducation and family support are valuable parts of recovery.</w:t>
      </w:r>
    </w:p>
    <w:p w14:paraId="07D3A33A" w14:textId="61EAD184" w:rsidR="500918E8" w:rsidRDefault="500918E8" w:rsidP="1F2AE74A">
      <w:pPr>
        <w:spacing w:before="240" w:after="240"/>
      </w:pPr>
      <w:r w:rsidRPr="1F2AE74A">
        <w:t xml:space="preserve">Rehabilitation may also include help with returning to work or education, improving social functioning and preventing relapse. Dos Santos-Ribeiro </w:t>
      </w:r>
      <w:r w:rsidRPr="1F2AE74A">
        <w:rPr>
          <w:i/>
          <w:iCs/>
        </w:rPr>
        <w:t>et al</w:t>
      </w:r>
      <w:r w:rsidRPr="1F2AE74A">
        <w:t>. (2025) found that treatment can improve quality of life, although this may happen more slowly than symptom improvement. This suggests recovery should be measured more broadly than symptom reduction alone.</w:t>
      </w:r>
    </w:p>
    <w:p w14:paraId="078BFB5F" w14:textId="588C719D" w:rsidR="1F2AE74A" w:rsidRDefault="1F2AE74A" w:rsidP="1F2AE74A"/>
    <w:p w14:paraId="5754EC04" w14:textId="2E74D6FF" w:rsidR="2A702062" w:rsidRDefault="2A702062" w:rsidP="1F2AE74A">
      <w:pPr>
        <w:pStyle w:val="Heading2"/>
        <w:spacing w:before="299" w:after="299"/>
        <w:rPr>
          <w:b/>
          <w:bCs/>
          <w:color w:val="auto"/>
          <w:sz w:val="24"/>
          <w:szCs w:val="24"/>
          <w:u w:val="single"/>
        </w:rPr>
      </w:pPr>
      <w:r w:rsidRPr="1F2AE74A">
        <w:rPr>
          <w:b/>
          <w:bCs/>
          <w:color w:val="auto"/>
          <w:sz w:val="24"/>
          <w:szCs w:val="24"/>
          <w:u w:val="single"/>
        </w:rPr>
        <w:t>Current Debates Surrounding OCD</w:t>
      </w:r>
    </w:p>
    <w:p w14:paraId="293A63E5" w14:textId="295D2A5C" w:rsidR="2A702062" w:rsidRDefault="2A702062" w:rsidP="1F2AE74A">
      <w:pPr>
        <w:spacing w:before="240" w:after="240"/>
      </w:pPr>
      <w:r w:rsidRPr="1F2AE74A">
        <w:t>One current debate is the difference between normal intrusive thoughts and clinical OCD. Intrusive thoughts are common, but OCD involves greater distress and compulsive responses, creating a risk of both underdiagnosis and over-pathologising ordinary behaviour (Marras, Fineberg and Pallanti, 2016).</w:t>
      </w:r>
    </w:p>
    <w:p w14:paraId="239E4BB7" w14:textId="75946E35" w:rsidR="2A702062" w:rsidRDefault="2A702062" w:rsidP="1F2AE74A">
      <w:pPr>
        <w:spacing w:before="240" w:after="240"/>
      </w:pPr>
      <w:r w:rsidRPr="1F2AE74A">
        <w:t xml:space="preserve">Another issue is access to specialist treatment. Although ERP is recommended, many people still struggle to access trained therapists, especially in overstretched services. Digital therapy may help, but concerns remain about suitability and equal access (Bey </w:t>
      </w:r>
      <w:r w:rsidRPr="1F2AE74A">
        <w:rPr>
          <w:i/>
          <w:iCs/>
        </w:rPr>
        <w:t>et al</w:t>
      </w:r>
      <w:r w:rsidRPr="1F2AE74A">
        <w:t xml:space="preserve">., 2025; Polak </w:t>
      </w:r>
      <w:r w:rsidRPr="1F2AE74A">
        <w:rPr>
          <w:i/>
          <w:iCs/>
        </w:rPr>
        <w:t>et al</w:t>
      </w:r>
      <w:r w:rsidRPr="1F2AE74A">
        <w:t>., 2024).</w:t>
      </w:r>
    </w:p>
    <w:p w14:paraId="15318384" w14:textId="3EA3AD90" w:rsidR="2A702062" w:rsidRDefault="2A702062" w:rsidP="1F2AE74A">
      <w:pPr>
        <w:spacing w:before="240" w:after="240"/>
      </w:pPr>
      <w:r w:rsidRPr="1F2AE74A">
        <w:t xml:space="preserve">There is also growing concern about risk and suicidality in OCD. Recent evidence shows that OCD can be linked to suicidal thoughts, particularly where there is depression, shame or severe impairment. This means it should not be seen as a low-risk condition (Brakoulias </w:t>
      </w:r>
      <w:r w:rsidRPr="1F2AE74A">
        <w:rPr>
          <w:i/>
          <w:iCs/>
        </w:rPr>
        <w:t>et al</w:t>
      </w:r>
      <w:r w:rsidRPr="1F2AE74A">
        <w:t>., 2024).</w:t>
      </w:r>
    </w:p>
    <w:p w14:paraId="33501206" w14:textId="5F8F70D1" w:rsidR="2A702062" w:rsidRDefault="2A702062" w:rsidP="1F2AE74A">
      <w:pPr>
        <w:spacing w:before="240" w:after="240"/>
      </w:pPr>
      <w:r w:rsidRPr="1F2AE74A">
        <w:t>Finally, treatment-resistant OCD remains a challenge. Some people do not respond to standard treatment, leading to debate about more intensive or combined approaches, although evidence for newer interventions is still limited (Elsouri, Subhawong and Bhandari, 2024).</w:t>
      </w:r>
      <w:r w:rsidRPr="1F2AE74A">
        <w:rPr>
          <w:rFonts w:ascii="Arial" w:eastAsia="Arial" w:hAnsi="Arial" w:cs="Arial"/>
          <w:b/>
          <w:bCs/>
          <w:sz w:val="36"/>
          <w:szCs w:val="36"/>
        </w:rPr>
        <w:t xml:space="preserve"> </w:t>
      </w:r>
    </w:p>
    <w:p w14:paraId="27FDE484" w14:textId="563EB544" w:rsidR="78AB65A5" w:rsidRDefault="78AB65A5"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Conclusion</w:t>
      </w:r>
    </w:p>
    <w:p w14:paraId="398C2B24" w14:textId="490573B7" w:rsidR="78AB65A5" w:rsidRDefault="78AB65A5" w:rsidP="1F2AE74A">
      <w:pPr>
        <w:spacing w:before="240" w:after="240"/>
      </w:pPr>
      <w:r w:rsidRPr="1F2AE74A">
        <w:rPr>
          <w:rFonts w:ascii="Arial" w:eastAsia="Arial" w:hAnsi="Arial" w:cs="Arial"/>
        </w:rPr>
        <w:t xml:space="preserve">In conclusion, Obsessive-Compulsive Disorder is a complex and often highly impairing mental health condition that is clearly recognised in ICD-11 as part of the obsessive-compulsive and related disorders grouping. Its reclassification outside the traditional anxiety disorders category reflects improved understanding of its distinctive clinical features and has strengthened diagnostic clarity (World Health Organization, 2024; Stein </w:t>
      </w:r>
      <w:r w:rsidRPr="1F2AE74A">
        <w:rPr>
          <w:rFonts w:ascii="Arial" w:eastAsia="Arial" w:hAnsi="Arial" w:cs="Arial"/>
          <w:i/>
          <w:iCs/>
        </w:rPr>
        <w:t>et al</w:t>
      </w:r>
      <w:r w:rsidRPr="1F2AE74A">
        <w:rPr>
          <w:rFonts w:ascii="Arial" w:eastAsia="Arial" w:hAnsi="Arial" w:cs="Arial"/>
        </w:rPr>
        <w:t>., 2016). Nevertheless, the accurate identification of OCD still depends heavily on careful, skilled and person-centred assessment, particularly because symptoms may be hidden, misunderstood or confused with those of other disorders.</w:t>
      </w:r>
    </w:p>
    <w:p w14:paraId="0E485645" w14:textId="33F1BBF2" w:rsidR="78AB65A5" w:rsidRDefault="78AB65A5" w:rsidP="1F2AE74A">
      <w:pPr>
        <w:spacing w:before="240" w:after="240"/>
      </w:pPr>
      <w:r w:rsidRPr="1F2AE74A">
        <w:rPr>
          <w:rFonts w:ascii="Arial" w:eastAsia="Arial" w:hAnsi="Arial" w:cs="Arial"/>
        </w:rPr>
        <w:t xml:space="preserve">Current evidence supports CBT with ERP and SSRI medication as the principal treatment approaches, with combined interventions often beneficial in more severe cases (NICE, 2005; Ferrando </w:t>
      </w:r>
      <w:r w:rsidRPr="1F2AE74A">
        <w:rPr>
          <w:rFonts w:ascii="Arial" w:eastAsia="Arial" w:hAnsi="Arial" w:cs="Arial"/>
          <w:i/>
          <w:iCs/>
        </w:rPr>
        <w:t>et al</w:t>
      </w:r>
      <w:r w:rsidRPr="1F2AE74A">
        <w:rPr>
          <w:rFonts w:ascii="Arial" w:eastAsia="Arial" w:hAnsi="Arial" w:cs="Arial"/>
        </w:rPr>
        <w:t>., 2021). At the same time, recovery should not be judged solely by symptom reduction. Rehabilitation, quality of life, social functioning and independence are equally important outcomes. Contemporary debates around diagnostic boundaries, digital interventions, suicide risk and treatment resistance show that OCD continues to present both clinical and service-level challenges. Overall, the most effective response to OCD is one that is evidence-based, compassionate, recovery-focused and tailored to the individual’s full experience of the disorder.</w:t>
      </w:r>
    </w:p>
    <w:p w14:paraId="39B40CA2" w14:textId="737A0B37" w:rsidR="1F2AE74A" w:rsidRDefault="1F2AE74A" w:rsidP="1F2AE74A">
      <w:pPr>
        <w:spacing w:before="240" w:after="240"/>
        <w:rPr>
          <w:rFonts w:ascii="Arial" w:eastAsia="Arial" w:hAnsi="Arial" w:cs="Arial"/>
        </w:rPr>
      </w:pPr>
    </w:p>
    <w:p w14:paraId="6041D8DF" w14:textId="5D016C30" w:rsidR="1F2AE74A" w:rsidRDefault="1F2AE74A" w:rsidP="1F2AE74A">
      <w:pPr>
        <w:spacing w:before="240" w:after="240"/>
        <w:rPr>
          <w:rFonts w:ascii="Arial" w:eastAsia="Arial" w:hAnsi="Arial" w:cs="Arial"/>
        </w:rPr>
      </w:pPr>
    </w:p>
    <w:p w14:paraId="75F976C4" w14:textId="32715C3E" w:rsidR="1F2AE74A" w:rsidRDefault="1F2AE74A" w:rsidP="1F2AE74A">
      <w:pPr>
        <w:spacing w:before="240" w:after="240"/>
        <w:rPr>
          <w:rFonts w:ascii="Arial" w:eastAsia="Arial" w:hAnsi="Arial" w:cs="Arial"/>
        </w:rPr>
      </w:pPr>
    </w:p>
    <w:p w14:paraId="5F22BCCB" w14:textId="293C6FA5" w:rsidR="1F2AE74A" w:rsidRDefault="1F2AE74A" w:rsidP="1F2AE74A">
      <w:pPr>
        <w:spacing w:before="240" w:after="240"/>
        <w:rPr>
          <w:rFonts w:ascii="Arial" w:eastAsia="Arial" w:hAnsi="Arial" w:cs="Arial"/>
        </w:rPr>
      </w:pPr>
    </w:p>
    <w:p w14:paraId="25EC3129" w14:textId="65C00D08" w:rsidR="1F2AE74A" w:rsidRDefault="1F2AE74A" w:rsidP="1F2AE74A">
      <w:pPr>
        <w:spacing w:before="240" w:after="240"/>
        <w:rPr>
          <w:rFonts w:ascii="Arial" w:eastAsia="Arial" w:hAnsi="Arial" w:cs="Arial"/>
        </w:rPr>
      </w:pPr>
    </w:p>
    <w:p w14:paraId="5382732F" w14:textId="5ED03610" w:rsidR="78AB65A5" w:rsidRDefault="78AB65A5" w:rsidP="1F2AE74A">
      <w:pPr>
        <w:pStyle w:val="Heading2"/>
        <w:spacing w:before="299" w:after="299"/>
        <w:rPr>
          <w:rFonts w:ascii="Arial" w:eastAsia="Arial" w:hAnsi="Arial" w:cs="Arial"/>
          <w:b/>
          <w:bCs/>
          <w:color w:val="auto"/>
          <w:sz w:val="24"/>
          <w:szCs w:val="24"/>
          <w:u w:val="single"/>
        </w:rPr>
      </w:pPr>
      <w:r w:rsidRPr="1F2AE74A">
        <w:rPr>
          <w:rFonts w:ascii="Arial" w:eastAsia="Arial" w:hAnsi="Arial" w:cs="Arial"/>
          <w:b/>
          <w:bCs/>
          <w:color w:val="auto"/>
          <w:sz w:val="24"/>
          <w:szCs w:val="24"/>
          <w:u w:val="single"/>
        </w:rPr>
        <w:t>Reference List</w:t>
      </w:r>
    </w:p>
    <w:p w14:paraId="0CCEB857" w14:textId="6AC526D9" w:rsidR="78AB65A5" w:rsidRDefault="78AB65A5" w:rsidP="1F2AE74A">
      <w:pPr>
        <w:spacing w:before="240" w:after="240"/>
      </w:pPr>
      <w:r w:rsidRPr="1F2AE74A">
        <w:rPr>
          <w:rFonts w:ascii="Arial" w:eastAsia="Arial" w:hAnsi="Arial" w:cs="Arial"/>
        </w:rPr>
        <w:t xml:space="preserve">Arumugham, S.S., Reddy, Y.C.J. and Math, S.B. (2017) ‘Clinical practice guidelines for Obsessive-Compulsive Disorder’, </w:t>
      </w:r>
      <w:r w:rsidRPr="1F2AE74A">
        <w:rPr>
          <w:rFonts w:ascii="Arial" w:eastAsia="Arial" w:hAnsi="Arial" w:cs="Arial"/>
          <w:i/>
          <w:iCs/>
        </w:rPr>
        <w:t>Indian Journal of Psychiatry</w:t>
      </w:r>
      <w:r w:rsidRPr="1F2AE74A">
        <w:rPr>
          <w:rFonts w:ascii="Arial" w:eastAsia="Arial" w:hAnsi="Arial" w:cs="Arial"/>
        </w:rPr>
        <w:t>, 59(Suppl 1), pp. S74–S90.</w:t>
      </w:r>
    </w:p>
    <w:p w14:paraId="20D0D2A5" w14:textId="4F19B172" w:rsidR="78AB65A5" w:rsidRDefault="78AB65A5" w:rsidP="1F2AE74A">
      <w:pPr>
        <w:spacing w:before="240" w:after="240"/>
      </w:pPr>
      <w:r w:rsidRPr="1F2AE74A">
        <w:rPr>
          <w:rFonts w:ascii="Arial" w:eastAsia="Arial" w:hAnsi="Arial" w:cs="Arial"/>
        </w:rPr>
        <w:t xml:space="preserve">Bey, K., Lennon, H., Jelinek, L. and Moritz, S. (2025) ‘Help-seeking behaviour, treatment barriers and facilitators in obsessive-compulsive disorder: a systematic review’, </w:t>
      </w:r>
      <w:r w:rsidRPr="1F2AE74A">
        <w:rPr>
          <w:rFonts w:ascii="Arial" w:eastAsia="Arial" w:hAnsi="Arial" w:cs="Arial"/>
          <w:i/>
          <w:iCs/>
        </w:rPr>
        <w:t>Frontiers in Psychiatry</w:t>
      </w:r>
      <w:r w:rsidRPr="1F2AE74A">
        <w:rPr>
          <w:rFonts w:ascii="Arial" w:eastAsia="Arial" w:hAnsi="Arial" w:cs="Arial"/>
        </w:rPr>
        <w:t>, 16.</w:t>
      </w:r>
    </w:p>
    <w:p w14:paraId="022BD23B" w14:textId="7B717059" w:rsidR="78AB65A5" w:rsidRDefault="78AB65A5" w:rsidP="1F2AE74A">
      <w:pPr>
        <w:spacing w:before="240" w:after="240"/>
      </w:pPr>
      <w:r w:rsidRPr="1F2AE74A">
        <w:rPr>
          <w:rFonts w:ascii="Arial" w:eastAsia="Arial" w:hAnsi="Arial" w:cs="Arial"/>
        </w:rPr>
        <w:t xml:space="preserve">Brakoulias, V., Starcevic, V., Belloch, A., et al. (2024) ‘Suicidality in obsessive-compulsive disorder: a systematic review and meta-analysis’, </w:t>
      </w:r>
      <w:r w:rsidRPr="1F2AE74A">
        <w:rPr>
          <w:rFonts w:ascii="Arial" w:eastAsia="Arial" w:hAnsi="Arial" w:cs="Arial"/>
          <w:i/>
          <w:iCs/>
        </w:rPr>
        <w:t>Neuroscience and Biobehavioural Reviews</w:t>
      </w:r>
      <w:r w:rsidRPr="1F2AE74A">
        <w:rPr>
          <w:rFonts w:ascii="Arial" w:eastAsia="Arial" w:hAnsi="Arial" w:cs="Arial"/>
        </w:rPr>
        <w:t>, 164, 105825.</w:t>
      </w:r>
    </w:p>
    <w:p w14:paraId="2AEB18B2" w14:textId="6E9D7AEA" w:rsidR="78AB65A5" w:rsidRDefault="78AB65A5" w:rsidP="1F2AE74A">
      <w:pPr>
        <w:spacing w:before="240" w:after="240"/>
      </w:pPr>
      <w:r w:rsidRPr="1F2AE74A">
        <w:rPr>
          <w:rFonts w:ascii="Arial" w:eastAsia="Arial" w:hAnsi="Arial" w:cs="Arial"/>
        </w:rPr>
        <w:t xml:space="preserve">Brock, H. and Hany, M. (2024) ‘Obsessive-Compulsive Disorder’, </w:t>
      </w:r>
      <w:r w:rsidRPr="1F2AE74A">
        <w:rPr>
          <w:rFonts w:ascii="Arial" w:eastAsia="Arial" w:hAnsi="Arial" w:cs="Arial"/>
          <w:i/>
          <w:iCs/>
        </w:rPr>
        <w:t>StatPearls</w:t>
      </w:r>
      <w:r w:rsidRPr="1F2AE74A">
        <w:rPr>
          <w:rFonts w:ascii="Arial" w:eastAsia="Arial" w:hAnsi="Arial" w:cs="Arial"/>
        </w:rPr>
        <w:t>. Treasure Island: StatPearls Publishing.</w:t>
      </w:r>
    </w:p>
    <w:p w14:paraId="5673A2B9" w14:textId="140513C8" w:rsidR="78AB65A5" w:rsidRDefault="78AB65A5" w:rsidP="1F2AE74A">
      <w:pPr>
        <w:spacing w:before="240" w:after="240"/>
      </w:pPr>
      <w:r w:rsidRPr="1F2AE74A">
        <w:rPr>
          <w:rFonts w:ascii="Arial" w:eastAsia="Arial" w:hAnsi="Arial" w:cs="Arial"/>
        </w:rPr>
        <w:t xml:space="preserve">Coluccia, A., Fagiolini, A., Ferretti, F., Pozza, A. and Costoloni, G. (2016) ‘Adult obsessive-compulsive disorder and quality of life outcomes: A systematic review and meta-analysis’, </w:t>
      </w:r>
      <w:r w:rsidRPr="1F2AE74A">
        <w:rPr>
          <w:rFonts w:ascii="Arial" w:eastAsia="Arial" w:hAnsi="Arial" w:cs="Arial"/>
          <w:i/>
          <w:iCs/>
        </w:rPr>
        <w:t>Asian Journal of Psychiatry</w:t>
      </w:r>
      <w:r w:rsidRPr="1F2AE74A">
        <w:rPr>
          <w:rFonts w:ascii="Arial" w:eastAsia="Arial" w:hAnsi="Arial" w:cs="Arial"/>
        </w:rPr>
        <w:t>, 22, pp. 41–52.</w:t>
      </w:r>
    </w:p>
    <w:p w14:paraId="5C7DA956" w14:textId="617DE0E1" w:rsidR="78AB65A5" w:rsidRDefault="78AB65A5" w:rsidP="1F2AE74A">
      <w:pPr>
        <w:spacing w:before="240" w:after="240"/>
      </w:pPr>
      <w:r w:rsidRPr="1F2AE74A">
        <w:rPr>
          <w:rFonts w:ascii="Arial" w:eastAsia="Arial" w:hAnsi="Arial" w:cs="Arial"/>
        </w:rPr>
        <w:t xml:space="preserve">Dos Santos-Ribeiro, S., Ferrão, Y.A., Bedendo, A. and Shavitt, R.G. (2025) ‘The effect of treatment on the quality of life of patients with obsessive-compulsive disorder: a systematic review and meta-analysis’, </w:t>
      </w:r>
      <w:r w:rsidRPr="1F2AE74A">
        <w:rPr>
          <w:rFonts w:ascii="Arial" w:eastAsia="Arial" w:hAnsi="Arial" w:cs="Arial"/>
          <w:i/>
          <w:iCs/>
        </w:rPr>
        <w:t>Journal of Psychiatric Research</w:t>
      </w:r>
      <w:r w:rsidRPr="1F2AE74A">
        <w:rPr>
          <w:rFonts w:ascii="Arial" w:eastAsia="Arial" w:hAnsi="Arial" w:cs="Arial"/>
        </w:rPr>
        <w:t>, 188, pp. 212–223.</w:t>
      </w:r>
    </w:p>
    <w:p w14:paraId="60C90EFB" w14:textId="72920EB6" w:rsidR="78AB65A5" w:rsidRDefault="78AB65A5" w:rsidP="1F2AE74A">
      <w:pPr>
        <w:spacing w:before="240" w:after="240"/>
      </w:pPr>
      <w:r w:rsidRPr="1F2AE74A">
        <w:rPr>
          <w:rFonts w:ascii="Arial" w:eastAsia="Arial" w:hAnsi="Arial" w:cs="Arial"/>
        </w:rPr>
        <w:t xml:space="preserve">Elsouri, K.N., Subhawong, A.P. and Bhandari, R. (2024) ‘Management and treatment of obsessive-compulsive disorder’, </w:t>
      </w:r>
      <w:r w:rsidRPr="1F2AE74A">
        <w:rPr>
          <w:rFonts w:ascii="Arial" w:eastAsia="Arial" w:hAnsi="Arial" w:cs="Arial"/>
          <w:i/>
          <w:iCs/>
        </w:rPr>
        <w:t>Cureus</w:t>
      </w:r>
      <w:r w:rsidRPr="1F2AE74A">
        <w:rPr>
          <w:rFonts w:ascii="Arial" w:eastAsia="Arial" w:hAnsi="Arial" w:cs="Arial"/>
        </w:rPr>
        <w:t>, 16(5), e59857.</w:t>
      </w:r>
    </w:p>
    <w:p w14:paraId="26F60C29" w14:textId="0A3B759B" w:rsidR="78AB65A5" w:rsidRDefault="78AB65A5" w:rsidP="1F2AE74A">
      <w:pPr>
        <w:spacing w:before="240" w:after="240"/>
      </w:pPr>
      <w:r w:rsidRPr="1F2AE74A">
        <w:rPr>
          <w:rFonts w:ascii="Arial" w:eastAsia="Arial" w:hAnsi="Arial" w:cs="Arial"/>
        </w:rPr>
        <w:t xml:space="preserve">Ferrando, C., Selai, C., Pérez-Sola, V., et al. (2021) ‘A systematic review and meta-analysis on the effectiveness of exposure and response prevention therapy in obsessive-compulsive disorder’, </w:t>
      </w:r>
      <w:r w:rsidRPr="1F2AE74A">
        <w:rPr>
          <w:rFonts w:ascii="Arial" w:eastAsia="Arial" w:hAnsi="Arial" w:cs="Arial"/>
          <w:i/>
          <w:iCs/>
        </w:rPr>
        <w:t>Neuroscience and Biobehavioural Reviews</w:t>
      </w:r>
      <w:r w:rsidRPr="1F2AE74A">
        <w:rPr>
          <w:rFonts w:ascii="Arial" w:eastAsia="Arial" w:hAnsi="Arial" w:cs="Arial"/>
        </w:rPr>
        <w:t>, 131, pp. 25–36.</w:t>
      </w:r>
    </w:p>
    <w:p w14:paraId="3704B435" w14:textId="0EDABDAC" w:rsidR="78AB65A5" w:rsidRDefault="78AB65A5" w:rsidP="1F2AE74A">
      <w:pPr>
        <w:spacing w:before="240" w:after="240"/>
      </w:pPr>
      <w:r w:rsidRPr="1F2AE74A">
        <w:rPr>
          <w:rFonts w:ascii="Arial" w:eastAsia="Arial" w:hAnsi="Arial" w:cs="Arial"/>
        </w:rPr>
        <w:t xml:space="preserve">Kogan, C.S., Stein, D.J., Maj, M., et al. (2020) ‘Accuracy of diagnostic judgments using ICD-11 vs ICD-10 diagnostic guidelines for obsessive-compulsive and related disorders’, </w:t>
      </w:r>
      <w:r w:rsidRPr="1F2AE74A">
        <w:rPr>
          <w:rFonts w:ascii="Arial" w:eastAsia="Arial" w:hAnsi="Arial" w:cs="Arial"/>
          <w:i/>
          <w:iCs/>
        </w:rPr>
        <w:t>Journal of Affective Disorders</w:t>
      </w:r>
      <w:r w:rsidRPr="1F2AE74A">
        <w:rPr>
          <w:rFonts w:ascii="Arial" w:eastAsia="Arial" w:hAnsi="Arial" w:cs="Arial"/>
        </w:rPr>
        <w:t>, 273, pp. 328–336.</w:t>
      </w:r>
    </w:p>
    <w:p w14:paraId="068A8D35" w14:textId="5D546EA2" w:rsidR="78AB65A5" w:rsidRDefault="78AB65A5" w:rsidP="1F2AE74A">
      <w:pPr>
        <w:spacing w:before="240" w:after="240"/>
      </w:pPr>
      <w:r w:rsidRPr="1F2AE74A">
        <w:rPr>
          <w:rFonts w:ascii="Arial" w:eastAsia="Arial" w:hAnsi="Arial" w:cs="Arial"/>
        </w:rPr>
        <w:t xml:space="preserve">Marras, A., Fineberg, N.A. and Pallanti, S. (2016) ‘Obsessive-compulsive and related disorders: comparing DSM-5 and ICD-11’, </w:t>
      </w:r>
      <w:r w:rsidRPr="1F2AE74A">
        <w:rPr>
          <w:rFonts w:ascii="Arial" w:eastAsia="Arial" w:hAnsi="Arial" w:cs="Arial"/>
          <w:i/>
          <w:iCs/>
        </w:rPr>
        <w:t>CNS Spectrums</w:t>
      </w:r>
      <w:r w:rsidRPr="1F2AE74A">
        <w:rPr>
          <w:rFonts w:ascii="Arial" w:eastAsia="Arial" w:hAnsi="Arial" w:cs="Arial"/>
        </w:rPr>
        <w:t>, 21(4), pp. 324–333.</w:t>
      </w:r>
    </w:p>
    <w:p w14:paraId="28EE95D7" w14:textId="52D894B2" w:rsidR="78AB65A5" w:rsidRDefault="78AB65A5" w:rsidP="1F2AE74A">
      <w:pPr>
        <w:spacing w:before="240" w:after="240"/>
      </w:pPr>
      <w:r w:rsidRPr="1F2AE74A">
        <w:rPr>
          <w:rFonts w:ascii="Arial" w:eastAsia="Arial" w:hAnsi="Arial" w:cs="Arial"/>
        </w:rPr>
        <w:t xml:space="preserve">NHS (2025a) </w:t>
      </w:r>
      <w:r w:rsidRPr="1F2AE74A">
        <w:rPr>
          <w:rFonts w:ascii="Arial" w:eastAsia="Arial" w:hAnsi="Arial" w:cs="Arial"/>
          <w:i/>
          <w:iCs/>
        </w:rPr>
        <w:t>Overview - Obsessive compulsive disorder (OCD)</w:t>
      </w:r>
      <w:r w:rsidRPr="1F2AE74A">
        <w:rPr>
          <w:rFonts w:ascii="Arial" w:eastAsia="Arial" w:hAnsi="Arial" w:cs="Arial"/>
        </w:rPr>
        <w:t>. Available at: NHS website.</w:t>
      </w:r>
    </w:p>
    <w:p w14:paraId="3ECC5D18" w14:textId="701E66AD" w:rsidR="78AB65A5" w:rsidRDefault="78AB65A5" w:rsidP="1F2AE74A">
      <w:pPr>
        <w:spacing w:before="240" w:after="240"/>
      </w:pPr>
      <w:r w:rsidRPr="1F2AE74A">
        <w:rPr>
          <w:rFonts w:ascii="Arial" w:eastAsia="Arial" w:hAnsi="Arial" w:cs="Arial"/>
        </w:rPr>
        <w:t xml:space="preserve">NHS (2025b) </w:t>
      </w:r>
      <w:r w:rsidRPr="1F2AE74A">
        <w:rPr>
          <w:rFonts w:ascii="Arial" w:eastAsia="Arial" w:hAnsi="Arial" w:cs="Arial"/>
          <w:i/>
          <w:iCs/>
        </w:rPr>
        <w:t>Treatment - Obsessive compulsive disorder (OCD)</w:t>
      </w:r>
      <w:r w:rsidRPr="1F2AE74A">
        <w:rPr>
          <w:rFonts w:ascii="Arial" w:eastAsia="Arial" w:hAnsi="Arial" w:cs="Arial"/>
        </w:rPr>
        <w:t>. Available at: NHS website.</w:t>
      </w:r>
    </w:p>
    <w:p w14:paraId="3C41ADB4" w14:textId="0C36AA8C" w:rsidR="78AB65A5" w:rsidRDefault="78AB65A5" w:rsidP="1F2AE74A">
      <w:pPr>
        <w:spacing w:before="240" w:after="240"/>
      </w:pPr>
      <w:r w:rsidRPr="1F2AE74A">
        <w:rPr>
          <w:rFonts w:ascii="Arial" w:eastAsia="Arial" w:hAnsi="Arial" w:cs="Arial"/>
        </w:rPr>
        <w:t xml:space="preserve">NICE (2005) </w:t>
      </w:r>
      <w:r w:rsidRPr="1F2AE74A">
        <w:rPr>
          <w:rFonts w:ascii="Arial" w:eastAsia="Arial" w:hAnsi="Arial" w:cs="Arial"/>
          <w:i/>
          <w:iCs/>
        </w:rPr>
        <w:t>Obsessive-compulsive disorder and body dysmorphic disorder: treatment (CG31)</w:t>
      </w:r>
      <w:r w:rsidRPr="1F2AE74A">
        <w:rPr>
          <w:rFonts w:ascii="Arial" w:eastAsia="Arial" w:hAnsi="Arial" w:cs="Arial"/>
        </w:rPr>
        <w:t>. London: National Institute for Health and Care Excellence.</w:t>
      </w:r>
    </w:p>
    <w:p w14:paraId="06E75D23" w14:textId="20A9AFD5" w:rsidR="78AB65A5" w:rsidRDefault="78AB65A5" w:rsidP="1F2AE74A">
      <w:pPr>
        <w:spacing w:before="240" w:after="240"/>
      </w:pPr>
      <w:r w:rsidRPr="1F2AE74A">
        <w:rPr>
          <w:rFonts w:ascii="Arial" w:eastAsia="Arial" w:hAnsi="Arial" w:cs="Arial"/>
        </w:rPr>
        <w:t xml:space="preserve">Polak, M., Wootton, B.M., Scott, A.J. and Dear, B.F. (2024) ‘Internet-based cognitive behavioural treatments for obsessive-compulsive disorder in adults: a meta-analysis’, </w:t>
      </w:r>
      <w:r w:rsidRPr="1F2AE74A">
        <w:rPr>
          <w:rFonts w:ascii="Arial" w:eastAsia="Arial" w:hAnsi="Arial" w:cs="Arial"/>
          <w:i/>
          <w:iCs/>
        </w:rPr>
        <w:t>Journal of Anxiety Disorders</w:t>
      </w:r>
      <w:r w:rsidRPr="1F2AE74A">
        <w:rPr>
          <w:rFonts w:ascii="Arial" w:eastAsia="Arial" w:hAnsi="Arial" w:cs="Arial"/>
        </w:rPr>
        <w:t>, 103, 102819.</w:t>
      </w:r>
    </w:p>
    <w:p w14:paraId="4EF734FC" w14:textId="7AAF58DB" w:rsidR="78AB65A5" w:rsidRDefault="78AB65A5" w:rsidP="1F2AE74A">
      <w:pPr>
        <w:spacing w:before="240" w:after="240"/>
      </w:pPr>
      <w:r w:rsidRPr="1F2AE74A">
        <w:rPr>
          <w:rFonts w:ascii="Arial" w:eastAsia="Arial" w:hAnsi="Arial" w:cs="Arial"/>
        </w:rPr>
        <w:t xml:space="preserve">Reed, G.M., First, M.B., Kogan, C.S., et al. (2019) ‘Innovations and changes in the ICD-11 classification of mental, behavioural and neurodevelopmental disorders’, </w:t>
      </w:r>
      <w:r w:rsidRPr="1F2AE74A">
        <w:rPr>
          <w:rFonts w:ascii="Arial" w:eastAsia="Arial" w:hAnsi="Arial" w:cs="Arial"/>
          <w:i/>
          <w:iCs/>
        </w:rPr>
        <w:t>World Psychiatry</w:t>
      </w:r>
      <w:r w:rsidRPr="1F2AE74A">
        <w:rPr>
          <w:rFonts w:ascii="Arial" w:eastAsia="Arial" w:hAnsi="Arial" w:cs="Arial"/>
        </w:rPr>
        <w:t>, 18(1), pp. 3–19.</w:t>
      </w:r>
    </w:p>
    <w:p w14:paraId="129D07AF" w14:textId="5D89BE32" w:rsidR="78AB65A5" w:rsidRDefault="78AB65A5" w:rsidP="1F2AE74A">
      <w:pPr>
        <w:spacing w:before="240" w:after="240"/>
      </w:pPr>
      <w:r w:rsidRPr="1F2AE74A">
        <w:rPr>
          <w:rFonts w:ascii="Arial" w:eastAsia="Arial" w:hAnsi="Arial" w:cs="Arial"/>
        </w:rPr>
        <w:t xml:space="preserve">Simpson, H.B., Reddy, Y.C.J., Stein, D.J., et al. (2014) ‘Obsessive-compulsive disorder for ICD-11: proposed changes to the diagnostic guidelines and specifiers’, </w:t>
      </w:r>
      <w:r w:rsidRPr="1F2AE74A">
        <w:rPr>
          <w:rFonts w:ascii="Arial" w:eastAsia="Arial" w:hAnsi="Arial" w:cs="Arial"/>
          <w:i/>
          <w:iCs/>
        </w:rPr>
        <w:t>Comprehensive Psychiatry</w:t>
      </w:r>
      <w:r w:rsidRPr="1F2AE74A">
        <w:rPr>
          <w:rFonts w:ascii="Arial" w:eastAsia="Arial" w:hAnsi="Arial" w:cs="Arial"/>
        </w:rPr>
        <w:t>, 55(8), pp. 1791–1797.</w:t>
      </w:r>
    </w:p>
    <w:p w14:paraId="67134285" w14:textId="20934527" w:rsidR="78AB65A5" w:rsidRDefault="78AB65A5" w:rsidP="1F2AE74A">
      <w:pPr>
        <w:spacing w:before="240" w:after="240"/>
      </w:pPr>
      <w:r w:rsidRPr="1F2AE74A">
        <w:rPr>
          <w:rFonts w:ascii="Arial" w:eastAsia="Arial" w:hAnsi="Arial" w:cs="Arial"/>
        </w:rPr>
        <w:t xml:space="preserve">Singh, A., Jahan, N., Vohra, A., et al. (2023) ‘Obsessive-Compulsive Disorder (OCD): A comprehensive review of diagnosis, comorbidities, and treatment approaches’, </w:t>
      </w:r>
      <w:r w:rsidRPr="1F2AE74A">
        <w:rPr>
          <w:rFonts w:ascii="Arial" w:eastAsia="Arial" w:hAnsi="Arial" w:cs="Arial"/>
          <w:i/>
          <w:iCs/>
        </w:rPr>
        <w:t>Cureus</w:t>
      </w:r>
      <w:r w:rsidRPr="1F2AE74A">
        <w:rPr>
          <w:rFonts w:ascii="Arial" w:eastAsia="Arial" w:hAnsi="Arial" w:cs="Arial"/>
        </w:rPr>
        <w:t>, 15(12), e50785.</w:t>
      </w:r>
    </w:p>
    <w:p w14:paraId="26BEE514" w14:textId="4BBBAE7F" w:rsidR="78AB65A5" w:rsidRDefault="78AB65A5" w:rsidP="1F2AE74A">
      <w:pPr>
        <w:spacing w:before="240" w:after="240"/>
      </w:pPr>
      <w:r w:rsidRPr="1F2AE74A">
        <w:rPr>
          <w:rFonts w:ascii="Arial" w:eastAsia="Arial" w:hAnsi="Arial" w:cs="Arial"/>
        </w:rPr>
        <w:t xml:space="preserve">Steele, D.W., Finkelstein, Y., Halladay, J., et al. (2024) ‘Treatment of obsessive-compulsive disorder in children and young people: a meta-analysis’, </w:t>
      </w:r>
      <w:r w:rsidRPr="1F2AE74A">
        <w:rPr>
          <w:rFonts w:ascii="Arial" w:eastAsia="Arial" w:hAnsi="Arial" w:cs="Arial"/>
          <w:i/>
          <w:iCs/>
        </w:rPr>
        <w:t>Pediatrics</w:t>
      </w:r>
      <w:r w:rsidRPr="1F2AE74A">
        <w:rPr>
          <w:rFonts w:ascii="Arial" w:eastAsia="Arial" w:hAnsi="Arial" w:cs="Arial"/>
        </w:rPr>
        <w:t>, 154(6).</w:t>
      </w:r>
    </w:p>
    <w:p w14:paraId="3B2F2CEA" w14:textId="51E0BEBF" w:rsidR="78AB65A5" w:rsidRDefault="78AB65A5" w:rsidP="1F2AE74A">
      <w:pPr>
        <w:spacing w:before="240" w:after="240"/>
      </w:pPr>
      <w:r w:rsidRPr="1F2AE74A">
        <w:rPr>
          <w:rFonts w:ascii="Arial" w:eastAsia="Arial" w:hAnsi="Arial" w:cs="Arial"/>
        </w:rPr>
        <w:t xml:space="preserve">Stein, D.J., Kogan, C.S., Atmaca, M., et al. (2016) ‘The classification of obsessive-compulsive and related disorders in the ICD-11’, </w:t>
      </w:r>
      <w:r w:rsidRPr="1F2AE74A">
        <w:rPr>
          <w:rFonts w:ascii="Arial" w:eastAsia="Arial" w:hAnsi="Arial" w:cs="Arial"/>
          <w:i/>
          <w:iCs/>
        </w:rPr>
        <w:t>Journal of Affective Disorders</w:t>
      </w:r>
      <w:r w:rsidRPr="1F2AE74A">
        <w:rPr>
          <w:rFonts w:ascii="Arial" w:eastAsia="Arial" w:hAnsi="Arial" w:cs="Arial"/>
        </w:rPr>
        <w:t>, 190, pp. 663–674.</w:t>
      </w:r>
    </w:p>
    <w:p w14:paraId="66B38ACF" w14:textId="5FF8B841" w:rsidR="78AB65A5" w:rsidRDefault="78AB65A5" w:rsidP="1F2AE74A">
      <w:pPr>
        <w:spacing w:before="240" w:after="240"/>
      </w:pPr>
      <w:r w:rsidRPr="1F2AE74A">
        <w:rPr>
          <w:rFonts w:ascii="Arial" w:eastAsia="Arial" w:hAnsi="Arial" w:cs="Arial"/>
        </w:rPr>
        <w:t xml:space="preserve">Waks, S., Kaurin, A., Nissen, E.R. and Højgaard, D.R.M.A. (2024) ‘Acceptability of internet-delivered cognitive behavioural therapy for adults with obsessive-compulsive symptoms: a meta-analysis’, </w:t>
      </w:r>
      <w:r w:rsidRPr="1F2AE74A">
        <w:rPr>
          <w:rFonts w:ascii="Arial" w:eastAsia="Arial" w:hAnsi="Arial" w:cs="Arial"/>
          <w:i/>
          <w:iCs/>
        </w:rPr>
        <w:t>Clinical Psychology and Psychotherapy</w:t>
      </w:r>
      <w:r w:rsidRPr="1F2AE74A">
        <w:rPr>
          <w:rFonts w:ascii="Arial" w:eastAsia="Arial" w:hAnsi="Arial" w:cs="Arial"/>
        </w:rPr>
        <w:t>, 31(3), e2987.</w:t>
      </w:r>
    </w:p>
    <w:p w14:paraId="1E9040F1" w14:textId="4C738DEA" w:rsidR="78AB65A5" w:rsidRDefault="78AB65A5" w:rsidP="1F2AE74A">
      <w:pPr>
        <w:spacing w:before="240" w:after="240"/>
      </w:pPr>
      <w:r w:rsidRPr="1F2AE74A">
        <w:rPr>
          <w:rFonts w:ascii="Arial" w:eastAsia="Arial" w:hAnsi="Arial" w:cs="Arial"/>
        </w:rPr>
        <w:t xml:space="preserve">World Health Organization (2024) </w:t>
      </w:r>
      <w:r w:rsidRPr="1F2AE74A">
        <w:rPr>
          <w:rFonts w:ascii="Arial" w:eastAsia="Arial" w:hAnsi="Arial" w:cs="Arial"/>
          <w:i/>
          <w:iCs/>
        </w:rPr>
        <w:t>Clinical descriptions and diagnostic requirements for ICD-11 mental, behavioural and neurodevelopmental disorders</w:t>
      </w:r>
      <w:r w:rsidRPr="1F2AE74A">
        <w:rPr>
          <w:rFonts w:ascii="Arial" w:eastAsia="Arial" w:hAnsi="Arial" w:cs="Arial"/>
        </w:rPr>
        <w:t>. Geneva: World Health Organization.</w:t>
      </w:r>
    </w:p>
    <w:p w14:paraId="67C85D4C" w14:textId="5DA53F27" w:rsidR="1F2AE74A" w:rsidRDefault="1F2AE74A" w:rsidP="1F2AE74A">
      <w:pPr>
        <w:rPr>
          <w:rFonts w:ascii="Arial" w:eastAsia="Arial" w:hAnsi="Arial" w:cs="Arial"/>
          <w:u w:val="single"/>
        </w:rPr>
      </w:pPr>
    </w:p>
    <w:p w14:paraId="4807CE55" w14:textId="48580BDA" w:rsidR="1F2AE74A" w:rsidRDefault="1F2AE74A" w:rsidP="1F2AE74A">
      <w:pPr>
        <w:rPr>
          <w:rFonts w:ascii="Arial" w:eastAsia="Arial" w:hAnsi="Arial" w:cs="Arial"/>
          <w:u w:val="single"/>
        </w:rPr>
      </w:pPr>
    </w:p>
    <w:p w14:paraId="3BFCDFDE" w14:textId="30B4E2EC" w:rsidR="1F2AE74A" w:rsidRDefault="1F2AE74A" w:rsidP="1F2AE74A">
      <w:pPr>
        <w:rPr>
          <w:rFonts w:ascii="Arial" w:eastAsia="Arial" w:hAnsi="Arial" w:cs="Arial"/>
          <w:u w:val="single"/>
        </w:rPr>
      </w:pPr>
    </w:p>
    <w:sectPr w:rsidR="1F2AE74A">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E839" w14:textId="77777777" w:rsidR="008A0E41" w:rsidRDefault="008A0E41">
      <w:pPr>
        <w:spacing w:after="0" w:line="240" w:lineRule="auto"/>
      </w:pPr>
      <w:r>
        <w:separator/>
      </w:r>
    </w:p>
  </w:endnote>
  <w:endnote w:type="continuationSeparator" w:id="0">
    <w:p w14:paraId="4017B67C" w14:textId="77777777" w:rsidR="008A0E41" w:rsidRDefault="008A0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F2AE74A" w14:paraId="6AC5BD0D" w14:textId="77777777" w:rsidTr="1F2AE74A">
      <w:trPr>
        <w:trHeight w:val="300"/>
      </w:trPr>
      <w:tc>
        <w:tcPr>
          <w:tcW w:w="3005" w:type="dxa"/>
        </w:tcPr>
        <w:p w14:paraId="6960AE2C" w14:textId="7B250E3A" w:rsidR="1F2AE74A" w:rsidRDefault="1F2AE74A" w:rsidP="1F2AE74A">
          <w:pPr>
            <w:pStyle w:val="Header"/>
            <w:ind w:left="-115"/>
          </w:pPr>
        </w:p>
      </w:tc>
      <w:tc>
        <w:tcPr>
          <w:tcW w:w="3005" w:type="dxa"/>
        </w:tcPr>
        <w:p w14:paraId="40370D5E" w14:textId="4500F49A" w:rsidR="1F2AE74A" w:rsidRDefault="1F2AE74A" w:rsidP="1F2AE74A">
          <w:pPr>
            <w:pStyle w:val="Header"/>
            <w:jc w:val="center"/>
          </w:pPr>
        </w:p>
      </w:tc>
      <w:tc>
        <w:tcPr>
          <w:tcW w:w="3005" w:type="dxa"/>
        </w:tcPr>
        <w:p w14:paraId="56D823AD" w14:textId="3BB5C5FE" w:rsidR="1F2AE74A" w:rsidRDefault="1F2AE74A" w:rsidP="1F2AE74A">
          <w:pPr>
            <w:pStyle w:val="Header"/>
            <w:ind w:right="-115"/>
            <w:jc w:val="right"/>
          </w:pPr>
        </w:p>
      </w:tc>
    </w:tr>
  </w:tbl>
  <w:p w14:paraId="0371628B" w14:textId="1CBE9FDC" w:rsidR="1F2AE74A" w:rsidRDefault="1F2AE74A" w:rsidP="1F2AE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45C79" w14:textId="77777777" w:rsidR="008A0E41" w:rsidRDefault="008A0E41">
      <w:pPr>
        <w:spacing w:after="0" w:line="240" w:lineRule="auto"/>
      </w:pPr>
      <w:r>
        <w:separator/>
      </w:r>
    </w:p>
  </w:footnote>
  <w:footnote w:type="continuationSeparator" w:id="0">
    <w:p w14:paraId="7434C875" w14:textId="77777777" w:rsidR="008A0E41" w:rsidRDefault="008A0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F2AE74A" w14:paraId="79399CEB" w14:textId="77777777" w:rsidTr="1F2AE74A">
      <w:trPr>
        <w:trHeight w:val="300"/>
      </w:trPr>
      <w:tc>
        <w:tcPr>
          <w:tcW w:w="3005" w:type="dxa"/>
        </w:tcPr>
        <w:p w14:paraId="7AF36A8B" w14:textId="724559DF" w:rsidR="1F2AE74A" w:rsidRDefault="1F2AE74A" w:rsidP="1F2AE74A">
          <w:pPr>
            <w:pStyle w:val="Header"/>
            <w:ind w:left="-115"/>
          </w:pPr>
        </w:p>
      </w:tc>
      <w:tc>
        <w:tcPr>
          <w:tcW w:w="3005" w:type="dxa"/>
        </w:tcPr>
        <w:p w14:paraId="14130D7A" w14:textId="2B375A4F" w:rsidR="1F2AE74A" w:rsidRDefault="1F2AE74A" w:rsidP="1F2AE74A">
          <w:pPr>
            <w:pStyle w:val="Header"/>
            <w:jc w:val="center"/>
          </w:pPr>
        </w:p>
      </w:tc>
      <w:tc>
        <w:tcPr>
          <w:tcW w:w="3005" w:type="dxa"/>
        </w:tcPr>
        <w:p w14:paraId="015C2F3D" w14:textId="436E5AE2" w:rsidR="1F2AE74A" w:rsidRDefault="1F2AE74A" w:rsidP="1F2AE74A">
          <w:pPr>
            <w:pStyle w:val="Header"/>
            <w:ind w:right="-115"/>
            <w:jc w:val="right"/>
          </w:pPr>
        </w:p>
      </w:tc>
    </w:tr>
  </w:tbl>
  <w:p w14:paraId="2BE841DE" w14:textId="09D77801" w:rsidR="1F2AE74A" w:rsidRDefault="1F2AE74A" w:rsidP="1F2AE7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8CB759"/>
    <w:rsid w:val="002B4EBD"/>
    <w:rsid w:val="005703D8"/>
    <w:rsid w:val="005A573F"/>
    <w:rsid w:val="008A0E41"/>
    <w:rsid w:val="00985F09"/>
    <w:rsid w:val="00A0487E"/>
    <w:rsid w:val="01941E5D"/>
    <w:rsid w:val="03DFA2DB"/>
    <w:rsid w:val="090B6EF7"/>
    <w:rsid w:val="0B3299BB"/>
    <w:rsid w:val="1658E377"/>
    <w:rsid w:val="1ED4C6A9"/>
    <w:rsid w:val="1F2AE74A"/>
    <w:rsid w:val="21AF68F6"/>
    <w:rsid w:val="21C03474"/>
    <w:rsid w:val="26B169C5"/>
    <w:rsid w:val="2A702062"/>
    <w:rsid w:val="3DA25A21"/>
    <w:rsid w:val="42925D9B"/>
    <w:rsid w:val="47589BF2"/>
    <w:rsid w:val="4B76DF2D"/>
    <w:rsid w:val="500918E8"/>
    <w:rsid w:val="5C8CB759"/>
    <w:rsid w:val="5CCE2CF4"/>
    <w:rsid w:val="5CF90BA3"/>
    <w:rsid w:val="62836390"/>
    <w:rsid w:val="64408628"/>
    <w:rsid w:val="6D13C20B"/>
    <w:rsid w:val="731B97D3"/>
    <w:rsid w:val="787AA44E"/>
    <w:rsid w:val="78AB65A5"/>
    <w:rsid w:val="79967000"/>
    <w:rsid w:val="7C1B0660"/>
    <w:rsid w:val="7CEFBB01"/>
    <w:rsid w:val="7FF38B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C8CB759"/>
  <w15:chartTrackingRefBased/>
  <w15:docId w15:val="{1DEFFA65-3494-44DC-9876-6CF203CB7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1F2AE7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F2AE74A"/>
    <w:pPr>
      <w:tabs>
        <w:tab w:val="center" w:pos="4680"/>
        <w:tab w:val="right" w:pos="9360"/>
      </w:tabs>
      <w:spacing w:after="0" w:line="240" w:lineRule="auto"/>
    </w:pPr>
  </w:style>
  <w:style w:type="paragraph" w:styleId="Footer">
    <w:name w:val="footer"/>
    <w:basedOn w:val="Normal"/>
    <w:uiPriority w:val="99"/>
    <w:unhideWhenUsed/>
    <w:rsid w:val="1F2AE74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Shabnam Kausar (2319036)</dc:creator>
  <cp:keywords/>
  <dc:description/>
  <cp:lastModifiedBy>Shabnam Kausar (2319036)</cp:lastModifiedBy>
  <cp:revision>2</cp:revision>
  <dcterms:created xsi:type="dcterms:W3CDTF">2026-03-29T13:58:00Z</dcterms:created>
  <dcterms:modified xsi:type="dcterms:W3CDTF">2026-03-29T14:52:00Z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ca1e3c7e-874d-4c46-88ca-650a7841c7a2</vt:lpwstr>
  </property>
</Properties>
</file>