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46D7D" w:rsidRDefault="00CF68FA" w:rsidP="00CF68FA">
      <w:pPr>
        <w:jc w:val="center"/>
        <w:rPr>
          <w:i/>
          <w:sz w:val="32"/>
          <w:u w:val="single"/>
        </w:rPr>
      </w:pPr>
      <w:r w:rsidRPr="00CF68FA">
        <w:rPr>
          <w:i/>
          <w:sz w:val="32"/>
          <w:u w:val="single"/>
        </w:rPr>
        <w:t>Assignment 1 Support Document- Adverse Childhood Experiences: The Public Health Approach</w:t>
      </w:r>
    </w:p>
    <w:p w:rsidR="00CF68FA" w:rsidRDefault="00CF68FA" w:rsidP="00CF68FA">
      <w:pPr>
        <w:jc w:val="center"/>
        <w:rPr>
          <w:i/>
          <w:sz w:val="32"/>
          <w:u w:val="single"/>
        </w:rPr>
      </w:pPr>
    </w:p>
    <w:p w:rsidR="00CF68FA" w:rsidRPr="00CF68FA" w:rsidRDefault="00CF68FA" w:rsidP="00CF68FA">
      <w:r w:rsidRPr="00CF68FA">
        <w:t>This Document is in support of my presentation discussing the purpose of preventing and supporting young people who have suffered Adverse Childhood Experiences (ACE’s) and the impact it can have on their behaviour in adulthood. This presentation will be discussing how responses to ACE’s have changed over time, this information will give me something to compare modern prevention of ACE’s to, as the approach in modern times is a lot different to how ACE’s, and childhood trauma were treated before we understood the effects of these experiences. I will also be discussing why and how victims of ACE’s are exploited, I will discuss and research specific criminal activity vulnerable people who have experienced ACE’s may be vulnerable to. Next, we will look at safeguarding measures that are in place to protect and support victims and potential victims of ACE’s, this is to see how victims are protected and how we prevent potential victims from being abused in any shape or form of abuse. Finally, I will be discussing potential room for improvement in the current system, and methods of safeguarding young people and expanding on where gaps in research may be.</w:t>
      </w:r>
    </w:p>
    <w:p w:rsidR="00CF68FA" w:rsidRPr="00CF68FA" w:rsidRDefault="00CF68FA" w:rsidP="00CF68FA"/>
    <w:p w:rsidR="00CF68FA" w:rsidRPr="00CF68FA" w:rsidRDefault="00CF68FA" w:rsidP="00CF68FA">
      <w:pPr>
        <w:rPr>
          <w:rFonts w:cs="Arial"/>
        </w:rPr>
      </w:pPr>
      <w:r w:rsidRPr="00CF68FA">
        <w:t xml:space="preserve">Firstly, I discussed how responses to ACE’s have changed over time. I found that ACE’s are a relatively new discovery in the psychology of victims of untimely and horrible experiences. I found that </w:t>
      </w:r>
      <w:r w:rsidRPr="00CF68FA">
        <w:t>ACE’s and its effects were discovered in a ‘</w:t>
      </w:r>
      <w:proofErr w:type="spellStart"/>
      <w:r w:rsidRPr="00CF68FA">
        <w:t>groundbreaking</w:t>
      </w:r>
      <w:proofErr w:type="spellEnd"/>
      <w:r w:rsidRPr="00CF68FA">
        <w:t>’ study by the ‘</w:t>
      </w:r>
      <w:proofErr w:type="spellStart"/>
      <w:r w:rsidRPr="00CF68FA">
        <w:t>Centers</w:t>
      </w:r>
      <w:proofErr w:type="spellEnd"/>
      <w:r w:rsidRPr="00CF68FA">
        <w:t xml:space="preserve"> for Disease Control’ and the ‘Kaiser </w:t>
      </w:r>
      <w:proofErr w:type="spellStart"/>
      <w:r w:rsidRPr="00CF68FA">
        <w:t>P</w:t>
      </w:r>
      <w:r w:rsidRPr="00CF68FA">
        <w:t>eranente</w:t>
      </w:r>
      <w:proofErr w:type="spellEnd"/>
      <w:r w:rsidRPr="00CF68FA">
        <w:t xml:space="preserve"> health care organisation’ in California in 1998 </w:t>
      </w:r>
      <w:sdt>
        <w:sdtPr>
          <w:rPr>
            <w:rFonts w:cs="Arial"/>
          </w:rPr>
          <w:id w:val="1191191563"/>
          <w:citation/>
        </w:sdtPr>
        <w:sdtContent>
          <w:r w:rsidRPr="00CF68FA">
            <w:rPr>
              <w:rFonts w:cs="Arial"/>
            </w:rPr>
            <w:fldChar w:fldCharType="begin"/>
          </w:r>
          <w:r w:rsidRPr="00CF68FA">
            <w:rPr>
              <w:rFonts w:cs="Arial"/>
            </w:rPr>
            <w:instrText xml:space="preserve"> CITATION Cen23 \l 2057 </w:instrText>
          </w:r>
          <w:r w:rsidRPr="00CF68FA">
            <w:rPr>
              <w:rFonts w:cs="Arial"/>
            </w:rPr>
            <w:fldChar w:fldCharType="separate"/>
          </w:r>
          <w:r w:rsidRPr="00CF68FA">
            <w:rPr>
              <w:rFonts w:eastAsia="Times New Roman" w:cs="Arial"/>
              <w:noProof/>
            </w:rPr>
            <w:t>(Center on the Developing Child, 2023)</w:t>
          </w:r>
          <w:r w:rsidRPr="00CF68FA">
            <w:rPr>
              <w:rFonts w:cs="Arial"/>
            </w:rPr>
            <w:fldChar w:fldCharType="end"/>
          </w:r>
        </w:sdtContent>
      </w:sdt>
      <w:r w:rsidRPr="00CF68FA">
        <w:rPr>
          <w:rFonts w:cs="Arial"/>
        </w:rPr>
        <w:t>. Before this research and discovery, there was not much of an emphasis on a public health approach to mental health and abuse victims. Because of this, looking for help wasn’t viewed as much of an option, especially I found for men, where looking for help for childhood trauma may be seen as weakness, and contradicts their masculinity.</w:t>
      </w:r>
    </w:p>
    <w:p w:rsidR="00CF68FA" w:rsidRPr="00CF68FA" w:rsidRDefault="00CF68FA" w:rsidP="00CF68FA">
      <w:pPr>
        <w:rPr>
          <w:rFonts w:cs="Arial"/>
        </w:rPr>
      </w:pPr>
    </w:p>
    <w:p w:rsidR="00000000" w:rsidRDefault="00CF68FA" w:rsidP="00CF68FA">
      <w:pPr>
        <w:rPr>
          <w:rFonts w:cs="Arial"/>
        </w:rPr>
      </w:pPr>
      <w:r w:rsidRPr="00CF68FA">
        <w:rPr>
          <w:rFonts w:cs="Arial"/>
        </w:rPr>
        <w:t xml:space="preserve">Moving into the modern day, there is much more of a public health approach. We now know a lot more through research surrounding the impact of ACE’s and the butterfly effect it can have on behaviour in adulthood that lead to vulnerability or criminal activity. We now know “Adverse Childhood Experiences (ACEs) are stressful experiences occurring during childhood that directly harm a child (e.g. sexual or physical abuse) or affect the environment in which they live (e.g. growing up in a house with domestic violence)” (Bellis et al, 2016).  We now know ACE’s can have a “tremendous impact on future violence victimisation and perpetration” </w:t>
      </w:r>
      <w:sdt>
        <w:sdtPr>
          <w:rPr>
            <w:rFonts w:cs="Arial"/>
          </w:rPr>
          <w:id w:val="195513534"/>
          <w:citation/>
        </w:sdtPr>
        <w:sdtContent>
          <w:r w:rsidRPr="00CF68FA">
            <w:rPr>
              <w:rFonts w:cs="Arial"/>
            </w:rPr>
            <w:fldChar w:fldCharType="begin"/>
          </w:r>
          <w:r w:rsidRPr="00CF68FA">
            <w:rPr>
              <w:rFonts w:cs="Arial"/>
            </w:rPr>
            <w:instrText xml:space="preserve"> CITATION Cen231 \l 2057 </w:instrText>
          </w:r>
          <w:r w:rsidRPr="00CF68FA">
            <w:rPr>
              <w:rFonts w:cs="Arial"/>
            </w:rPr>
            <w:fldChar w:fldCharType="separate"/>
          </w:r>
          <w:r w:rsidRPr="00CF68FA">
            <w:rPr>
              <w:rFonts w:eastAsia="Times New Roman" w:cs="Arial"/>
              <w:noProof/>
            </w:rPr>
            <w:t>(Centers for Disease Control and Prevention, 2023)</w:t>
          </w:r>
          <w:r w:rsidRPr="00CF68FA">
            <w:rPr>
              <w:rFonts w:cs="Arial"/>
            </w:rPr>
            <w:fldChar w:fldCharType="end"/>
          </w:r>
        </w:sdtContent>
      </w:sdt>
      <w:r>
        <w:rPr>
          <w:rFonts w:cs="Arial"/>
        </w:rPr>
        <w:t>. This means children experiencing ACE’s, they will make them more likely to become a victim, or a perpetrator of criminal activity. We also now have a better understanding of a person’s response to stress and trauma.</w:t>
      </w:r>
    </w:p>
    <w:p w:rsidR="00CF68FA" w:rsidRDefault="00CF68FA" w:rsidP="00CF68FA">
      <w:pPr>
        <w:rPr>
          <w:rFonts w:cs="Arial"/>
        </w:rPr>
      </w:pPr>
    </w:p>
    <w:p w:rsidR="00CF68FA" w:rsidRDefault="00CF68FA" w:rsidP="00CF68FA">
      <w:pPr>
        <w:rPr>
          <w:rFonts w:cs="Arial"/>
        </w:rPr>
      </w:pPr>
      <w:r>
        <w:rPr>
          <w:rFonts w:cs="Arial"/>
        </w:rPr>
        <w:t>We now understand types of stress that could impact someone’s behaviour and responses to specific situations that cause stress and discomfort. There are 3 types of stress, being “Positive stress”, “Tolerable stress”, and “Toxic stress”</w:t>
      </w:r>
      <w:r w:rsidRPr="00CF68FA">
        <w:rPr>
          <w:rFonts w:ascii="Arial" w:hAnsi="Arial" w:cs="Arial"/>
          <w:bCs/>
        </w:rPr>
        <w:t xml:space="preserve"> </w:t>
      </w:r>
      <w:sdt>
        <w:sdtPr>
          <w:rPr>
            <w:rFonts w:cs="Arial"/>
            <w:bCs/>
          </w:rPr>
          <w:id w:val="1842655999"/>
          <w:citation/>
        </w:sdtPr>
        <w:sdtContent>
          <w:r w:rsidRPr="00CF68FA">
            <w:rPr>
              <w:rFonts w:cs="Arial"/>
              <w:bCs/>
            </w:rPr>
            <w:fldChar w:fldCharType="begin"/>
          </w:r>
          <w:r w:rsidRPr="00CF68FA">
            <w:rPr>
              <w:rFonts w:cs="Arial"/>
              <w:bCs/>
            </w:rPr>
            <w:instrText xml:space="preserve"> CITATION Spr23 \l 2057 </w:instrText>
          </w:r>
          <w:r w:rsidRPr="00CF68FA">
            <w:rPr>
              <w:rFonts w:cs="Arial"/>
              <w:bCs/>
            </w:rPr>
            <w:fldChar w:fldCharType="separate"/>
          </w:r>
          <w:r w:rsidRPr="00CF68FA">
            <w:rPr>
              <w:rFonts w:eastAsia="Times New Roman" w:cs="Arial"/>
              <w:noProof/>
            </w:rPr>
            <w:t>(Springboard Community Services, 2023)</w:t>
          </w:r>
          <w:r w:rsidRPr="00CF68FA">
            <w:rPr>
              <w:rFonts w:cs="Arial"/>
              <w:bCs/>
            </w:rPr>
            <w:fldChar w:fldCharType="end"/>
          </w:r>
        </w:sdtContent>
      </w:sdt>
      <w:r w:rsidRPr="00CF68FA">
        <w:rPr>
          <w:rFonts w:cs="Arial"/>
        </w:rPr>
        <w:t>. Positive stress is the body’s natural and healthy response</w:t>
      </w:r>
      <w:r>
        <w:rPr>
          <w:rFonts w:cs="Arial"/>
        </w:rPr>
        <w:t xml:space="preserve"> to a “tense situation/event”, it is healthy to experience this stress in childhood, as it helps develop social skills, and problem solving in later life. Tolerable stress is the body’s response to stress </w:t>
      </w:r>
      <w:r>
        <w:rPr>
          <w:rFonts w:cs="Arial"/>
        </w:rPr>
        <w:lastRenderedPageBreak/>
        <w:t xml:space="preserve">that is “long lasting or severe situation/event”. This kind of stress is more intense from the previous type as its more impactful on a person’s psyche, however it doesn’t leave lasting effects. However toxic stress which is prolonged exposure to “frequent, intense situations/events”. This kind of stress is what leads to everlasting behavioural effects to people who have experienced ACE’s. Toxic stress from trauma can over develop the life preserving part of the brain. The normal response for someone who experiences one of the more tolerable types of stress is, they will enter a state of fight or flight until the point of exhaustion, and then they will return to their default ordinary state and calm down. However, those who have experienced ACE’s will experience a prolonged state a fight or flight, and will be unable to calm down in a fixed allostatic state, which is the behavioural reaction to change in a person’s environment </w:t>
      </w:r>
      <w:sdt>
        <w:sdtPr>
          <w:rPr>
            <w:rFonts w:cs="Arial"/>
          </w:rPr>
          <w:id w:val="-933368058"/>
          <w:citation/>
        </w:sdtPr>
        <w:sdtContent>
          <w:r w:rsidRPr="00CF68FA">
            <w:rPr>
              <w:rFonts w:cs="Arial"/>
            </w:rPr>
            <w:fldChar w:fldCharType="begin"/>
          </w:r>
          <w:r w:rsidRPr="00CF68FA">
            <w:rPr>
              <w:rFonts w:cs="Arial"/>
            </w:rPr>
            <w:instrText xml:space="preserve"> CITATION McE05 \l 2057 </w:instrText>
          </w:r>
          <w:r w:rsidRPr="00CF68FA">
            <w:rPr>
              <w:rFonts w:cs="Arial"/>
            </w:rPr>
            <w:fldChar w:fldCharType="separate"/>
          </w:r>
          <w:r w:rsidRPr="00CF68FA">
            <w:rPr>
              <w:rFonts w:eastAsia="Times New Roman" w:cs="Arial"/>
              <w:noProof/>
            </w:rPr>
            <w:t>(McEwan, 2005)</w:t>
          </w:r>
          <w:r w:rsidRPr="00CF68FA">
            <w:rPr>
              <w:rFonts w:cs="Arial"/>
            </w:rPr>
            <w:fldChar w:fldCharType="end"/>
          </w:r>
        </w:sdtContent>
      </w:sdt>
      <w:r w:rsidRPr="00CF68FA">
        <w:rPr>
          <w:rFonts w:cs="Arial"/>
        </w:rPr>
        <w:t>.</w:t>
      </w:r>
    </w:p>
    <w:p w:rsidR="00CF68FA" w:rsidRDefault="00CF68FA" w:rsidP="00CF68FA">
      <w:pPr>
        <w:rPr>
          <w:rFonts w:cs="Arial"/>
        </w:rPr>
      </w:pPr>
    </w:p>
    <w:p w:rsidR="00CF68FA" w:rsidRDefault="00CF68FA" w:rsidP="00CF68FA">
      <w:pPr>
        <w:rPr>
          <w:rFonts w:cs="Arial"/>
        </w:rPr>
      </w:pPr>
      <w:r>
        <w:rPr>
          <w:rFonts w:cs="Arial"/>
        </w:rPr>
        <w:t>Moving onto the causes of stress and trauma, I found the most common causes of Toxic stress and trauma to children according to the Royal Manchester Children’s Hospital are:</w:t>
      </w:r>
    </w:p>
    <w:p w:rsidR="00CF68FA" w:rsidRDefault="00CF68FA" w:rsidP="00CF68FA">
      <w:pPr>
        <w:rPr>
          <w:rFonts w:cs="Arial"/>
        </w:rPr>
      </w:pPr>
    </w:p>
    <w:p w:rsidR="00000000" w:rsidRPr="00CF68FA" w:rsidRDefault="00CF68FA" w:rsidP="00CF68FA">
      <w:pPr>
        <w:pStyle w:val="ListParagraph"/>
        <w:numPr>
          <w:ilvl w:val="0"/>
          <w:numId w:val="2"/>
        </w:numPr>
        <w:rPr>
          <w:rFonts w:asciiTheme="minorHAnsi" w:hAnsiTheme="minorHAnsi" w:cs="Arial"/>
        </w:rPr>
      </w:pPr>
      <w:r>
        <w:rPr>
          <w:rFonts w:asciiTheme="minorHAnsi" w:hAnsiTheme="minorHAnsi" w:cs="Arial"/>
        </w:rPr>
        <w:t>‘</w:t>
      </w:r>
      <w:r w:rsidRPr="00CF68FA">
        <w:rPr>
          <w:rFonts w:asciiTheme="minorHAnsi" w:hAnsiTheme="minorHAnsi" w:cs="Arial"/>
        </w:rPr>
        <w:t>Physical abuse</w:t>
      </w:r>
      <w:r>
        <w:rPr>
          <w:rFonts w:asciiTheme="minorHAnsi" w:hAnsiTheme="minorHAnsi" w:cs="Arial"/>
        </w:rPr>
        <w:t>’</w:t>
      </w:r>
    </w:p>
    <w:p w:rsidR="00000000" w:rsidRPr="00CF68FA" w:rsidRDefault="00CF68FA" w:rsidP="00CF68FA">
      <w:pPr>
        <w:pStyle w:val="ListParagraph"/>
        <w:numPr>
          <w:ilvl w:val="0"/>
          <w:numId w:val="2"/>
        </w:numPr>
        <w:rPr>
          <w:rFonts w:asciiTheme="minorHAnsi" w:hAnsiTheme="minorHAnsi" w:cs="Arial"/>
        </w:rPr>
      </w:pPr>
      <w:r>
        <w:rPr>
          <w:rFonts w:asciiTheme="minorHAnsi" w:hAnsiTheme="minorHAnsi" w:cs="Arial"/>
        </w:rPr>
        <w:t>‘</w:t>
      </w:r>
      <w:r w:rsidRPr="00CF68FA">
        <w:rPr>
          <w:rFonts w:asciiTheme="minorHAnsi" w:hAnsiTheme="minorHAnsi" w:cs="Arial"/>
        </w:rPr>
        <w:t>Sexual Abuse</w:t>
      </w:r>
      <w:r>
        <w:rPr>
          <w:rFonts w:asciiTheme="minorHAnsi" w:hAnsiTheme="minorHAnsi" w:cs="Arial"/>
        </w:rPr>
        <w:t>’</w:t>
      </w:r>
    </w:p>
    <w:p w:rsidR="00000000" w:rsidRPr="00CF68FA" w:rsidRDefault="00CF68FA" w:rsidP="00CF68FA">
      <w:pPr>
        <w:pStyle w:val="ListParagraph"/>
        <w:numPr>
          <w:ilvl w:val="0"/>
          <w:numId w:val="2"/>
        </w:numPr>
        <w:rPr>
          <w:rFonts w:asciiTheme="minorHAnsi" w:hAnsiTheme="minorHAnsi" w:cs="Arial"/>
        </w:rPr>
      </w:pPr>
      <w:r>
        <w:rPr>
          <w:rFonts w:asciiTheme="minorHAnsi" w:hAnsiTheme="minorHAnsi" w:cs="Arial"/>
        </w:rPr>
        <w:t>‘</w:t>
      </w:r>
      <w:r w:rsidRPr="00CF68FA">
        <w:rPr>
          <w:rFonts w:asciiTheme="minorHAnsi" w:hAnsiTheme="minorHAnsi" w:cs="Arial"/>
        </w:rPr>
        <w:t>Emotional Abuse</w:t>
      </w:r>
      <w:r>
        <w:rPr>
          <w:rFonts w:asciiTheme="minorHAnsi" w:hAnsiTheme="minorHAnsi" w:cs="Arial"/>
        </w:rPr>
        <w:t>’</w:t>
      </w:r>
    </w:p>
    <w:p w:rsidR="00000000" w:rsidRPr="00CF68FA" w:rsidRDefault="00CF68FA" w:rsidP="00CF68FA">
      <w:pPr>
        <w:pStyle w:val="ListParagraph"/>
        <w:numPr>
          <w:ilvl w:val="0"/>
          <w:numId w:val="2"/>
        </w:numPr>
        <w:rPr>
          <w:rFonts w:asciiTheme="minorHAnsi" w:hAnsiTheme="minorHAnsi" w:cs="Arial"/>
        </w:rPr>
      </w:pPr>
      <w:r>
        <w:rPr>
          <w:rFonts w:asciiTheme="minorHAnsi" w:hAnsiTheme="minorHAnsi" w:cs="Arial"/>
        </w:rPr>
        <w:t>‘</w:t>
      </w:r>
      <w:r w:rsidRPr="00CF68FA">
        <w:rPr>
          <w:rFonts w:asciiTheme="minorHAnsi" w:hAnsiTheme="minorHAnsi" w:cs="Arial"/>
        </w:rPr>
        <w:t>Living with someone who abused drugs</w:t>
      </w:r>
      <w:r>
        <w:rPr>
          <w:rFonts w:asciiTheme="minorHAnsi" w:hAnsiTheme="minorHAnsi" w:cs="Arial"/>
        </w:rPr>
        <w:t>’</w:t>
      </w:r>
    </w:p>
    <w:p w:rsidR="00000000" w:rsidRPr="00CF68FA" w:rsidRDefault="00CF68FA" w:rsidP="00CF68FA">
      <w:pPr>
        <w:pStyle w:val="ListParagraph"/>
        <w:numPr>
          <w:ilvl w:val="0"/>
          <w:numId w:val="2"/>
        </w:numPr>
        <w:rPr>
          <w:rFonts w:asciiTheme="minorHAnsi" w:hAnsiTheme="minorHAnsi" w:cs="Arial"/>
        </w:rPr>
      </w:pPr>
      <w:r>
        <w:rPr>
          <w:rFonts w:asciiTheme="minorHAnsi" w:hAnsiTheme="minorHAnsi" w:cs="Arial"/>
        </w:rPr>
        <w:t>‘</w:t>
      </w:r>
      <w:r w:rsidRPr="00CF68FA">
        <w:rPr>
          <w:rFonts w:asciiTheme="minorHAnsi" w:hAnsiTheme="minorHAnsi" w:cs="Arial"/>
        </w:rPr>
        <w:t>Living with someone who abused alcohol</w:t>
      </w:r>
      <w:r>
        <w:rPr>
          <w:rFonts w:asciiTheme="minorHAnsi" w:hAnsiTheme="minorHAnsi" w:cs="Arial"/>
        </w:rPr>
        <w:t>’</w:t>
      </w:r>
    </w:p>
    <w:p w:rsidR="00000000" w:rsidRPr="00CF68FA" w:rsidRDefault="00CF68FA" w:rsidP="00CF68FA">
      <w:pPr>
        <w:pStyle w:val="ListParagraph"/>
        <w:numPr>
          <w:ilvl w:val="0"/>
          <w:numId w:val="2"/>
        </w:numPr>
        <w:rPr>
          <w:rFonts w:asciiTheme="minorHAnsi" w:hAnsiTheme="minorHAnsi" w:cs="Arial"/>
        </w:rPr>
      </w:pPr>
      <w:r>
        <w:rPr>
          <w:rFonts w:asciiTheme="minorHAnsi" w:hAnsiTheme="minorHAnsi" w:cs="Arial"/>
        </w:rPr>
        <w:t>‘</w:t>
      </w:r>
      <w:r w:rsidRPr="00CF68FA">
        <w:rPr>
          <w:rFonts w:asciiTheme="minorHAnsi" w:hAnsiTheme="minorHAnsi" w:cs="Arial"/>
        </w:rPr>
        <w:t>Exposure to domestic violence</w:t>
      </w:r>
      <w:r>
        <w:rPr>
          <w:rFonts w:asciiTheme="minorHAnsi" w:hAnsiTheme="minorHAnsi" w:cs="Arial"/>
        </w:rPr>
        <w:t>’</w:t>
      </w:r>
    </w:p>
    <w:p w:rsidR="00000000" w:rsidRPr="00CF68FA" w:rsidRDefault="00CF68FA" w:rsidP="00CF68FA">
      <w:pPr>
        <w:pStyle w:val="ListParagraph"/>
        <w:numPr>
          <w:ilvl w:val="0"/>
          <w:numId w:val="2"/>
        </w:numPr>
        <w:rPr>
          <w:rFonts w:asciiTheme="minorHAnsi" w:hAnsiTheme="minorHAnsi" w:cs="Arial"/>
        </w:rPr>
      </w:pPr>
      <w:r>
        <w:rPr>
          <w:rFonts w:asciiTheme="minorHAnsi" w:hAnsiTheme="minorHAnsi" w:cs="Arial"/>
        </w:rPr>
        <w:t>‘</w:t>
      </w:r>
      <w:r w:rsidRPr="00CF68FA">
        <w:rPr>
          <w:rFonts w:asciiTheme="minorHAnsi" w:hAnsiTheme="minorHAnsi" w:cs="Arial"/>
        </w:rPr>
        <w:t>Living with someone who has gone to prison</w:t>
      </w:r>
      <w:r>
        <w:rPr>
          <w:rFonts w:asciiTheme="minorHAnsi" w:hAnsiTheme="minorHAnsi" w:cs="Arial"/>
        </w:rPr>
        <w:t>’</w:t>
      </w:r>
    </w:p>
    <w:p w:rsidR="00000000" w:rsidRPr="00CF68FA" w:rsidRDefault="00CF68FA" w:rsidP="00CF68FA">
      <w:pPr>
        <w:pStyle w:val="ListParagraph"/>
        <w:numPr>
          <w:ilvl w:val="0"/>
          <w:numId w:val="2"/>
        </w:numPr>
        <w:rPr>
          <w:rFonts w:asciiTheme="minorHAnsi" w:hAnsiTheme="minorHAnsi" w:cs="Arial"/>
        </w:rPr>
      </w:pPr>
      <w:r>
        <w:rPr>
          <w:rFonts w:asciiTheme="minorHAnsi" w:hAnsiTheme="minorHAnsi" w:cs="Arial"/>
        </w:rPr>
        <w:t>‘</w:t>
      </w:r>
      <w:r w:rsidRPr="00CF68FA">
        <w:rPr>
          <w:rFonts w:asciiTheme="minorHAnsi" w:hAnsiTheme="minorHAnsi" w:cs="Arial"/>
        </w:rPr>
        <w:t>Living with someone with serious mental illness</w:t>
      </w:r>
      <w:r>
        <w:rPr>
          <w:rFonts w:asciiTheme="minorHAnsi" w:hAnsiTheme="minorHAnsi" w:cs="Arial"/>
        </w:rPr>
        <w:t>’</w:t>
      </w:r>
    </w:p>
    <w:p w:rsidR="00000000" w:rsidRDefault="00CF68FA" w:rsidP="00CF68FA">
      <w:pPr>
        <w:pStyle w:val="ListParagraph"/>
        <w:numPr>
          <w:ilvl w:val="0"/>
          <w:numId w:val="2"/>
        </w:numPr>
        <w:rPr>
          <w:rFonts w:asciiTheme="minorHAnsi" w:hAnsiTheme="minorHAnsi" w:cs="Arial"/>
        </w:rPr>
      </w:pPr>
      <w:r>
        <w:rPr>
          <w:rFonts w:asciiTheme="minorHAnsi" w:hAnsiTheme="minorHAnsi" w:cs="Arial"/>
        </w:rPr>
        <w:t>And ‘</w:t>
      </w:r>
      <w:r w:rsidRPr="00CF68FA">
        <w:rPr>
          <w:rFonts w:asciiTheme="minorHAnsi" w:hAnsiTheme="minorHAnsi" w:cs="Arial"/>
        </w:rPr>
        <w:t>Losing a parent through divorce, death or abandonment</w:t>
      </w:r>
      <w:r>
        <w:rPr>
          <w:rFonts w:asciiTheme="minorHAnsi" w:hAnsiTheme="minorHAnsi" w:cs="Arial"/>
        </w:rPr>
        <w:t>’</w:t>
      </w:r>
      <w:r w:rsidRPr="00CF68FA">
        <w:rPr>
          <w:rFonts w:asciiTheme="minorHAnsi" w:hAnsiTheme="minorHAnsi" w:cs="Arial"/>
        </w:rPr>
        <w:t xml:space="preserve"> </w:t>
      </w:r>
      <w:sdt>
        <w:sdtPr>
          <w:rPr>
            <w:rFonts w:asciiTheme="minorHAnsi" w:hAnsiTheme="minorHAnsi" w:cs="Arial"/>
          </w:rPr>
          <w:id w:val="-794746519"/>
          <w:citation/>
        </w:sdtPr>
        <w:sdtContent>
          <w:r w:rsidRPr="00CF68FA">
            <w:rPr>
              <w:rFonts w:asciiTheme="minorHAnsi" w:hAnsiTheme="minorHAnsi" w:cs="Arial"/>
            </w:rPr>
            <w:fldChar w:fldCharType="begin"/>
          </w:r>
          <w:r w:rsidRPr="00CF68FA">
            <w:rPr>
              <w:rFonts w:asciiTheme="minorHAnsi" w:hAnsiTheme="minorHAnsi" w:cs="Arial"/>
            </w:rPr>
            <w:instrText xml:space="preserve"> CITATION Roy23 \l 2057 </w:instrText>
          </w:r>
          <w:r w:rsidRPr="00CF68FA">
            <w:rPr>
              <w:rFonts w:asciiTheme="minorHAnsi" w:hAnsiTheme="minorHAnsi" w:cs="Arial"/>
            </w:rPr>
            <w:fldChar w:fldCharType="separate"/>
          </w:r>
          <w:r w:rsidRPr="00CF68FA">
            <w:rPr>
              <w:rFonts w:asciiTheme="minorHAnsi" w:hAnsiTheme="minorHAnsi" w:cs="Arial"/>
              <w:noProof/>
            </w:rPr>
            <w:t>(Royal Manchester Children's Hospital, 2023)</w:t>
          </w:r>
          <w:r w:rsidRPr="00CF68FA">
            <w:rPr>
              <w:rFonts w:asciiTheme="minorHAnsi" w:hAnsiTheme="minorHAnsi" w:cs="Arial"/>
            </w:rPr>
            <w:fldChar w:fldCharType="end"/>
          </w:r>
        </w:sdtContent>
      </w:sdt>
    </w:p>
    <w:p w:rsidR="00CF68FA" w:rsidRPr="00CF68FA" w:rsidRDefault="00CF68FA" w:rsidP="00CF68FA">
      <w:pPr>
        <w:rPr>
          <w:rFonts w:cs="Arial"/>
        </w:rPr>
      </w:pPr>
    </w:p>
    <w:p w:rsidR="00CF68FA" w:rsidRDefault="00CF68FA" w:rsidP="00CF68FA">
      <w:pPr>
        <w:rPr>
          <w:rFonts w:cs="Arial"/>
        </w:rPr>
      </w:pPr>
      <w:r>
        <w:rPr>
          <w:rFonts w:cs="Arial"/>
        </w:rPr>
        <w:t>Other causes may include childhood bullying, poverty, financial insecurity, peer rejection, discrimination/racism, and food related insecurities. There is probably an infinite amount of reasons children may experience ACE’s as everyone’s situation is different and unique, and is also based on how a child interprets the situation they are in.</w:t>
      </w:r>
    </w:p>
    <w:p w:rsidR="00CF68FA" w:rsidRDefault="00CF68FA" w:rsidP="00CF68FA">
      <w:pPr>
        <w:rPr>
          <w:rFonts w:cs="Arial"/>
        </w:rPr>
      </w:pPr>
    </w:p>
    <w:p w:rsidR="00CF68FA" w:rsidRDefault="00CF68FA" w:rsidP="00CF68FA">
      <w:pPr>
        <w:rPr>
          <w:rFonts w:cs="Arial"/>
        </w:rPr>
      </w:pPr>
      <w:r>
        <w:rPr>
          <w:rFonts w:cs="Arial"/>
        </w:rPr>
        <w:t xml:space="preserve">This leads into how victims may be exploited by criminals and people who may mean them harm. I found that in almost every case of this kind of exploitation, vulnerability of an individual will make them more likely to be exploited. On top of this, between the ages of 4-5, children are the ‘most vulnerable’ due to the fact their brains are still in their “early formative years” </w:t>
      </w:r>
      <w:sdt>
        <w:sdtPr>
          <w:rPr>
            <w:rFonts w:cs="Arial"/>
          </w:rPr>
          <w:id w:val="1742445595"/>
          <w:citation/>
        </w:sdtPr>
        <w:sdtContent>
          <w:r w:rsidRPr="00CF68FA">
            <w:rPr>
              <w:rFonts w:cs="Arial"/>
            </w:rPr>
            <w:fldChar w:fldCharType="begin"/>
          </w:r>
          <w:r w:rsidRPr="00CF68FA">
            <w:rPr>
              <w:rFonts w:cs="Arial"/>
            </w:rPr>
            <w:instrText xml:space="preserve"> CITATION Loo23 \l 2057 </w:instrText>
          </w:r>
          <w:r w:rsidRPr="00CF68FA">
            <w:rPr>
              <w:rFonts w:cs="Arial"/>
            </w:rPr>
            <w:fldChar w:fldCharType="separate"/>
          </w:r>
          <w:r w:rsidRPr="00CF68FA">
            <w:rPr>
              <w:rFonts w:eastAsia="Times New Roman" w:cs="Arial"/>
              <w:noProof/>
            </w:rPr>
            <w:t>(Look through their eyes, 2023)</w:t>
          </w:r>
          <w:r w:rsidRPr="00CF68FA">
            <w:rPr>
              <w:rFonts w:cs="Arial"/>
            </w:rPr>
            <w:fldChar w:fldCharType="end"/>
          </w:r>
        </w:sdtContent>
      </w:sdt>
      <w:r w:rsidRPr="00CF68FA">
        <w:rPr>
          <w:rFonts w:cs="Arial"/>
        </w:rPr>
        <w:t>. This means criminals being involved in their lives at this early stage of their lives will have a tremendously big impact on the way they may perceive the world for the rest of their lives</w:t>
      </w:r>
      <w:r>
        <w:rPr>
          <w:rFonts w:cs="Arial"/>
        </w:rPr>
        <w:t>. This could be through a child’s parents being criminals themselves, being abusive physically or being neglectful, or even in some cases, their house is occupied in a county lines kind of operation. ----</w:t>
      </w:r>
    </w:p>
    <w:p w:rsidR="00CF68FA" w:rsidRDefault="00CF68FA" w:rsidP="00CF68FA">
      <w:pPr>
        <w:rPr>
          <w:rFonts w:cs="Arial"/>
        </w:rPr>
      </w:pPr>
      <w:r>
        <w:rPr>
          <w:rFonts w:cs="Arial"/>
        </w:rPr>
        <w:t xml:space="preserve">I found that experiences such as “poverty, maltreatment, school exclusion and police contact” are most associated with serious offending and “frequent criminal convictions in adulthood” </w:t>
      </w:r>
      <w:sdt>
        <w:sdtPr>
          <w:rPr>
            <w:rFonts w:cs="Arial"/>
          </w:rPr>
          <w:id w:val="-1610341084"/>
          <w:citation/>
        </w:sdtPr>
        <w:sdtContent>
          <w:r w:rsidRPr="00CF68FA">
            <w:rPr>
              <w:rFonts w:cs="Arial"/>
            </w:rPr>
            <w:fldChar w:fldCharType="begin"/>
          </w:r>
          <w:r w:rsidRPr="00CF68FA">
            <w:rPr>
              <w:rFonts w:cs="Arial"/>
            </w:rPr>
            <w:instrText xml:space="preserve"> CITATION Rob22 \l 2057 </w:instrText>
          </w:r>
          <w:r w:rsidRPr="00CF68FA">
            <w:rPr>
              <w:rFonts w:cs="Arial"/>
            </w:rPr>
            <w:fldChar w:fldCharType="separate"/>
          </w:r>
          <w:r w:rsidRPr="00CF68FA">
            <w:rPr>
              <w:rFonts w:eastAsia="Times New Roman" w:cs="Arial"/>
              <w:noProof/>
            </w:rPr>
            <w:t>(Street, 2022)</w:t>
          </w:r>
          <w:r w:rsidRPr="00CF68FA">
            <w:rPr>
              <w:rFonts w:cs="Arial"/>
            </w:rPr>
            <w:fldChar w:fldCharType="end"/>
          </w:r>
        </w:sdtContent>
      </w:sdt>
      <w:r w:rsidRPr="00CF68FA">
        <w:rPr>
          <w:rFonts w:cs="Arial"/>
        </w:rPr>
        <w:t>.</w:t>
      </w:r>
      <w:r>
        <w:rPr>
          <w:rFonts w:cs="Arial"/>
        </w:rPr>
        <w:t xml:space="preserve"> Other examples of this kind of exploitation could include </w:t>
      </w:r>
      <w:r w:rsidRPr="00CF68FA">
        <w:rPr>
          <w:rFonts w:cs="Arial"/>
        </w:rPr>
        <w:t>cuckooing, and drug trafficking, which can lead to victims committing these crimes themselves</w:t>
      </w:r>
      <w:r>
        <w:rPr>
          <w:rFonts w:cs="Arial"/>
        </w:rPr>
        <w:t>.</w:t>
      </w:r>
    </w:p>
    <w:p w:rsidR="00CF68FA" w:rsidRDefault="00CF68FA" w:rsidP="00CF68FA">
      <w:pPr>
        <w:rPr>
          <w:rFonts w:cs="Arial"/>
        </w:rPr>
      </w:pPr>
    </w:p>
    <w:p w:rsidR="00000000" w:rsidRDefault="00CF68FA" w:rsidP="00CF68FA">
      <w:pPr>
        <w:rPr>
          <w:rFonts w:cs="Arial"/>
        </w:rPr>
      </w:pPr>
      <w:r>
        <w:rPr>
          <w:rFonts w:cs="Arial"/>
        </w:rPr>
        <w:lastRenderedPageBreak/>
        <w:t xml:space="preserve">To prevent this from happening, or to reduce the amount that it occurs, it is important to create protective measures to safeguard children from being victims, and prevent them from becoming criminals. </w:t>
      </w:r>
      <w:r w:rsidRPr="00CF68FA">
        <w:rPr>
          <w:rFonts w:cs="Arial"/>
        </w:rPr>
        <w:t>“If an infant is raised in a safe, nurturing environment that is free from persistent stress, he or she will become a healthy, resilient person”</w:t>
      </w:r>
      <w:r>
        <w:rPr>
          <w:rFonts w:cs="Arial"/>
        </w:rPr>
        <w:t xml:space="preserve">. This relates to types of stress, as previously mentioned, a child should be subject to tolerable and positive stress, so that they can develop healthily, and learn important skills for adulthood, such as communication and problem solving. </w:t>
      </w:r>
      <w:r w:rsidRPr="00CF68FA">
        <w:rPr>
          <w:rFonts w:cs="Arial"/>
        </w:rPr>
        <w:t>An infant raised in a dysfunctional, stressful or dangerous environment will most likely see their social and emotional growth severely impaired”</w:t>
      </w:r>
      <w:r>
        <w:rPr>
          <w:rFonts w:cs="Arial"/>
        </w:rPr>
        <w:t xml:space="preserve"> </w:t>
      </w:r>
      <w:sdt>
        <w:sdtPr>
          <w:rPr>
            <w:rFonts w:cs="Arial"/>
          </w:rPr>
          <w:id w:val="-2074965544"/>
          <w:citation/>
        </w:sdtPr>
        <w:sdtContent>
          <w:r w:rsidRPr="00CF68FA">
            <w:rPr>
              <w:rFonts w:cs="Arial"/>
            </w:rPr>
            <w:fldChar w:fldCharType="begin"/>
          </w:r>
          <w:r w:rsidRPr="00CF68FA">
            <w:rPr>
              <w:rFonts w:cs="Arial"/>
            </w:rPr>
            <w:instrText xml:space="preserve"> CITATION Wav21 \l 2057 </w:instrText>
          </w:r>
          <w:r w:rsidRPr="00CF68FA">
            <w:rPr>
              <w:rFonts w:cs="Arial"/>
            </w:rPr>
            <w:fldChar w:fldCharType="separate"/>
          </w:r>
          <w:r w:rsidRPr="00CF68FA">
            <w:rPr>
              <w:rFonts w:eastAsia="Times New Roman" w:cs="Arial"/>
              <w:noProof/>
            </w:rPr>
            <w:t>(Wave Trust, 2021)</w:t>
          </w:r>
          <w:r w:rsidRPr="00CF68FA">
            <w:rPr>
              <w:rFonts w:cs="Arial"/>
            </w:rPr>
            <w:fldChar w:fldCharType="end"/>
          </w:r>
        </w:sdtContent>
      </w:sdt>
      <w:r>
        <w:rPr>
          <w:rFonts w:cs="Arial"/>
        </w:rPr>
        <w:t xml:space="preserve">. This means that due to too much stress, it alters their emotional growth negatively. I also found a </w:t>
      </w:r>
      <w:proofErr w:type="gramStart"/>
      <w:r>
        <w:rPr>
          <w:rFonts w:cs="Arial"/>
        </w:rPr>
        <w:t>hierarchy based</w:t>
      </w:r>
      <w:proofErr w:type="gramEnd"/>
      <w:r>
        <w:rPr>
          <w:rFonts w:cs="Arial"/>
        </w:rPr>
        <w:t xml:space="preserve"> chart displaying the potential suffering that comes with being exposed to this kind of toxic environment, that some children do grow up in.</w:t>
      </w:r>
    </w:p>
    <w:p w:rsidR="00CF68FA" w:rsidRDefault="00CF68FA" w:rsidP="00CF68FA">
      <w:pPr>
        <w:rPr>
          <w:rFonts w:cs="Arial"/>
        </w:rPr>
      </w:pPr>
    </w:p>
    <w:p w:rsidR="00CF68FA" w:rsidRPr="00CF68FA" w:rsidRDefault="00CF68FA" w:rsidP="00CF68FA">
      <w:pPr>
        <w:rPr>
          <w:rFonts w:cs="Arial"/>
        </w:rPr>
      </w:pPr>
    </w:p>
    <w:p w:rsidR="00CF68FA" w:rsidRPr="00CF68FA" w:rsidRDefault="00CF68FA" w:rsidP="00CF68FA">
      <w:pPr>
        <w:rPr>
          <w:rFonts w:cs="Arial"/>
        </w:rPr>
      </w:pPr>
      <w:r w:rsidRPr="00CF68FA">
        <w:rPr>
          <w:rFonts w:cs="Arial"/>
        </w:rPr>
        <w:drawing>
          <wp:inline distT="0" distB="0" distL="0" distR="0" wp14:anchorId="085A33F3" wp14:editId="78D3FCC6">
            <wp:extent cx="5727700" cy="3505200"/>
            <wp:effectExtent l="0" t="0" r="0" b="0"/>
            <wp:docPr id="4" name="Picture 3">
              <a:extLst xmlns:a="http://schemas.openxmlformats.org/drawingml/2006/main">
                <a:ext uri="{FF2B5EF4-FFF2-40B4-BE49-F238E27FC236}">
                  <a16:creationId xmlns:a16="http://schemas.microsoft.com/office/drawing/2014/main" id="{7E7C738C-5AF2-6743-8841-A134277E6CC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7E7C738C-5AF2-6743-8841-A134277E6CC6}"/>
                        </a:ext>
                      </a:extLst>
                    </pic:cNvPr>
                    <pic:cNvPicPr>
                      <a:picLocks noChangeAspect="1"/>
                    </pic:cNvPicPr>
                  </pic:nvPicPr>
                  <pic:blipFill>
                    <a:blip r:embed="rId6"/>
                    <a:stretch>
                      <a:fillRect/>
                    </a:stretch>
                  </pic:blipFill>
                  <pic:spPr>
                    <a:xfrm>
                      <a:off x="0" y="0"/>
                      <a:ext cx="5727700" cy="3505200"/>
                    </a:xfrm>
                    <a:prstGeom prst="rect">
                      <a:avLst/>
                    </a:prstGeom>
                  </pic:spPr>
                </pic:pic>
              </a:graphicData>
            </a:graphic>
          </wp:inline>
        </w:drawing>
      </w:r>
    </w:p>
    <w:p w:rsidR="00CF68FA" w:rsidRPr="00CF68FA" w:rsidRDefault="00CF68FA" w:rsidP="00CF68FA">
      <w:pPr>
        <w:rPr>
          <w:rFonts w:cs="Arial"/>
        </w:rPr>
      </w:pPr>
    </w:p>
    <w:p w:rsidR="00CF68FA" w:rsidRPr="00CF68FA" w:rsidRDefault="00CF68FA" w:rsidP="00CF68FA">
      <w:pPr>
        <w:jc w:val="center"/>
        <w:rPr>
          <w:rFonts w:cs="Arial"/>
        </w:rPr>
      </w:pPr>
      <w:sdt>
        <w:sdtPr>
          <w:rPr>
            <w:rFonts w:cs="Arial"/>
          </w:rPr>
          <w:id w:val="-900586196"/>
          <w:citation/>
        </w:sdtPr>
        <w:sdtContent>
          <w:r>
            <w:rPr>
              <w:rFonts w:cs="Arial"/>
            </w:rPr>
            <w:fldChar w:fldCharType="begin"/>
          </w:r>
          <w:r>
            <w:rPr>
              <w:rFonts w:cs="Arial"/>
            </w:rPr>
            <w:instrText xml:space="preserve"> CITATION Uni223 \l 2057 </w:instrText>
          </w:r>
          <w:r>
            <w:rPr>
              <w:rFonts w:cs="Arial"/>
            </w:rPr>
            <w:fldChar w:fldCharType="separate"/>
          </w:r>
          <w:r w:rsidRPr="00CF68FA">
            <w:rPr>
              <w:rFonts w:cs="Arial"/>
              <w:noProof/>
            </w:rPr>
            <w:t>(University of Strathclyde Fraser of Allander Institute, 2022)</w:t>
          </w:r>
          <w:r>
            <w:rPr>
              <w:rFonts w:cs="Arial"/>
            </w:rPr>
            <w:fldChar w:fldCharType="end"/>
          </w:r>
        </w:sdtContent>
      </w:sdt>
    </w:p>
    <w:p w:rsidR="00CF68FA" w:rsidRDefault="00CF68FA" w:rsidP="00CF68FA"/>
    <w:p w:rsidR="00CF68FA" w:rsidRDefault="00CF68FA" w:rsidP="00CF68FA">
      <w:r>
        <w:t xml:space="preserve">This graph shows that being exposed to ACE’s in your childhood can potentially lead to these specific issues, such as “Disrupted Neurodevelopment” which means these experiences can impact how the pain functions, and interprets certain issues and problems. For example, being told off by a teacher to a child that may have been subject to ACE’s may interpret them as a threat and act differently and maybe more defensive than someone who hasn’t experienced ACE’s. “Social, Emotional and Cognitive Impairment” means the ACE’s a child has experienced may affect the way their thinking, communicative and social skills develop and may be below what a normal child has. Furthermore, in later life, they could experience specific “disease, disability &amp; social </w:t>
      </w:r>
      <w:proofErr w:type="gramStart"/>
      <w:r>
        <w:t>problems’</w:t>
      </w:r>
      <w:proofErr w:type="gramEnd"/>
      <w:r>
        <w:t xml:space="preserve">. This means in adulthood, people who may have experienced ACE’s specific health problems such as cancer and heart disease, as well as social problems such as being quick to violent, or being vulnerable to </w:t>
      </w:r>
      <w:r>
        <w:lastRenderedPageBreak/>
        <w:t>violent behaviour. And finally, experiencing ACE’s in childhood in early life, could then lead to an early death, brought on from the mental and health problems, such as a heart attack, or suicide.</w:t>
      </w:r>
    </w:p>
    <w:p w:rsidR="00CF68FA" w:rsidRDefault="00CF68FA" w:rsidP="00CF68FA"/>
    <w:p w:rsidR="00CF68FA" w:rsidRDefault="00CF68FA" w:rsidP="00CF68FA">
      <w:pPr>
        <w:rPr>
          <w:rFonts w:cs="Arial"/>
        </w:rPr>
      </w:pPr>
      <w:r>
        <w:t xml:space="preserve">In terms of specific organisations working in ACE prevention, I found a Northern Irish organisation called the EITP (Early Intervention Training Program) which work towards recognising the risk of some of the situation children live in and intervening early to minimalize the impact it can have on their life. The EITP work through partnership agencies such as the Police, Social Service as well as many others that have an obligation to safeguard children. They aim on “creating and maintaining safe environments and relationships for all children” to keep them away from becoming vulnerable to criminal influences </w:t>
      </w:r>
      <w:sdt>
        <w:sdtPr>
          <w:rPr>
            <w:rFonts w:cs="Arial"/>
          </w:rPr>
          <w:id w:val="413749795"/>
          <w:citation/>
        </w:sdtPr>
        <w:sdtContent>
          <w:r w:rsidRPr="00CF68FA">
            <w:rPr>
              <w:rFonts w:cs="Arial"/>
            </w:rPr>
            <w:fldChar w:fldCharType="begin"/>
          </w:r>
          <w:r w:rsidRPr="00CF68FA">
            <w:rPr>
              <w:rFonts w:cs="Arial"/>
            </w:rPr>
            <w:instrText xml:space="preserve"> CITATION Saf20 \l 2057 </w:instrText>
          </w:r>
          <w:r w:rsidRPr="00CF68FA">
            <w:rPr>
              <w:rFonts w:cs="Arial"/>
            </w:rPr>
            <w:fldChar w:fldCharType="separate"/>
          </w:r>
          <w:r w:rsidRPr="00CF68FA">
            <w:rPr>
              <w:rFonts w:eastAsia="Times New Roman" w:cs="Arial"/>
              <w:noProof/>
            </w:rPr>
            <w:t>(Safeguarding Board for Northern Ireland, 2020)</w:t>
          </w:r>
          <w:r w:rsidRPr="00CF68FA">
            <w:rPr>
              <w:rFonts w:cs="Arial"/>
            </w:rPr>
            <w:fldChar w:fldCharType="end"/>
          </w:r>
        </w:sdtContent>
      </w:sdt>
      <w:r>
        <w:rPr>
          <w:rFonts w:cs="Arial"/>
        </w:rPr>
        <w:t xml:space="preserve">. </w:t>
      </w:r>
    </w:p>
    <w:p w:rsidR="00CF68FA" w:rsidRDefault="00CF68FA" w:rsidP="00CF68FA"/>
    <w:p w:rsidR="00CF68FA" w:rsidRDefault="00CF68FA" w:rsidP="00CF68FA">
      <w:r w:rsidRPr="00CF68FA">
        <w:drawing>
          <wp:inline distT="0" distB="0" distL="0" distR="0" wp14:anchorId="10788881" wp14:editId="7B19786E">
            <wp:extent cx="5708460" cy="4004442"/>
            <wp:effectExtent l="0" t="0" r="0" b="0"/>
            <wp:docPr id="1" name="Picture 3">
              <a:extLst xmlns:a="http://schemas.openxmlformats.org/drawingml/2006/main">
                <a:ext uri="{FF2B5EF4-FFF2-40B4-BE49-F238E27FC236}">
                  <a16:creationId xmlns:a16="http://schemas.microsoft.com/office/drawing/2014/main" id="{0F0826A3-6089-FD41-9694-30FF342D6D7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0F0826A3-6089-FD41-9694-30FF342D6D7B}"/>
                        </a:ext>
                      </a:extLst>
                    </pic:cNvPr>
                    <pic:cNvPicPr>
                      <a:picLocks noChangeAspect="1"/>
                    </pic:cNvPicPr>
                  </pic:nvPicPr>
                  <pic:blipFill>
                    <a:blip r:embed="rId7"/>
                    <a:stretch>
                      <a:fillRect/>
                    </a:stretch>
                  </pic:blipFill>
                  <pic:spPr>
                    <a:xfrm>
                      <a:off x="0" y="0"/>
                      <a:ext cx="5737098" cy="4024532"/>
                    </a:xfrm>
                    <a:prstGeom prst="rect">
                      <a:avLst/>
                    </a:prstGeom>
                  </pic:spPr>
                </pic:pic>
              </a:graphicData>
            </a:graphic>
          </wp:inline>
        </w:drawing>
      </w:r>
    </w:p>
    <w:p w:rsidR="00CF68FA" w:rsidRDefault="00CF68FA" w:rsidP="00CF68FA"/>
    <w:p w:rsidR="00CF68FA" w:rsidRPr="00CF68FA" w:rsidRDefault="00CF68FA" w:rsidP="00CF68FA"/>
    <w:p w:rsidR="00000000" w:rsidRDefault="00CF68FA" w:rsidP="00CF68FA">
      <w:pPr>
        <w:rPr>
          <w:rFonts w:cs="Arial"/>
        </w:rPr>
      </w:pPr>
      <w:r>
        <w:t xml:space="preserve">With further research, I was also found specific laws that are made for safeguarding vulnerable children. The ‘Children’s Act 1989’ created the foundation for safeguarding children in the UK. It specifically “places a duty on local authorities to promote and safeguard the welfare of children in need in their area”  </w:t>
      </w:r>
      <w:sdt>
        <w:sdtPr>
          <w:rPr>
            <w:rFonts w:cs="Arial"/>
          </w:rPr>
          <w:id w:val="463867303"/>
          <w:citation/>
        </w:sdtPr>
        <w:sdtContent>
          <w:r w:rsidRPr="00CF68FA">
            <w:rPr>
              <w:rFonts w:cs="Arial"/>
            </w:rPr>
            <w:fldChar w:fldCharType="begin"/>
          </w:r>
          <w:r w:rsidRPr="00CF68FA">
            <w:rPr>
              <w:rFonts w:cs="Arial"/>
            </w:rPr>
            <w:instrText xml:space="preserve"> CITATION HMG18 \l 2057 </w:instrText>
          </w:r>
          <w:r w:rsidRPr="00CF68FA">
            <w:rPr>
              <w:rFonts w:cs="Arial"/>
            </w:rPr>
            <w:fldChar w:fldCharType="separate"/>
          </w:r>
          <w:r w:rsidRPr="00CF68FA">
            <w:rPr>
              <w:rFonts w:eastAsia="Times New Roman" w:cs="Arial"/>
              <w:noProof/>
            </w:rPr>
            <w:t>(HM Government, 2018)</w:t>
          </w:r>
          <w:r w:rsidRPr="00CF68FA">
            <w:rPr>
              <w:rFonts w:cs="Arial"/>
            </w:rPr>
            <w:fldChar w:fldCharType="end"/>
          </w:r>
        </w:sdtContent>
      </w:sdt>
      <w:r>
        <w:rPr>
          <w:rFonts w:cs="Arial"/>
        </w:rPr>
        <w:t>. It means that if there is clear evidence of abuse such as physical examples like bruising, cuts, and malnutrition, to more psychological mental abuse signs such as behavioural issues, and timid and preserved behaviour, authorities such as the police can intervene and get the child the help they may need. The Child’s Act 2004 further adds and amends the previous legislation to further promote the safeguarding of vulnerable children, it aims to “</w:t>
      </w:r>
      <w:r w:rsidRPr="00CF68FA">
        <w:rPr>
          <w:rFonts w:cs="Arial"/>
        </w:rPr>
        <w:t>make provisions f</w:t>
      </w:r>
      <w:r w:rsidRPr="00CF68FA">
        <w:rPr>
          <w:rFonts w:cs="Arial"/>
        </w:rPr>
        <w:t>or the establishment of a Children’s Commissioner; to make provisions about services provided to and for children and young people”</w:t>
      </w:r>
      <w:r>
        <w:rPr>
          <w:rFonts w:cs="Arial"/>
        </w:rPr>
        <w:t xml:space="preserve">. It also built framework to help </w:t>
      </w:r>
      <w:r>
        <w:rPr>
          <w:rFonts w:cs="Arial"/>
        </w:rPr>
        <w:lastRenderedPageBreak/>
        <w:t xml:space="preserve">children suffering from sexual abuse. Current legislation enforces the point that every child </w:t>
      </w:r>
      <w:proofErr w:type="gramStart"/>
      <w:r>
        <w:rPr>
          <w:rFonts w:cs="Arial"/>
        </w:rPr>
        <w:t>matters</w:t>
      </w:r>
      <w:proofErr w:type="gramEnd"/>
      <w:r>
        <w:rPr>
          <w:rFonts w:cs="Arial"/>
        </w:rPr>
        <w:t xml:space="preserve"> and they don’t have to suffer in silence.</w:t>
      </w:r>
    </w:p>
    <w:p w:rsidR="00CF68FA" w:rsidRDefault="00CF68FA" w:rsidP="00CF68FA">
      <w:pPr>
        <w:rPr>
          <w:rFonts w:cs="Arial"/>
        </w:rPr>
      </w:pPr>
    </w:p>
    <w:p w:rsidR="00CF68FA" w:rsidRDefault="00CF68FA" w:rsidP="00CF68FA">
      <w:pPr>
        <w:rPr>
          <w:rFonts w:cs="Arial"/>
        </w:rPr>
      </w:pPr>
      <w:r>
        <w:rPr>
          <w:rFonts w:cs="Arial"/>
        </w:rPr>
        <w:t xml:space="preserve">I next wanted to discuss what I thought could be done to further protect victims of ACE’s and prevent children from experiencing them. I believe that there can always be more support to victims, and services designed to help them can always promote the well-being of children more. Specifically, I feel the way certain ACE’s are seen by the public is very similar, and unspecific. This I feel is an issue, as every child’s problems and situation are unique to them. Identifying that every child who experienced violent and mental abuse can be compared, and have the same solution is wrong. Specific assessment of the issue should be more specific to include every factor that makes that child vulnerable, including the area they are growing up in, to the parent’s way of raising them, to the way they behave in school etc. I also feel services such as the police and social services, should have more power to intervene with the interest of the child’s welfare. Currently, I feel we rely too much on clear and obvious signs of abuse such as bruising and physical damage to the child. The reason I think this is because of the rise in domestic violence in the UK during the COVID 19 pandemic. “Between April and June 2020, there was a 65% increase in calls to the National Domestic Abuse Helpline, when compared to the first three months of that year” </w:t>
      </w:r>
      <w:sdt>
        <w:sdtPr>
          <w:rPr>
            <w:rFonts w:cs="Arial"/>
          </w:rPr>
          <w:id w:val="1401323600"/>
          <w:citation/>
        </w:sdtPr>
        <w:sdtContent>
          <w:r>
            <w:rPr>
              <w:rFonts w:cs="Arial"/>
            </w:rPr>
            <w:fldChar w:fldCharType="begin"/>
          </w:r>
          <w:r>
            <w:rPr>
              <w:rFonts w:cs="Arial"/>
            </w:rPr>
            <w:instrText xml:space="preserve"> CITATION Tir21 \l 2057 </w:instrText>
          </w:r>
          <w:r>
            <w:rPr>
              <w:rFonts w:cs="Arial"/>
            </w:rPr>
            <w:fldChar w:fldCharType="separate"/>
          </w:r>
          <w:r w:rsidRPr="00CF68FA">
            <w:rPr>
              <w:rFonts w:cs="Arial"/>
              <w:noProof/>
            </w:rPr>
            <w:t>(Harvard, 2021)</w:t>
          </w:r>
          <w:r>
            <w:rPr>
              <w:rFonts w:cs="Arial"/>
            </w:rPr>
            <w:fldChar w:fldCharType="end"/>
          </w:r>
        </w:sdtContent>
      </w:sdt>
      <w:r>
        <w:rPr>
          <w:rFonts w:cs="Arial"/>
        </w:rPr>
        <w:t>. This is alarming as there would have been families unable or too scared to call this helpline, correlating to more child victims. Even if the figure has reduced since the lift of lockdown, there is still families and children who are too scared to find help. I also believe that less children should be kept in school and not suspended, as to some children, school is a safe place, and their behaviour in school should not mean they deserve abuse at home making the problem worse.</w:t>
      </w:r>
    </w:p>
    <w:p w:rsidR="00CF68FA" w:rsidRDefault="00CF68FA" w:rsidP="00CF68FA">
      <w:pPr>
        <w:rPr>
          <w:rFonts w:cs="Arial"/>
        </w:rPr>
      </w:pPr>
    </w:p>
    <w:p w:rsidR="00000000" w:rsidRDefault="00CF68FA" w:rsidP="00CF68FA">
      <w:pPr>
        <w:rPr>
          <w:rFonts w:cs="Arial"/>
        </w:rPr>
      </w:pPr>
      <w:r>
        <w:rPr>
          <w:rFonts w:cs="Arial"/>
        </w:rPr>
        <w:t>Gaps in current research which should be expanded on include looking further into a child’s perspective on their abuse. Currently m</w:t>
      </w:r>
      <w:r w:rsidRPr="00CF68FA">
        <w:rPr>
          <w:rFonts w:cs="Arial"/>
        </w:rPr>
        <w:t>ost people who experience ACE’s are questioned about the</w:t>
      </w:r>
      <w:r w:rsidRPr="00CF68FA">
        <w:rPr>
          <w:rFonts w:cs="Arial"/>
        </w:rPr>
        <w:t>ir experiences when they are adults</w:t>
      </w:r>
      <w:r>
        <w:rPr>
          <w:rFonts w:cs="Arial"/>
        </w:rPr>
        <w:t xml:space="preserve">. Having a child’s perspective may allow us to come up with new solutions. Another gap I find there is class specific research. Current research usually excludes factors such as social class. When researching I could not find much information on whether </w:t>
      </w:r>
      <w:r w:rsidRPr="00CF68FA">
        <w:rPr>
          <w:rFonts w:cs="Arial"/>
        </w:rPr>
        <w:t>children who live in upper class</w:t>
      </w:r>
      <w:r>
        <w:rPr>
          <w:rFonts w:cs="Arial"/>
        </w:rPr>
        <w:t>, higher income</w:t>
      </w:r>
      <w:r w:rsidRPr="00CF68FA">
        <w:rPr>
          <w:rFonts w:cs="Arial"/>
        </w:rPr>
        <w:t xml:space="preserve"> areas as likely to suffer from ACE’s as lower class</w:t>
      </w:r>
      <w:r>
        <w:rPr>
          <w:rFonts w:cs="Arial"/>
        </w:rPr>
        <w:t>, lower income areas.</w:t>
      </w:r>
    </w:p>
    <w:p w:rsidR="00CF68FA" w:rsidRDefault="00CF68FA" w:rsidP="00CF68FA">
      <w:pPr>
        <w:rPr>
          <w:rFonts w:cs="Arial"/>
        </w:rPr>
      </w:pPr>
    </w:p>
    <w:sdt>
      <w:sdtPr>
        <w:id w:val="-575590582"/>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rsidR="00CF68FA" w:rsidRDefault="00CF68FA">
          <w:pPr>
            <w:pStyle w:val="Heading1"/>
          </w:pPr>
          <w:r>
            <w:t>Bibliography</w:t>
          </w:r>
        </w:p>
        <w:sdt>
          <w:sdtPr>
            <w:id w:val="111145805"/>
            <w:bibliography/>
          </w:sdtPr>
          <w:sdtContent>
            <w:p w:rsidR="00CF68FA" w:rsidRDefault="00CF68FA" w:rsidP="00CF68FA">
              <w:pPr>
                <w:pStyle w:val="Bibliography"/>
                <w:rPr>
                  <w:noProof/>
                  <w:lang w:val="en-US"/>
                </w:rPr>
              </w:pPr>
              <w:r>
                <w:fldChar w:fldCharType="begin"/>
              </w:r>
              <w:r>
                <w:instrText xml:space="preserve"> BIBLIOGRAPHY </w:instrText>
              </w:r>
              <w:r>
                <w:fldChar w:fldCharType="separate"/>
              </w:r>
              <w:r>
                <w:rPr>
                  <w:noProof/>
                  <w:lang w:val="en-US"/>
                </w:rPr>
                <w:t xml:space="preserve">Center on the Developing Child, 2023. </w:t>
              </w:r>
              <w:r>
                <w:rPr>
                  <w:i/>
                  <w:iCs/>
                  <w:noProof/>
                  <w:lang w:val="en-US"/>
                </w:rPr>
                <w:t xml:space="preserve">What Are ACEs? And How Do They Relate to Toxic Stress. </w:t>
              </w:r>
              <w:r>
                <w:rPr>
                  <w:noProof/>
                  <w:lang w:val="en-US"/>
                </w:rPr>
                <w:t xml:space="preserve">[Online] </w:t>
              </w:r>
              <w:r>
                <w:rPr>
                  <w:noProof/>
                  <w:lang w:val="en-US"/>
                </w:rPr>
                <w:br/>
                <w:t xml:space="preserve">Available at: </w:t>
              </w:r>
              <w:r>
                <w:rPr>
                  <w:noProof/>
                  <w:u w:val="single"/>
                  <w:lang w:val="en-US"/>
                </w:rPr>
                <w:t>https://developingchild.harvard.edu/resources/aces-and-toxic-stress-frequently-asked-questions/#graphic-text</w:t>
              </w:r>
              <w:r>
                <w:rPr>
                  <w:noProof/>
                  <w:lang w:val="en-US"/>
                </w:rPr>
                <w:br/>
                <w:t>[Accessed 3 December 2023].</w:t>
              </w:r>
            </w:p>
            <w:p w:rsidR="00CF68FA" w:rsidRDefault="00CF68FA" w:rsidP="00CF68FA">
              <w:pPr>
                <w:pStyle w:val="Bibliography"/>
                <w:rPr>
                  <w:noProof/>
                  <w:lang w:val="en-US"/>
                </w:rPr>
              </w:pPr>
              <w:r>
                <w:rPr>
                  <w:noProof/>
                  <w:lang w:val="en-US"/>
                </w:rPr>
                <w:t xml:space="preserve">Centers for Disease Control and Prevention, 2023. </w:t>
              </w:r>
              <w:r>
                <w:rPr>
                  <w:i/>
                  <w:iCs/>
                  <w:noProof/>
                  <w:lang w:val="en-US"/>
                </w:rPr>
                <w:t xml:space="preserve">Adverse Childhood Experiences. </w:t>
              </w:r>
              <w:r>
                <w:rPr>
                  <w:noProof/>
                  <w:lang w:val="en-US"/>
                </w:rPr>
                <w:t xml:space="preserve">[Online] </w:t>
              </w:r>
              <w:r>
                <w:rPr>
                  <w:noProof/>
                  <w:lang w:val="en-US"/>
                </w:rPr>
                <w:br/>
                <w:t xml:space="preserve">Available at: </w:t>
              </w:r>
              <w:r>
                <w:rPr>
                  <w:noProof/>
                  <w:u w:val="single"/>
                  <w:lang w:val="en-US"/>
                </w:rPr>
                <w:t>https://www.cdc.gov/violenceprevention/aces/index.html</w:t>
              </w:r>
              <w:r>
                <w:rPr>
                  <w:noProof/>
                  <w:lang w:val="en-US"/>
                </w:rPr>
                <w:br/>
                <w:t>[Accessed 5 December 2023].</w:t>
              </w:r>
            </w:p>
            <w:p w:rsidR="00CF68FA" w:rsidRDefault="00CF68FA" w:rsidP="00CF68FA">
              <w:pPr>
                <w:pStyle w:val="Bibliography"/>
                <w:rPr>
                  <w:noProof/>
                  <w:lang w:val="en-US"/>
                </w:rPr>
              </w:pPr>
              <w:r>
                <w:rPr>
                  <w:noProof/>
                  <w:lang w:val="en-US"/>
                </w:rPr>
                <w:t xml:space="preserve">Harvard, T., 2021. </w:t>
              </w:r>
              <w:r>
                <w:rPr>
                  <w:i/>
                  <w:iCs/>
                  <w:noProof/>
                  <w:lang w:val="en-US"/>
                </w:rPr>
                <w:t xml:space="preserve">Domestic abuse and Covid-19: A year into the pandemic Insight. </w:t>
              </w:r>
              <w:r>
                <w:rPr>
                  <w:noProof/>
                  <w:lang w:val="en-US"/>
                </w:rPr>
                <w:t xml:space="preserve">[Online] </w:t>
              </w:r>
              <w:r>
                <w:rPr>
                  <w:noProof/>
                  <w:lang w:val="en-US"/>
                </w:rPr>
                <w:br/>
                <w:t xml:space="preserve">Available at: </w:t>
              </w:r>
              <w:r>
                <w:rPr>
                  <w:noProof/>
                  <w:u w:val="single"/>
                  <w:lang w:val="en-US"/>
                </w:rPr>
                <w:t>https://commonslibrary.parliament.uk/domestic-abuse-and-covid-19-a-year-into-the-</w:t>
              </w:r>
              <w:r>
                <w:rPr>
                  <w:noProof/>
                  <w:u w:val="single"/>
                  <w:lang w:val="en-US"/>
                </w:rPr>
                <w:lastRenderedPageBreak/>
                <w:t>pandemic/#:~:text=Between%20April%20and%20June%202020,parties%2C%20rather%20than%20survivors%20themselves.</w:t>
              </w:r>
              <w:r>
                <w:rPr>
                  <w:noProof/>
                  <w:lang w:val="en-US"/>
                </w:rPr>
                <w:br/>
                <w:t>[Accessed 11 December 2023].</w:t>
              </w:r>
            </w:p>
            <w:p w:rsidR="00CF68FA" w:rsidRDefault="00CF68FA" w:rsidP="00CF68FA">
              <w:pPr>
                <w:pStyle w:val="Bibliography"/>
                <w:rPr>
                  <w:noProof/>
                  <w:lang w:val="en-US"/>
                </w:rPr>
              </w:pPr>
              <w:r>
                <w:rPr>
                  <w:noProof/>
                  <w:lang w:val="en-US"/>
                </w:rPr>
                <w:t xml:space="preserve">HM Government, 2018. </w:t>
              </w:r>
              <w:r>
                <w:rPr>
                  <w:i/>
                  <w:iCs/>
                  <w:noProof/>
                  <w:lang w:val="en-US"/>
                </w:rPr>
                <w:t xml:space="preserve">Working Together to Safeguard Children Statutory framework: legislation relevant to safeguarding and promoting the welfare of children. </w:t>
              </w:r>
              <w:r>
                <w:rPr>
                  <w:noProof/>
                  <w:lang w:val="en-US"/>
                </w:rPr>
                <w:t xml:space="preserve">[Online] </w:t>
              </w:r>
              <w:r>
                <w:rPr>
                  <w:noProof/>
                  <w:lang w:val="en-US"/>
                </w:rPr>
                <w:br/>
                <w:t xml:space="preserve">Available at: </w:t>
              </w:r>
              <w:r>
                <w:rPr>
                  <w:noProof/>
                  <w:u w:val="single"/>
                  <w:lang w:val="en-US"/>
                </w:rPr>
                <w:t>https://assets.publishing.service.gov.uk/media/5fd0a8f6e90e07562e8fef36/Working_together_to_safeguard_children_Statutory_framework_legislation_relevant_to_safeguarding_and_promoting_the_welfare_of_children.pdf</w:t>
              </w:r>
              <w:r>
                <w:rPr>
                  <w:noProof/>
                  <w:lang w:val="en-US"/>
                </w:rPr>
                <w:br/>
                <w:t>[Accessed 8 December 2023].</w:t>
              </w:r>
            </w:p>
            <w:p w:rsidR="00CF68FA" w:rsidRDefault="00CF68FA" w:rsidP="00CF68FA">
              <w:pPr>
                <w:pStyle w:val="Bibliography"/>
                <w:rPr>
                  <w:noProof/>
                  <w:lang w:val="en-US"/>
                </w:rPr>
              </w:pPr>
              <w:r>
                <w:rPr>
                  <w:noProof/>
                  <w:lang w:val="en-US"/>
                </w:rPr>
                <w:t xml:space="preserve">Look through their eyes, 2023. </w:t>
              </w:r>
              <w:r>
                <w:rPr>
                  <w:i/>
                  <w:iCs/>
                  <w:noProof/>
                  <w:lang w:val="en-US"/>
                </w:rPr>
                <w:t xml:space="preserve">Young Children and Trauma. </w:t>
              </w:r>
              <w:r>
                <w:rPr>
                  <w:noProof/>
                  <w:lang w:val="en-US"/>
                </w:rPr>
                <w:t xml:space="preserve">[Online] </w:t>
              </w:r>
              <w:r>
                <w:rPr>
                  <w:noProof/>
                  <w:lang w:val="en-US"/>
                </w:rPr>
                <w:br/>
                <w:t xml:space="preserve">Available at: </w:t>
              </w:r>
              <w:r>
                <w:rPr>
                  <w:noProof/>
                  <w:u w:val="single"/>
                  <w:lang w:val="en-US"/>
                </w:rPr>
                <w:t>https://www.google.com/search?q=child+most+vulnerable&amp;client=safari&amp;sca_esv=590654907&amp;rls=en&amp;sxsrf=AM9HkKkeE10UyP9lhYutXLE9hI2dD3vefQ%3A1702498817704&amp;ei=ARJ6ZcDLKum2hbIPpd2t6Ao&amp;oq=children+most+vulne&amp;gs_lp=Egxnd3Mtd2l6LXNlcnAiE2NoaWxkcmVuIG1vc3QgdnVsbmUqA</w:t>
              </w:r>
              <w:r>
                <w:rPr>
                  <w:noProof/>
                  <w:lang w:val="en-US"/>
                </w:rPr>
                <w:br/>
                <w:t>[Accessed 4 December 2023].</w:t>
              </w:r>
            </w:p>
            <w:p w:rsidR="00CF68FA" w:rsidRDefault="00CF68FA" w:rsidP="00CF68FA">
              <w:pPr>
                <w:pStyle w:val="Bibliography"/>
                <w:rPr>
                  <w:noProof/>
                  <w:lang w:val="en-US"/>
                </w:rPr>
              </w:pPr>
              <w:r>
                <w:rPr>
                  <w:noProof/>
                  <w:lang w:val="en-US"/>
                </w:rPr>
                <w:t xml:space="preserve">McEwan, B. S., 2005. Journal of Psychiatry &amp; Neuroscience. </w:t>
              </w:r>
              <w:r>
                <w:rPr>
                  <w:i/>
                  <w:iCs/>
                  <w:noProof/>
                  <w:lang w:val="en-US"/>
                </w:rPr>
                <w:t xml:space="preserve">Stressed or stressed out: What is the difference?, </w:t>
              </w:r>
              <w:r>
                <w:rPr>
                  <w:noProof/>
                  <w:lang w:val="en-US"/>
                </w:rPr>
                <w:t>4(15), pp. 315-318.</w:t>
              </w:r>
            </w:p>
            <w:p w:rsidR="00CF68FA" w:rsidRDefault="00CF68FA" w:rsidP="00CF68FA">
              <w:pPr>
                <w:pStyle w:val="Bibliography"/>
                <w:rPr>
                  <w:noProof/>
                  <w:lang w:val="en-US"/>
                </w:rPr>
              </w:pPr>
              <w:r>
                <w:rPr>
                  <w:noProof/>
                  <w:lang w:val="en-US"/>
                </w:rPr>
                <w:t xml:space="preserve">Royal Manchester Children's Hospital, 2023. </w:t>
              </w:r>
              <w:r>
                <w:rPr>
                  <w:i/>
                  <w:iCs/>
                  <w:noProof/>
                  <w:lang w:val="en-US"/>
                </w:rPr>
                <w:t xml:space="preserve">Adverse Childhood Experiences (ACEs) and Attachment. </w:t>
              </w:r>
              <w:r>
                <w:rPr>
                  <w:noProof/>
                  <w:lang w:val="en-US"/>
                </w:rPr>
                <w:t xml:space="preserve">[Online] </w:t>
              </w:r>
              <w:r>
                <w:rPr>
                  <w:noProof/>
                  <w:lang w:val="en-US"/>
                </w:rPr>
                <w:br/>
                <w:t xml:space="preserve">Available at: </w:t>
              </w:r>
              <w:r>
                <w:rPr>
                  <w:noProof/>
                  <w:u w:val="single"/>
                  <w:lang w:val="en-US"/>
                </w:rPr>
                <w:t>https://mft.nhs.uk/rmch/services/camhs/young-people/adverse-childhood-experiences-aces-and-attachment/</w:t>
              </w:r>
              <w:r>
                <w:rPr>
                  <w:noProof/>
                  <w:lang w:val="en-US"/>
                </w:rPr>
                <w:br/>
                <w:t>[Accessed 5 December 2023].</w:t>
              </w:r>
            </w:p>
            <w:p w:rsidR="00CF68FA" w:rsidRDefault="00CF68FA" w:rsidP="00CF68FA">
              <w:pPr>
                <w:pStyle w:val="Bibliography"/>
                <w:rPr>
                  <w:noProof/>
                  <w:lang w:val="en-US"/>
                </w:rPr>
              </w:pPr>
              <w:r>
                <w:rPr>
                  <w:noProof/>
                  <w:lang w:val="en-US"/>
                </w:rPr>
                <w:t xml:space="preserve">Safeguarding Board for Northern Ireland, 2020. </w:t>
              </w:r>
              <w:r>
                <w:rPr>
                  <w:i/>
                  <w:iCs/>
                  <w:noProof/>
                  <w:lang w:val="en-US"/>
                </w:rPr>
                <w:t xml:space="preserve">EITP Trauma Informed Practice (TIP) Project. </w:t>
              </w:r>
              <w:r>
                <w:rPr>
                  <w:noProof/>
                  <w:lang w:val="en-US"/>
                </w:rPr>
                <w:t xml:space="preserve">[Online] </w:t>
              </w:r>
              <w:r>
                <w:rPr>
                  <w:noProof/>
                  <w:lang w:val="en-US"/>
                </w:rPr>
                <w:br/>
                <w:t xml:space="preserve">Available at: </w:t>
              </w:r>
              <w:r>
                <w:rPr>
                  <w:noProof/>
                  <w:u w:val="single"/>
                  <w:lang w:val="en-US"/>
                </w:rPr>
                <w:t>https://www.safeguardingni.org/sites/default/files/2021-02/Yr%203%20Trauma%20Informed%20Practice%20Report%20Card%202020-21%20%28Final%29.pdf</w:t>
              </w:r>
              <w:r>
                <w:rPr>
                  <w:noProof/>
                  <w:lang w:val="en-US"/>
                </w:rPr>
                <w:br/>
                <w:t>[Accessed 3 December 2023].</w:t>
              </w:r>
            </w:p>
            <w:p w:rsidR="00CF68FA" w:rsidRDefault="00CF68FA" w:rsidP="00CF68FA">
              <w:pPr>
                <w:pStyle w:val="Bibliography"/>
                <w:rPr>
                  <w:noProof/>
                  <w:lang w:val="en-US"/>
                </w:rPr>
              </w:pPr>
              <w:r>
                <w:rPr>
                  <w:noProof/>
                  <w:lang w:val="en-US"/>
                </w:rPr>
                <w:t xml:space="preserve">Springboard Community Services, 2023. </w:t>
              </w:r>
              <w:r>
                <w:rPr>
                  <w:i/>
                  <w:iCs/>
                  <w:noProof/>
                  <w:lang w:val="en-US"/>
                </w:rPr>
                <w:t xml:space="preserve">Adverse Childhood Experiences Interface Trainin. </w:t>
              </w:r>
              <w:r>
                <w:rPr>
                  <w:noProof/>
                  <w:lang w:val="en-US"/>
                </w:rPr>
                <w:t xml:space="preserve">[Online] </w:t>
              </w:r>
              <w:r>
                <w:rPr>
                  <w:noProof/>
                  <w:lang w:val="en-US"/>
                </w:rPr>
                <w:br/>
                <w:t xml:space="preserve">Available at: </w:t>
              </w:r>
              <w:r>
                <w:rPr>
                  <w:noProof/>
                  <w:u w:val="single"/>
                  <w:lang w:val="en-US"/>
                </w:rPr>
                <w:t>https://www.springboardmd.org/adverse-childhood-experiences-interface-training/</w:t>
              </w:r>
              <w:r>
                <w:rPr>
                  <w:noProof/>
                  <w:lang w:val="en-US"/>
                </w:rPr>
                <w:br/>
                <w:t>[Accessed 6 December 2023].</w:t>
              </w:r>
            </w:p>
            <w:p w:rsidR="00CF68FA" w:rsidRDefault="00CF68FA" w:rsidP="00CF68FA">
              <w:pPr>
                <w:pStyle w:val="Bibliography"/>
                <w:rPr>
                  <w:noProof/>
                  <w:lang w:val="en-US"/>
                </w:rPr>
              </w:pPr>
              <w:r>
                <w:rPr>
                  <w:noProof/>
                  <w:lang w:val="en-US"/>
                </w:rPr>
                <w:t xml:space="preserve">Street, R., 2022. </w:t>
              </w:r>
              <w:r>
                <w:rPr>
                  <w:i/>
                  <w:iCs/>
                  <w:noProof/>
                  <w:lang w:val="en-US"/>
                </w:rPr>
                <w:t xml:space="preserve">Childhood trauma linked to risk of adult crime. </w:t>
              </w:r>
              <w:r>
                <w:rPr>
                  <w:noProof/>
                  <w:lang w:val="en-US"/>
                </w:rPr>
                <w:t xml:space="preserve">[Online] </w:t>
              </w:r>
              <w:r>
                <w:rPr>
                  <w:noProof/>
                  <w:lang w:val="en-US"/>
                </w:rPr>
                <w:br/>
                <w:t xml:space="preserve">Available at: </w:t>
              </w:r>
              <w:r>
                <w:rPr>
                  <w:noProof/>
                  <w:u w:val="single"/>
                  <w:lang w:val="en-US"/>
                </w:rPr>
                <w:t>https://www.ed.ac.uk/news/2022/vulnerable-children-more-likely-to-offend-as-adult#:~:text=Childhood%20experiences%20such%20as%20poverty,in%20adulthood%2C%20the%20report%20found.</w:t>
              </w:r>
              <w:r>
                <w:rPr>
                  <w:noProof/>
                  <w:lang w:val="en-US"/>
                </w:rPr>
                <w:br/>
                <w:t>[Accessed 10 December 2023].</w:t>
              </w:r>
            </w:p>
            <w:p w:rsidR="00CF68FA" w:rsidRDefault="00CF68FA" w:rsidP="00CF68FA">
              <w:pPr>
                <w:pStyle w:val="Bibliography"/>
                <w:rPr>
                  <w:noProof/>
                  <w:lang w:val="en-US"/>
                </w:rPr>
              </w:pPr>
              <w:r>
                <w:rPr>
                  <w:noProof/>
                  <w:lang w:val="en-US"/>
                </w:rPr>
                <w:t xml:space="preserve">University of Strathclyde Fraser of Allander Institute, 2022. </w:t>
              </w:r>
              <w:r>
                <w:rPr>
                  <w:i/>
                  <w:iCs/>
                  <w:noProof/>
                  <w:lang w:val="en-US"/>
                </w:rPr>
                <w:t xml:space="preserve">Adverse Childhood Experiences (ACEs) and Development. </w:t>
              </w:r>
              <w:r>
                <w:rPr>
                  <w:noProof/>
                  <w:lang w:val="en-US"/>
                </w:rPr>
                <w:t xml:space="preserve">[Online] </w:t>
              </w:r>
              <w:r>
                <w:rPr>
                  <w:noProof/>
                  <w:lang w:val="en-US"/>
                </w:rPr>
                <w:br/>
                <w:t xml:space="preserve">Available at: </w:t>
              </w:r>
              <w:r>
                <w:rPr>
                  <w:noProof/>
                  <w:u w:val="single"/>
                  <w:lang w:val="en-US"/>
                </w:rPr>
                <w:t>https://fraserofallander.org/adverse-childhood-experiences-aces-and-development/</w:t>
              </w:r>
              <w:r>
                <w:rPr>
                  <w:noProof/>
                  <w:lang w:val="en-US"/>
                </w:rPr>
                <w:br/>
                <w:t>[Accessed 3 December 2023].</w:t>
              </w:r>
            </w:p>
            <w:p w:rsidR="00CF68FA" w:rsidRDefault="00CF68FA" w:rsidP="00CF68FA">
              <w:pPr>
                <w:pStyle w:val="Bibliography"/>
                <w:rPr>
                  <w:noProof/>
                  <w:lang w:val="en-US"/>
                </w:rPr>
              </w:pPr>
              <w:r>
                <w:rPr>
                  <w:noProof/>
                  <w:lang w:val="en-US"/>
                </w:rPr>
                <w:lastRenderedPageBreak/>
                <w:t xml:space="preserve">Wave Trust, 2021. </w:t>
              </w:r>
              <w:r>
                <w:rPr>
                  <w:i/>
                  <w:iCs/>
                  <w:noProof/>
                  <w:lang w:val="en-US"/>
                </w:rPr>
                <w:t xml:space="preserve">Why prevention of Adverse Childhood Experiences (ACE) is crucial. </w:t>
              </w:r>
              <w:r>
                <w:rPr>
                  <w:noProof/>
                  <w:lang w:val="en-US"/>
                </w:rPr>
                <w:t xml:space="preserve">[Online] </w:t>
              </w:r>
              <w:r>
                <w:rPr>
                  <w:noProof/>
                  <w:lang w:val="en-US"/>
                </w:rPr>
                <w:br/>
                <w:t xml:space="preserve">Available at: </w:t>
              </w:r>
              <w:r>
                <w:rPr>
                  <w:noProof/>
                  <w:u w:val="single"/>
                  <w:lang w:val="en-US"/>
                </w:rPr>
                <w:t>https://www.wavetrust.org/why-prevention-of-adverse-childhood-experiences-ace-is-crucial</w:t>
              </w:r>
              <w:r>
                <w:rPr>
                  <w:noProof/>
                  <w:lang w:val="en-US"/>
                </w:rPr>
                <w:br/>
                <w:t>[Accessed 6 December 2023].</w:t>
              </w:r>
            </w:p>
            <w:p w:rsidR="00CF68FA" w:rsidRDefault="00CF68FA" w:rsidP="00CF68FA">
              <w:r>
                <w:rPr>
                  <w:b/>
                  <w:bCs/>
                  <w:noProof/>
                </w:rPr>
                <w:fldChar w:fldCharType="end"/>
              </w:r>
            </w:p>
          </w:sdtContent>
        </w:sdt>
      </w:sdtContent>
    </w:sdt>
    <w:p w:rsidR="00CF68FA" w:rsidRPr="00CF68FA" w:rsidRDefault="00CF68FA" w:rsidP="00CF68FA">
      <w:pPr>
        <w:rPr>
          <w:rFonts w:cs="Arial"/>
        </w:rPr>
      </w:pPr>
      <w:bookmarkStart w:id="0" w:name="_GoBack"/>
      <w:bookmarkEnd w:id="0"/>
    </w:p>
    <w:p w:rsidR="00CF68FA" w:rsidRDefault="00CF68FA" w:rsidP="00CF68FA">
      <w:pPr>
        <w:rPr>
          <w:rFonts w:cs="Arial"/>
        </w:rPr>
      </w:pPr>
    </w:p>
    <w:p w:rsidR="00CF68FA" w:rsidRDefault="00CF68FA" w:rsidP="00CF68FA">
      <w:pPr>
        <w:rPr>
          <w:rFonts w:cs="Arial"/>
        </w:rPr>
      </w:pPr>
    </w:p>
    <w:p w:rsidR="00CF68FA" w:rsidRPr="00CF68FA" w:rsidRDefault="00CF68FA" w:rsidP="00CF68FA">
      <w:pPr>
        <w:rPr>
          <w:rFonts w:cs="Arial"/>
        </w:rPr>
      </w:pPr>
    </w:p>
    <w:p w:rsidR="00CF68FA" w:rsidRPr="00CF68FA" w:rsidRDefault="00CF68FA" w:rsidP="00CF68FA"/>
    <w:sectPr w:rsidR="00CF68FA" w:rsidRPr="00CF68FA" w:rsidSect="00145FFA">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41EC0"/>
    <w:multiLevelType w:val="hybridMultilevel"/>
    <w:tmpl w:val="A44EC600"/>
    <w:lvl w:ilvl="0" w:tplc="6122E4AE">
      <w:start w:val="1"/>
      <w:numFmt w:val="bullet"/>
      <w:lvlText w:val=""/>
      <w:lvlJc w:val="left"/>
      <w:pPr>
        <w:tabs>
          <w:tab w:val="num" w:pos="720"/>
        </w:tabs>
        <w:ind w:left="720" w:hanging="360"/>
      </w:pPr>
      <w:rPr>
        <w:rFonts w:ascii="Wingdings 2" w:hAnsi="Wingdings 2" w:hint="default"/>
      </w:rPr>
    </w:lvl>
    <w:lvl w:ilvl="1" w:tplc="90C8C58C">
      <w:start w:val="1"/>
      <w:numFmt w:val="bullet"/>
      <w:lvlText w:val=""/>
      <w:lvlJc w:val="left"/>
      <w:pPr>
        <w:tabs>
          <w:tab w:val="num" w:pos="1440"/>
        </w:tabs>
        <w:ind w:left="1440" w:hanging="360"/>
      </w:pPr>
      <w:rPr>
        <w:rFonts w:ascii="Wingdings 2" w:hAnsi="Wingdings 2" w:hint="default"/>
      </w:rPr>
    </w:lvl>
    <w:lvl w:ilvl="2" w:tplc="09B4AE70" w:tentative="1">
      <w:start w:val="1"/>
      <w:numFmt w:val="bullet"/>
      <w:lvlText w:val=""/>
      <w:lvlJc w:val="left"/>
      <w:pPr>
        <w:tabs>
          <w:tab w:val="num" w:pos="2160"/>
        </w:tabs>
        <w:ind w:left="2160" w:hanging="360"/>
      </w:pPr>
      <w:rPr>
        <w:rFonts w:ascii="Wingdings 2" w:hAnsi="Wingdings 2" w:hint="default"/>
      </w:rPr>
    </w:lvl>
    <w:lvl w:ilvl="3" w:tplc="8AA8BCAA" w:tentative="1">
      <w:start w:val="1"/>
      <w:numFmt w:val="bullet"/>
      <w:lvlText w:val=""/>
      <w:lvlJc w:val="left"/>
      <w:pPr>
        <w:tabs>
          <w:tab w:val="num" w:pos="2880"/>
        </w:tabs>
        <w:ind w:left="2880" w:hanging="360"/>
      </w:pPr>
      <w:rPr>
        <w:rFonts w:ascii="Wingdings 2" w:hAnsi="Wingdings 2" w:hint="default"/>
      </w:rPr>
    </w:lvl>
    <w:lvl w:ilvl="4" w:tplc="61705E8C" w:tentative="1">
      <w:start w:val="1"/>
      <w:numFmt w:val="bullet"/>
      <w:lvlText w:val=""/>
      <w:lvlJc w:val="left"/>
      <w:pPr>
        <w:tabs>
          <w:tab w:val="num" w:pos="3600"/>
        </w:tabs>
        <w:ind w:left="3600" w:hanging="360"/>
      </w:pPr>
      <w:rPr>
        <w:rFonts w:ascii="Wingdings 2" w:hAnsi="Wingdings 2" w:hint="default"/>
      </w:rPr>
    </w:lvl>
    <w:lvl w:ilvl="5" w:tplc="824ACEB4" w:tentative="1">
      <w:start w:val="1"/>
      <w:numFmt w:val="bullet"/>
      <w:lvlText w:val=""/>
      <w:lvlJc w:val="left"/>
      <w:pPr>
        <w:tabs>
          <w:tab w:val="num" w:pos="4320"/>
        </w:tabs>
        <w:ind w:left="4320" w:hanging="360"/>
      </w:pPr>
      <w:rPr>
        <w:rFonts w:ascii="Wingdings 2" w:hAnsi="Wingdings 2" w:hint="default"/>
      </w:rPr>
    </w:lvl>
    <w:lvl w:ilvl="6" w:tplc="78E6AF7E" w:tentative="1">
      <w:start w:val="1"/>
      <w:numFmt w:val="bullet"/>
      <w:lvlText w:val=""/>
      <w:lvlJc w:val="left"/>
      <w:pPr>
        <w:tabs>
          <w:tab w:val="num" w:pos="5040"/>
        </w:tabs>
        <w:ind w:left="5040" w:hanging="360"/>
      </w:pPr>
      <w:rPr>
        <w:rFonts w:ascii="Wingdings 2" w:hAnsi="Wingdings 2" w:hint="default"/>
      </w:rPr>
    </w:lvl>
    <w:lvl w:ilvl="7" w:tplc="1A6E6108" w:tentative="1">
      <w:start w:val="1"/>
      <w:numFmt w:val="bullet"/>
      <w:lvlText w:val=""/>
      <w:lvlJc w:val="left"/>
      <w:pPr>
        <w:tabs>
          <w:tab w:val="num" w:pos="5760"/>
        </w:tabs>
        <w:ind w:left="5760" w:hanging="360"/>
      </w:pPr>
      <w:rPr>
        <w:rFonts w:ascii="Wingdings 2" w:hAnsi="Wingdings 2" w:hint="default"/>
      </w:rPr>
    </w:lvl>
    <w:lvl w:ilvl="8" w:tplc="FCA02F0E"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2F0A3C71"/>
    <w:multiLevelType w:val="hybridMultilevel"/>
    <w:tmpl w:val="EB942C7E"/>
    <w:lvl w:ilvl="0" w:tplc="40F697EA">
      <w:start w:val="1"/>
      <w:numFmt w:val="bullet"/>
      <w:lvlText w:val=""/>
      <w:lvlJc w:val="left"/>
      <w:pPr>
        <w:tabs>
          <w:tab w:val="num" w:pos="720"/>
        </w:tabs>
        <w:ind w:left="720" w:hanging="360"/>
      </w:pPr>
      <w:rPr>
        <w:rFonts w:ascii="Wingdings 2" w:hAnsi="Wingdings 2" w:hint="default"/>
      </w:rPr>
    </w:lvl>
    <w:lvl w:ilvl="1" w:tplc="5074F4FA" w:tentative="1">
      <w:start w:val="1"/>
      <w:numFmt w:val="bullet"/>
      <w:lvlText w:val=""/>
      <w:lvlJc w:val="left"/>
      <w:pPr>
        <w:tabs>
          <w:tab w:val="num" w:pos="1440"/>
        </w:tabs>
        <w:ind w:left="1440" w:hanging="360"/>
      </w:pPr>
      <w:rPr>
        <w:rFonts w:ascii="Wingdings 2" w:hAnsi="Wingdings 2" w:hint="default"/>
      </w:rPr>
    </w:lvl>
    <w:lvl w:ilvl="2" w:tplc="B34C045A" w:tentative="1">
      <w:start w:val="1"/>
      <w:numFmt w:val="bullet"/>
      <w:lvlText w:val=""/>
      <w:lvlJc w:val="left"/>
      <w:pPr>
        <w:tabs>
          <w:tab w:val="num" w:pos="2160"/>
        </w:tabs>
        <w:ind w:left="2160" w:hanging="360"/>
      </w:pPr>
      <w:rPr>
        <w:rFonts w:ascii="Wingdings 2" w:hAnsi="Wingdings 2" w:hint="default"/>
      </w:rPr>
    </w:lvl>
    <w:lvl w:ilvl="3" w:tplc="449C8BD2" w:tentative="1">
      <w:start w:val="1"/>
      <w:numFmt w:val="bullet"/>
      <w:lvlText w:val=""/>
      <w:lvlJc w:val="left"/>
      <w:pPr>
        <w:tabs>
          <w:tab w:val="num" w:pos="2880"/>
        </w:tabs>
        <w:ind w:left="2880" w:hanging="360"/>
      </w:pPr>
      <w:rPr>
        <w:rFonts w:ascii="Wingdings 2" w:hAnsi="Wingdings 2" w:hint="default"/>
      </w:rPr>
    </w:lvl>
    <w:lvl w:ilvl="4" w:tplc="5D72600E" w:tentative="1">
      <w:start w:val="1"/>
      <w:numFmt w:val="bullet"/>
      <w:lvlText w:val=""/>
      <w:lvlJc w:val="left"/>
      <w:pPr>
        <w:tabs>
          <w:tab w:val="num" w:pos="3600"/>
        </w:tabs>
        <w:ind w:left="3600" w:hanging="360"/>
      </w:pPr>
      <w:rPr>
        <w:rFonts w:ascii="Wingdings 2" w:hAnsi="Wingdings 2" w:hint="default"/>
      </w:rPr>
    </w:lvl>
    <w:lvl w:ilvl="5" w:tplc="5AA27110" w:tentative="1">
      <w:start w:val="1"/>
      <w:numFmt w:val="bullet"/>
      <w:lvlText w:val=""/>
      <w:lvlJc w:val="left"/>
      <w:pPr>
        <w:tabs>
          <w:tab w:val="num" w:pos="4320"/>
        </w:tabs>
        <w:ind w:left="4320" w:hanging="360"/>
      </w:pPr>
      <w:rPr>
        <w:rFonts w:ascii="Wingdings 2" w:hAnsi="Wingdings 2" w:hint="default"/>
      </w:rPr>
    </w:lvl>
    <w:lvl w:ilvl="6" w:tplc="EB52481C" w:tentative="1">
      <w:start w:val="1"/>
      <w:numFmt w:val="bullet"/>
      <w:lvlText w:val=""/>
      <w:lvlJc w:val="left"/>
      <w:pPr>
        <w:tabs>
          <w:tab w:val="num" w:pos="5040"/>
        </w:tabs>
        <w:ind w:left="5040" w:hanging="360"/>
      </w:pPr>
      <w:rPr>
        <w:rFonts w:ascii="Wingdings 2" w:hAnsi="Wingdings 2" w:hint="default"/>
      </w:rPr>
    </w:lvl>
    <w:lvl w:ilvl="7" w:tplc="DFB83EB0" w:tentative="1">
      <w:start w:val="1"/>
      <w:numFmt w:val="bullet"/>
      <w:lvlText w:val=""/>
      <w:lvlJc w:val="left"/>
      <w:pPr>
        <w:tabs>
          <w:tab w:val="num" w:pos="5760"/>
        </w:tabs>
        <w:ind w:left="5760" w:hanging="360"/>
      </w:pPr>
      <w:rPr>
        <w:rFonts w:ascii="Wingdings 2" w:hAnsi="Wingdings 2" w:hint="default"/>
      </w:rPr>
    </w:lvl>
    <w:lvl w:ilvl="8" w:tplc="5FF47170"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320A6A95"/>
    <w:multiLevelType w:val="hybridMultilevel"/>
    <w:tmpl w:val="2DAEBA3C"/>
    <w:lvl w:ilvl="0" w:tplc="2FAC5B34">
      <w:start w:val="1"/>
      <w:numFmt w:val="bullet"/>
      <w:lvlText w:val=""/>
      <w:lvlJc w:val="left"/>
      <w:pPr>
        <w:tabs>
          <w:tab w:val="num" w:pos="720"/>
        </w:tabs>
        <w:ind w:left="720" w:hanging="360"/>
      </w:pPr>
      <w:rPr>
        <w:rFonts w:ascii="Wingdings 2" w:hAnsi="Wingdings 2" w:hint="default"/>
      </w:rPr>
    </w:lvl>
    <w:lvl w:ilvl="1" w:tplc="5F7C6E0E">
      <w:start w:val="1"/>
      <w:numFmt w:val="bullet"/>
      <w:lvlText w:val=""/>
      <w:lvlJc w:val="left"/>
      <w:pPr>
        <w:tabs>
          <w:tab w:val="num" w:pos="1440"/>
        </w:tabs>
        <w:ind w:left="1440" w:hanging="360"/>
      </w:pPr>
      <w:rPr>
        <w:rFonts w:ascii="Wingdings 2" w:hAnsi="Wingdings 2" w:hint="default"/>
      </w:rPr>
    </w:lvl>
    <w:lvl w:ilvl="2" w:tplc="9342D8A8" w:tentative="1">
      <w:start w:val="1"/>
      <w:numFmt w:val="bullet"/>
      <w:lvlText w:val=""/>
      <w:lvlJc w:val="left"/>
      <w:pPr>
        <w:tabs>
          <w:tab w:val="num" w:pos="2160"/>
        </w:tabs>
        <w:ind w:left="2160" w:hanging="360"/>
      </w:pPr>
      <w:rPr>
        <w:rFonts w:ascii="Wingdings 2" w:hAnsi="Wingdings 2" w:hint="default"/>
      </w:rPr>
    </w:lvl>
    <w:lvl w:ilvl="3" w:tplc="5972BC6C" w:tentative="1">
      <w:start w:val="1"/>
      <w:numFmt w:val="bullet"/>
      <w:lvlText w:val=""/>
      <w:lvlJc w:val="left"/>
      <w:pPr>
        <w:tabs>
          <w:tab w:val="num" w:pos="2880"/>
        </w:tabs>
        <w:ind w:left="2880" w:hanging="360"/>
      </w:pPr>
      <w:rPr>
        <w:rFonts w:ascii="Wingdings 2" w:hAnsi="Wingdings 2" w:hint="default"/>
      </w:rPr>
    </w:lvl>
    <w:lvl w:ilvl="4" w:tplc="3528BA12" w:tentative="1">
      <w:start w:val="1"/>
      <w:numFmt w:val="bullet"/>
      <w:lvlText w:val=""/>
      <w:lvlJc w:val="left"/>
      <w:pPr>
        <w:tabs>
          <w:tab w:val="num" w:pos="3600"/>
        </w:tabs>
        <w:ind w:left="3600" w:hanging="360"/>
      </w:pPr>
      <w:rPr>
        <w:rFonts w:ascii="Wingdings 2" w:hAnsi="Wingdings 2" w:hint="default"/>
      </w:rPr>
    </w:lvl>
    <w:lvl w:ilvl="5" w:tplc="EC1EEB0E" w:tentative="1">
      <w:start w:val="1"/>
      <w:numFmt w:val="bullet"/>
      <w:lvlText w:val=""/>
      <w:lvlJc w:val="left"/>
      <w:pPr>
        <w:tabs>
          <w:tab w:val="num" w:pos="4320"/>
        </w:tabs>
        <w:ind w:left="4320" w:hanging="360"/>
      </w:pPr>
      <w:rPr>
        <w:rFonts w:ascii="Wingdings 2" w:hAnsi="Wingdings 2" w:hint="default"/>
      </w:rPr>
    </w:lvl>
    <w:lvl w:ilvl="6" w:tplc="2D8CB21A" w:tentative="1">
      <w:start w:val="1"/>
      <w:numFmt w:val="bullet"/>
      <w:lvlText w:val=""/>
      <w:lvlJc w:val="left"/>
      <w:pPr>
        <w:tabs>
          <w:tab w:val="num" w:pos="5040"/>
        </w:tabs>
        <w:ind w:left="5040" w:hanging="360"/>
      </w:pPr>
      <w:rPr>
        <w:rFonts w:ascii="Wingdings 2" w:hAnsi="Wingdings 2" w:hint="default"/>
      </w:rPr>
    </w:lvl>
    <w:lvl w:ilvl="7" w:tplc="14E8714A" w:tentative="1">
      <w:start w:val="1"/>
      <w:numFmt w:val="bullet"/>
      <w:lvlText w:val=""/>
      <w:lvlJc w:val="left"/>
      <w:pPr>
        <w:tabs>
          <w:tab w:val="num" w:pos="5760"/>
        </w:tabs>
        <w:ind w:left="5760" w:hanging="360"/>
      </w:pPr>
      <w:rPr>
        <w:rFonts w:ascii="Wingdings 2" w:hAnsi="Wingdings 2" w:hint="default"/>
      </w:rPr>
    </w:lvl>
    <w:lvl w:ilvl="8" w:tplc="C7DA907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534D0A9C"/>
    <w:multiLevelType w:val="hybridMultilevel"/>
    <w:tmpl w:val="683C622E"/>
    <w:lvl w:ilvl="0" w:tplc="FC365860">
      <w:start w:val="1"/>
      <w:numFmt w:val="bullet"/>
      <w:lvlText w:val=""/>
      <w:lvlJc w:val="left"/>
      <w:pPr>
        <w:tabs>
          <w:tab w:val="num" w:pos="720"/>
        </w:tabs>
        <w:ind w:left="720" w:hanging="360"/>
      </w:pPr>
      <w:rPr>
        <w:rFonts w:ascii="Wingdings 2" w:hAnsi="Wingdings 2" w:hint="default"/>
      </w:rPr>
    </w:lvl>
    <w:lvl w:ilvl="1" w:tplc="AF14265C">
      <w:start w:val="1"/>
      <w:numFmt w:val="bullet"/>
      <w:lvlText w:val=""/>
      <w:lvlJc w:val="left"/>
      <w:pPr>
        <w:tabs>
          <w:tab w:val="num" w:pos="1440"/>
        </w:tabs>
        <w:ind w:left="1440" w:hanging="360"/>
      </w:pPr>
      <w:rPr>
        <w:rFonts w:ascii="Wingdings 2" w:hAnsi="Wingdings 2" w:hint="default"/>
      </w:rPr>
    </w:lvl>
    <w:lvl w:ilvl="2" w:tplc="DFD0CE46" w:tentative="1">
      <w:start w:val="1"/>
      <w:numFmt w:val="bullet"/>
      <w:lvlText w:val=""/>
      <w:lvlJc w:val="left"/>
      <w:pPr>
        <w:tabs>
          <w:tab w:val="num" w:pos="2160"/>
        </w:tabs>
        <w:ind w:left="2160" w:hanging="360"/>
      </w:pPr>
      <w:rPr>
        <w:rFonts w:ascii="Wingdings 2" w:hAnsi="Wingdings 2" w:hint="default"/>
      </w:rPr>
    </w:lvl>
    <w:lvl w:ilvl="3" w:tplc="F76214B2" w:tentative="1">
      <w:start w:val="1"/>
      <w:numFmt w:val="bullet"/>
      <w:lvlText w:val=""/>
      <w:lvlJc w:val="left"/>
      <w:pPr>
        <w:tabs>
          <w:tab w:val="num" w:pos="2880"/>
        </w:tabs>
        <w:ind w:left="2880" w:hanging="360"/>
      </w:pPr>
      <w:rPr>
        <w:rFonts w:ascii="Wingdings 2" w:hAnsi="Wingdings 2" w:hint="default"/>
      </w:rPr>
    </w:lvl>
    <w:lvl w:ilvl="4" w:tplc="3C829BC4" w:tentative="1">
      <w:start w:val="1"/>
      <w:numFmt w:val="bullet"/>
      <w:lvlText w:val=""/>
      <w:lvlJc w:val="left"/>
      <w:pPr>
        <w:tabs>
          <w:tab w:val="num" w:pos="3600"/>
        </w:tabs>
        <w:ind w:left="3600" w:hanging="360"/>
      </w:pPr>
      <w:rPr>
        <w:rFonts w:ascii="Wingdings 2" w:hAnsi="Wingdings 2" w:hint="default"/>
      </w:rPr>
    </w:lvl>
    <w:lvl w:ilvl="5" w:tplc="5614CF78" w:tentative="1">
      <w:start w:val="1"/>
      <w:numFmt w:val="bullet"/>
      <w:lvlText w:val=""/>
      <w:lvlJc w:val="left"/>
      <w:pPr>
        <w:tabs>
          <w:tab w:val="num" w:pos="4320"/>
        </w:tabs>
        <w:ind w:left="4320" w:hanging="360"/>
      </w:pPr>
      <w:rPr>
        <w:rFonts w:ascii="Wingdings 2" w:hAnsi="Wingdings 2" w:hint="default"/>
      </w:rPr>
    </w:lvl>
    <w:lvl w:ilvl="6" w:tplc="E10E7A00" w:tentative="1">
      <w:start w:val="1"/>
      <w:numFmt w:val="bullet"/>
      <w:lvlText w:val=""/>
      <w:lvlJc w:val="left"/>
      <w:pPr>
        <w:tabs>
          <w:tab w:val="num" w:pos="5040"/>
        </w:tabs>
        <w:ind w:left="5040" w:hanging="360"/>
      </w:pPr>
      <w:rPr>
        <w:rFonts w:ascii="Wingdings 2" w:hAnsi="Wingdings 2" w:hint="default"/>
      </w:rPr>
    </w:lvl>
    <w:lvl w:ilvl="7" w:tplc="E7ECCAFC" w:tentative="1">
      <w:start w:val="1"/>
      <w:numFmt w:val="bullet"/>
      <w:lvlText w:val=""/>
      <w:lvlJc w:val="left"/>
      <w:pPr>
        <w:tabs>
          <w:tab w:val="num" w:pos="5760"/>
        </w:tabs>
        <w:ind w:left="5760" w:hanging="360"/>
      </w:pPr>
      <w:rPr>
        <w:rFonts w:ascii="Wingdings 2" w:hAnsi="Wingdings 2" w:hint="default"/>
      </w:rPr>
    </w:lvl>
    <w:lvl w:ilvl="8" w:tplc="D3E0CEF0"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72D5353E"/>
    <w:multiLevelType w:val="hybridMultilevel"/>
    <w:tmpl w:val="86A25600"/>
    <w:lvl w:ilvl="0" w:tplc="D598C2DA">
      <w:start w:val="1"/>
      <w:numFmt w:val="bullet"/>
      <w:lvlText w:val=""/>
      <w:lvlJc w:val="left"/>
      <w:pPr>
        <w:tabs>
          <w:tab w:val="num" w:pos="720"/>
        </w:tabs>
        <w:ind w:left="720" w:hanging="360"/>
      </w:pPr>
      <w:rPr>
        <w:rFonts w:ascii="Wingdings 2" w:hAnsi="Wingdings 2" w:hint="default"/>
      </w:rPr>
    </w:lvl>
    <w:lvl w:ilvl="1" w:tplc="A0C88D6E" w:tentative="1">
      <w:start w:val="1"/>
      <w:numFmt w:val="bullet"/>
      <w:lvlText w:val=""/>
      <w:lvlJc w:val="left"/>
      <w:pPr>
        <w:tabs>
          <w:tab w:val="num" w:pos="1440"/>
        </w:tabs>
        <w:ind w:left="1440" w:hanging="360"/>
      </w:pPr>
      <w:rPr>
        <w:rFonts w:ascii="Wingdings 2" w:hAnsi="Wingdings 2" w:hint="default"/>
      </w:rPr>
    </w:lvl>
    <w:lvl w:ilvl="2" w:tplc="472AAAD4" w:tentative="1">
      <w:start w:val="1"/>
      <w:numFmt w:val="bullet"/>
      <w:lvlText w:val=""/>
      <w:lvlJc w:val="left"/>
      <w:pPr>
        <w:tabs>
          <w:tab w:val="num" w:pos="2160"/>
        </w:tabs>
        <w:ind w:left="2160" w:hanging="360"/>
      </w:pPr>
      <w:rPr>
        <w:rFonts w:ascii="Wingdings 2" w:hAnsi="Wingdings 2" w:hint="default"/>
      </w:rPr>
    </w:lvl>
    <w:lvl w:ilvl="3" w:tplc="2E9202DC" w:tentative="1">
      <w:start w:val="1"/>
      <w:numFmt w:val="bullet"/>
      <w:lvlText w:val=""/>
      <w:lvlJc w:val="left"/>
      <w:pPr>
        <w:tabs>
          <w:tab w:val="num" w:pos="2880"/>
        </w:tabs>
        <w:ind w:left="2880" w:hanging="360"/>
      </w:pPr>
      <w:rPr>
        <w:rFonts w:ascii="Wingdings 2" w:hAnsi="Wingdings 2" w:hint="default"/>
      </w:rPr>
    </w:lvl>
    <w:lvl w:ilvl="4" w:tplc="34C4CB34" w:tentative="1">
      <w:start w:val="1"/>
      <w:numFmt w:val="bullet"/>
      <w:lvlText w:val=""/>
      <w:lvlJc w:val="left"/>
      <w:pPr>
        <w:tabs>
          <w:tab w:val="num" w:pos="3600"/>
        </w:tabs>
        <w:ind w:left="3600" w:hanging="360"/>
      </w:pPr>
      <w:rPr>
        <w:rFonts w:ascii="Wingdings 2" w:hAnsi="Wingdings 2" w:hint="default"/>
      </w:rPr>
    </w:lvl>
    <w:lvl w:ilvl="5" w:tplc="3850E888" w:tentative="1">
      <w:start w:val="1"/>
      <w:numFmt w:val="bullet"/>
      <w:lvlText w:val=""/>
      <w:lvlJc w:val="left"/>
      <w:pPr>
        <w:tabs>
          <w:tab w:val="num" w:pos="4320"/>
        </w:tabs>
        <w:ind w:left="4320" w:hanging="360"/>
      </w:pPr>
      <w:rPr>
        <w:rFonts w:ascii="Wingdings 2" w:hAnsi="Wingdings 2" w:hint="default"/>
      </w:rPr>
    </w:lvl>
    <w:lvl w:ilvl="6" w:tplc="6762B54A" w:tentative="1">
      <w:start w:val="1"/>
      <w:numFmt w:val="bullet"/>
      <w:lvlText w:val=""/>
      <w:lvlJc w:val="left"/>
      <w:pPr>
        <w:tabs>
          <w:tab w:val="num" w:pos="5040"/>
        </w:tabs>
        <w:ind w:left="5040" w:hanging="360"/>
      </w:pPr>
      <w:rPr>
        <w:rFonts w:ascii="Wingdings 2" w:hAnsi="Wingdings 2" w:hint="default"/>
      </w:rPr>
    </w:lvl>
    <w:lvl w:ilvl="7" w:tplc="619650BE" w:tentative="1">
      <w:start w:val="1"/>
      <w:numFmt w:val="bullet"/>
      <w:lvlText w:val=""/>
      <w:lvlJc w:val="left"/>
      <w:pPr>
        <w:tabs>
          <w:tab w:val="num" w:pos="5760"/>
        </w:tabs>
        <w:ind w:left="5760" w:hanging="360"/>
      </w:pPr>
      <w:rPr>
        <w:rFonts w:ascii="Wingdings 2" w:hAnsi="Wingdings 2" w:hint="default"/>
      </w:rPr>
    </w:lvl>
    <w:lvl w:ilvl="8" w:tplc="02C0016A"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76880310"/>
    <w:multiLevelType w:val="hybridMultilevel"/>
    <w:tmpl w:val="48B8181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370"/>
    <w:rsid w:val="00145FFA"/>
    <w:rsid w:val="0015708D"/>
    <w:rsid w:val="00722370"/>
    <w:rsid w:val="00CF6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E8FAA67"/>
  <w15:chartTrackingRefBased/>
  <w15:docId w15:val="{D641B28A-8B8E-7443-88B4-23EACBC6C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68FA"/>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68FA"/>
    <w:pPr>
      <w:ind w:left="720"/>
      <w:contextualSpacing/>
    </w:pPr>
    <w:rPr>
      <w:rFonts w:ascii="Times New Roman" w:eastAsia="Times New Roman" w:hAnsi="Times New Roman" w:cs="Times New Roman"/>
    </w:rPr>
  </w:style>
  <w:style w:type="character" w:customStyle="1" w:styleId="Heading1Char">
    <w:name w:val="Heading 1 Char"/>
    <w:basedOn w:val="DefaultParagraphFont"/>
    <w:link w:val="Heading1"/>
    <w:uiPriority w:val="9"/>
    <w:rsid w:val="00CF68FA"/>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CF68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972470">
      <w:bodyDiv w:val="1"/>
      <w:marLeft w:val="0"/>
      <w:marRight w:val="0"/>
      <w:marTop w:val="0"/>
      <w:marBottom w:val="0"/>
      <w:divBdr>
        <w:top w:val="none" w:sz="0" w:space="0" w:color="auto"/>
        <w:left w:val="none" w:sz="0" w:space="0" w:color="auto"/>
        <w:bottom w:val="none" w:sz="0" w:space="0" w:color="auto"/>
        <w:right w:val="none" w:sz="0" w:space="0" w:color="auto"/>
      </w:divBdr>
      <w:divsChild>
        <w:div w:id="1948199195">
          <w:marLeft w:val="475"/>
          <w:marRight w:val="0"/>
          <w:marTop w:val="86"/>
          <w:marBottom w:val="120"/>
          <w:divBdr>
            <w:top w:val="none" w:sz="0" w:space="0" w:color="auto"/>
            <w:left w:val="none" w:sz="0" w:space="0" w:color="auto"/>
            <w:bottom w:val="none" w:sz="0" w:space="0" w:color="auto"/>
            <w:right w:val="none" w:sz="0" w:space="0" w:color="auto"/>
          </w:divBdr>
        </w:div>
        <w:div w:id="1919631160">
          <w:marLeft w:val="475"/>
          <w:marRight w:val="0"/>
          <w:marTop w:val="86"/>
          <w:marBottom w:val="120"/>
          <w:divBdr>
            <w:top w:val="none" w:sz="0" w:space="0" w:color="auto"/>
            <w:left w:val="none" w:sz="0" w:space="0" w:color="auto"/>
            <w:bottom w:val="none" w:sz="0" w:space="0" w:color="auto"/>
            <w:right w:val="none" w:sz="0" w:space="0" w:color="auto"/>
          </w:divBdr>
        </w:div>
        <w:div w:id="1748069363">
          <w:marLeft w:val="475"/>
          <w:marRight w:val="0"/>
          <w:marTop w:val="86"/>
          <w:marBottom w:val="120"/>
          <w:divBdr>
            <w:top w:val="none" w:sz="0" w:space="0" w:color="auto"/>
            <w:left w:val="none" w:sz="0" w:space="0" w:color="auto"/>
            <w:bottom w:val="none" w:sz="0" w:space="0" w:color="auto"/>
            <w:right w:val="none" w:sz="0" w:space="0" w:color="auto"/>
          </w:divBdr>
        </w:div>
        <w:div w:id="2066637846">
          <w:marLeft w:val="475"/>
          <w:marRight w:val="0"/>
          <w:marTop w:val="86"/>
          <w:marBottom w:val="120"/>
          <w:divBdr>
            <w:top w:val="none" w:sz="0" w:space="0" w:color="auto"/>
            <w:left w:val="none" w:sz="0" w:space="0" w:color="auto"/>
            <w:bottom w:val="none" w:sz="0" w:space="0" w:color="auto"/>
            <w:right w:val="none" w:sz="0" w:space="0" w:color="auto"/>
          </w:divBdr>
        </w:div>
        <w:div w:id="806777305">
          <w:marLeft w:val="475"/>
          <w:marRight w:val="0"/>
          <w:marTop w:val="86"/>
          <w:marBottom w:val="120"/>
          <w:divBdr>
            <w:top w:val="none" w:sz="0" w:space="0" w:color="auto"/>
            <w:left w:val="none" w:sz="0" w:space="0" w:color="auto"/>
            <w:bottom w:val="none" w:sz="0" w:space="0" w:color="auto"/>
            <w:right w:val="none" w:sz="0" w:space="0" w:color="auto"/>
          </w:divBdr>
        </w:div>
        <w:div w:id="1076325356">
          <w:marLeft w:val="475"/>
          <w:marRight w:val="0"/>
          <w:marTop w:val="86"/>
          <w:marBottom w:val="120"/>
          <w:divBdr>
            <w:top w:val="none" w:sz="0" w:space="0" w:color="auto"/>
            <w:left w:val="none" w:sz="0" w:space="0" w:color="auto"/>
            <w:bottom w:val="none" w:sz="0" w:space="0" w:color="auto"/>
            <w:right w:val="none" w:sz="0" w:space="0" w:color="auto"/>
          </w:divBdr>
        </w:div>
        <w:div w:id="135225595">
          <w:marLeft w:val="475"/>
          <w:marRight w:val="0"/>
          <w:marTop w:val="86"/>
          <w:marBottom w:val="120"/>
          <w:divBdr>
            <w:top w:val="none" w:sz="0" w:space="0" w:color="auto"/>
            <w:left w:val="none" w:sz="0" w:space="0" w:color="auto"/>
            <w:bottom w:val="none" w:sz="0" w:space="0" w:color="auto"/>
            <w:right w:val="none" w:sz="0" w:space="0" w:color="auto"/>
          </w:divBdr>
        </w:div>
        <w:div w:id="327177816">
          <w:marLeft w:val="475"/>
          <w:marRight w:val="0"/>
          <w:marTop w:val="86"/>
          <w:marBottom w:val="120"/>
          <w:divBdr>
            <w:top w:val="none" w:sz="0" w:space="0" w:color="auto"/>
            <w:left w:val="none" w:sz="0" w:space="0" w:color="auto"/>
            <w:bottom w:val="none" w:sz="0" w:space="0" w:color="auto"/>
            <w:right w:val="none" w:sz="0" w:space="0" w:color="auto"/>
          </w:divBdr>
        </w:div>
        <w:div w:id="1118724413">
          <w:marLeft w:val="475"/>
          <w:marRight w:val="0"/>
          <w:marTop w:val="86"/>
          <w:marBottom w:val="120"/>
          <w:divBdr>
            <w:top w:val="none" w:sz="0" w:space="0" w:color="auto"/>
            <w:left w:val="none" w:sz="0" w:space="0" w:color="auto"/>
            <w:bottom w:val="none" w:sz="0" w:space="0" w:color="auto"/>
            <w:right w:val="none" w:sz="0" w:space="0" w:color="auto"/>
          </w:divBdr>
        </w:div>
      </w:divsChild>
    </w:div>
    <w:div w:id="826552488">
      <w:bodyDiv w:val="1"/>
      <w:marLeft w:val="0"/>
      <w:marRight w:val="0"/>
      <w:marTop w:val="0"/>
      <w:marBottom w:val="0"/>
      <w:divBdr>
        <w:top w:val="none" w:sz="0" w:space="0" w:color="auto"/>
        <w:left w:val="none" w:sz="0" w:space="0" w:color="auto"/>
        <w:bottom w:val="none" w:sz="0" w:space="0" w:color="auto"/>
        <w:right w:val="none" w:sz="0" w:space="0" w:color="auto"/>
      </w:divBdr>
      <w:divsChild>
        <w:div w:id="1327393981">
          <w:marLeft w:val="994"/>
          <w:marRight w:val="0"/>
          <w:marTop w:val="86"/>
          <w:marBottom w:val="120"/>
          <w:divBdr>
            <w:top w:val="none" w:sz="0" w:space="0" w:color="auto"/>
            <w:left w:val="none" w:sz="0" w:space="0" w:color="auto"/>
            <w:bottom w:val="none" w:sz="0" w:space="0" w:color="auto"/>
            <w:right w:val="none" w:sz="0" w:space="0" w:color="auto"/>
          </w:divBdr>
        </w:div>
      </w:divsChild>
    </w:div>
    <w:div w:id="880751422">
      <w:bodyDiv w:val="1"/>
      <w:marLeft w:val="0"/>
      <w:marRight w:val="0"/>
      <w:marTop w:val="0"/>
      <w:marBottom w:val="0"/>
      <w:divBdr>
        <w:top w:val="none" w:sz="0" w:space="0" w:color="auto"/>
        <w:left w:val="none" w:sz="0" w:space="0" w:color="auto"/>
        <w:bottom w:val="none" w:sz="0" w:space="0" w:color="auto"/>
        <w:right w:val="none" w:sz="0" w:space="0" w:color="auto"/>
      </w:divBdr>
    </w:div>
    <w:div w:id="1323240779">
      <w:bodyDiv w:val="1"/>
      <w:marLeft w:val="0"/>
      <w:marRight w:val="0"/>
      <w:marTop w:val="0"/>
      <w:marBottom w:val="0"/>
      <w:divBdr>
        <w:top w:val="none" w:sz="0" w:space="0" w:color="auto"/>
        <w:left w:val="none" w:sz="0" w:space="0" w:color="auto"/>
        <w:bottom w:val="none" w:sz="0" w:space="0" w:color="auto"/>
        <w:right w:val="none" w:sz="0" w:space="0" w:color="auto"/>
      </w:divBdr>
      <w:divsChild>
        <w:div w:id="385376355">
          <w:marLeft w:val="994"/>
          <w:marRight w:val="0"/>
          <w:marTop w:val="96"/>
          <w:marBottom w:val="120"/>
          <w:divBdr>
            <w:top w:val="none" w:sz="0" w:space="0" w:color="auto"/>
            <w:left w:val="none" w:sz="0" w:space="0" w:color="auto"/>
            <w:bottom w:val="none" w:sz="0" w:space="0" w:color="auto"/>
            <w:right w:val="none" w:sz="0" w:space="0" w:color="auto"/>
          </w:divBdr>
        </w:div>
      </w:divsChild>
    </w:div>
    <w:div w:id="1793327298">
      <w:bodyDiv w:val="1"/>
      <w:marLeft w:val="0"/>
      <w:marRight w:val="0"/>
      <w:marTop w:val="0"/>
      <w:marBottom w:val="0"/>
      <w:divBdr>
        <w:top w:val="none" w:sz="0" w:space="0" w:color="auto"/>
        <w:left w:val="none" w:sz="0" w:space="0" w:color="auto"/>
        <w:bottom w:val="none" w:sz="0" w:space="0" w:color="auto"/>
        <w:right w:val="none" w:sz="0" w:space="0" w:color="auto"/>
      </w:divBdr>
    </w:div>
    <w:div w:id="1819303769">
      <w:bodyDiv w:val="1"/>
      <w:marLeft w:val="0"/>
      <w:marRight w:val="0"/>
      <w:marTop w:val="0"/>
      <w:marBottom w:val="0"/>
      <w:divBdr>
        <w:top w:val="none" w:sz="0" w:space="0" w:color="auto"/>
        <w:left w:val="none" w:sz="0" w:space="0" w:color="auto"/>
        <w:bottom w:val="none" w:sz="0" w:space="0" w:color="auto"/>
        <w:right w:val="none" w:sz="0" w:space="0" w:color="auto"/>
      </w:divBdr>
      <w:divsChild>
        <w:div w:id="496699529">
          <w:marLeft w:val="994"/>
          <w:marRight w:val="0"/>
          <w:marTop w:val="86"/>
          <w:marBottom w:val="120"/>
          <w:divBdr>
            <w:top w:val="none" w:sz="0" w:space="0" w:color="auto"/>
            <w:left w:val="none" w:sz="0" w:space="0" w:color="auto"/>
            <w:bottom w:val="none" w:sz="0" w:space="0" w:color="auto"/>
            <w:right w:val="none" w:sz="0" w:space="0" w:color="auto"/>
          </w:divBdr>
        </w:div>
      </w:divsChild>
    </w:div>
    <w:div w:id="1832679570">
      <w:bodyDiv w:val="1"/>
      <w:marLeft w:val="0"/>
      <w:marRight w:val="0"/>
      <w:marTop w:val="0"/>
      <w:marBottom w:val="0"/>
      <w:divBdr>
        <w:top w:val="none" w:sz="0" w:space="0" w:color="auto"/>
        <w:left w:val="none" w:sz="0" w:space="0" w:color="auto"/>
        <w:bottom w:val="none" w:sz="0" w:space="0" w:color="auto"/>
        <w:right w:val="none" w:sz="0" w:space="0" w:color="auto"/>
      </w:divBdr>
      <w:divsChild>
        <w:div w:id="1373454303">
          <w:marLeft w:val="475"/>
          <w:marRight w:val="0"/>
          <w:marTop w:val="96"/>
          <w:marBottom w:val="120"/>
          <w:divBdr>
            <w:top w:val="none" w:sz="0" w:space="0" w:color="auto"/>
            <w:left w:val="none" w:sz="0" w:space="0" w:color="auto"/>
            <w:bottom w:val="none" w:sz="0" w:space="0" w:color="auto"/>
            <w:right w:val="none" w:sz="0" w:space="0" w:color="auto"/>
          </w:divBdr>
        </w:div>
      </w:divsChild>
    </w:div>
    <w:div w:id="2095583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tif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tif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Cen23</b:Tag>
    <b:SourceType>InternetSite</b:SourceType>
    <b:Guid>{0BBFA367-42BD-E84A-B29D-F750FD8D3758}</b:Guid>
    <b:Author>
      <b:Author>
        <b:Corporate>Center on the Developing Child</b:Corporate>
      </b:Author>
    </b:Author>
    <b:Title>What Are ACEs? And How Do They Relate to Toxic Stress</b:Title>
    <b:URL>https://developingchild.harvard.edu/resources/aces-and-toxic-stress-frequently-asked-questions/#graphic-text</b:URL>
    <b:Year>2023</b:Year>
    <b:YearAccessed>2023</b:YearAccessed>
    <b:MonthAccessed>December</b:MonthAccessed>
    <b:DayAccessed>3</b:DayAccessed>
    <b:JournalName>What Are ACEs? And How Do They Relate to Toxic Stress</b:JournalName>
    <b:RefOrder>1</b:RefOrder>
  </b:Source>
  <b:Source>
    <b:Tag>Cen231</b:Tag>
    <b:SourceType>InternetSite</b:SourceType>
    <b:Guid>{9ADE6AE1-12D3-F745-AA96-56653243951A}</b:Guid>
    <b:Author>
      <b:Author>
        <b:Corporate>Centers for Disease Control and Prevention</b:Corporate>
      </b:Author>
    </b:Author>
    <b:Title>Adverse Childhood Experiences</b:Title>
    <b:URL>https://www.cdc.gov/violenceprevention/aces/index.html</b:URL>
    <b:Year>2023</b:Year>
    <b:YearAccessed>2023</b:YearAccessed>
    <b:MonthAccessed>December</b:MonthAccessed>
    <b:DayAccessed>5</b:DayAccessed>
    <b:RefOrder>2</b:RefOrder>
  </b:Source>
  <b:Source>
    <b:Tag>Spr23</b:Tag>
    <b:SourceType>InternetSite</b:SourceType>
    <b:Guid>{E90AE33F-D444-8648-846F-9440174ECFB3}</b:Guid>
    <b:Author>
      <b:Author>
        <b:Corporate>Springboard Community Services</b:Corporate>
      </b:Author>
    </b:Author>
    <b:Title>Adverse Childhood Experiences Interface Trainin</b:Title>
    <b:URL>https://www.springboardmd.org/adverse-childhood-experiences-interface-training/</b:URL>
    <b:Year>2023</b:Year>
    <b:YearAccessed>2023</b:YearAccessed>
    <b:MonthAccessed>December</b:MonthAccessed>
    <b:DayAccessed>6</b:DayAccessed>
    <b:RefOrder>3</b:RefOrder>
  </b:Source>
  <b:Source>
    <b:Tag>McE05</b:Tag>
    <b:SourceType>JournalArticle</b:SourceType>
    <b:Guid>{2F39C853-3526-1A43-B7AF-B80BF9492ACD}</b:Guid>
    <b:Author>
      <b:Author>
        <b:NameList>
          <b:Person>
            <b:Last>McEwan</b:Last>
            <b:First>Bruce</b:First>
            <b:Middle>S.</b:Middle>
          </b:Person>
        </b:NameList>
      </b:Author>
    </b:Author>
    <b:Title>Journal of Psychiatry &amp; Neuroscience</b:Title>
    <b:URL>https://www.ncbi.nlm.nih.gov/pmc/articles/PMC1197275/#:~:text=Allostatic%20states%2C%20therefore%2C%20refer%20to,%2C%20disease%2C%20predators%20and%20pollution.</b:URL>
    <b:Year>2005</b:Year>
    <b:JournalName>Stressed or stressed out: What is the difference?</b:JournalName>
    <b:Volume>4</b:Volume>
    <b:Issue>15</b:Issue>
    <b:Pages>315-318</b:Pages>
    <b:RefOrder>4</b:RefOrder>
  </b:Source>
  <b:Source>
    <b:Tag>Roy23</b:Tag>
    <b:SourceType>InternetSite</b:SourceType>
    <b:Guid>{78082364-E949-904D-A4AA-4685627CBA06}</b:Guid>
    <b:Author>
      <b:Author>
        <b:Corporate>Royal Manchester Children's Hospital</b:Corporate>
      </b:Author>
    </b:Author>
    <b:Title>Adverse Childhood Experiences (ACEs) and Attachment</b:Title>
    <b:Year>2023</b:Year>
    <b:URL>https://mft.nhs.uk/rmch/services/camhs/young-people/adverse-childhood-experiences-aces-and-attachment/</b:URL>
    <b:YearAccessed>2023</b:YearAccessed>
    <b:MonthAccessed>December</b:MonthAccessed>
    <b:DayAccessed>5</b:DayAccessed>
    <b:RefOrder>5</b:RefOrder>
  </b:Source>
  <b:Source>
    <b:Tag>Loo23</b:Tag>
    <b:SourceType>InternetSite</b:SourceType>
    <b:Guid>{E10A10A8-5B88-DD42-912F-54559B0EFCB7}</b:Guid>
    <b:Author>
      <b:Author>
        <b:Corporate>Look through their eyes</b:Corporate>
      </b:Author>
    </b:Author>
    <b:Title>Young Children and Trauma</b:Title>
    <b:URL>https://www.google.com/search?q=child+most+vulnerable&amp;client=safari&amp;sca_esv=590654907&amp;rls=en&amp;sxsrf=AM9HkKkeE10UyP9lhYutXLE9hI2dD3vefQ%3A1702498817704&amp;ei=ARJ6ZcDLKum2hbIPpd2t6Ao&amp;oq=children+most+vulne&amp;gs_lp=Egxnd3Mtd2l6LXNlcnAiE2NoaWxkcmVuIG1vc3QgdnVsbmUqA</b:URL>
    <b:Year>2023</b:Year>
    <b:YearAccessed>2023</b:YearAccessed>
    <b:MonthAccessed>December</b:MonthAccessed>
    <b:DayAccessed>4</b:DayAccessed>
    <b:RefOrder>6</b:RefOrder>
  </b:Source>
  <b:Source>
    <b:Tag>Rob22</b:Tag>
    <b:SourceType>InternetSite</b:SourceType>
    <b:Guid>{0E86CE9B-6038-D54E-A356-72274454B8D4}</b:Guid>
    <b:Author>
      <b:Author>
        <b:NameList>
          <b:Person>
            <b:Last>Street</b:Last>
            <b:First>Robert</b:First>
          </b:Person>
        </b:NameList>
      </b:Author>
    </b:Author>
    <b:Title>Childhood trauma linked to risk of adult crime</b:Title>
    <b:URL>https://www.ed.ac.uk/news/2022/vulnerable-children-more-likely-to-offend-as-adult#:~:text=Childhood%20experiences%20such%20as%20poverty,in%20adulthood%2C%20the%20report%20found.</b:URL>
    <b:Year>2022</b:Year>
    <b:YearAccessed>2023</b:YearAccessed>
    <b:MonthAccessed>December</b:MonthAccessed>
    <b:DayAccessed>10</b:DayAccessed>
    <b:RefOrder>7</b:RefOrder>
  </b:Source>
  <b:Source>
    <b:Tag>Wav21</b:Tag>
    <b:SourceType>InternetSite</b:SourceType>
    <b:Guid>{2DC1E85E-CCCD-4949-A4B2-21C44249C930}</b:Guid>
    <b:Author>
      <b:Author>
        <b:Corporate>Wave Trust</b:Corporate>
      </b:Author>
    </b:Author>
    <b:Title>Why prevention of Adverse Childhood Experiences (ACE) is crucial</b:Title>
    <b:URL>https://www.wavetrust.org/why-prevention-of-adverse-childhood-experiences-ace-is-crucial</b:URL>
    <b:Year>2021</b:Year>
    <b:YearAccessed>2023</b:YearAccessed>
    <b:MonthAccessed>December</b:MonthAccessed>
    <b:DayAccessed>6</b:DayAccessed>
    <b:RefOrder>8</b:RefOrder>
  </b:Source>
  <b:Source>
    <b:Tag>Uni223</b:Tag>
    <b:SourceType>InternetSite</b:SourceType>
    <b:Guid>{267EDAFF-27CB-9F45-9B46-DBE17E6BAA3F}</b:Guid>
    <b:Author>
      <b:Author>
        <b:Corporate>University of Strathclyde Fraser of Allander Institute</b:Corporate>
      </b:Author>
    </b:Author>
    <b:Title>Adverse Childhood Experiences (ACEs) and Development</b:Title>
    <b:URL>https://fraserofallander.org/adverse-childhood-experiences-aces-and-development/</b:URL>
    <b:Year>2022</b:Year>
    <b:YearAccessed>2023</b:YearAccessed>
    <b:MonthAccessed>December</b:MonthAccessed>
    <b:DayAccessed>3</b:DayAccessed>
    <b:RefOrder>9</b:RefOrder>
  </b:Source>
  <b:Source>
    <b:Tag>Saf20</b:Tag>
    <b:SourceType>InternetSite</b:SourceType>
    <b:Guid>{5A557FA5-DCFC-DF49-8035-CEDB2416A370}</b:Guid>
    <b:Title>EITP Trauma Informed Practice (TIP) Project</b:Title>
    <b:URL>https://www.safeguardingni.org/sites/default/files/2021-02/Yr%203%20Trauma%20Informed%20Practice%20Report%20Card%202020-21%20%28Final%29.pdf</b:URL>
    <b:Year>2020</b:Year>
    <b:YearAccessed>2023</b:YearAccessed>
    <b:MonthAccessed>December</b:MonthAccessed>
    <b:DayAccessed>3</b:DayAccessed>
    <b:Author>
      <b:Author>
        <b:Corporate>Safeguarding Board for Northern Ireland</b:Corporate>
      </b:Author>
    </b:Author>
    <b:RefOrder>10</b:RefOrder>
  </b:Source>
  <b:Source>
    <b:Tag>HMG18</b:Tag>
    <b:SourceType>DocumentFromInternetSite</b:SourceType>
    <b:Guid>{014BA948-5A9A-DF4F-B1FE-FE42639A6C01}</b:Guid>
    <b:Title>Working Together to Safeguard Children Statutory framework: legislation relevant to safeguarding and promoting the welfare of children</b:Title>
    <b:URL>https://assets.publishing.service.gov.uk/media/5fd0a8f6e90e07562e8fef36/Working_together_to_safeguard_children_Statutory_framework_legislation_relevant_to_safeguarding_and_promoting_the_welfare_of_children.pdf</b:URL>
    <b:Year>2018</b:Year>
    <b:YearAccessed>2023</b:YearAccessed>
    <b:MonthAccessed>December</b:MonthAccessed>
    <b:DayAccessed>8</b:DayAccessed>
    <b:Author>
      <b:Author>
        <b:Corporate>HM Government</b:Corporate>
      </b:Author>
    </b:Author>
    <b:Month>July</b:Month>
    <b:Day>16</b:Day>
    <b:RefOrder>11</b:RefOrder>
  </b:Source>
  <b:Source>
    <b:Tag>Tir21</b:Tag>
    <b:SourceType>InternetSite</b:SourceType>
    <b:Guid>{C749447F-73A4-454A-AD30-A4E01771CB5D}</b:Guid>
    <b:Author>
      <b:Author>
        <b:NameList>
          <b:Person>
            <b:Last>Harvard</b:Last>
            <b:First>Tirion</b:First>
          </b:Person>
        </b:NameList>
      </b:Author>
    </b:Author>
    <b:Title>Domestic abuse and Covid-19: A year into the pandemic Insight</b:Title>
    <b:URL>https://commonslibrary.parliament.uk/domestic-abuse-and-covid-19-a-year-into-the-pandemic/#:~:text=Between%20April%20and%20June%202020,parties%2C%20rather%20than%20survivors%20themselves.</b:URL>
    <b:Year>2021</b:Year>
    <b:YearAccessed>2023</b:YearAccessed>
    <b:MonthAccessed>December</b:MonthAccessed>
    <b:DayAccessed>11</b:DayAccessed>
    <b:RefOrder>12</b:RefOrder>
  </b:Source>
</b:Sources>
</file>

<file path=customXml/itemProps1.xml><?xml version="1.0" encoding="utf-8"?>
<ds:datastoreItem xmlns:ds="http://schemas.openxmlformats.org/officeDocument/2006/customXml" ds:itemID="{465C2C5B-0D4F-4442-937E-3DD06898C2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2468</Words>
  <Characters>14070</Characters>
  <Application>Microsoft Office Word</Application>
  <DocSecurity>0</DocSecurity>
  <Lines>117</Lines>
  <Paragraphs>33</Paragraphs>
  <ScaleCrop>false</ScaleCrop>
  <Company/>
  <LinksUpToDate>false</LinksUpToDate>
  <CharactersWithSpaces>16505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2023-12-15T22:22:00Z</dcterms:created>
  <dcterms:modified xsi:type="dcterms:W3CDTF">2023-12-15T22:22:00Z</dcterms:modified>
</cp:coreProperties>
</file>