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F14DD9" w14:textId="70B5597A" w:rsidR="00F86C8D" w:rsidRDefault="000D3B50" w:rsidP="000D3B50">
      <w:pPr>
        <w:jc w:val="center"/>
        <w:rPr>
          <w:rFonts w:ascii="Times New Roman" w:hAnsi="Times New Roman" w:cs="Times New Roman"/>
          <w:b/>
          <w:sz w:val="24"/>
          <w:szCs w:val="24"/>
        </w:rPr>
      </w:pPr>
      <w:r w:rsidRPr="000D3B50">
        <w:rPr>
          <w:rFonts w:ascii="Times New Roman" w:hAnsi="Times New Roman" w:cs="Times New Roman"/>
          <w:b/>
          <w:sz w:val="24"/>
          <w:szCs w:val="24"/>
        </w:rPr>
        <w:t>ACES: Does it make you who you are today?</w:t>
      </w:r>
    </w:p>
    <w:p w14:paraId="7836A2D7" w14:textId="4C256D95" w:rsidR="000D3B50" w:rsidRDefault="009D77E2" w:rsidP="009D77E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ACES (Adverse Childhood Experiences) is a relatively new term in the grand scheme but has picked up quite the moment in a short period of time. An ACE test scores how many traumatic experiences you experienced as a child, such as, </w:t>
      </w:r>
      <w:r w:rsidRPr="009D77E2">
        <w:rPr>
          <w:rFonts w:ascii="Times New Roman" w:hAnsi="Times New Roman" w:cs="Times New Roman"/>
          <w:sz w:val="24"/>
          <w:szCs w:val="24"/>
        </w:rPr>
        <w:t>domestic violence, a parent with a mental health condition, abuse (sexual, physical, or emotional).</w:t>
      </w:r>
      <w:r>
        <w:rPr>
          <w:rFonts w:ascii="Times New Roman" w:hAnsi="Times New Roman" w:cs="Times New Roman"/>
          <w:sz w:val="24"/>
          <w:szCs w:val="24"/>
        </w:rPr>
        <w:t xml:space="preserve"> The idea being the higher the score the more likely you are to participate in risky behaviours in the future (NHS, 2018). Such </w:t>
      </w:r>
      <w:r w:rsidRPr="009D77E2">
        <w:rPr>
          <w:rFonts w:ascii="Times New Roman" w:hAnsi="Times New Roman" w:cs="Times New Roman"/>
          <w:sz w:val="24"/>
          <w:szCs w:val="24"/>
        </w:rPr>
        <w:t>studies have been used in countries such as England, Wales and originating in the United States first being published in 1988.</w:t>
      </w:r>
      <w:r>
        <w:rPr>
          <w:rFonts w:ascii="Times New Roman" w:hAnsi="Times New Roman" w:cs="Times New Roman"/>
          <w:sz w:val="24"/>
          <w:szCs w:val="24"/>
        </w:rPr>
        <w:t xml:space="preserve"> </w:t>
      </w:r>
    </w:p>
    <w:p w14:paraId="1FF97EC3" w14:textId="77777777" w:rsidR="000A4380" w:rsidRPr="000A4380" w:rsidRDefault="000A4380" w:rsidP="000A4380">
      <w:pPr>
        <w:spacing w:line="480" w:lineRule="auto"/>
        <w:ind w:left="567" w:right="567"/>
        <w:jc w:val="both"/>
        <w:rPr>
          <w:rFonts w:ascii="Times New Roman" w:hAnsi="Times New Roman" w:cs="Times New Roman"/>
          <w:sz w:val="24"/>
          <w:szCs w:val="24"/>
        </w:rPr>
      </w:pPr>
      <w:r w:rsidRPr="000A4380">
        <w:rPr>
          <w:rFonts w:ascii="Times New Roman" w:hAnsi="Times New Roman" w:cs="Times New Roman"/>
          <w:sz w:val="24"/>
          <w:szCs w:val="24"/>
        </w:rPr>
        <w:t>The strong associations between exposure to ACEs and vulnerability to harms including substance use, unintended teenage pregnancy, violence, mental illness and physical health problems, mean the children of those affected by ACEs are at increased risk of exposing their own children to ACEs. This is often referred to as the ‘cycle of violence’. Consequently, preventing ACEs in a single generation or reducing their impact on children can benefit not only those individuals but also future generations across Wales.</w:t>
      </w:r>
    </w:p>
    <w:p w14:paraId="32FA334C" w14:textId="3FBD1533" w:rsidR="00D85B75" w:rsidRDefault="000A4380" w:rsidP="004E3CCC">
      <w:pPr>
        <w:spacing w:line="480" w:lineRule="auto"/>
        <w:ind w:left="567" w:right="567"/>
        <w:jc w:val="both"/>
        <w:rPr>
          <w:rFonts w:ascii="Times New Roman" w:hAnsi="Times New Roman" w:cs="Times New Roman"/>
          <w:sz w:val="24"/>
          <w:szCs w:val="24"/>
        </w:rPr>
      </w:pPr>
      <w:r w:rsidRPr="000A4380">
        <w:rPr>
          <w:rFonts w:ascii="Times New Roman" w:hAnsi="Times New Roman" w:cs="Times New Roman"/>
          <w:sz w:val="24"/>
          <w:szCs w:val="24"/>
        </w:rPr>
        <w:t xml:space="preserve">                                                          (2015 Public Health Wales NHS Trust)</w:t>
      </w:r>
    </w:p>
    <w:p w14:paraId="6257729E" w14:textId="76D5E93C" w:rsidR="00D23FA9" w:rsidRDefault="004E3CCC" w:rsidP="00F70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ACES may have positive and negative connotations. Different professional settings could take an ACE score in a variety of ways. A school setting for example it would be useful for the teachers to understand why a young person is acting a certain way. </w:t>
      </w:r>
      <w:r w:rsidRPr="004E3CCC">
        <w:rPr>
          <w:rFonts w:ascii="Times New Roman" w:hAnsi="Times New Roman" w:cs="Times New Roman"/>
          <w:sz w:val="24"/>
          <w:szCs w:val="24"/>
        </w:rPr>
        <w:t>Instead of the teachers branding the young person as a problem they could help breakdown the crux of the problem and sign post the young person in the right direction to help fix the problem.</w:t>
      </w:r>
      <w:r>
        <w:rPr>
          <w:rFonts w:ascii="Times New Roman" w:hAnsi="Times New Roman" w:cs="Times New Roman"/>
          <w:sz w:val="24"/>
          <w:szCs w:val="24"/>
        </w:rPr>
        <w:t xml:space="preserve"> </w:t>
      </w:r>
      <w:r w:rsidR="00FE1298">
        <w:rPr>
          <w:rFonts w:ascii="Times New Roman" w:hAnsi="Times New Roman" w:cs="Times New Roman"/>
          <w:sz w:val="24"/>
          <w:szCs w:val="24"/>
        </w:rPr>
        <w:t xml:space="preserve">On the other had </w:t>
      </w:r>
      <w:r w:rsidR="00FE1298" w:rsidRPr="00FE1298">
        <w:rPr>
          <w:rFonts w:ascii="Times New Roman" w:hAnsi="Times New Roman" w:cs="Times New Roman"/>
          <w:sz w:val="24"/>
          <w:szCs w:val="24"/>
        </w:rPr>
        <w:t>an ACE score could be used as a scape goat for a young person’s negative behaviour. It may also have a detrimental impact on their psychological state, for instance, a young person believing that they are destined to fail due to a high score on their ACE test (Nakazawa, D, 2015).</w:t>
      </w:r>
      <w:r w:rsidR="00C3573C">
        <w:rPr>
          <w:rFonts w:ascii="Times New Roman" w:hAnsi="Times New Roman" w:cs="Times New Roman"/>
          <w:sz w:val="24"/>
          <w:szCs w:val="24"/>
        </w:rPr>
        <w:t xml:space="preserve"> In my opinion parents could also be to blame for the rise in ACE scores. It seems that </w:t>
      </w:r>
      <w:r w:rsidR="00C3573C">
        <w:rPr>
          <w:rFonts w:ascii="Times New Roman" w:hAnsi="Times New Roman" w:cs="Times New Roman"/>
          <w:sz w:val="24"/>
          <w:szCs w:val="24"/>
        </w:rPr>
        <w:lastRenderedPageBreak/>
        <w:t>some parents are quick to jump on the bandwagon when it comes to labelling their child with a disorder. Like I previously said is this a way to allow their child to get away with their negative behaviour or in the hope that giving their child said label may make them stand out from the rest. This kind of behaviour from parents was previously noted when ADHD became more known to the</w:t>
      </w:r>
      <w:r w:rsidR="00D23FA9">
        <w:rPr>
          <w:rFonts w:ascii="Times New Roman" w:hAnsi="Times New Roman" w:cs="Times New Roman"/>
          <w:sz w:val="24"/>
          <w:szCs w:val="24"/>
        </w:rPr>
        <w:t xml:space="preserve"> general</w:t>
      </w:r>
      <w:r w:rsidR="00C3573C">
        <w:rPr>
          <w:rFonts w:ascii="Times New Roman" w:hAnsi="Times New Roman" w:cs="Times New Roman"/>
          <w:sz w:val="24"/>
          <w:szCs w:val="24"/>
        </w:rPr>
        <w:t xml:space="preserve"> public and again </w:t>
      </w:r>
      <w:r w:rsidR="00D23FA9">
        <w:rPr>
          <w:rFonts w:ascii="Times New Roman" w:hAnsi="Times New Roman" w:cs="Times New Roman"/>
          <w:sz w:val="24"/>
          <w:szCs w:val="24"/>
        </w:rPr>
        <w:t>it was seen that parents would jump</w:t>
      </w:r>
      <w:r w:rsidR="00C3573C">
        <w:rPr>
          <w:rFonts w:ascii="Times New Roman" w:hAnsi="Times New Roman" w:cs="Times New Roman"/>
          <w:sz w:val="24"/>
          <w:szCs w:val="24"/>
        </w:rPr>
        <w:t xml:space="preserve"> on the bandwagon trying to get their child diagnosed </w:t>
      </w:r>
      <w:r w:rsidR="00D23FA9">
        <w:rPr>
          <w:rFonts w:ascii="Times New Roman" w:hAnsi="Times New Roman" w:cs="Times New Roman"/>
          <w:sz w:val="24"/>
          <w:szCs w:val="24"/>
        </w:rPr>
        <w:t>with the disorder.</w:t>
      </w:r>
    </w:p>
    <w:p w14:paraId="0761A8D9" w14:textId="6C36C225" w:rsidR="00D23FA9" w:rsidRDefault="00D23FA9" w:rsidP="00F70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negative ACE score may also lead to young person developing the trait ‘learned helplessness’. </w:t>
      </w:r>
      <w:r w:rsidRPr="00D23FA9">
        <w:rPr>
          <w:rFonts w:ascii="Times New Roman" w:hAnsi="Times New Roman" w:cs="Times New Roman"/>
          <w:sz w:val="24"/>
          <w:szCs w:val="24"/>
        </w:rPr>
        <w:t>(Cherry, 2017. Cited in Learned Helplessness: Seligman’s Theory of Depression + Cure) believes that when humans come to understand that they have no control over what happens to them, they begin to think, feel, and act as if they are helpless. This phenomenon is called learned helplessness because it is not an innate trait; no one is born believing that they have absolutely no control over what happens to them and that it is fruitless to even try to gain control. It is a learned behaviour, conditioned through experiences in which the subject either truly has no control over his circumstances or believes that he has no control over his circumstances.</w:t>
      </w:r>
      <w:r>
        <w:rPr>
          <w:rFonts w:ascii="Times New Roman" w:hAnsi="Times New Roman" w:cs="Times New Roman"/>
          <w:sz w:val="24"/>
          <w:szCs w:val="24"/>
        </w:rPr>
        <w:t xml:space="preserve"> If you’re going to brandish a young person with said </w:t>
      </w:r>
      <w:r w:rsidR="00157415">
        <w:rPr>
          <w:rFonts w:ascii="Times New Roman" w:hAnsi="Times New Roman" w:cs="Times New Roman"/>
          <w:sz w:val="24"/>
          <w:szCs w:val="24"/>
        </w:rPr>
        <w:t>label,</w:t>
      </w:r>
      <w:r>
        <w:rPr>
          <w:rFonts w:ascii="Times New Roman" w:hAnsi="Times New Roman" w:cs="Times New Roman"/>
          <w:sz w:val="24"/>
          <w:szCs w:val="24"/>
        </w:rPr>
        <w:t xml:space="preserve"> then why shouldn’t they live up to the expectations that need to be fulfilled</w:t>
      </w:r>
      <w:r w:rsidR="00157415">
        <w:rPr>
          <w:rFonts w:ascii="Times New Roman" w:hAnsi="Times New Roman" w:cs="Times New Roman"/>
          <w:sz w:val="24"/>
          <w:szCs w:val="24"/>
        </w:rPr>
        <w:t xml:space="preserve"> to be put in that bracket in the first place. </w:t>
      </w:r>
    </w:p>
    <w:p w14:paraId="0BC2F0F8" w14:textId="1F8E6779" w:rsidR="00157415" w:rsidRDefault="00F706CD" w:rsidP="00F70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Pr="00F706CD">
        <w:rPr>
          <w:rFonts w:ascii="Times New Roman" w:hAnsi="Times New Roman" w:cs="Times New Roman"/>
          <w:sz w:val="24"/>
          <w:szCs w:val="24"/>
        </w:rPr>
        <w:t>believe that ACES and the level of a young person’s resilience are heavily linked. If a young person has a high ACE score, then they are more likely to deal with negative circumstances more appropriately as they may have experienced certain events growing up. Comparing this to a young person with a low ACE score they may not possess the ability to tackle adversity</w:t>
      </w:r>
      <w:r>
        <w:rPr>
          <w:rFonts w:ascii="Times New Roman" w:hAnsi="Times New Roman" w:cs="Times New Roman"/>
          <w:sz w:val="24"/>
          <w:szCs w:val="24"/>
        </w:rPr>
        <w:t>.</w:t>
      </w:r>
    </w:p>
    <w:p w14:paraId="7F61EAEB" w14:textId="77777777" w:rsidR="00F706CD" w:rsidRPr="00F706CD" w:rsidRDefault="00F706CD" w:rsidP="00F706CD">
      <w:pPr>
        <w:spacing w:line="480" w:lineRule="auto"/>
        <w:ind w:left="567" w:right="567"/>
        <w:jc w:val="both"/>
        <w:rPr>
          <w:rFonts w:ascii="Times New Roman" w:hAnsi="Times New Roman" w:cs="Times New Roman"/>
          <w:sz w:val="24"/>
          <w:szCs w:val="24"/>
        </w:rPr>
      </w:pPr>
      <w:r w:rsidRPr="00F706CD">
        <w:rPr>
          <w:rFonts w:ascii="Times New Roman" w:hAnsi="Times New Roman" w:cs="Times New Roman"/>
          <w:sz w:val="24"/>
          <w:szCs w:val="24"/>
        </w:rPr>
        <w:t xml:space="preserve">Within the context of ACEs, resilience can be considered as an individual’s ability to avoid harmful behavioural and physiological changes in response to chronic stress. Such individuals have the skills and often have received the support </w:t>
      </w:r>
      <w:r w:rsidRPr="00F706CD">
        <w:rPr>
          <w:rFonts w:ascii="Times New Roman" w:hAnsi="Times New Roman" w:cs="Times New Roman"/>
          <w:sz w:val="24"/>
          <w:szCs w:val="24"/>
        </w:rPr>
        <w:lastRenderedPageBreak/>
        <w:t xml:space="preserve">necessary to adapt successfully to the stress, trauma and other forms of chronic adversity. </w:t>
      </w:r>
    </w:p>
    <w:p w14:paraId="352447ED" w14:textId="78C99026" w:rsidR="00F706CD" w:rsidRDefault="00F706CD" w:rsidP="00F706CD">
      <w:pPr>
        <w:spacing w:line="480" w:lineRule="auto"/>
        <w:ind w:left="567" w:right="567"/>
        <w:jc w:val="both"/>
        <w:rPr>
          <w:rFonts w:ascii="Times New Roman" w:hAnsi="Times New Roman" w:cs="Times New Roman"/>
          <w:sz w:val="24"/>
          <w:szCs w:val="24"/>
        </w:rPr>
      </w:pPr>
      <w:r w:rsidRPr="00F706CD">
        <w:rPr>
          <w:rFonts w:ascii="Times New Roman" w:hAnsi="Times New Roman" w:cs="Times New Roman"/>
          <w:sz w:val="24"/>
          <w:szCs w:val="24"/>
        </w:rPr>
        <w:t xml:space="preserve">                                                      (2015 Public Health Wales NHS Trust)</w:t>
      </w:r>
    </w:p>
    <w:p w14:paraId="67AC0B39" w14:textId="797D24E1" w:rsidR="0024294F" w:rsidRDefault="0024294F" w:rsidP="0024294F">
      <w:pPr>
        <w:spacing w:line="480" w:lineRule="auto"/>
        <w:jc w:val="both"/>
        <w:rPr>
          <w:rFonts w:ascii="Times New Roman" w:hAnsi="Times New Roman" w:cs="Times New Roman"/>
          <w:sz w:val="24"/>
          <w:szCs w:val="24"/>
        </w:rPr>
      </w:pPr>
      <w:r>
        <w:rPr>
          <w:rFonts w:ascii="Times New Roman" w:hAnsi="Times New Roman" w:cs="Times New Roman"/>
          <w:sz w:val="24"/>
          <w:szCs w:val="24"/>
        </w:rPr>
        <w:t>To conclude, I believe that ACES are more frequently looked upon as a negative aspect of a person, rather than a positive. We should be looking at people who have experienced such devastating circumstances and appreciating them for who they are. To be applauding them on the growth they’ve made as a person. The ACE test seems like it is set out to brandish everyone the same, with the mentality that if you’ve got a high score your life is going to be negative from the word go. It is a concept that is purely subjective</w:t>
      </w:r>
      <w:r w:rsidR="006E6BCC">
        <w:rPr>
          <w:rFonts w:ascii="Times New Roman" w:hAnsi="Times New Roman" w:cs="Times New Roman"/>
          <w:sz w:val="24"/>
          <w:szCs w:val="24"/>
        </w:rPr>
        <w:t xml:space="preserve">. I firmly believe that the ACE test is not a creditable source in a professional setting due to the vagueness of the results taken from such a small number of people. </w:t>
      </w:r>
    </w:p>
    <w:p w14:paraId="2698E4DC" w14:textId="77777777" w:rsidR="001D2493" w:rsidRDefault="001D2493" w:rsidP="006E6BCC">
      <w:pPr>
        <w:spacing w:line="480" w:lineRule="auto"/>
        <w:jc w:val="both"/>
        <w:rPr>
          <w:rFonts w:ascii="Times New Roman" w:hAnsi="Times New Roman" w:cs="Times New Roman"/>
          <w:sz w:val="24"/>
          <w:szCs w:val="24"/>
        </w:rPr>
      </w:pPr>
      <w:bookmarkStart w:id="0" w:name="_GoBack"/>
      <w:bookmarkEnd w:id="0"/>
    </w:p>
    <w:p w14:paraId="4889FDF7" w14:textId="45A7DB66" w:rsidR="00335708" w:rsidRDefault="00335708" w:rsidP="0033570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Bouncing back: </w:t>
      </w:r>
      <w:r w:rsidR="00DC6442">
        <w:rPr>
          <w:rFonts w:ascii="Times New Roman" w:hAnsi="Times New Roman" w:cs="Times New Roman"/>
          <w:b/>
          <w:sz w:val="24"/>
          <w:szCs w:val="24"/>
        </w:rPr>
        <w:t>Is resilience worth the hype?</w:t>
      </w:r>
    </w:p>
    <w:p w14:paraId="5398B1AB" w14:textId="79841C92" w:rsidR="00DC6442" w:rsidRDefault="00DC6442" w:rsidP="004C6F5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 past two years I have heard the word ‘resilience’ more than I have heard my own name being called as a professional practitioner. </w:t>
      </w:r>
      <w:r w:rsidR="004C6F58">
        <w:rPr>
          <w:rFonts w:ascii="Times New Roman" w:hAnsi="Times New Roman" w:cs="Times New Roman"/>
          <w:sz w:val="24"/>
          <w:szCs w:val="24"/>
        </w:rPr>
        <w:t>(</w:t>
      </w:r>
      <w:r w:rsidR="006E1152" w:rsidRPr="006E1152">
        <w:rPr>
          <w:rFonts w:ascii="Times New Roman" w:hAnsi="Times New Roman" w:cs="Times New Roman"/>
          <w:sz w:val="24"/>
          <w:szCs w:val="24"/>
        </w:rPr>
        <w:t>Public Health Wales NHS Trust</w:t>
      </w:r>
      <w:r w:rsidR="004C6F58">
        <w:rPr>
          <w:rFonts w:ascii="Times New Roman" w:hAnsi="Times New Roman" w:cs="Times New Roman"/>
          <w:sz w:val="24"/>
          <w:szCs w:val="24"/>
        </w:rPr>
        <w:t xml:space="preserve">, </w:t>
      </w:r>
      <w:r w:rsidR="006E1152">
        <w:rPr>
          <w:rFonts w:ascii="Times New Roman" w:hAnsi="Times New Roman" w:cs="Times New Roman"/>
          <w:sz w:val="24"/>
          <w:szCs w:val="24"/>
        </w:rPr>
        <w:t>2018) define resilience as</w:t>
      </w:r>
      <w:r w:rsidR="006E1152" w:rsidRPr="006E1152">
        <w:rPr>
          <w:rFonts w:ascii="Times New Roman" w:hAnsi="Times New Roman" w:cs="Times New Roman"/>
          <w:sz w:val="24"/>
          <w:szCs w:val="24"/>
        </w:rPr>
        <w:t xml:space="preserve"> the ability to overcome serious hardship. Factors that support resilience include personal skills, positive relationships, community support and cultural connections.</w:t>
      </w:r>
      <w:r w:rsidR="00E77839">
        <w:rPr>
          <w:rFonts w:ascii="Times New Roman" w:hAnsi="Times New Roman" w:cs="Times New Roman"/>
          <w:sz w:val="24"/>
          <w:szCs w:val="24"/>
        </w:rPr>
        <w:t xml:space="preserve"> </w:t>
      </w:r>
      <w:r w:rsidR="002C2E14">
        <w:rPr>
          <w:rFonts w:ascii="Times New Roman" w:hAnsi="Times New Roman" w:cs="Times New Roman"/>
          <w:sz w:val="24"/>
          <w:szCs w:val="24"/>
        </w:rPr>
        <w:t>As practitioners it is something that we are being pushed to teach young people</w:t>
      </w:r>
      <w:r w:rsidR="004C6F58">
        <w:rPr>
          <w:rFonts w:ascii="Times New Roman" w:hAnsi="Times New Roman" w:cs="Times New Roman"/>
          <w:sz w:val="24"/>
          <w:szCs w:val="24"/>
        </w:rPr>
        <w:t>.</w:t>
      </w:r>
      <w:r w:rsidR="004C6F58" w:rsidRPr="004C6F58">
        <w:t xml:space="preserve"> </w:t>
      </w:r>
      <w:r w:rsidR="0042621F">
        <w:t>(</w:t>
      </w:r>
      <w:bookmarkStart w:id="1" w:name="_Hlk4501484"/>
      <w:r w:rsidR="004C6F58" w:rsidRPr="004C6F58">
        <w:rPr>
          <w:rFonts w:ascii="Times New Roman" w:hAnsi="Times New Roman" w:cs="Times New Roman"/>
          <w:sz w:val="24"/>
          <w:szCs w:val="24"/>
        </w:rPr>
        <w:t>The National Youth Work</w:t>
      </w:r>
      <w:r w:rsidR="004C6F58">
        <w:rPr>
          <w:rFonts w:ascii="Times New Roman" w:hAnsi="Times New Roman" w:cs="Times New Roman"/>
          <w:sz w:val="24"/>
          <w:szCs w:val="24"/>
        </w:rPr>
        <w:t xml:space="preserve"> </w:t>
      </w:r>
      <w:r w:rsidR="004C6F58" w:rsidRPr="004C6F58">
        <w:rPr>
          <w:rFonts w:ascii="Times New Roman" w:hAnsi="Times New Roman" w:cs="Times New Roman"/>
          <w:sz w:val="24"/>
          <w:szCs w:val="24"/>
        </w:rPr>
        <w:t>Strategy for Wales</w:t>
      </w:r>
      <w:r w:rsidR="004C6F58">
        <w:rPr>
          <w:rFonts w:ascii="Times New Roman" w:hAnsi="Times New Roman" w:cs="Times New Roman"/>
          <w:sz w:val="24"/>
          <w:szCs w:val="24"/>
        </w:rPr>
        <w:t xml:space="preserve"> </w:t>
      </w:r>
      <w:r w:rsidR="004C6F58" w:rsidRPr="004C6F58">
        <w:rPr>
          <w:rFonts w:ascii="Times New Roman" w:hAnsi="Times New Roman" w:cs="Times New Roman"/>
          <w:sz w:val="24"/>
          <w:szCs w:val="24"/>
        </w:rPr>
        <w:t>2014–2018</w:t>
      </w:r>
      <w:bookmarkEnd w:id="1"/>
      <w:r w:rsidR="0042621F">
        <w:rPr>
          <w:rFonts w:ascii="Times New Roman" w:hAnsi="Times New Roman" w:cs="Times New Roman"/>
          <w:sz w:val="24"/>
          <w:szCs w:val="24"/>
        </w:rPr>
        <w:t>)</w:t>
      </w:r>
      <w:r w:rsidR="004C6F58">
        <w:rPr>
          <w:rFonts w:ascii="Times New Roman" w:hAnsi="Times New Roman" w:cs="Times New Roman"/>
          <w:sz w:val="24"/>
          <w:szCs w:val="24"/>
        </w:rPr>
        <w:t xml:space="preserve"> notes </w:t>
      </w:r>
      <w:r w:rsidR="004C6F58" w:rsidRPr="004C6F58">
        <w:rPr>
          <w:rFonts w:ascii="Times New Roman" w:hAnsi="Times New Roman" w:cs="Times New Roman"/>
          <w:sz w:val="24"/>
          <w:szCs w:val="24"/>
        </w:rPr>
        <w:t>Youth work provision is accessible to all young people in Wales and acts as</w:t>
      </w:r>
      <w:r w:rsidR="004C6F58">
        <w:rPr>
          <w:rFonts w:ascii="Times New Roman" w:hAnsi="Times New Roman" w:cs="Times New Roman"/>
          <w:sz w:val="24"/>
          <w:szCs w:val="24"/>
        </w:rPr>
        <w:t xml:space="preserve"> </w:t>
      </w:r>
      <w:r w:rsidR="004C6F58" w:rsidRPr="004C6F58">
        <w:rPr>
          <w:rFonts w:ascii="Times New Roman" w:hAnsi="Times New Roman" w:cs="Times New Roman"/>
          <w:sz w:val="24"/>
          <w:szCs w:val="24"/>
        </w:rPr>
        <w:t>an effective preventative service, supporting young people’s engagement and</w:t>
      </w:r>
      <w:r w:rsidR="004C6F58">
        <w:rPr>
          <w:rFonts w:ascii="Times New Roman" w:hAnsi="Times New Roman" w:cs="Times New Roman"/>
          <w:sz w:val="24"/>
          <w:szCs w:val="24"/>
        </w:rPr>
        <w:t xml:space="preserve"> </w:t>
      </w:r>
      <w:r w:rsidR="004C6F58" w:rsidRPr="004C6F58">
        <w:rPr>
          <w:rFonts w:ascii="Times New Roman" w:hAnsi="Times New Roman" w:cs="Times New Roman"/>
          <w:sz w:val="24"/>
          <w:szCs w:val="24"/>
        </w:rPr>
        <w:t>progression in education and training in preparation for employment and wider</w:t>
      </w:r>
      <w:r w:rsidR="0042621F">
        <w:rPr>
          <w:rFonts w:ascii="Times New Roman" w:hAnsi="Times New Roman" w:cs="Times New Roman"/>
          <w:sz w:val="24"/>
          <w:szCs w:val="24"/>
        </w:rPr>
        <w:t xml:space="preserve"> </w:t>
      </w:r>
      <w:r w:rsidR="004C6F58" w:rsidRPr="004C6F58">
        <w:rPr>
          <w:rFonts w:ascii="Times New Roman" w:hAnsi="Times New Roman" w:cs="Times New Roman"/>
          <w:sz w:val="24"/>
          <w:szCs w:val="24"/>
        </w:rPr>
        <w:t>adult life.</w:t>
      </w:r>
      <w:r w:rsidR="0042621F">
        <w:rPr>
          <w:rFonts w:ascii="Times New Roman" w:hAnsi="Times New Roman" w:cs="Times New Roman"/>
          <w:sz w:val="24"/>
          <w:szCs w:val="24"/>
        </w:rPr>
        <w:t xml:space="preserve"> With those previous points made it is hope that the skills developed from Youth Work would make a young person more resilient during their employment and personal life. However,</w:t>
      </w:r>
      <w:r w:rsidR="004C6F58">
        <w:rPr>
          <w:rFonts w:ascii="Times New Roman" w:hAnsi="Times New Roman" w:cs="Times New Roman"/>
          <w:sz w:val="24"/>
          <w:szCs w:val="24"/>
        </w:rPr>
        <w:t xml:space="preserve"> </w:t>
      </w:r>
      <w:r w:rsidR="002C2E14">
        <w:rPr>
          <w:rFonts w:ascii="Times New Roman" w:hAnsi="Times New Roman" w:cs="Times New Roman"/>
          <w:sz w:val="24"/>
          <w:szCs w:val="24"/>
        </w:rPr>
        <w:t xml:space="preserve">to me resilience </w:t>
      </w:r>
      <w:r w:rsidR="004C6F58">
        <w:rPr>
          <w:rFonts w:ascii="Times New Roman" w:hAnsi="Times New Roman" w:cs="Times New Roman"/>
          <w:sz w:val="24"/>
          <w:szCs w:val="24"/>
        </w:rPr>
        <w:t>cannot</w:t>
      </w:r>
      <w:r w:rsidR="002C2E14">
        <w:rPr>
          <w:rFonts w:ascii="Times New Roman" w:hAnsi="Times New Roman" w:cs="Times New Roman"/>
          <w:sz w:val="24"/>
          <w:szCs w:val="24"/>
        </w:rPr>
        <w:t xml:space="preserve"> be taught. It is something developed through experience. </w:t>
      </w:r>
      <w:r w:rsidR="002C2E14" w:rsidRPr="002C2E14">
        <w:rPr>
          <w:rFonts w:ascii="Times New Roman" w:hAnsi="Times New Roman" w:cs="Times New Roman"/>
          <w:sz w:val="24"/>
          <w:szCs w:val="24"/>
        </w:rPr>
        <w:lastRenderedPageBreak/>
        <w:t xml:space="preserve">resilience as a concept may be different to each person depending on their stance on the matter. </w:t>
      </w:r>
      <w:r w:rsidR="002C2E14">
        <w:rPr>
          <w:rFonts w:ascii="Times New Roman" w:hAnsi="Times New Roman" w:cs="Times New Roman"/>
          <w:sz w:val="24"/>
          <w:szCs w:val="24"/>
        </w:rPr>
        <w:t xml:space="preserve">I </w:t>
      </w:r>
      <w:r w:rsidR="002C2E14" w:rsidRPr="002C2E14">
        <w:rPr>
          <w:rFonts w:ascii="Times New Roman" w:hAnsi="Times New Roman" w:cs="Times New Roman"/>
          <w:sz w:val="24"/>
          <w:szCs w:val="24"/>
        </w:rPr>
        <w:t>believe that it is impossible for a human being to be resilient to every scenario. For example, how can you be resilient when it comes to a parent’s divorce if you’ve never been through them circumstance before. Resilience is down to circumstances. A human being can be only be resilient to something they have experience in. Referring to the previous example of a parent’s divorce, if a young person has experience handling this scenario then they are more likely to have skill set to deal with potential relationship breakdowns in the future.</w:t>
      </w:r>
      <w:r w:rsidR="0042621F">
        <w:rPr>
          <w:rFonts w:ascii="Times New Roman" w:hAnsi="Times New Roman" w:cs="Times New Roman"/>
          <w:sz w:val="24"/>
          <w:szCs w:val="24"/>
        </w:rPr>
        <w:t xml:space="preserve"> </w:t>
      </w:r>
    </w:p>
    <w:p w14:paraId="5C48F45D" w14:textId="3BDA7919" w:rsidR="0042621F" w:rsidRDefault="0042621F" w:rsidP="004C6F5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resilience is such a personal topic and the definition of the word will differ to </w:t>
      </w:r>
      <w:r w:rsidR="009B065B">
        <w:rPr>
          <w:rFonts w:ascii="Times New Roman" w:hAnsi="Times New Roman" w:cs="Times New Roman"/>
          <w:sz w:val="24"/>
          <w:szCs w:val="24"/>
        </w:rPr>
        <w:t>everyone</w:t>
      </w:r>
      <w:r>
        <w:rPr>
          <w:rFonts w:ascii="Times New Roman" w:hAnsi="Times New Roman" w:cs="Times New Roman"/>
          <w:sz w:val="24"/>
          <w:szCs w:val="24"/>
        </w:rPr>
        <w:t xml:space="preserve"> how can we as professionals begin to measure it. </w:t>
      </w:r>
      <w:r w:rsidR="009B065B">
        <w:rPr>
          <w:rFonts w:ascii="Times New Roman" w:hAnsi="Times New Roman" w:cs="Times New Roman"/>
          <w:sz w:val="24"/>
          <w:szCs w:val="24"/>
        </w:rPr>
        <w:t xml:space="preserve">There have been a variety of attempts to try and measure the concept in the hope that it can be used as solid evidence in future professional settings, for example, </w:t>
      </w:r>
    </w:p>
    <w:p w14:paraId="5A71BD9B" w14:textId="77777777" w:rsidR="009B065B" w:rsidRPr="009B065B" w:rsidRDefault="009B065B" w:rsidP="009B065B">
      <w:pPr>
        <w:spacing w:line="480" w:lineRule="auto"/>
        <w:ind w:left="567" w:right="567"/>
        <w:jc w:val="both"/>
        <w:rPr>
          <w:rFonts w:ascii="Times New Roman" w:hAnsi="Times New Roman" w:cs="Times New Roman"/>
          <w:sz w:val="24"/>
          <w:szCs w:val="24"/>
        </w:rPr>
      </w:pPr>
      <w:r w:rsidRPr="009B065B">
        <w:rPr>
          <w:rFonts w:ascii="Times New Roman" w:hAnsi="Times New Roman" w:cs="Times New Roman"/>
          <w:sz w:val="24"/>
          <w:szCs w:val="24"/>
        </w:rPr>
        <w:t>Alongside the ACE questionnaire, resilience questionnaires have also been developed to identify whether children have assets available to them (e.g. a loving parent/carer) that may help reduce the acute and long-term impacts of ACEs on their health and behaviour. Health visitors may use resilience tools to identify the supportive factors that need to be delivered through targeted services in order to improve health outcomes for individuals</w:t>
      </w:r>
    </w:p>
    <w:p w14:paraId="476485AE" w14:textId="264CB86E" w:rsidR="009B065B" w:rsidRDefault="009B065B" w:rsidP="009B065B">
      <w:pPr>
        <w:spacing w:line="480" w:lineRule="auto"/>
        <w:ind w:left="567" w:right="567"/>
        <w:jc w:val="both"/>
        <w:rPr>
          <w:rFonts w:ascii="Times New Roman" w:hAnsi="Times New Roman" w:cs="Times New Roman"/>
          <w:sz w:val="24"/>
          <w:szCs w:val="24"/>
        </w:rPr>
      </w:pPr>
      <w:r w:rsidRPr="009B065B">
        <w:rPr>
          <w:rFonts w:ascii="Times New Roman" w:hAnsi="Times New Roman" w:cs="Times New Roman"/>
          <w:sz w:val="24"/>
          <w:szCs w:val="24"/>
        </w:rPr>
        <w:t xml:space="preserve">                                                          (2015 Public Health Wales NHS Trust)</w:t>
      </w:r>
    </w:p>
    <w:p w14:paraId="684C0D21" w14:textId="32366BFA" w:rsidR="009B065B" w:rsidRDefault="009B065B" w:rsidP="009B065B">
      <w:pPr>
        <w:spacing w:line="480" w:lineRule="auto"/>
        <w:ind w:right="567"/>
        <w:jc w:val="both"/>
        <w:rPr>
          <w:rFonts w:ascii="Times New Roman" w:hAnsi="Times New Roman" w:cs="Times New Roman"/>
          <w:sz w:val="24"/>
          <w:szCs w:val="24"/>
        </w:rPr>
      </w:pPr>
    </w:p>
    <w:p w14:paraId="6CD91582" w14:textId="0364AB4D" w:rsidR="00206061" w:rsidRDefault="00206061" w:rsidP="0063567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completely understand that the factors previously stated may work for some individuals. But, no two people are the same, what if a young person does not have a parent or guardian or quite simply doesn’t have a positive relationship with the either stated. Are these people left to go under the radar or in turn are they more resilient </w:t>
      </w:r>
      <w:r w:rsidR="003C7926">
        <w:rPr>
          <w:rFonts w:ascii="Times New Roman" w:hAnsi="Times New Roman" w:cs="Times New Roman"/>
          <w:sz w:val="24"/>
          <w:szCs w:val="24"/>
        </w:rPr>
        <w:t xml:space="preserve">compared to </w:t>
      </w:r>
      <w:r>
        <w:rPr>
          <w:rFonts w:ascii="Times New Roman" w:hAnsi="Times New Roman" w:cs="Times New Roman"/>
          <w:sz w:val="24"/>
          <w:szCs w:val="24"/>
        </w:rPr>
        <w:t xml:space="preserve">the other individuals </w:t>
      </w:r>
      <w:r w:rsidR="003C7926">
        <w:rPr>
          <w:rFonts w:ascii="Times New Roman" w:hAnsi="Times New Roman" w:cs="Times New Roman"/>
          <w:sz w:val="24"/>
          <w:szCs w:val="24"/>
        </w:rPr>
        <w:t xml:space="preserve">that have a parent/guardian. You could argue that if a young person does not have a parent/guardian they </w:t>
      </w:r>
      <w:r w:rsidR="003C7926">
        <w:rPr>
          <w:rFonts w:ascii="Times New Roman" w:hAnsi="Times New Roman" w:cs="Times New Roman"/>
          <w:sz w:val="24"/>
          <w:szCs w:val="24"/>
        </w:rPr>
        <w:lastRenderedPageBreak/>
        <w:t xml:space="preserve">may be more resilient than the individuals that do. They’ve had to find coping mechanisms and navigate through life on their own in turn would more than likely make them more resilient that haven’t faced a variety of challenges growing up. </w:t>
      </w:r>
    </w:p>
    <w:p w14:paraId="27ED6A71" w14:textId="5805C7DA" w:rsidR="009B065B" w:rsidRDefault="003C7926" w:rsidP="005413E5">
      <w:pPr>
        <w:spacing w:line="480" w:lineRule="auto"/>
        <w:rPr>
          <w:rFonts w:ascii="Times New Roman" w:hAnsi="Times New Roman" w:cs="Times New Roman"/>
          <w:b/>
          <w:sz w:val="24"/>
          <w:szCs w:val="24"/>
        </w:rPr>
      </w:pPr>
      <w:r w:rsidRPr="003C7926">
        <w:rPr>
          <w:rFonts w:ascii="Times New Roman" w:hAnsi="Times New Roman" w:cs="Times New Roman"/>
          <w:b/>
          <w:sz w:val="24"/>
          <w:szCs w:val="24"/>
        </w:rPr>
        <w:t>Are resilience and wellbeing linked?</w:t>
      </w:r>
    </w:p>
    <w:p w14:paraId="765680D7" w14:textId="5728CA3F" w:rsidR="003C7926" w:rsidRDefault="00635677" w:rsidP="009B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firmly believe that if a person is more resilient then their wellbeing is likely to be more positive than negative. </w:t>
      </w:r>
      <w:r w:rsidRPr="00635677">
        <w:rPr>
          <w:rFonts w:ascii="Times New Roman" w:hAnsi="Times New Roman" w:cs="Times New Roman"/>
          <w:sz w:val="24"/>
          <w:szCs w:val="24"/>
        </w:rPr>
        <w:t>Wellbeing is a new concept within the grand scheme of mental health. There are a variety of definitions on the idea, mainly depending on where your personal stance is on the subject.</w:t>
      </w:r>
      <w:r>
        <w:rPr>
          <w:rFonts w:ascii="Times New Roman" w:hAnsi="Times New Roman" w:cs="Times New Roman"/>
          <w:sz w:val="24"/>
          <w:szCs w:val="24"/>
        </w:rPr>
        <w:t xml:space="preserve"> P</w:t>
      </w:r>
      <w:r w:rsidRPr="00635677">
        <w:rPr>
          <w:rFonts w:ascii="Times New Roman" w:hAnsi="Times New Roman" w:cs="Times New Roman"/>
          <w:sz w:val="24"/>
          <w:szCs w:val="24"/>
        </w:rPr>
        <w:t>ositive wellbeing can be helped by important factors around you. For instance, community, family, relationships, and physical health all are important for a positive wellbeing. UNICEF (2007) believes the true measure of a nation’s standing is how well it attends to its children their health and safety, their material security, their education and socialization, and their sense of being loved, valued, and included in the families and societies into which they are born UNICEF. Continuing from that, theorists believe that wellbeing can be broken down into two categories, ‘subjective’ and ‘objective’.</w:t>
      </w:r>
      <w:r>
        <w:rPr>
          <w:rFonts w:ascii="Times New Roman" w:hAnsi="Times New Roman" w:cs="Times New Roman"/>
          <w:sz w:val="24"/>
          <w:szCs w:val="24"/>
        </w:rPr>
        <w:t xml:space="preserve"> </w:t>
      </w:r>
    </w:p>
    <w:p w14:paraId="6CA80F86" w14:textId="77777777" w:rsidR="00635677" w:rsidRPr="00635677" w:rsidRDefault="00635677" w:rsidP="00635677">
      <w:pPr>
        <w:spacing w:line="480" w:lineRule="auto"/>
        <w:ind w:left="567" w:right="567"/>
        <w:jc w:val="both"/>
        <w:rPr>
          <w:rFonts w:ascii="Times New Roman" w:hAnsi="Times New Roman" w:cs="Times New Roman"/>
          <w:sz w:val="24"/>
          <w:szCs w:val="24"/>
        </w:rPr>
      </w:pPr>
      <w:r w:rsidRPr="00635677">
        <w:rPr>
          <w:rFonts w:ascii="Times New Roman" w:hAnsi="Times New Roman" w:cs="Times New Roman"/>
          <w:sz w:val="24"/>
          <w:szCs w:val="24"/>
        </w:rPr>
        <w:t xml:space="preserve">A person exhibiting high SWB will have a positive affect; meaning they experience positive emotions (e.g. elation, joy) more often when compared to negative ones. It should be noted that the presence of positive affect does not signify the absence of negative affect, and presence of a negative affect does not indicate absence of positive affect </w:t>
      </w:r>
    </w:p>
    <w:p w14:paraId="52E3B63E" w14:textId="2FFFCC13" w:rsidR="00635677" w:rsidRDefault="00635677" w:rsidP="00635677">
      <w:pPr>
        <w:spacing w:line="480" w:lineRule="auto"/>
        <w:ind w:left="567" w:right="567"/>
        <w:jc w:val="both"/>
        <w:rPr>
          <w:rFonts w:ascii="Times New Roman" w:hAnsi="Times New Roman" w:cs="Times New Roman"/>
          <w:sz w:val="24"/>
          <w:szCs w:val="24"/>
        </w:rPr>
      </w:pPr>
      <w:r w:rsidRPr="00635677">
        <w:rPr>
          <w:rFonts w:ascii="Times New Roman" w:hAnsi="Times New Roman" w:cs="Times New Roman"/>
          <w:sz w:val="24"/>
          <w:szCs w:val="24"/>
        </w:rPr>
        <w:t xml:space="preserve">                                                                   (Diener, Lucas &amp; Smith, Subjective Well-being: Three Decades of Progress)</w:t>
      </w:r>
    </w:p>
    <w:p w14:paraId="2A1E507F" w14:textId="288D9235" w:rsidR="00FA5326" w:rsidRDefault="00CD3F5A" w:rsidP="00CD3F5A">
      <w:pPr>
        <w:spacing w:line="48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To roundoff this blog, I stand by my previous statements that resilience can neither be taught or measured. Due to the nature of the subject it is personal, and it will have a different meaning to everyone. However, I do believe as practitioners we can offer </w:t>
      </w:r>
      <w:r>
        <w:rPr>
          <w:rFonts w:ascii="Times New Roman" w:hAnsi="Times New Roman" w:cs="Times New Roman"/>
          <w:sz w:val="24"/>
          <w:szCs w:val="24"/>
        </w:rPr>
        <w:lastRenderedPageBreak/>
        <w:t xml:space="preserve">support for young people on how to develop personal coping mechanisms for a variety of scenarios. Though there have been many attempts to measure resilience by organisations I would completely </w:t>
      </w:r>
      <w:r w:rsidR="001D2493">
        <w:rPr>
          <w:rFonts w:ascii="Times New Roman" w:hAnsi="Times New Roman" w:cs="Times New Roman"/>
          <w:sz w:val="24"/>
          <w:szCs w:val="24"/>
        </w:rPr>
        <w:t>disregarded the creditability of their evidence due to the nature of the topic. Something so personal can never be measured on a grand scale.</w:t>
      </w:r>
    </w:p>
    <w:p w14:paraId="244ECC84" w14:textId="77777777" w:rsidR="005413E5" w:rsidRDefault="005413E5" w:rsidP="005413E5">
      <w:pPr>
        <w:spacing w:line="480" w:lineRule="auto"/>
        <w:ind w:right="567"/>
        <w:jc w:val="center"/>
        <w:rPr>
          <w:rFonts w:ascii="Times New Roman" w:hAnsi="Times New Roman" w:cs="Times New Roman"/>
          <w:sz w:val="24"/>
          <w:szCs w:val="24"/>
        </w:rPr>
      </w:pPr>
    </w:p>
    <w:p w14:paraId="08F25CFD" w14:textId="7625D44F" w:rsidR="00A34C6B" w:rsidRDefault="00A34C6B" w:rsidP="005413E5">
      <w:pPr>
        <w:spacing w:line="480" w:lineRule="auto"/>
        <w:ind w:right="567"/>
        <w:jc w:val="center"/>
        <w:rPr>
          <w:rFonts w:ascii="Times New Roman" w:hAnsi="Times New Roman" w:cs="Times New Roman"/>
          <w:b/>
          <w:sz w:val="24"/>
          <w:szCs w:val="24"/>
        </w:rPr>
      </w:pPr>
      <w:r>
        <w:rPr>
          <w:rFonts w:ascii="Times New Roman" w:hAnsi="Times New Roman" w:cs="Times New Roman"/>
          <w:b/>
          <w:sz w:val="24"/>
          <w:szCs w:val="24"/>
        </w:rPr>
        <w:t>Social Media: Will it be the downfall of this generation?</w:t>
      </w:r>
    </w:p>
    <w:p w14:paraId="158E1DA2" w14:textId="0E4AC152" w:rsidR="00AB5B94" w:rsidRDefault="00A34C6B" w:rsidP="00A34C6B">
      <w:pPr>
        <w:spacing w:line="480" w:lineRule="auto"/>
        <w:ind w:right="567"/>
        <w:jc w:val="both"/>
        <w:rPr>
          <w:rFonts w:ascii="Times New Roman" w:hAnsi="Times New Roman" w:cs="Times New Roman"/>
          <w:b/>
          <w:sz w:val="24"/>
          <w:szCs w:val="24"/>
        </w:rPr>
      </w:pPr>
      <w:r>
        <w:rPr>
          <w:rFonts w:ascii="Times New Roman" w:hAnsi="Times New Roman" w:cs="Times New Roman"/>
          <w:sz w:val="24"/>
          <w:szCs w:val="24"/>
        </w:rPr>
        <w:t xml:space="preserve">The rise </w:t>
      </w:r>
      <w:r w:rsidR="00274364">
        <w:rPr>
          <w:rFonts w:ascii="Times New Roman" w:hAnsi="Times New Roman" w:cs="Times New Roman"/>
          <w:sz w:val="24"/>
          <w:szCs w:val="24"/>
        </w:rPr>
        <w:t xml:space="preserve">of social media over the past decade has been astonishing. Not a day goes by where you and I don’t use it, however much you deny it. I myself was recently shocked when I received a notification on my phone saying I use social media 5 hours a day, somewhat sickening when you take time to reflect upon it. But, does the use of social media have such a detrimental impact on our personal lives? </w:t>
      </w:r>
      <w:r>
        <w:rPr>
          <w:rFonts w:ascii="Times New Roman" w:hAnsi="Times New Roman" w:cs="Times New Roman"/>
          <w:b/>
          <w:sz w:val="24"/>
          <w:szCs w:val="24"/>
        </w:rPr>
        <w:t xml:space="preserve"> </w:t>
      </w:r>
    </w:p>
    <w:p w14:paraId="49C60C07" w14:textId="51D3E20E" w:rsidR="005D6DEF" w:rsidRDefault="00370A62" w:rsidP="003B39E7">
      <w:pPr>
        <w:spacing w:line="480" w:lineRule="auto"/>
        <w:ind w:right="567"/>
        <w:jc w:val="both"/>
        <w:rPr>
          <w:rFonts w:ascii="Times New Roman" w:hAnsi="Times New Roman" w:cs="Times New Roman"/>
          <w:sz w:val="24"/>
          <w:szCs w:val="24"/>
        </w:rPr>
      </w:pPr>
      <w:r>
        <w:rPr>
          <w:rFonts w:ascii="Times New Roman" w:hAnsi="Times New Roman" w:cs="Times New Roman"/>
          <w:sz w:val="24"/>
          <w:szCs w:val="24"/>
        </w:rPr>
        <w:t>(</w:t>
      </w:r>
      <w:r w:rsidR="00AB5B94">
        <w:rPr>
          <w:rFonts w:ascii="Times New Roman" w:hAnsi="Times New Roman" w:cs="Times New Roman"/>
          <w:sz w:val="24"/>
          <w:szCs w:val="24"/>
        </w:rPr>
        <w:t xml:space="preserve">The </w:t>
      </w:r>
      <w:r w:rsidR="003B39E7">
        <w:rPr>
          <w:rFonts w:ascii="Times New Roman" w:hAnsi="Times New Roman" w:cs="Times New Roman"/>
          <w:sz w:val="24"/>
          <w:szCs w:val="24"/>
        </w:rPr>
        <w:t xml:space="preserve">department for culture, media and sport, 2016) notes </w:t>
      </w:r>
      <w:r w:rsidR="003B39E7" w:rsidRPr="003B39E7">
        <w:rPr>
          <w:rFonts w:ascii="Times New Roman" w:hAnsi="Times New Roman" w:cs="Times New Roman"/>
          <w:sz w:val="24"/>
          <w:szCs w:val="24"/>
        </w:rPr>
        <w:t>Between April 2014 and March</w:t>
      </w:r>
      <w:r w:rsidR="003B39E7">
        <w:rPr>
          <w:rFonts w:ascii="Times New Roman" w:hAnsi="Times New Roman" w:cs="Times New Roman"/>
          <w:sz w:val="24"/>
          <w:szCs w:val="24"/>
        </w:rPr>
        <w:t xml:space="preserve"> </w:t>
      </w:r>
      <w:r w:rsidR="003B39E7" w:rsidRPr="003B39E7">
        <w:rPr>
          <w:rFonts w:ascii="Times New Roman" w:hAnsi="Times New Roman" w:cs="Times New Roman"/>
          <w:sz w:val="24"/>
          <w:szCs w:val="24"/>
        </w:rPr>
        <w:t xml:space="preserve">2015, 70.4 per cent of </w:t>
      </w:r>
      <w:r w:rsidR="003B39E7">
        <w:rPr>
          <w:rFonts w:ascii="Times New Roman" w:hAnsi="Times New Roman" w:cs="Times New Roman"/>
          <w:sz w:val="24"/>
          <w:szCs w:val="24"/>
        </w:rPr>
        <w:t>young people</w:t>
      </w:r>
      <w:r w:rsidR="003B39E7" w:rsidRPr="003B39E7">
        <w:rPr>
          <w:rFonts w:ascii="Times New Roman" w:hAnsi="Times New Roman" w:cs="Times New Roman"/>
          <w:sz w:val="24"/>
          <w:szCs w:val="24"/>
        </w:rPr>
        <w:t xml:space="preserve"> in</w:t>
      </w:r>
      <w:r w:rsidR="003B39E7">
        <w:rPr>
          <w:rFonts w:ascii="Times New Roman" w:hAnsi="Times New Roman" w:cs="Times New Roman"/>
          <w:sz w:val="24"/>
          <w:szCs w:val="24"/>
        </w:rPr>
        <w:t xml:space="preserve"> </w:t>
      </w:r>
      <w:r w:rsidR="003B39E7" w:rsidRPr="003B39E7">
        <w:rPr>
          <w:rFonts w:ascii="Times New Roman" w:hAnsi="Times New Roman" w:cs="Times New Roman"/>
          <w:sz w:val="24"/>
          <w:szCs w:val="24"/>
        </w:rPr>
        <w:t>England had used social media in</w:t>
      </w:r>
      <w:r w:rsidR="003B39E7">
        <w:rPr>
          <w:rFonts w:ascii="Times New Roman" w:hAnsi="Times New Roman" w:cs="Times New Roman"/>
          <w:sz w:val="24"/>
          <w:szCs w:val="24"/>
        </w:rPr>
        <w:t xml:space="preserve"> </w:t>
      </w:r>
      <w:r w:rsidR="003B39E7" w:rsidRPr="003B39E7">
        <w:rPr>
          <w:rFonts w:ascii="Times New Roman" w:hAnsi="Times New Roman" w:cs="Times New Roman"/>
          <w:sz w:val="24"/>
          <w:szCs w:val="24"/>
        </w:rPr>
        <w:t>the past year, with Facebook,</w:t>
      </w:r>
      <w:r w:rsidR="003B39E7">
        <w:rPr>
          <w:rFonts w:ascii="Times New Roman" w:hAnsi="Times New Roman" w:cs="Times New Roman"/>
          <w:sz w:val="24"/>
          <w:szCs w:val="24"/>
        </w:rPr>
        <w:t xml:space="preserve"> </w:t>
      </w:r>
      <w:r w:rsidR="003B39E7" w:rsidRPr="003B39E7">
        <w:rPr>
          <w:rFonts w:ascii="Times New Roman" w:hAnsi="Times New Roman" w:cs="Times New Roman"/>
          <w:sz w:val="24"/>
          <w:szCs w:val="24"/>
        </w:rPr>
        <w:t>YouTube and Twitter being the most popular platforms. Over two</w:t>
      </w:r>
      <w:r w:rsidR="003B39E7">
        <w:rPr>
          <w:rFonts w:ascii="Times New Roman" w:hAnsi="Times New Roman" w:cs="Times New Roman"/>
          <w:sz w:val="24"/>
          <w:szCs w:val="24"/>
        </w:rPr>
        <w:t xml:space="preserve"> </w:t>
      </w:r>
      <w:r w:rsidR="003B39E7" w:rsidRPr="003B39E7">
        <w:rPr>
          <w:rFonts w:ascii="Times New Roman" w:hAnsi="Times New Roman" w:cs="Times New Roman"/>
          <w:sz w:val="24"/>
          <w:szCs w:val="24"/>
        </w:rPr>
        <w:t>thirds of those who used social media did so at least once a day.</w:t>
      </w:r>
      <w:r w:rsidR="003B39E7">
        <w:rPr>
          <w:rFonts w:ascii="Times New Roman" w:hAnsi="Times New Roman" w:cs="Times New Roman"/>
          <w:sz w:val="24"/>
          <w:szCs w:val="24"/>
        </w:rPr>
        <w:t xml:space="preserve"> Though those statistics are quite staggering I still believe that </w:t>
      </w:r>
      <w:r>
        <w:rPr>
          <w:rFonts w:ascii="Times New Roman" w:hAnsi="Times New Roman" w:cs="Times New Roman"/>
          <w:sz w:val="24"/>
          <w:szCs w:val="24"/>
        </w:rPr>
        <w:t>the numbers are a lot higher than people are making out. From my own personal experience of working in a school setting the young people who I engaged with were constantly on their phones in and out of lessons. To the point where the start of each lesson the topic of conversation would revolve around social media. There is no hiding from the fact that social media has become an epidemic, an obsession</w:t>
      </w:r>
      <w:r w:rsidR="009548B7">
        <w:rPr>
          <w:rFonts w:ascii="Times New Roman" w:hAnsi="Times New Roman" w:cs="Times New Roman"/>
          <w:sz w:val="24"/>
          <w:szCs w:val="24"/>
        </w:rPr>
        <w:t>,</w:t>
      </w:r>
      <w:r>
        <w:rPr>
          <w:rFonts w:ascii="Times New Roman" w:hAnsi="Times New Roman" w:cs="Times New Roman"/>
          <w:sz w:val="24"/>
          <w:szCs w:val="24"/>
        </w:rPr>
        <w:t xml:space="preserve"> and to the point may even be an addiction. But, why are we revolving our physical lives around such a virtual world? </w:t>
      </w:r>
    </w:p>
    <w:p w14:paraId="1446981D" w14:textId="4F81A517" w:rsidR="00E6591E" w:rsidRDefault="00E6591E" w:rsidP="003B39E7">
      <w:pPr>
        <w:spacing w:line="48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It would seem from personal observation that one of the main uses of social media is to create the persona of the ‘perfect life’. Clothes, cars, houses, money and holidays all fall </w:t>
      </w:r>
      <w:r>
        <w:rPr>
          <w:rFonts w:ascii="Times New Roman" w:hAnsi="Times New Roman" w:cs="Times New Roman"/>
          <w:sz w:val="24"/>
          <w:szCs w:val="24"/>
        </w:rPr>
        <w:lastRenderedPageBreak/>
        <w:t>under this category to give off the idea that one’s life is perfect. This sort of behaviour is normally associated with wanting to create a false identity a</w:t>
      </w:r>
      <w:r w:rsidR="009548B7">
        <w:rPr>
          <w:rFonts w:ascii="Times New Roman" w:hAnsi="Times New Roman" w:cs="Times New Roman"/>
          <w:sz w:val="24"/>
          <w:szCs w:val="24"/>
        </w:rPr>
        <w:t>s</w:t>
      </w:r>
      <w:r>
        <w:rPr>
          <w:rFonts w:ascii="Times New Roman" w:hAnsi="Times New Roman" w:cs="Times New Roman"/>
          <w:sz w:val="24"/>
          <w:szCs w:val="24"/>
        </w:rPr>
        <w:t xml:space="preserve"> a scapegoat from reality.</w:t>
      </w:r>
      <w:r w:rsidR="009548B7">
        <w:rPr>
          <w:rFonts w:ascii="Times New Roman" w:hAnsi="Times New Roman" w:cs="Times New Roman"/>
          <w:sz w:val="24"/>
          <w:szCs w:val="24"/>
        </w:rPr>
        <w:t xml:space="preserve"> We can never really tell when the truth ends, and the lies begin. This phenomenon </w:t>
      </w:r>
      <w:r w:rsidR="0021218C">
        <w:rPr>
          <w:rFonts w:ascii="Times New Roman" w:hAnsi="Times New Roman" w:cs="Times New Roman"/>
          <w:sz w:val="24"/>
          <w:szCs w:val="24"/>
        </w:rPr>
        <w:t>can be referred to as the ‘Instagram Culture’.</w:t>
      </w:r>
    </w:p>
    <w:p w14:paraId="25ED78DD" w14:textId="77777777" w:rsidR="0095137B" w:rsidRDefault="0021218C" w:rsidP="0095137B">
      <w:pPr>
        <w:spacing w:line="480" w:lineRule="auto"/>
        <w:ind w:right="567"/>
        <w:jc w:val="right"/>
        <w:rPr>
          <w:rFonts w:ascii="Times New Roman" w:hAnsi="Times New Roman" w:cs="Times New Roman"/>
          <w:sz w:val="24"/>
          <w:szCs w:val="24"/>
        </w:rPr>
      </w:pPr>
      <w:r>
        <w:rPr>
          <w:rFonts w:ascii="Times New Roman" w:hAnsi="Times New Roman" w:cs="Times New Roman"/>
          <w:sz w:val="24"/>
          <w:szCs w:val="24"/>
        </w:rPr>
        <w:t xml:space="preserve">              </w:t>
      </w:r>
      <w:r w:rsidRPr="0021218C">
        <w:rPr>
          <w:noProof/>
        </w:rPr>
        <w:drawing>
          <wp:inline distT="0" distB="0" distL="0" distR="0" wp14:anchorId="2A397268" wp14:editId="551E75C1">
            <wp:extent cx="4810125" cy="268402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1937" t="27488" r="25050" b="19901"/>
                    <a:stretch/>
                  </pic:blipFill>
                  <pic:spPr bwMode="auto">
                    <a:xfrm>
                      <a:off x="0" y="0"/>
                      <a:ext cx="4815194" cy="2686849"/>
                    </a:xfrm>
                    <a:prstGeom prst="rect">
                      <a:avLst/>
                    </a:prstGeom>
                    <a:ln>
                      <a:noFill/>
                    </a:ln>
                    <a:extLst>
                      <a:ext uri="{53640926-AAD7-44D8-BBD7-CCE9431645EC}">
                        <a14:shadowObscured xmlns:a14="http://schemas.microsoft.com/office/drawing/2010/main"/>
                      </a:ext>
                    </a:extLst>
                  </pic:spPr>
                </pic:pic>
              </a:graphicData>
            </a:graphic>
          </wp:inline>
        </w:drawing>
      </w:r>
      <w:r w:rsidR="0095137B" w:rsidRPr="0095137B">
        <w:rPr>
          <w:rFonts w:ascii="Times New Roman" w:hAnsi="Times New Roman" w:cs="Times New Roman"/>
          <w:sz w:val="24"/>
          <w:szCs w:val="24"/>
        </w:rPr>
        <w:t xml:space="preserve">(The </w:t>
      </w:r>
      <w:r w:rsidR="0095137B">
        <w:rPr>
          <w:rFonts w:ascii="Times New Roman" w:hAnsi="Times New Roman" w:cs="Times New Roman"/>
          <w:sz w:val="24"/>
          <w:szCs w:val="24"/>
        </w:rPr>
        <w:t>D</w:t>
      </w:r>
      <w:r w:rsidR="0095137B" w:rsidRPr="0095137B">
        <w:rPr>
          <w:rFonts w:ascii="Times New Roman" w:hAnsi="Times New Roman" w:cs="Times New Roman"/>
          <w:sz w:val="24"/>
          <w:szCs w:val="24"/>
        </w:rPr>
        <w:t xml:space="preserve">epartment for </w:t>
      </w:r>
      <w:r w:rsidR="0095137B">
        <w:rPr>
          <w:rFonts w:ascii="Times New Roman" w:hAnsi="Times New Roman" w:cs="Times New Roman"/>
          <w:sz w:val="24"/>
          <w:szCs w:val="24"/>
        </w:rPr>
        <w:t>C</w:t>
      </w:r>
      <w:r w:rsidR="0095137B" w:rsidRPr="0095137B">
        <w:rPr>
          <w:rFonts w:ascii="Times New Roman" w:hAnsi="Times New Roman" w:cs="Times New Roman"/>
          <w:sz w:val="24"/>
          <w:szCs w:val="24"/>
        </w:rPr>
        <w:t xml:space="preserve">ulture, </w:t>
      </w:r>
      <w:r w:rsidR="0095137B">
        <w:rPr>
          <w:rFonts w:ascii="Times New Roman" w:hAnsi="Times New Roman" w:cs="Times New Roman"/>
          <w:sz w:val="24"/>
          <w:szCs w:val="24"/>
        </w:rPr>
        <w:t>M</w:t>
      </w:r>
      <w:r w:rsidR="0095137B" w:rsidRPr="0095137B">
        <w:rPr>
          <w:rFonts w:ascii="Times New Roman" w:hAnsi="Times New Roman" w:cs="Times New Roman"/>
          <w:sz w:val="24"/>
          <w:szCs w:val="24"/>
        </w:rPr>
        <w:t xml:space="preserve">edia and </w:t>
      </w:r>
      <w:r w:rsidR="0095137B">
        <w:rPr>
          <w:rFonts w:ascii="Times New Roman" w:hAnsi="Times New Roman" w:cs="Times New Roman"/>
          <w:sz w:val="24"/>
          <w:szCs w:val="24"/>
        </w:rPr>
        <w:t>S</w:t>
      </w:r>
      <w:r w:rsidR="0095137B" w:rsidRPr="0095137B">
        <w:rPr>
          <w:rFonts w:ascii="Times New Roman" w:hAnsi="Times New Roman" w:cs="Times New Roman"/>
          <w:sz w:val="24"/>
          <w:szCs w:val="24"/>
        </w:rPr>
        <w:t>port, 2016)</w:t>
      </w:r>
    </w:p>
    <w:p w14:paraId="7836EC87" w14:textId="30C986CB" w:rsidR="0021218C" w:rsidRDefault="0095137B" w:rsidP="0095137B">
      <w:pPr>
        <w:spacing w:line="48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From the above graph it shows that there is a higher number of female users on Instagram which could link to falling into the trap of the ‘Instagram Culture. This could be down to the </w:t>
      </w:r>
      <w:r w:rsidR="00066EAA">
        <w:rPr>
          <w:rFonts w:ascii="Times New Roman" w:hAnsi="Times New Roman" w:cs="Times New Roman"/>
          <w:sz w:val="24"/>
          <w:szCs w:val="24"/>
        </w:rPr>
        <w:t>ever-growing</w:t>
      </w:r>
      <w:r>
        <w:rPr>
          <w:rFonts w:ascii="Times New Roman" w:hAnsi="Times New Roman" w:cs="Times New Roman"/>
          <w:sz w:val="24"/>
          <w:szCs w:val="24"/>
        </w:rPr>
        <w:t xml:space="preserve"> pressures young women face regarding their appearance. </w:t>
      </w:r>
      <w:r w:rsidR="00066EAA">
        <w:rPr>
          <w:rFonts w:ascii="Times New Roman" w:hAnsi="Times New Roman" w:cs="Times New Roman"/>
          <w:sz w:val="24"/>
          <w:szCs w:val="24"/>
        </w:rPr>
        <w:t xml:space="preserve">If young women are following such accounts that portray this so-called perfect lifestyle this may lead to added pressures of themselves to achieve such an unrealistic goal. Sadly, if this unrealistic goal is not met it may have a detrimental impact psychologically. </w:t>
      </w:r>
    </w:p>
    <w:p w14:paraId="3E44F2C3" w14:textId="7E2BFBCB" w:rsidR="00E14361" w:rsidRDefault="00E14361" w:rsidP="0095137B">
      <w:pPr>
        <w:spacing w:line="48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In my honest opinion, I can’t see this issue going away. The pressures are forever growing on young people in modern society. Celebrities such as the Kardashians and reality TV so called ‘stars’ are exploiting said pressures for young people. If these are the kind of people, they are looking up to it simply will not disappear over-night. I am aware that there </w:t>
      </w:r>
      <w:r w:rsidR="00A762F7">
        <w:rPr>
          <w:rFonts w:ascii="Times New Roman" w:hAnsi="Times New Roman" w:cs="Times New Roman"/>
          <w:sz w:val="24"/>
          <w:szCs w:val="24"/>
        </w:rPr>
        <w:t xml:space="preserve">has been talk of trying to police social media for such content. </w:t>
      </w:r>
      <w:r w:rsidR="001E6F97">
        <w:rPr>
          <w:rFonts w:ascii="Times New Roman" w:hAnsi="Times New Roman" w:cs="Times New Roman"/>
          <w:sz w:val="24"/>
          <w:szCs w:val="24"/>
        </w:rPr>
        <w:t>But</w:t>
      </w:r>
      <w:r w:rsidR="00A762F7">
        <w:rPr>
          <w:rFonts w:ascii="Times New Roman" w:hAnsi="Times New Roman" w:cs="Times New Roman"/>
          <w:sz w:val="24"/>
          <w:szCs w:val="24"/>
        </w:rPr>
        <w:t xml:space="preserve"> this </w:t>
      </w:r>
      <w:r w:rsidR="00A762F7">
        <w:rPr>
          <w:rFonts w:ascii="Times New Roman" w:hAnsi="Times New Roman" w:cs="Times New Roman"/>
          <w:sz w:val="24"/>
          <w:szCs w:val="24"/>
        </w:rPr>
        <w:lastRenderedPageBreak/>
        <w:t>concept is completely unrealistic</w:t>
      </w:r>
      <w:r w:rsidR="001E6F97">
        <w:rPr>
          <w:rFonts w:ascii="Times New Roman" w:hAnsi="Times New Roman" w:cs="Times New Roman"/>
          <w:sz w:val="24"/>
          <w:szCs w:val="24"/>
        </w:rPr>
        <w:t xml:space="preserve">. Something so vast as the internet could never be controlled. Social media could be the downfall of generations to come. </w:t>
      </w:r>
    </w:p>
    <w:p w14:paraId="3C6C04F4" w14:textId="77777777" w:rsidR="003751DF" w:rsidRDefault="003751DF" w:rsidP="0095137B">
      <w:pPr>
        <w:spacing w:line="480" w:lineRule="auto"/>
        <w:ind w:right="567"/>
        <w:jc w:val="both"/>
        <w:rPr>
          <w:rFonts w:ascii="Times New Roman" w:hAnsi="Times New Roman" w:cs="Times New Roman"/>
          <w:sz w:val="24"/>
          <w:szCs w:val="24"/>
        </w:rPr>
      </w:pPr>
    </w:p>
    <w:p w14:paraId="02F82626" w14:textId="0812B16A" w:rsidR="0095137B" w:rsidRPr="005413E5" w:rsidRDefault="005413E5" w:rsidP="0095137B">
      <w:pPr>
        <w:spacing w:line="480" w:lineRule="auto"/>
        <w:ind w:right="567"/>
        <w:jc w:val="both"/>
        <w:rPr>
          <w:rFonts w:ascii="Times New Roman" w:hAnsi="Times New Roman" w:cs="Times New Roman"/>
          <w:b/>
          <w:sz w:val="24"/>
          <w:szCs w:val="24"/>
        </w:rPr>
      </w:pPr>
      <w:r>
        <w:rPr>
          <w:rFonts w:ascii="Times New Roman" w:hAnsi="Times New Roman" w:cs="Times New Roman"/>
          <w:b/>
          <w:sz w:val="24"/>
          <w:szCs w:val="24"/>
        </w:rPr>
        <w:t xml:space="preserve">Reference List </w:t>
      </w:r>
    </w:p>
    <w:p w14:paraId="1A0FC31A" w14:textId="08E766CB" w:rsidR="005413E5" w:rsidRDefault="005413E5" w:rsidP="005413E5">
      <w:pPr>
        <w:spacing w:line="480" w:lineRule="auto"/>
        <w:ind w:right="567"/>
        <w:rPr>
          <w:rFonts w:ascii="Times New Roman" w:hAnsi="Times New Roman" w:cs="Times New Roman"/>
          <w:sz w:val="24"/>
          <w:szCs w:val="24"/>
        </w:rPr>
      </w:pPr>
      <w:r w:rsidRPr="005413E5">
        <w:rPr>
          <w:rFonts w:ascii="Times New Roman" w:hAnsi="Times New Roman" w:cs="Times New Roman"/>
          <w:sz w:val="24"/>
          <w:szCs w:val="24"/>
        </w:rPr>
        <w:t>Cherry, (2017). Cited in Learned Helplessness: Seligman’s Theory of Depression + Cure</w:t>
      </w:r>
    </w:p>
    <w:p w14:paraId="305F26EE" w14:textId="7E363121" w:rsidR="005413E5" w:rsidRPr="005413E5" w:rsidRDefault="005413E5" w:rsidP="005413E5">
      <w:pPr>
        <w:spacing w:line="480" w:lineRule="auto"/>
        <w:ind w:right="567"/>
        <w:rPr>
          <w:rFonts w:ascii="Times New Roman" w:hAnsi="Times New Roman" w:cs="Times New Roman"/>
          <w:sz w:val="24"/>
          <w:szCs w:val="24"/>
        </w:rPr>
      </w:pPr>
      <w:r w:rsidRPr="005413E5">
        <w:rPr>
          <w:rFonts w:ascii="Times New Roman" w:hAnsi="Times New Roman" w:cs="Times New Roman"/>
          <w:sz w:val="24"/>
          <w:szCs w:val="24"/>
        </w:rPr>
        <w:t>Diener, E &amp; Lucas, R (1999) Cited in Well-Being: Foundations of Hedonic Psychology</w:t>
      </w:r>
    </w:p>
    <w:p w14:paraId="69BC7B3C" w14:textId="77777777" w:rsidR="005413E5" w:rsidRPr="005413E5" w:rsidRDefault="005413E5" w:rsidP="005413E5">
      <w:pPr>
        <w:spacing w:line="480" w:lineRule="auto"/>
        <w:ind w:right="567"/>
        <w:rPr>
          <w:rFonts w:ascii="Times New Roman" w:hAnsi="Times New Roman" w:cs="Times New Roman"/>
          <w:sz w:val="24"/>
          <w:szCs w:val="24"/>
        </w:rPr>
      </w:pPr>
      <w:r w:rsidRPr="005413E5">
        <w:rPr>
          <w:rFonts w:ascii="Times New Roman" w:hAnsi="Times New Roman" w:cs="Times New Roman"/>
          <w:sz w:val="24"/>
          <w:szCs w:val="24"/>
        </w:rPr>
        <w:t xml:space="preserve">Health of Children and Young People in Wales, (2013), Public Health Wales NHS Trust </w:t>
      </w:r>
    </w:p>
    <w:p w14:paraId="7ED08EE0" w14:textId="77777777" w:rsidR="005413E5" w:rsidRPr="005413E5" w:rsidRDefault="005413E5" w:rsidP="005413E5">
      <w:pPr>
        <w:spacing w:line="480" w:lineRule="auto"/>
        <w:ind w:right="567"/>
        <w:rPr>
          <w:rFonts w:ascii="Times New Roman" w:hAnsi="Times New Roman" w:cs="Times New Roman"/>
          <w:sz w:val="24"/>
          <w:szCs w:val="24"/>
        </w:rPr>
      </w:pPr>
      <w:r w:rsidRPr="005413E5">
        <w:rPr>
          <w:rFonts w:ascii="Times New Roman" w:hAnsi="Times New Roman" w:cs="Times New Roman"/>
          <w:sz w:val="24"/>
          <w:szCs w:val="24"/>
        </w:rPr>
        <w:t xml:space="preserve">Knight, A, McNaught, A (2011) Understanding wellbeing: An Introduction for students and practitioners of health and social care, Banbury: Lantern Publishing </w:t>
      </w:r>
    </w:p>
    <w:p w14:paraId="22061EAA" w14:textId="77777777" w:rsidR="005413E5" w:rsidRPr="005413E5" w:rsidRDefault="005413E5" w:rsidP="005413E5">
      <w:pPr>
        <w:spacing w:line="480" w:lineRule="auto"/>
        <w:ind w:right="567"/>
        <w:rPr>
          <w:rFonts w:ascii="Times New Roman" w:hAnsi="Times New Roman" w:cs="Times New Roman"/>
          <w:sz w:val="24"/>
          <w:szCs w:val="24"/>
        </w:rPr>
      </w:pPr>
      <w:r w:rsidRPr="005413E5">
        <w:rPr>
          <w:rFonts w:ascii="Times New Roman" w:hAnsi="Times New Roman" w:cs="Times New Roman"/>
          <w:sz w:val="24"/>
          <w:szCs w:val="24"/>
        </w:rPr>
        <w:t xml:space="preserve">La </w:t>
      </w:r>
      <w:proofErr w:type="spellStart"/>
      <w:r w:rsidRPr="005413E5">
        <w:rPr>
          <w:rFonts w:ascii="Times New Roman" w:hAnsi="Times New Roman" w:cs="Times New Roman"/>
          <w:sz w:val="24"/>
          <w:szCs w:val="24"/>
        </w:rPr>
        <w:t>Placa</w:t>
      </w:r>
      <w:proofErr w:type="spellEnd"/>
      <w:r w:rsidRPr="005413E5">
        <w:rPr>
          <w:rFonts w:ascii="Times New Roman" w:hAnsi="Times New Roman" w:cs="Times New Roman"/>
          <w:sz w:val="24"/>
          <w:szCs w:val="24"/>
        </w:rPr>
        <w:t xml:space="preserve">, V., McNaught, A., and Knight, A. (2013) Discourse on Wellbeing in research and practice. International Journal of Wellbeing, 116-125. </w:t>
      </w:r>
    </w:p>
    <w:p w14:paraId="5FD319D3" w14:textId="77777777" w:rsidR="005413E5" w:rsidRPr="005413E5" w:rsidRDefault="005413E5" w:rsidP="005413E5">
      <w:pPr>
        <w:spacing w:line="480" w:lineRule="auto"/>
        <w:ind w:right="567"/>
        <w:rPr>
          <w:rFonts w:ascii="Times New Roman" w:hAnsi="Times New Roman" w:cs="Times New Roman"/>
          <w:sz w:val="24"/>
          <w:szCs w:val="24"/>
        </w:rPr>
      </w:pPr>
      <w:r w:rsidRPr="005413E5">
        <w:rPr>
          <w:rFonts w:ascii="Times New Roman" w:hAnsi="Times New Roman" w:cs="Times New Roman"/>
          <w:sz w:val="24"/>
          <w:szCs w:val="24"/>
        </w:rPr>
        <w:t xml:space="preserve">Public Health Wales NHS Trust. (2013) Health of Children and Young people in Wales. Carmarthen: Public Health Wales NHS Trust. </w:t>
      </w:r>
    </w:p>
    <w:p w14:paraId="4092AB17" w14:textId="77777777" w:rsidR="005413E5" w:rsidRPr="005413E5" w:rsidRDefault="005413E5" w:rsidP="005413E5">
      <w:pPr>
        <w:spacing w:line="480" w:lineRule="auto"/>
        <w:ind w:right="567"/>
        <w:rPr>
          <w:rFonts w:ascii="Times New Roman" w:hAnsi="Times New Roman" w:cs="Times New Roman"/>
          <w:sz w:val="24"/>
          <w:szCs w:val="24"/>
        </w:rPr>
      </w:pPr>
      <w:r w:rsidRPr="005413E5">
        <w:rPr>
          <w:rFonts w:ascii="Times New Roman" w:hAnsi="Times New Roman" w:cs="Times New Roman"/>
          <w:sz w:val="24"/>
          <w:szCs w:val="24"/>
        </w:rPr>
        <w:t xml:space="preserve">Public Health Wales NHS trust (2013) Health of Children and Young People in Wales.      </w:t>
      </w:r>
    </w:p>
    <w:p w14:paraId="434BF777" w14:textId="69030D9D" w:rsidR="001D2493" w:rsidRPr="001D2493" w:rsidRDefault="005413E5" w:rsidP="005413E5">
      <w:pPr>
        <w:spacing w:line="480" w:lineRule="auto"/>
        <w:ind w:right="567"/>
        <w:rPr>
          <w:rFonts w:ascii="Times New Roman" w:hAnsi="Times New Roman" w:cs="Times New Roman"/>
          <w:sz w:val="24"/>
          <w:szCs w:val="24"/>
        </w:rPr>
      </w:pPr>
      <w:r w:rsidRPr="005413E5">
        <w:rPr>
          <w:rFonts w:ascii="Times New Roman" w:hAnsi="Times New Roman" w:cs="Times New Roman"/>
          <w:sz w:val="24"/>
          <w:szCs w:val="24"/>
        </w:rPr>
        <w:t>Available: thttp://www2.nphs.wales.nhs.uk:8080/PubHObservatoryProjDocs.nsf/3653c00e7bb6259d80256f27004900db/fc57159cf0046a8a80257c28004aa6ea/$FILE/Children%20and%20YP%20Profile%20Wales%20report%20-%20low%20res%20(Eng).pdf (Accessed: 14th March 2019).</w:t>
      </w:r>
      <w:r>
        <w:rPr>
          <w:rFonts w:ascii="Times New Roman" w:hAnsi="Times New Roman" w:cs="Times New Roman"/>
          <w:sz w:val="24"/>
          <w:szCs w:val="24"/>
        </w:rPr>
        <w:t xml:space="preserve"> </w:t>
      </w:r>
    </w:p>
    <w:p w14:paraId="5E5E9E3A" w14:textId="77777777" w:rsidR="005413E5" w:rsidRPr="005413E5" w:rsidRDefault="005413E5" w:rsidP="005413E5">
      <w:pPr>
        <w:spacing w:line="480" w:lineRule="auto"/>
        <w:rPr>
          <w:rFonts w:ascii="Times New Roman" w:hAnsi="Times New Roman" w:cs="Times New Roman"/>
          <w:sz w:val="24"/>
          <w:szCs w:val="24"/>
        </w:rPr>
      </w:pPr>
      <w:r w:rsidRPr="005413E5">
        <w:rPr>
          <w:rFonts w:ascii="Times New Roman" w:hAnsi="Times New Roman" w:cs="Times New Roman"/>
          <w:sz w:val="24"/>
          <w:szCs w:val="24"/>
        </w:rPr>
        <w:t xml:space="preserve">Public Health Wales NHS trust (2013) Health of Children and Young People in Wales.      </w:t>
      </w:r>
    </w:p>
    <w:p w14:paraId="6EE8F6AD" w14:textId="77777777" w:rsidR="005413E5" w:rsidRPr="005413E5" w:rsidRDefault="005413E5" w:rsidP="005413E5">
      <w:pPr>
        <w:spacing w:line="480" w:lineRule="auto"/>
        <w:rPr>
          <w:rFonts w:ascii="Times New Roman" w:hAnsi="Times New Roman" w:cs="Times New Roman"/>
          <w:sz w:val="24"/>
          <w:szCs w:val="24"/>
        </w:rPr>
      </w:pPr>
      <w:r w:rsidRPr="005413E5">
        <w:rPr>
          <w:rFonts w:ascii="Times New Roman" w:hAnsi="Times New Roman" w:cs="Times New Roman"/>
          <w:sz w:val="24"/>
          <w:szCs w:val="24"/>
        </w:rPr>
        <w:lastRenderedPageBreak/>
        <w:t>Available: thttp://www2.nphs.wales.nhs.uk:8080/PubHObservatoryProjDocs.nsf/3653c00e7bb6259d80256f27004900db/fc57159cf0046a8a80257c28004aa6ea/$FILE/Children%20and%20YP%20Profile%20Wales%20report%20-%20low%20res%20(Eng).pdf (Accessed: 13th March 2019).</w:t>
      </w:r>
    </w:p>
    <w:p w14:paraId="7A4C425B" w14:textId="77777777" w:rsidR="005413E5" w:rsidRPr="005413E5" w:rsidRDefault="005413E5" w:rsidP="005413E5">
      <w:pPr>
        <w:spacing w:line="480" w:lineRule="auto"/>
        <w:rPr>
          <w:rFonts w:ascii="Times New Roman" w:hAnsi="Times New Roman" w:cs="Times New Roman"/>
          <w:sz w:val="24"/>
          <w:szCs w:val="24"/>
        </w:rPr>
      </w:pPr>
      <w:r w:rsidRPr="005413E5">
        <w:rPr>
          <w:rFonts w:ascii="Times New Roman" w:hAnsi="Times New Roman" w:cs="Times New Roman"/>
          <w:sz w:val="24"/>
          <w:szCs w:val="24"/>
        </w:rPr>
        <w:t xml:space="preserve">Public Health Wales NHS Trust. (2013) Health of Children and Young people in Wales. Carmarthen: Public Health Wales NHS Trust. </w:t>
      </w:r>
    </w:p>
    <w:p w14:paraId="5A9A9278" w14:textId="77777777" w:rsidR="005413E5" w:rsidRPr="005413E5" w:rsidRDefault="005413E5" w:rsidP="005413E5">
      <w:pPr>
        <w:spacing w:line="480" w:lineRule="auto"/>
        <w:rPr>
          <w:rFonts w:ascii="Times New Roman" w:hAnsi="Times New Roman" w:cs="Times New Roman"/>
          <w:sz w:val="24"/>
          <w:szCs w:val="24"/>
        </w:rPr>
      </w:pPr>
      <w:r w:rsidRPr="005413E5">
        <w:rPr>
          <w:rFonts w:ascii="Times New Roman" w:hAnsi="Times New Roman" w:cs="Times New Roman"/>
          <w:sz w:val="24"/>
          <w:szCs w:val="24"/>
        </w:rPr>
        <w:t>United Nations (2015) Inequality and the 2030 Agenda for Sustainable Development. Available: http://www.un.org/en/development/desa/policy/wess/wess_dev_issues/dsp_policy_04.pdf. (Accessed 9th March 2019)</w:t>
      </w:r>
    </w:p>
    <w:p w14:paraId="1655530E" w14:textId="77777777" w:rsidR="005413E5" w:rsidRPr="005413E5" w:rsidRDefault="005413E5" w:rsidP="005413E5">
      <w:pPr>
        <w:spacing w:line="480" w:lineRule="auto"/>
        <w:rPr>
          <w:rFonts w:ascii="Times New Roman" w:hAnsi="Times New Roman" w:cs="Times New Roman"/>
          <w:sz w:val="24"/>
          <w:szCs w:val="24"/>
        </w:rPr>
      </w:pPr>
      <w:r w:rsidRPr="005413E5">
        <w:rPr>
          <w:rFonts w:ascii="Times New Roman" w:hAnsi="Times New Roman" w:cs="Times New Roman"/>
          <w:sz w:val="24"/>
          <w:szCs w:val="24"/>
        </w:rPr>
        <w:t>The Department for Culture, Media and Sport, 2016:</w:t>
      </w:r>
    </w:p>
    <w:p w14:paraId="625FF12A" w14:textId="77777777" w:rsidR="005413E5" w:rsidRPr="005413E5" w:rsidRDefault="005413E5" w:rsidP="005413E5">
      <w:pPr>
        <w:spacing w:line="480" w:lineRule="auto"/>
        <w:rPr>
          <w:rFonts w:ascii="Times New Roman" w:hAnsi="Times New Roman" w:cs="Times New Roman"/>
          <w:sz w:val="24"/>
          <w:szCs w:val="24"/>
        </w:rPr>
      </w:pPr>
      <w:hyperlink r:id="rId7" w:history="1">
        <w:r w:rsidRPr="005413E5">
          <w:rPr>
            <w:rStyle w:val="Hyperlink"/>
            <w:rFonts w:ascii="Times New Roman" w:hAnsi="Times New Roman" w:cs="Times New Roman"/>
            <w:sz w:val="24"/>
            <w:szCs w:val="24"/>
          </w:rPr>
          <w:t>https://assets.publishing.service.gov.uk/government/uploads/system/uploads/attachment_data/file/519678/Social_media_-_FINAL.pdf</w:t>
        </w:r>
      </w:hyperlink>
      <w:r w:rsidRPr="005413E5">
        <w:rPr>
          <w:rFonts w:ascii="Times New Roman" w:hAnsi="Times New Roman" w:cs="Times New Roman"/>
          <w:sz w:val="24"/>
          <w:szCs w:val="24"/>
        </w:rPr>
        <w:t xml:space="preserve"> (Accessed 10th March 2019)</w:t>
      </w:r>
    </w:p>
    <w:p w14:paraId="18B44D4A" w14:textId="72712B15" w:rsidR="00635677" w:rsidRPr="003C7926" w:rsidRDefault="005413E5" w:rsidP="005413E5">
      <w:pPr>
        <w:spacing w:line="480" w:lineRule="auto"/>
        <w:rPr>
          <w:rFonts w:ascii="Times New Roman" w:hAnsi="Times New Roman" w:cs="Times New Roman"/>
          <w:sz w:val="24"/>
          <w:szCs w:val="24"/>
        </w:rPr>
      </w:pPr>
      <w:r w:rsidRPr="005413E5">
        <w:rPr>
          <w:rFonts w:ascii="Times New Roman" w:hAnsi="Times New Roman" w:cs="Times New Roman"/>
          <w:sz w:val="24"/>
          <w:szCs w:val="24"/>
        </w:rPr>
        <w:t>Welsh Government. (2014) The National Youth Work Strategy for Wales 2014-2018: Supporting young people to reach their potential and live fulfilled lives. Llandudno: Welsh Government.</w:t>
      </w:r>
    </w:p>
    <w:p w14:paraId="051423FD" w14:textId="33D8C1F5" w:rsidR="000D3B50" w:rsidRPr="000D3B50" w:rsidRDefault="000D3B50" w:rsidP="005413E5">
      <w:pPr>
        <w:spacing w:line="480" w:lineRule="auto"/>
        <w:rPr>
          <w:rFonts w:ascii="Times New Roman" w:hAnsi="Times New Roman" w:cs="Times New Roman"/>
          <w:sz w:val="24"/>
          <w:szCs w:val="24"/>
        </w:rPr>
      </w:pPr>
    </w:p>
    <w:sectPr w:rsidR="000D3B50" w:rsidRPr="000D3B5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B199B5" w14:textId="77777777" w:rsidR="009A16D3" w:rsidRDefault="009A16D3" w:rsidP="000D3B50">
      <w:pPr>
        <w:spacing w:after="0" w:line="240" w:lineRule="auto"/>
      </w:pPr>
      <w:r>
        <w:separator/>
      </w:r>
    </w:p>
  </w:endnote>
  <w:endnote w:type="continuationSeparator" w:id="0">
    <w:p w14:paraId="338CCB58" w14:textId="77777777" w:rsidR="009A16D3" w:rsidRDefault="009A16D3" w:rsidP="000D3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0A4003" w14:textId="77777777" w:rsidR="009A16D3" w:rsidRDefault="009A16D3" w:rsidP="000D3B50">
      <w:pPr>
        <w:spacing w:after="0" w:line="240" w:lineRule="auto"/>
      </w:pPr>
      <w:r>
        <w:separator/>
      </w:r>
    </w:p>
  </w:footnote>
  <w:footnote w:type="continuationSeparator" w:id="0">
    <w:p w14:paraId="26E366BB" w14:textId="77777777" w:rsidR="009A16D3" w:rsidRDefault="009A16D3" w:rsidP="000D3B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CCE7F5" w14:textId="011D3021" w:rsidR="000D3B50" w:rsidRDefault="000D3B50">
    <w:pPr>
      <w:pStyle w:val="Header"/>
    </w:pPr>
    <w:r w:rsidRPr="000D3B50">
      <w:t>ECCH7002C</w:t>
    </w:r>
    <w:r>
      <w:ptab w:relativeTo="margin" w:alignment="center" w:leader="none"/>
    </w:r>
    <w:r>
      <w:ptab w:relativeTo="margin" w:alignment="right" w:leader="none"/>
    </w:r>
    <w:r>
      <w:t>1502336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B50"/>
    <w:rsid w:val="00016BBC"/>
    <w:rsid w:val="00066EAA"/>
    <w:rsid w:val="000A4380"/>
    <w:rsid w:val="000D3B50"/>
    <w:rsid w:val="0013350D"/>
    <w:rsid w:val="00157415"/>
    <w:rsid w:val="001A292A"/>
    <w:rsid w:val="001D2493"/>
    <w:rsid w:val="001E6F97"/>
    <w:rsid w:val="00206061"/>
    <w:rsid w:val="0021218C"/>
    <w:rsid w:val="0024294F"/>
    <w:rsid w:val="00274364"/>
    <w:rsid w:val="002C2E14"/>
    <w:rsid w:val="00335708"/>
    <w:rsid w:val="00370A62"/>
    <w:rsid w:val="003751DF"/>
    <w:rsid w:val="003B39E7"/>
    <w:rsid w:val="003C7926"/>
    <w:rsid w:val="003F4BF3"/>
    <w:rsid w:val="0042621F"/>
    <w:rsid w:val="004C6F58"/>
    <w:rsid w:val="004E3CCC"/>
    <w:rsid w:val="005413E5"/>
    <w:rsid w:val="005D6DEF"/>
    <w:rsid w:val="00635677"/>
    <w:rsid w:val="006E1152"/>
    <w:rsid w:val="006E6BCC"/>
    <w:rsid w:val="0095137B"/>
    <w:rsid w:val="009548B7"/>
    <w:rsid w:val="009A16D3"/>
    <w:rsid w:val="009B065B"/>
    <w:rsid w:val="009D77E2"/>
    <w:rsid w:val="00A34C6B"/>
    <w:rsid w:val="00A762F7"/>
    <w:rsid w:val="00A864B5"/>
    <w:rsid w:val="00AB5B94"/>
    <w:rsid w:val="00B47FF0"/>
    <w:rsid w:val="00C3573C"/>
    <w:rsid w:val="00CD3F5A"/>
    <w:rsid w:val="00D23FA9"/>
    <w:rsid w:val="00D85B75"/>
    <w:rsid w:val="00D87D8D"/>
    <w:rsid w:val="00DC6442"/>
    <w:rsid w:val="00E14361"/>
    <w:rsid w:val="00E6591E"/>
    <w:rsid w:val="00E77839"/>
    <w:rsid w:val="00F706CD"/>
    <w:rsid w:val="00F86C8D"/>
    <w:rsid w:val="00FA5326"/>
    <w:rsid w:val="00FE1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0DD0F"/>
  <w15:chartTrackingRefBased/>
  <w15:docId w15:val="{C303901D-26E2-4F56-90E8-B913DB03A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3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B50"/>
  </w:style>
  <w:style w:type="paragraph" w:styleId="Footer">
    <w:name w:val="footer"/>
    <w:basedOn w:val="Normal"/>
    <w:link w:val="FooterChar"/>
    <w:uiPriority w:val="99"/>
    <w:unhideWhenUsed/>
    <w:rsid w:val="000D3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B50"/>
  </w:style>
  <w:style w:type="paragraph" w:styleId="BalloonText">
    <w:name w:val="Balloon Text"/>
    <w:basedOn w:val="Normal"/>
    <w:link w:val="BalloonTextChar"/>
    <w:uiPriority w:val="99"/>
    <w:semiHidden/>
    <w:unhideWhenUsed/>
    <w:rsid w:val="002121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218C"/>
    <w:rPr>
      <w:rFonts w:ascii="Segoe UI" w:hAnsi="Segoe UI" w:cs="Segoe UI"/>
      <w:sz w:val="18"/>
      <w:szCs w:val="18"/>
    </w:rPr>
  </w:style>
  <w:style w:type="character" w:styleId="Hyperlink">
    <w:name w:val="Hyperlink"/>
    <w:basedOn w:val="DefaultParagraphFont"/>
    <w:uiPriority w:val="99"/>
    <w:unhideWhenUsed/>
    <w:rsid w:val="005413E5"/>
    <w:rPr>
      <w:color w:val="0563C1" w:themeColor="hyperlink"/>
      <w:u w:val="single"/>
    </w:rPr>
  </w:style>
  <w:style w:type="character" w:styleId="UnresolvedMention">
    <w:name w:val="Unresolved Mention"/>
    <w:basedOn w:val="DefaultParagraphFont"/>
    <w:uiPriority w:val="99"/>
    <w:semiHidden/>
    <w:unhideWhenUsed/>
    <w:rsid w:val="005413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519678/Social_media_-_FINAL.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2326</Words>
  <Characters>13264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Spencer</dc:creator>
  <cp:keywords/>
  <dc:description/>
  <cp:lastModifiedBy>Cai Spencer</cp:lastModifiedBy>
  <cp:revision>2</cp:revision>
  <dcterms:created xsi:type="dcterms:W3CDTF">2019-04-05T08:21:00Z</dcterms:created>
  <dcterms:modified xsi:type="dcterms:W3CDTF">2019-04-05T08:21:00Z</dcterms:modified>
</cp:coreProperties>
</file>