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3C0C4" w14:textId="47E25D70" w:rsidR="00510CCD" w:rsidRDefault="00510CCD" w:rsidP="00527933">
      <w:pPr>
        <w:pStyle w:val="Title"/>
      </w:pPr>
      <w:r>
        <w:rPr>
          <w:noProof/>
        </w:rPr>
        <w:drawing>
          <wp:inline distT="0" distB="0" distL="0" distR="0" wp14:anchorId="43795278" wp14:editId="5C125F64">
            <wp:extent cx="3639820" cy="1816735"/>
            <wp:effectExtent l="0" t="0" r="0" b="0"/>
            <wp:docPr id="95980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1EB987AE" w14:textId="77777777" w:rsidR="00510CCD" w:rsidRDefault="00510CCD" w:rsidP="00527933">
      <w:pPr>
        <w:pStyle w:val="Title"/>
      </w:pPr>
    </w:p>
    <w:p w14:paraId="0FDC663A" w14:textId="77777777" w:rsidR="00510CCD" w:rsidRDefault="00510CCD" w:rsidP="00527933">
      <w:pPr>
        <w:pStyle w:val="Title"/>
      </w:pPr>
    </w:p>
    <w:p w14:paraId="5D0477E9" w14:textId="77777777" w:rsidR="00510CCD" w:rsidRDefault="00510CCD" w:rsidP="00527933">
      <w:pPr>
        <w:pStyle w:val="Title"/>
      </w:pPr>
    </w:p>
    <w:p w14:paraId="28F13377" w14:textId="5E997660" w:rsidR="00527933" w:rsidRPr="00510CCD" w:rsidRDefault="00510CCD" w:rsidP="00527933">
      <w:pPr>
        <w:pStyle w:val="Title"/>
        <w:rPr>
          <w:rFonts w:ascii="Arial" w:hAnsi="Arial" w:cs="Arial"/>
          <w:b/>
          <w:bCs/>
          <w:sz w:val="40"/>
          <w:szCs w:val="40"/>
        </w:rPr>
      </w:pPr>
      <w:bookmarkStart w:id="0" w:name="_Hlk193963051"/>
      <w:r>
        <w:t xml:space="preserve">               </w:t>
      </w:r>
      <w:r w:rsidR="00527933" w:rsidRPr="00510CCD">
        <w:rPr>
          <w:rFonts w:ascii="Arial" w:hAnsi="Arial" w:cs="Arial"/>
          <w:b/>
          <w:bCs/>
          <w:sz w:val="40"/>
          <w:szCs w:val="40"/>
        </w:rPr>
        <w:t>International Business</w:t>
      </w:r>
      <w:r>
        <w:rPr>
          <w:rFonts w:ascii="Arial" w:hAnsi="Arial" w:cs="Arial"/>
          <w:b/>
          <w:bCs/>
          <w:sz w:val="40"/>
          <w:szCs w:val="40"/>
        </w:rPr>
        <w:t xml:space="preserve"> </w:t>
      </w:r>
      <w:r w:rsidR="00527933" w:rsidRPr="00510CCD">
        <w:rPr>
          <w:rFonts w:ascii="Arial" w:hAnsi="Arial" w:cs="Arial"/>
          <w:b/>
          <w:bCs/>
          <w:sz w:val="40"/>
          <w:szCs w:val="40"/>
        </w:rPr>
        <w:t xml:space="preserve">Communications </w:t>
      </w:r>
    </w:p>
    <w:bookmarkEnd w:id="0"/>
    <w:p w14:paraId="1811968E" w14:textId="0200A5A7" w:rsidR="00527933" w:rsidRPr="00510CCD" w:rsidRDefault="00510CCD" w:rsidP="00527933">
      <w:pPr>
        <w:pStyle w:val="Title"/>
        <w:rPr>
          <w:rFonts w:ascii="Arial" w:hAnsi="Arial" w:cs="Arial"/>
          <w:b/>
          <w:bCs/>
          <w:sz w:val="40"/>
          <w:szCs w:val="40"/>
        </w:rPr>
      </w:pPr>
      <w:r w:rsidRPr="00510CCD">
        <w:rPr>
          <w:rFonts w:ascii="Arial" w:hAnsi="Arial" w:cs="Arial"/>
          <w:b/>
          <w:bCs/>
          <w:sz w:val="40"/>
          <w:szCs w:val="40"/>
        </w:rPr>
        <w:t xml:space="preserve">                                      </w:t>
      </w:r>
      <w:r w:rsidR="00527933" w:rsidRPr="00510CCD">
        <w:rPr>
          <w:rFonts w:ascii="Arial" w:hAnsi="Arial" w:cs="Arial"/>
          <w:b/>
          <w:bCs/>
          <w:sz w:val="40"/>
          <w:szCs w:val="40"/>
        </w:rPr>
        <w:t>LCBB6001</w:t>
      </w:r>
    </w:p>
    <w:p w14:paraId="16E6A417" w14:textId="77777777" w:rsidR="00527933" w:rsidRPr="00527933" w:rsidRDefault="00527933" w:rsidP="00527933"/>
    <w:p w14:paraId="035D36B9" w14:textId="77777777" w:rsidR="00466503" w:rsidRPr="0054394D" w:rsidRDefault="00466503" w:rsidP="00B80956">
      <w:pPr>
        <w:spacing w:line="360" w:lineRule="auto"/>
        <w:jc w:val="both"/>
        <w:rPr>
          <w:rFonts w:cs="Arial"/>
        </w:rPr>
      </w:pPr>
    </w:p>
    <w:p w14:paraId="37D1CE69" w14:textId="77777777" w:rsidR="00466503" w:rsidRPr="0054394D" w:rsidRDefault="00466503" w:rsidP="00B80956">
      <w:pPr>
        <w:spacing w:line="360" w:lineRule="auto"/>
        <w:jc w:val="both"/>
        <w:rPr>
          <w:rFonts w:cs="Arial"/>
        </w:rPr>
      </w:pPr>
    </w:p>
    <w:p w14:paraId="51EFDA53" w14:textId="77777777" w:rsidR="00466503" w:rsidRDefault="00466503" w:rsidP="00B80956">
      <w:pPr>
        <w:spacing w:line="360" w:lineRule="auto"/>
        <w:jc w:val="both"/>
        <w:rPr>
          <w:rFonts w:cs="Arial"/>
        </w:rPr>
      </w:pPr>
    </w:p>
    <w:p w14:paraId="39FD2D60" w14:textId="77777777" w:rsidR="00510CCD" w:rsidRDefault="00510CCD" w:rsidP="00B80956">
      <w:pPr>
        <w:spacing w:line="360" w:lineRule="auto"/>
        <w:jc w:val="both"/>
        <w:rPr>
          <w:rFonts w:cs="Arial"/>
        </w:rPr>
      </w:pPr>
    </w:p>
    <w:p w14:paraId="00308A9C" w14:textId="77777777" w:rsidR="00510CCD" w:rsidRDefault="00510CCD" w:rsidP="00B80956">
      <w:pPr>
        <w:spacing w:line="360" w:lineRule="auto"/>
        <w:jc w:val="both"/>
        <w:rPr>
          <w:rFonts w:cs="Arial"/>
        </w:rPr>
      </w:pPr>
    </w:p>
    <w:p w14:paraId="449CDC0C" w14:textId="77777777" w:rsidR="00510CCD" w:rsidRDefault="00510CCD" w:rsidP="00B80956">
      <w:pPr>
        <w:spacing w:line="360" w:lineRule="auto"/>
        <w:jc w:val="both"/>
        <w:rPr>
          <w:rFonts w:cs="Arial"/>
        </w:rPr>
      </w:pPr>
    </w:p>
    <w:p w14:paraId="6CC50A07" w14:textId="77777777" w:rsidR="00510CCD" w:rsidRDefault="00510CCD" w:rsidP="00B80956">
      <w:pPr>
        <w:spacing w:line="360" w:lineRule="auto"/>
        <w:jc w:val="both"/>
        <w:rPr>
          <w:rFonts w:cs="Arial"/>
        </w:rPr>
      </w:pPr>
    </w:p>
    <w:p w14:paraId="779F4F38" w14:textId="77777777" w:rsidR="00510CCD" w:rsidRPr="0054394D" w:rsidRDefault="00510CCD" w:rsidP="00B80956">
      <w:pPr>
        <w:spacing w:line="360" w:lineRule="auto"/>
        <w:jc w:val="both"/>
        <w:rPr>
          <w:rFonts w:cs="Arial"/>
        </w:rPr>
      </w:pPr>
    </w:p>
    <w:p w14:paraId="4337940D" w14:textId="77777777" w:rsidR="00466503" w:rsidRPr="0054394D" w:rsidRDefault="00466503" w:rsidP="00B80956">
      <w:pPr>
        <w:spacing w:line="360" w:lineRule="auto"/>
        <w:jc w:val="both"/>
        <w:rPr>
          <w:rFonts w:cs="Arial"/>
        </w:rPr>
      </w:pPr>
    </w:p>
    <w:p w14:paraId="76681FB8" w14:textId="77777777" w:rsidR="00510CCD" w:rsidRPr="00510CCD" w:rsidRDefault="00510CCD" w:rsidP="00510CCD">
      <w:pPr>
        <w:spacing w:after="0" w:line="276" w:lineRule="auto"/>
        <w:rPr>
          <w:rFonts w:eastAsia="Arial" w:cs="Arial"/>
          <w:kern w:val="0"/>
          <w:sz w:val="32"/>
          <w:szCs w:val="32"/>
          <w:lang w:val="en"/>
          <w14:ligatures w14:val="none"/>
        </w:rPr>
      </w:pPr>
      <w:r w:rsidRPr="00510CCD">
        <w:rPr>
          <w:rFonts w:eastAsia="Arial" w:cs="Arial"/>
          <w:kern w:val="0"/>
          <w:sz w:val="32"/>
          <w:szCs w:val="32"/>
          <w:lang w:val="en"/>
          <w14:ligatures w14:val="none"/>
        </w:rPr>
        <w:t>Name: Madalina-Mihaela Braha</w:t>
      </w:r>
    </w:p>
    <w:p w14:paraId="1395C9C3" w14:textId="77777777" w:rsidR="00510CCD" w:rsidRPr="00510CCD" w:rsidRDefault="00510CCD" w:rsidP="00510CCD">
      <w:pPr>
        <w:spacing w:after="0" w:line="276" w:lineRule="auto"/>
        <w:rPr>
          <w:rFonts w:eastAsia="Arial" w:cs="Arial"/>
          <w:kern w:val="0"/>
          <w:sz w:val="32"/>
          <w:szCs w:val="32"/>
          <w:lang w:val="en"/>
          <w14:ligatures w14:val="none"/>
        </w:rPr>
      </w:pPr>
      <w:r w:rsidRPr="00510CCD">
        <w:rPr>
          <w:rFonts w:eastAsia="Arial" w:cs="Arial"/>
          <w:kern w:val="0"/>
          <w:sz w:val="32"/>
          <w:szCs w:val="32"/>
          <w:lang w:val="en"/>
          <w14:ligatures w14:val="none"/>
        </w:rPr>
        <w:t>Student ID: 2227915</w:t>
      </w:r>
    </w:p>
    <w:p w14:paraId="7469F150" w14:textId="00187644" w:rsidR="00510CCD" w:rsidRPr="00510CCD" w:rsidRDefault="00510CCD" w:rsidP="00510CCD">
      <w:pPr>
        <w:spacing w:after="0" w:line="276" w:lineRule="auto"/>
        <w:rPr>
          <w:rFonts w:eastAsia="Arial" w:cs="Arial"/>
          <w:kern w:val="0"/>
          <w:sz w:val="32"/>
          <w:szCs w:val="32"/>
          <w:lang w:val="en"/>
          <w14:ligatures w14:val="none"/>
        </w:rPr>
      </w:pPr>
      <w:r w:rsidRPr="00510CCD">
        <w:rPr>
          <w:rFonts w:eastAsia="Arial" w:cs="Arial"/>
          <w:kern w:val="0"/>
          <w:sz w:val="32"/>
          <w:szCs w:val="32"/>
          <w:lang w:val="en"/>
          <w14:ligatures w14:val="none"/>
        </w:rPr>
        <w:t>Module code: LCBB</w:t>
      </w:r>
      <w:r>
        <w:rPr>
          <w:rFonts w:eastAsia="Arial" w:cs="Arial"/>
          <w:kern w:val="0"/>
          <w:sz w:val="32"/>
          <w:szCs w:val="32"/>
          <w:lang w:val="en"/>
          <w14:ligatures w14:val="none"/>
        </w:rPr>
        <w:t>6001</w:t>
      </w:r>
      <w:r w:rsidRPr="00510CCD">
        <w:rPr>
          <w:rFonts w:eastAsia="Arial" w:cs="Arial"/>
          <w:kern w:val="0"/>
          <w:sz w:val="32"/>
          <w:szCs w:val="32"/>
          <w:lang w:val="en"/>
          <w14:ligatures w14:val="none"/>
        </w:rPr>
        <w:t xml:space="preserve"> </w:t>
      </w:r>
    </w:p>
    <w:p w14:paraId="1F5B821A" w14:textId="7F5D0322" w:rsidR="00510CCD" w:rsidRPr="00510CCD" w:rsidRDefault="00510CCD" w:rsidP="00510CCD">
      <w:pPr>
        <w:spacing w:after="0" w:line="276" w:lineRule="auto"/>
        <w:rPr>
          <w:rFonts w:eastAsia="Arial" w:cs="Arial"/>
          <w:kern w:val="0"/>
          <w:sz w:val="32"/>
          <w:szCs w:val="32"/>
          <w:lang w:val="en"/>
          <w14:ligatures w14:val="none"/>
        </w:rPr>
      </w:pPr>
      <w:r w:rsidRPr="00510CCD">
        <w:rPr>
          <w:rFonts w:eastAsia="Arial" w:cs="Arial"/>
          <w:kern w:val="0"/>
          <w:sz w:val="32"/>
          <w:szCs w:val="32"/>
          <w:lang w:val="en"/>
          <w14:ligatures w14:val="none"/>
        </w:rPr>
        <w:t xml:space="preserve">Module name: </w:t>
      </w:r>
      <w:r w:rsidR="007D0555" w:rsidRPr="007D0555">
        <w:rPr>
          <w:rFonts w:eastAsia="Arial" w:cs="Arial"/>
          <w:kern w:val="0"/>
          <w:sz w:val="32"/>
          <w:szCs w:val="32"/>
          <w:lang w:val="en"/>
          <w14:ligatures w14:val="none"/>
        </w:rPr>
        <w:t>International Business Communications</w:t>
      </w:r>
    </w:p>
    <w:p w14:paraId="2DA67F47" w14:textId="0C7EAD55" w:rsidR="00466503" w:rsidRPr="00510CCD" w:rsidRDefault="00510CCD" w:rsidP="00510CCD">
      <w:pPr>
        <w:spacing w:after="0" w:line="276" w:lineRule="auto"/>
        <w:rPr>
          <w:rFonts w:eastAsia="Arial" w:cs="Arial"/>
          <w:kern w:val="0"/>
          <w:sz w:val="32"/>
          <w:szCs w:val="32"/>
          <w:lang w:val="en"/>
          <w14:ligatures w14:val="none"/>
        </w:rPr>
      </w:pPr>
      <w:r w:rsidRPr="00510CCD">
        <w:rPr>
          <w:rFonts w:eastAsia="Arial" w:cs="Arial"/>
          <w:kern w:val="0"/>
          <w:sz w:val="32"/>
          <w:szCs w:val="32"/>
          <w:lang w:val="en"/>
          <w14:ligatures w14:val="none"/>
        </w:rPr>
        <w:t>Lecturer:</w:t>
      </w:r>
      <w:r w:rsidR="007D0555" w:rsidRPr="007D0555">
        <w:rPr>
          <w:rFonts w:ascii="Segoe UI" w:hAnsi="Segoe UI" w:cs="Segoe UI"/>
          <w:color w:val="1D2125"/>
          <w:sz w:val="20"/>
          <w:szCs w:val="20"/>
          <w:shd w:val="clear" w:color="auto" w:fill="FFFFFF"/>
        </w:rPr>
        <w:t xml:space="preserve"> </w:t>
      </w:r>
      <w:r w:rsidR="007D0555" w:rsidRPr="007D0555">
        <w:rPr>
          <w:rFonts w:eastAsia="Arial" w:cs="Arial"/>
          <w:kern w:val="0"/>
          <w:sz w:val="32"/>
          <w:szCs w:val="32"/>
          <w14:ligatures w14:val="none"/>
        </w:rPr>
        <w:t>Afzal Munna </w:t>
      </w:r>
    </w:p>
    <w:p w14:paraId="5689D453" w14:textId="77777777" w:rsidR="00466503" w:rsidRDefault="00466503" w:rsidP="00B80956">
      <w:pPr>
        <w:spacing w:line="360" w:lineRule="auto"/>
        <w:jc w:val="both"/>
        <w:rPr>
          <w:rFonts w:cs="Arial"/>
        </w:rPr>
      </w:pPr>
    </w:p>
    <w:sdt>
      <w:sdtPr>
        <w:rPr>
          <w:rFonts w:asciiTheme="minorHAnsi" w:eastAsiaTheme="minorHAnsi" w:hAnsiTheme="minorHAnsi" w:cstheme="minorBidi"/>
          <w:b w:val="0"/>
          <w:color w:val="auto"/>
          <w:kern w:val="2"/>
          <w:sz w:val="24"/>
          <w:szCs w:val="24"/>
          <w:lang w:val="en-GB"/>
          <w14:ligatures w14:val="standardContextual"/>
        </w:rPr>
        <w:id w:val="749535113"/>
        <w:docPartObj>
          <w:docPartGallery w:val="Table of Contents"/>
          <w:docPartUnique/>
        </w:docPartObj>
      </w:sdtPr>
      <w:sdtEndPr>
        <w:rPr>
          <w:rFonts w:ascii="Arial" w:hAnsi="Arial"/>
          <w:bCs/>
          <w:noProof/>
          <w:color w:val="000000" w:themeColor="text1"/>
        </w:rPr>
      </w:sdtEndPr>
      <w:sdtContent>
        <w:p w14:paraId="67A0D5E9" w14:textId="59727096" w:rsidR="0054394D" w:rsidRDefault="0054394D" w:rsidP="00B80956">
          <w:pPr>
            <w:pStyle w:val="TOCHeading"/>
            <w:spacing w:after="160"/>
          </w:pPr>
          <w:r>
            <w:t>Contents</w:t>
          </w:r>
        </w:p>
        <w:p w14:paraId="60C7D6CA" w14:textId="5263801A" w:rsidR="002C54A7" w:rsidRDefault="0054394D">
          <w:pPr>
            <w:pStyle w:val="TOC1"/>
            <w:tabs>
              <w:tab w:val="left" w:pos="480"/>
              <w:tab w:val="right" w:leader="dot" w:pos="9016"/>
            </w:tabs>
            <w:rPr>
              <w:rFonts w:asciiTheme="minorHAnsi" w:eastAsiaTheme="minorEastAsia" w:hAnsiTheme="minorHAnsi"/>
              <w:noProof/>
              <w:color w:val="auto"/>
              <w:lang w:eastAsia="en-GB"/>
            </w:rPr>
          </w:pPr>
          <w:r>
            <w:fldChar w:fldCharType="begin"/>
          </w:r>
          <w:r>
            <w:instrText xml:space="preserve"> TOC \o "1-3" \h \z \u </w:instrText>
          </w:r>
          <w:r>
            <w:fldChar w:fldCharType="separate"/>
          </w:r>
          <w:hyperlink w:anchor="_Toc193962509" w:history="1">
            <w:r w:rsidR="002C54A7" w:rsidRPr="005E52C8">
              <w:rPr>
                <w:rStyle w:val="Hyperlink"/>
                <w:rFonts w:cs="Arial"/>
                <w:noProof/>
              </w:rPr>
              <w:t>1.</w:t>
            </w:r>
            <w:r w:rsidR="002C54A7">
              <w:rPr>
                <w:rFonts w:asciiTheme="minorHAnsi" w:eastAsiaTheme="minorEastAsia" w:hAnsiTheme="minorHAnsi"/>
                <w:noProof/>
                <w:color w:val="auto"/>
                <w:lang w:eastAsia="en-GB"/>
              </w:rPr>
              <w:tab/>
            </w:r>
            <w:r w:rsidR="002C54A7" w:rsidRPr="005E52C8">
              <w:rPr>
                <w:rStyle w:val="Hyperlink"/>
                <w:rFonts w:cs="Arial"/>
                <w:noProof/>
              </w:rPr>
              <w:t>Introduction</w:t>
            </w:r>
            <w:r w:rsidR="002C54A7">
              <w:rPr>
                <w:noProof/>
                <w:webHidden/>
              </w:rPr>
              <w:tab/>
            </w:r>
            <w:r w:rsidR="002C54A7">
              <w:rPr>
                <w:noProof/>
                <w:webHidden/>
              </w:rPr>
              <w:fldChar w:fldCharType="begin"/>
            </w:r>
            <w:r w:rsidR="002C54A7">
              <w:rPr>
                <w:noProof/>
                <w:webHidden/>
              </w:rPr>
              <w:instrText xml:space="preserve"> PAGEREF _Toc193962509 \h </w:instrText>
            </w:r>
            <w:r w:rsidR="002C54A7">
              <w:rPr>
                <w:noProof/>
                <w:webHidden/>
              </w:rPr>
            </w:r>
            <w:r w:rsidR="002C54A7">
              <w:rPr>
                <w:noProof/>
                <w:webHidden/>
              </w:rPr>
              <w:fldChar w:fldCharType="separate"/>
            </w:r>
            <w:r w:rsidR="002C54A7">
              <w:rPr>
                <w:noProof/>
                <w:webHidden/>
              </w:rPr>
              <w:t>3</w:t>
            </w:r>
            <w:r w:rsidR="002C54A7">
              <w:rPr>
                <w:noProof/>
                <w:webHidden/>
              </w:rPr>
              <w:fldChar w:fldCharType="end"/>
            </w:r>
          </w:hyperlink>
        </w:p>
        <w:p w14:paraId="6D87E9BB" w14:textId="43F1D42F" w:rsidR="002C54A7" w:rsidRDefault="002C54A7">
          <w:pPr>
            <w:pStyle w:val="TOC1"/>
            <w:tabs>
              <w:tab w:val="right" w:leader="dot" w:pos="9016"/>
            </w:tabs>
            <w:rPr>
              <w:rFonts w:asciiTheme="minorHAnsi" w:eastAsiaTheme="minorEastAsia" w:hAnsiTheme="minorHAnsi"/>
              <w:noProof/>
              <w:color w:val="auto"/>
              <w:lang w:eastAsia="en-GB"/>
            </w:rPr>
          </w:pPr>
          <w:hyperlink w:anchor="_Toc193962510" w:history="1">
            <w:r w:rsidRPr="005E52C8">
              <w:rPr>
                <w:rStyle w:val="Hyperlink"/>
                <w:noProof/>
              </w:rPr>
              <w:t>2. Cultural Foundations of International Team Communication</w:t>
            </w:r>
            <w:r>
              <w:rPr>
                <w:noProof/>
                <w:webHidden/>
              </w:rPr>
              <w:tab/>
            </w:r>
            <w:r>
              <w:rPr>
                <w:noProof/>
                <w:webHidden/>
              </w:rPr>
              <w:fldChar w:fldCharType="begin"/>
            </w:r>
            <w:r>
              <w:rPr>
                <w:noProof/>
                <w:webHidden/>
              </w:rPr>
              <w:instrText xml:space="preserve"> PAGEREF _Toc193962510 \h </w:instrText>
            </w:r>
            <w:r>
              <w:rPr>
                <w:noProof/>
                <w:webHidden/>
              </w:rPr>
            </w:r>
            <w:r>
              <w:rPr>
                <w:noProof/>
                <w:webHidden/>
              </w:rPr>
              <w:fldChar w:fldCharType="separate"/>
            </w:r>
            <w:r>
              <w:rPr>
                <w:noProof/>
                <w:webHidden/>
              </w:rPr>
              <w:t>3</w:t>
            </w:r>
            <w:r>
              <w:rPr>
                <w:noProof/>
                <w:webHidden/>
              </w:rPr>
              <w:fldChar w:fldCharType="end"/>
            </w:r>
          </w:hyperlink>
        </w:p>
        <w:p w14:paraId="121EAFC9" w14:textId="69C5FB77" w:rsidR="002C54A7" w:rsidRDefault="002C54A7">
          <w:pPr>
            <w:pStyle w:val="TOC1"/>
            <w:tabs>
              <w:tab w:val="right" w:leader="dot" w:pos="9016"/>
            </w:tabs>
            <w:rPr>
              <w:rFonts w:asciiTheme="minorHAnsi" w:eastAsiaTheme="minorEastAsia" w:hAnsiTheme="minorHAnsi"/>
              <w:noProof/>
              <w:color w:val="auto"/>
              <w:lang w:eastAsia="en-GB"/>
            </w:rPr>
          </w:pPr>
          <w:hyperlink w:anchor="_Toc193962511" w:history="1">
            <w:r w:rsidRPr="005E52C8">
              <w:rPr>
                <w:rStyle w:val="Hyperlink"/>
                <w:noProof/>
              </w:rPr>
              <w:t>3. Communication Challenges in the Admiral-Rakuten Partnership</w:t>
            </w:r>
            <w:r>
              <w:rPr>
                <w:noProof/>
                <w:webHidden/>
              </w:rPr>
              <w:tab/>
            </w:r>
            <w:r>
              <w:rPr>
                <w:noProof/>
                <w:webHidden/>
              </w:rPr>
              <w:fldChar w:fldCharType="begin"/>
            </w:r>
            <w:r>
              <w:rPr>
                <w:noProof/>
                <w:webHidden/>
              </w:rPr>
              <w:instrText xml:space="preserve"> PAGEREF _Toc193962511 \h </w:instrText>
            </w:r>
            <w:r>
              <w:rPr>
                <w:noProof/>
                <w:webHidden/>
              </w:rPr>
            </w:r>
            <w:r>
              <w:rPr>
                <w:noProof/>
                <w:webHidden/>
              </w:rPr>
              <w:fldChar w:fldCharType="separate"/>
            </w:r>
            <w:r>
              <w:rPr>
                <w:noProof/>
                <w:webHidden/>
              </w:rPr>
              <w:t>6</w:t>
            </w:r>
            <w:r>
              <w:rPr>
                <w:noProof/>
                <w:webHidden/>
              </w:rPr>
              <w:fldChar w:fldCharType="end"/>
            </w:r>
          </w:hyperlink>
        </w:p>
        <w:p w14:paraId="3E4A6772" w14:textId="139DD83B" w:rsidR="002C54A7" w:rsidRDefault="002C54A7">
          <w:pPr>
            <w:pStyle w:val="TOC1"/>
            <w:tabs>
              <w:tab w:val="right" w:leader="dot" w:pos="9016"/>
            </w:tabs>
            <w:rPr>
              <w:rFonts w:asciiTheme="minorHAnsi" w:eastAsiaTheme="minorEastAsia" w:hAnsiTheme="minorHAnsi"/>
              <w:noProof/>
              <w:color w:val="auto"/>
              <w:lang w:eastAsia="en-GB"/>
            </w:rPr>
          </w:pPr>
          <w:hyperlink w:anchor="_Toc193962512" w:history="1">
            <w:r w:rsidRPr="005E52C8">
              <w:rPr>
                <w:rStyle w:val="Hyperlink"/>
                <w:noProof/>
              </w:rPr>
              <w:t>4. Strategic Leadership Plan for Admiral-Rakuten Cross-Cultural Collaboration</w:t>
            </w:r>
            <w:r>
              <w:rPr>
                <w:noProof/>
                <w:webHidden/>
              </w:rPr>
              <w:tab/>
            </w:r>
            <w:r>
              <w:rPr>
                <w:noProof/>
                <w:webHidden/>
              </w:rPr>
              <w:fldChar w:fldCharType="begin"/>
            </w:r>
            <w:r>
              <w:rPr>
                <w:noProof/>
                <w:webHidden/>
              </w:rPr>
              <w:instrText xml:space="preserve"> PAGEREF _Toc193962512 \h </w:instrText>
            </w:r>
            <w:r>
              <w:rPr>
                <w:noProof/>
                <w:webHidden/>
              </w:rPr>
            </w:r>
            <w:r>
              <w:rPr>
                <w:noProof/>
                <w:webHidden/>
              </w:rPr>
              <w:fldChar w:fldCharType="separate"/>
            </w:r>
            <w:r>
              <w:rPr>
                <w:noProof/>
                <w:webHidden/>
              </w:rPr>
              <w:t>9</w:t>
            </w:r>
            <w:r>
              <w:rPr>
                <w:noProof/>
                <w:webHidden/>
              </w:rPr>
              <w:fldChar w:fldCharType="end"/>
            </w:r>
          </w:hyperlink>
        </w:p>
        <w:p w14:paraId="476F4772" w14:textId="1FE161C3" w:rsidR="002C54A7" w:rsidRDefault="002C54A7">
          <w:pPr>
            <w:pStyle w:val="TOC1"/>
            <w:tabs>
              <w:tab w:val="left" w:pos="480"/>
              <w:tab w:val="right" w:leader="dot" w:pos="9016"/>
            </w:tabs>
            <w:rPr>
              <w:rFonts w:asciiTheme="minorHAnsi" w:eastAsiaTheme="minorEastAsia" w:hAnsiTheme="minorHAnsi"/>
              <w:noProof/>
              <w:color w:val="auto"/>
              <w:lang w:eastAsia="en-GB"/>
            </w:rPr>
          </w:pPr>
          <w:hyperlink w:anchor="_Toc193962513" w:history="1">
            <w:r w:rsidRPr="005E52C8">
              <w:rPr>
                <w:rStyle w:val="Hyperlink"/>
                <w:noProof/>
              </w:rPr>
              <w:t>5.</w:t>
            </w:r>
            <w:r>
              <w:rPr>
                <w:rFonts w:asciiTheme="minorHAnsi" w:eastAsiaTheme="minorEastAsia" w:hAnsiTheme="minorHAnsi"/>
                <w:noProof/>
                <w:color w:val="auto"/>
                <w:lang w:eastAsia="en-GB"/>
              </w:rPr>
              <w:tab/>
            </w:r>
            <w:r w:rsidRPr="005E52C8">
              <w:rPr>
                <w:rStyle w:val="Hyperlink"/>
                <w:noProof/>
              </w:rPr>
              <w:t>Conclusion</w:t>
            </w:r>
            <w:r>
              <w:rPr>
                <w:noProof/>
                <w:webHidden/>
              </w:rPr>
              <w:tab/>
            </w:r>
            <w:r>
              <w:rPr>
                <w:noProof/>
                <w:webHidden/>
              </w:rPr>
              <w:fldChar w:fldCharType="begin"/>
            </w:r>
            <w:r>
              <w:rPr>
                <w:noProof/>
                <w:webHidden/>
              </w:rPr>
              <w:instrText xml:space="preserve"> PAGEREF _Toc193962513 \h </w:instrText>
            </w:r>
            <w:r>
              <w:rPr>
                <w:noProof/>
                <w:webHidden/>
              </w:rPr>
            </w:r>
            <w:r>
              <w:rPr>
                <w:noProof/>
                <w:webHidden/>
              </w:rPr>
              <w:fldChar w:fldCharType="separate"/>
            </w:r>
            <w:r>
              <w:rPr>
                <w:noProof/>
                <w:webHidden/>
              </w:rPr>
              <w:t>10</w:t>
            </w:r>
            <w:r>
              <w:rPr>
                <w:noProof/>
                <w:webHidden/>
              </w:rPr>
              <w:fldChar w:fldCharType="end"/>
            </w:r>
          </w:hyperlink>
        </w:p>
        <w:p w14:paraId="1314C1C0" w14:textId="55E9881E" w:rsidR="002C54A7" w:rsidRDefault="002C54A7">
          <w:pPr>
            <w:pStyle w:val="TOC1"/>
            <w:tabs>
              <w:tab w:val="left" w:pos="480"/>
              <w:tab w:val="right" w:leader="dot" w:pos="9016"/>
            </w:tabs>
            <w:rPr>
              <w:rFonts w:asciiTheme="minorHAnsi" w:eastAsiaTheme="minorEastAsia" w:hAnsiTheme="minorHAnsi"/>
              <w:noProof/>
              <w:color w:val="auto"/>
              <w:lang w:eastAsia="en-GB"/>
            </w:rPr>
          </w:pPr>
          <w:hyperlink w:anchor="_Toc193962514" w:history="1">
            <w:r w:rsidRPr="005E52C8">
              <w:rPr>
                <w:rStyle w:val="Hyperlink"/>
                <w:noProof/>
              </w:rPr>
              <w:t>6.</w:t>
            </w:r>
            <w:r>
              <w:rPr>
                <w:rFonts w:asciiTheme="minorHAnsi" w:eastAsiaTheme="minorEastAsia" w:hAnsiTheme="minorHAnsi"/>
                <w:noProof/>
                <w:color w:val="auto"/>
                <w:lang w:eastAsia="en-GB"/>
              </w:rPr>
              <w:tab/>
            </w:r>
            <w:r w:rsidRPr="005E52C8">
              <w:rPr>
                <w:rStyle w:val="Hyperlink"/>
                <w:noProof/>
              </w:rPr>
              <w:t>References</w:t>
            </w:r>
            <w:r>
              <w:rPr>
                <w:noProof/>
                <w:webHidden/>
              </w:rPr>
              <w:tab/>
            </w:r>
            <w:r>
              <w:rPr>
                <w:noProof/>
                <w:webHidden/>
              </w:rPr>
              <w:fldChar w:fldCharType="begin"/>
            </w:r>
            <w:r>
              <w:rPr>
                <w:noProof/>
                <w:webHidden/>
              </w:rPr>
              <w:instrText xml:space="preserve"> PAGEREF _Toc193962514 \h </w:instrText>
            </w:r>
            <w:r>
              <w:rPr>
                <w:noProof/>
                <w:webHidden/>
              </w:rPr>
            </w:r>
            <w:r>
              <w:rPr>
                <w:noProof/>
                <w:webHidden/>
              </w:rPr>
              <w:fldChar w:fldCharType="separate"/>
            </w:r>
            <w:r>
              <w:rPr>
                <w:noProof/>
                <w:webHidden/>
              </w:rPr>
              <w:t>12</w:t>
            </w:r>
            <w:r>
              <w:rPr>
                <w:noProof/>
                <w:webHidden/>
              </w:rPr>
              <w:fldChar w:fldCharType="end"/>
            </w:r>
          </w:hyperlink>
        </w:p>
        <w:p w14:paraId="203B32D3" w14:textId="1E59945B" w:rsidR="0054394D" w:rsidRDefault="0054394D" w:rsidP="00B80956">
          <w:r>
            <w:rPr>
              <w:b/>
              <w:bCs/>
              <w:noProof/>
            </w:rPr>
            <w:fldChar w:fldCharType="end"/>
          </w:r>
        </w:p>
      </w:sdtContent>
    </w:sdt>
    <w:p w14:paraId="12952194" w14:textId="77777777" w:rsidR="0054394D" w:rsidRDefault="0054394D" w:rsidP="00B80956">
      <w:pPr>
        <w:spacing w:line="360" w:lineRule="auto"/>
        <w:jc w:val="both"/>
        <w:rPr>
          <w:rFonts w:cs="Arial"/>
        </w:rPr>
      </w:pPr>
    </w:p>
    <w:p w14:paraId="21706EBE" w14:textId="77777777" w:rsidR="00B80956" w:rsidRDefault="00B80956" w:rsidP="00B80956">
      <w:pPr>
        <w:spacing w:line="360" w:lineRule="auto"/>
        <w:jc w:val="both"/>
        <w:rPr>
          <w:rFonts w:cs="Arial"/>
        </w:rPr>
      </w:pPr>
    </w:p>
    <w:p w14:paraId="6A94F49C" w14:textId="77777777" w:rsidR="00B80956" w:rsidRDefault="00B80956" w:rsidP="00B80956">
      <w:pPr>
        <w:spacing w:line="360" w:lineRule="auto"/>
        <w:jc w:val="both"/>
        <w:rPr>
          <w:rFonts w:cs="Arial"/>
        </w:rPr>
      </w:pPr>
    </w:p>
    <w:p w14:paraId="0F99E783" w14:textId="77777777" w:rsidR="00B80956" w:rsidRDefault="00B80956" w:rsidP="00B80956">
      <w:pPr>
        <w:spacing w:line="360" w:lineRule="auto"/>
        <w:jc w:val="both"/>
        <w:rPr>
          <w:rFonts w:cs="Arial"/>
        </w:rPr>
      </w:pPr>
    </w:p>
    <w:p w14:paraId="75F8CEFB" w14:textId="77777777" w:rsidR="00B80956" w:rsidRDefault="00B80956" w:rsidP="00B80956">
      <w:pPr>
        <w:spacing w:line="360" w:lineRule="auto"/>
        <w:jc w:val="both"/>
        <w:rPr>
          <w:rFonts w:cs="Arial"/>
        </w:rPr>
      </w:pPr>
    </w:p>
    <w:p w14:paraId="35623686" w14:textId="77777777" w:rsidR="00B80956" w:rsidRDefault="00B80956" w:rsidP="00B80956">
      <w:pPr>
        <w:spacing w:line="360" w:lineRule="auto"/>
        <w:jc w:val="both"/>
        <w:rPr>
          <w:rFonts w:cs="Arial"/>
        </w:rPr>
      </w:pPr>
    </w:p>
    <w:p w14:paraId="6111CF62" w14:textId="77777777" w:rsidR="00B80956" w:rsidRDefault="00B80956" w:rsidP="00B80956">
      <w:pPr>
        <w:spacing w:line="360" w:lineRule="auto"/>
        <w:jc w:val="both"/>
        <w:rPr>
          <w:rFonts w:cs="Arial"/>
        </w:rPr>
      </w:pPr>
    </w:p>
    <w:p w14:paraId="2C66388C" w14:textId="77777777" w:rsidR="00B80956" w:rsidRDefault="00B80956" w:rsidP="00B80956">
      <w:pPr>
        <w:spacing w:line="360" w:lineRule="auto"/>
        <w:jc w:val="both"/>
        <w:rPr>
          <w:rFonts w:cs="Arial"/>
        </w:rPr>
      </w:pPr>
    </w:p>
    <w:p w14:paraId="4D5AD9E4" w14:textId="77777777" w:rsidR="00B80956" w:rsidRDefault="00B80956" w:rsidP="00B80956">
      <w:pPr>
        <w:spacing w:line="360" w:lineRule="auto"/>
        <w:jc w:val="both"/>
        <w:rPr>
          <w:rFonts w:cs="Arial"/>
        </w:rPr>
      </w:pPr>
    </w:p>
    <w:p w14:paraId="46C1DA07" w14:textId="77777777" w:rsidR="00B80956" w:rsidRDefault="00B80956" w:rsidP="00B80956">
      <w:pPr>
        <w:spacing w:line="360" w:lineRule="auto"/>
        <w:jc w:val="both"/>
        <w:rPr>
          <w:rFonts w:cs="Arial"/>
        </w:rPr>
      </w:pPr>
    </w:p>
    <w:p w14:paraId="5A8CF65F" w14:textId="77777777" w:rsidR="00B80956" w:rsidRDefault="00B80956" w:rsidP="00B80956">
      <w:pPr>
        <w:spacing w:line="360" w:lineRule="auto"/>
        <w:jc w:val="both"/>
        <w:rPr>
          <w:rFonts w:cs="Arial"/>
        </w:rPr>
      </w:pPr>
    </w:p>
    <w:p w14:paraId="60007A8B" w14:textId="77777777" w:rsidR="00B80956" w:rsidRDefault="00B80956" w:rsidP="00B80956">
      <w:pPr>
        <w:spacing w:line="360" w:lineRule="auto"/>
        <w:jc w:val="both"/>
        <w:rPr>
          <w:rFonts w:cs="Arial"/>
        </w:rPr>
      </w:pPr>
    </w:p>
    <w:p w14:paraId="6912EC09" w14:textId="77777777" w:rsidR="00B80956" w:rsidRDefault="00B80956" w:rsidP="00B80956">
      <w:pPr>
        <w:spacing w:line="360" w:lineRule="auto"/>
        <w:jc w:val="both"/>
        <w:rPr>
          <w:rFonts w:cs="Arial"/>
        </w:rPr>
      </w:pPr>
    </w:p>
    <w:p w14:paraId="7C02C393" w14:textId="77777777" w:rsidR="00B80956" w:rsidRDefault="00B80956" w:rsidP="00B80956">
      <w:pPr>
        <w:spacing w:line="360" w:lineRule="auto"/>
        <w:jc w:val="both"/>
        <w:rPr>
          <w:rFonts w:cs="Arial"/>
        </w:rPr>
      </w:pPr>
    </w:p>
    <w:p w14:paraId="702B9E26" w14:textId="77777777" w:rsidR="00B80956" w:rsidRDefault="00B80956" w:rsidP="00B80956">
      <w:pPr>
        <w:spacing w:line="360" w:lineRule="auto"/>
        <w:jc w:val="both"/>
        <w:rPr>
          <w:rFonts w:cs="Arial"/>
        </w:rPr>
      </w:pPr>
    </w:p>
    <w:p w14:paraId="68E235CC" w14:textId="77777777" w:rsidR="00B80956" w:rsidRDefault="00B80956" w:rsidP="00B80956">
      <w:pPr>
        <w:spacing w:line="360" w:lineRule="auto"/>
        <w:jc w:val="both"/>
        <w:rPr>
          <w:rFonts w:cs="Arial"/>
        </w:rPr>
      </w:pPr>
    </w:p>
    <w:p w14:paraId="740D9C97" w14:textId="77777777" w:rsidR="00B80956" w:rsidRDefault="00B80956" w:rsidP="00B80956">
      <w:pPr>
        <w:spacing w:line="360" w:lineRule="auto"/>
        <w:jc w:val="both"/>
        <w:rPr>
          <w:rFonts w:cs="Arial"/>
        </w:rPr>
      </w:pPr>
    </w:p>
    <w:p w14:paraId="441D1399" w14:textId="77777777" w:rsidR="00B80956" w:rsidRPr="0054394D" w:rsidRDefault="00B80956" w:rsidP="00510CCD">
      <w:pPr>
        <w:pStyle w:val="Heading1"/>
      </w:pPr>
    </w:p>
    <w:p w14:paraId="183DE98C" w14:textId="1292F78A" w:rsidR="00466503" w:rsidRPr="00510CCD" w:rsidRDefault="00466503" w:rsidP="003D10B1">
      <w:pPr>
        <w:pStyle w:val="Heading1"/>
        <w:numPr>
          <w:ilvl w:val="0"/>
          <w:numId w:val="6"/>
        </w:numPr>
        <w:rPr>
          <w:rFonts w:cs="Arial"/>
          <w:szCs w:val="28"/>
        </w:rPr>
      </w:pPr>
      <w:bookmarkStart w:id="1" w:name="_Toc193962509"/>
      <w:r w:rsidRPr="00510CCD">
        <w:rPr>
          <w:rFonts w:cs="Arial"/>
          <w:szCs w:val="28"/>
        </w:rPr>
        <w:t>Introduction</w:t>
      </w:r>
      <w:bookmarkEnd w:id="1"/>
      <w:r w:rsidRPr="00510CCD">
        <w:rPr>
          <w:rFonts w:cs="Arial"/>
          <w:szCs w:val="28"/>
        </w:rPr>
        <w:t xml:space="preserve"> </w:t>
      </w:r>
    </w:p>
    <w:p w14:paraId="480B166F" w14:textId="07A090AA" w:rsidR="006A2F1B" w:rsidRPr="0054394D" w:rsidRDefault="006A2F1B" w:rsidP="00B80956">
      <w:pPr>
        <w:spacing w:line="360" w:lineRule="auto"/>
        <w:jc w:val="both"/>
        <w:rPr>
          <w:rFonts w:cs="Arial"/>
        </w:rPr>
      </w:pPr>
      <w:r w:rsidRPr="0054394D">
        <w:rPr>
          <w:rFonts w:cs="Arial"/>
        </w:rPr>
        <w:t>In an increasingly globalized market, strategic partnerships between companies from diverse cultural backgrounds are becoming more common</w:t>
      </w:r>
      <w:r w:rsidR="00510CCD">
        <w:rPr>
          <w:rFonts w:cs="Arial"/>
        </w:rPr>
        <w:t xml:space="preserve"> </w:t>
      </w:r>
      <w:r w:rsidRPr="0054394D">
        <w:rPr>
          <w:rFonts w:cs="Arial"/>
        </w:rPr>
        <w:t xml:space="preserve">and more complex. </w:t>
      </w:r>
      <w:r w:rsidRPr="003D10B1">
        <w:rPr>
          <w:rFonts w:cs="Arial"/>
          <w:b/>
          <w:bCs/>
        </w:rPr>
        <w:t>Admiral Group PLC</w:t>
      </w:r>
      <w:r w:rsidRPr="0054394D">
        <w:rPr>
          <w:rFonts w:cs="Arial"/>
        </w:rPr>
        <w:t xml:space="preserve">, a UK-based leader in the car insurance industry, has recently entered a partnership with </w:t>
      </w:r>
      <w:r w:rsidRPr="003D10B1">
        <w:rPr>
          <w:rFonts w:cs="Arial"/>
          <w:b/>
          <w:bCs/>
        </w:rPr>
        <w:t>Rakuten</w:t>
      </w:r>
      <w:r w:rsidRPr="0054394D">
        <w:rPr>
          <w:rFonts w:cs="Arial"/>
        </w:rPr>
        <w:t>, one of Japan’s most prominent digital services companies, with the goal of co-developing innovative insurance products for the Asian market. While such collaborations offer immense potential, they also bring a range of challenges, particularly in cross-cultural communication. The effectiveness of joint projects depends not only on shared business goals, but also on the ability of team members to navigate differences in communication style, workplace behaviour, and decision-making processes.</w:t>
      </w:r>
    </w:p>
    <w:p w14:paraId="0A85EA86" w14:textId="6C688194" w:rsidR="00466503" w:rsidRPr="0054394D" w:rsidRDefault="006A2F1B" w:rsidP="00B80956">
      <w:pPr>
        <w:spacing w:line="360" w:lineRule="auto"/>
        <w:jc w:val="both"/>
        <w:rPr>
          <w:rFonts w:cs="Arial"/>
        </w:rPr>
      </w:pPr>
      <w:r w:rsidRPr="0054394D">
        <w:rPr>
          <w:rFonts w:cs="Arial"/>
        </w:rPr>
        <w:t>This essay explores how divergent communication practices between UK and Japanese teams can lead to misunderstanding or inefficiency, especially when cultural norms are not fully understood or acknowledged. The analysis draws on several theoretical frameworks, including Hofstede’s cultural dimensions, Hall’s high- and low-context communication theory, and Trompenaars and Hampden-Turner’s seven dimensions of culture. These models offer valuable insight into how culture shapes workplace interaction and provide a foundation for identifying and addressing potential sources of miscommunication. The essay will also offer practical recommendations for improving communication between multinational teams, with a view to enhancing collaboration and project outcomes within the Admiral-Rakuten partnership.</w:t>
      </w:r>
    </w:p>
    <w:p w14:paraId="164610E4" w14:textId="2813EE17" w:rsidR="00A252B9" w:rsidRPr="000407F3" w:rsidRDefault="00B80956" w:rsidP="000407F3">
      <w:pPr>
        <w:pStyle w:val="Heading1"/>
      </w:pPr>
      <w:bookmarkStart w:id="2" w:name="_Toc193962510"/>
      <w:r w:rsidRPr="000407F3">
        <w:t>2</w:t>
      </w:r>
      <w:r w:rsidR="00A252B9" w:rsidRPr="000407F3">
        <w:t>. Cultural Foundations of International Team Communication</w:t>
      </w:r>
      <w:bookmarkEnd w:id="2"/>
    </w:p>
    <w:p w14:paraId="1902C3E3" w14:textId="1B22AB8A" w:rsidR="00A252B9" w:rsidRPr="00A252B9" w:rsidRDefault="00A252B9" w:rsidP="00B80956">
      <w:pPr>
        <w:spacing w:line="360" w:lineRule="auto"/>
        <w:jc w:val="both"/>
        <w:rPr>
          <w:rFonts w:cs="Arial"/>
        </w:rPr>
      </w:pPr>
      <w:r w:rsidRPr="00A252B9">
        <w:rPr>
          <w:rFonts w:cs="Arial"/>
        </w:rPr>
        <w:t>In today’s global business landscape, working across borders is no longer a novelty</w:t>
      </w:r>
      <w:r w:rsidR="00510CCD">
        <w:rPr>
          <w:rFonts w:cs="Arial"/>
        </w:rPr>
        <w:t xml:space="preserve"> </w:t>
      </w:r>
      <w:r w:rsidRPr="00A252B9">
        <w:rPr>
          <w:rFonts w:cs="Arial"/>
        </w:rPr>
        <w:t xml:space="preserve">it has become a strategic necessity for companies seeking growth and long-term relevance. International collaborations, such as the one between Admiral Group PLC and Rakuten, offer great opportunities for innovation, market access, and diverse expertise. However, these benefits are often accompanied by </w:t>
      </w:r>
      <w:r w:rsidR="00B053F0" w:rsidRPr="00B056B6">
        <w:rPr>
          <w:rFonts w:cs="Arial"/>
        </w:rPr>
        <w:t>several</w:t>
      </w:r>
      <w:r w:rsidRPr="00A252B9">
        <w:rPr>
          <w:rFonts w:cs="Arial"/>
        </w:rPr>
        <w:t xml:space="preserve"> cross-cultural challenges, particularly in how people from different backgrounds communicate and work together. A deep understanding of how culture shapes communication is </w:t>
      </w:r>
      <w:r w:rsidRPr="00A252B9">
        <w:rPr>
          <w:rFonts w:cs="Arial"/>
        </w:rPr>
        <w:lastRenderedPageBreak/>
        <w:t xml:space="preserve">essential to avoid misunderstandings, ensure productivity, and foster trust in multinational teams </w:t>
      </w:r>
      <w:r w:rsidR="00BF35BE" w:rsidRPr="00BF35BE">
        <w:rPr>
          <w:rFonts w:cs="Arial"/>
        </w:rPr>
        <w:t>(Sahadevan and Sumangala, 2021)</w:t>
      </w:r>
      <w:r w:rsidR="00BF35BE">
        <w:rPr>
          <w:rFonts w:cs="Arial"/>
        </w:rPr>
        <w:t>.</w:t>
      </w:r>
    </w:p>
    <w:p w14:paraId="1A2192C4" w14:textId="50938604" w:rsidR="00A252B9" w:rsidRPr="00A252B9" w:rsidRDefault="00A252B9" w:rsidP="00B80956">
      <w:pPr>
        <w:spacing w:line="360" w:lineRule="auto"/>
        <w:jc w:val="both"/>
        <w:rPr>
          <w:rFonts w:cs="Arial"/>
        </w:rPr>
      </w:pPr>
      <w:r w:rsidRPr="00A252B9">
        <w:rPr>
          <w:rFonts w:cs="Arial"/>
        </w:rPr>
        <w:t xml:space="preserve">One of the most significant cultural distinctions between the United Kingdom and Japan is their communication style. In Japanese business culture, communication is often indirect and relies on non-verbal cues, such as tone, silence, and facial expressions. This method, referred to as </w:t>
      </w:r>
      <w:r w:rsidRPr="00A252B9">
        <w:rPr>
          <w:rFonts w:cs="Arial"/>
          <w:b/>
          <w:bCs/>
        </w:rPr>
        <w:t>high-context communication</w:t>
      </w:r>
      <w:r w:rsidRPr="00A252B9">
        <w:rPr>
          <w:rFonts w:cs="Arial"/>
        </w:rPr>
        <w:t xml:space="preserve">, assumes that the listener can interpret subtle meanings based on context (Hall, 1976; Gudykunst, 2003). In contrast, the British communication style is typically </w:t>
      </w:r>
      <w:r w:rsidR="00CA325F" w:rsidRPr="003B70F9">
        <w:rPr>
          <w:rFonts w:cs="Arial"/>
          <w:b/>
          <w:bCs/>
        </w:rPr>
        <w:t>low context</w:t>
      </w:r>
      <w:r w:rsidRPr="00A252B9">
        <w:rPr>
          <w:rFonts w:cs="Arial"/>
        </w:rPr>
        <w:t>, meaning that individuals are expected to be clear, direct, and explicit when speaking. This divergence can lead to serious miscommunication. For instance, a Japanese employee may avoid saying "no" during a meeting to preserve harmony, while a British colleague might mistakenly interpret this silence or hesitation as agreement. Such differences can have real consequences, particularly in decision-making, task delegation, and problem-solving (Haghirian, 2010).</w:t>
      </w:r>
    </w:p>
    <w:p w14:paraId="15081EA1" w14:textId="1A6FB881" w:rsidR="00A252B9" w:rsidRPr="00A252B9" w:rsidRDefault="00A252B9" w:rsidP="00B80956">
      <w:pPr>
        <w:spacing w:line="360" w:lineRule="auto"/>
        <w:jc w:val="both"/>
        <w:rPr>
          <w:rFonts w:cs="Arial"/>
        </w:rPr>
      </w:pPr>
      <w:r w:rsidRPr="00A252B9">
        <w:rPr>
          <w:rFonts w:cs="Arial"/>
        </w:rPr>
        <w:t xml:space="preserve">Another vital area influenced by culture is time management. Professionals in the UK usually adopt a </w:t>
      </w:r>
      <w:r w:rsidRPr="00A252B9">
        <w:rPr>
          <w:rFonts w:cs="Arial"/>
          <w:b/>
          <w:bCs/>
        </w:rPr>
        <w:t>monochronic view of time</w:t>
      </w:r>
      <w:r w:rsidRPr="00A252B9">
        <w:rPr>
          <w:rFonts w:cs="Arial"/>
        </w:rPr>
        <w:t xml:space="preserve">, treating it as linear and structured. Meetings are scheduled with strict start and end times, and deadlines are viewed as firm and non-negotiable. In contrast, while Japanese organisations also value punctuality, they often follow a </w:t>
      </w:r>
      <w:r w:rsidRPr="00A252B9">
        <w:rPr>
          <w:rFonts w:cs="Arial"/>
          <w:b/>
          <w:bCs/>
        </w:rPr>
        <w:t>polychronic approach</w:t>
      </w:r>
      <w:r w:rsidRPr="00A252B9">
        <w:rPr>
          <w:rFonts w:cs="Arial"/>
        </w:rPr>
        <w:t>, where multiple tasks are juggled at once and relationship-building may take precedence over rigid schedules (</w:t>
      </w:r>
      <w:r w:rsidR="002D2A7B" w:rsidRPr="00790F26">
        <w:rPr>
          <w:rFonts w:cs="Arial"/>
        </w:rPr>
        <w:t>Sell, 2019</w:t>
      </w:r>
      <w:r w:rsidRPr="00A252B9">
        <w:rPr>
          <w:rFonts w:cs="Arial"/>
        </w:rPr>
        <w:t>). This can cause friction in cross-cultural teams. British staff might view their Japanese counterparts as slow or indecisive, whereas Japanese employees could feel that the British side is rushing through discussions without adequate consensus. Such mismatched expectations around time can significantly affect project pacing and team morale.</w:t>
      </w:r>
    </w:p>
    <w:p w14:paraId="738BCD84" w14:textId="097EFEC8" w:rsidR="00A252B9" w:rsidRPr="00A252B9" w:rsidRDefault="00A252B9" w:rsidP="00B80956">
      <w:pPr>
        <w:spacing w:line="360" w:lineRule="auto"/>
        <w:jc w:val="both"/>
        <w:rPr>
          <w:rFonts w:cs="Arial"/>
        </w:rPr>
      </w:pPr>
      <w:r w:rsidRPr="00A252B9">
        <w:rPr>
          <w:rFonts w:cs="Arial"/>
          <w:b/>
          <w:bCs/>
        </w:rPr>
        <w:t>Feedback and conflict resolution</w:t>
      </w:r>
      <w:r w:rsidRPr="00A252B9">
        <w:rPr>
          <w:rFonts w:cs="Arial"/>
        </w:rPr>
        <w:t xml:space="preserve"> styles also vary widely across cultures. In Japanese workplaces, maintaining group harmony is a top priority. As a result, direct criticism, especially in public settings, is often avoided. Instead, feedback tends to be delivered in private and is carefully worded to avoid offending the other party </w:t>
      </w:r>
      <w:r w:rsidR="009A641D" w:rsidRPr="00790F26">
        <w:rPr>
          <w:rFonts w:cs="Arial"/>
        </w:rPr>
        <w:t>(Lee-Kelley and Sankey, 2008)</w:t>
      </w:r>
      <w:r w:rsidRPr="00A252B9">
        <w:rPr>
          <w:rFonts w:cs="Arial"/>
        </w:rPr>
        <w:t>. Conversely, in the UK, it is generally acceptable</w:t>
      </w:r>
      <w:r w:rsidR="00510CCD">
        <w:rPr>
          <w:rFonts w:cs="Arial"/>
        </w:rPr>
        <w:t xml:space="preserve"> </w:t>
      </w:r>
      <w:r w:rsidRPr="00A252B9">
        <w:rPr>
          <w:rFonts w:cs="Arial"/>
        </w:rPr>
        <w:t>even expected</w:t>
      </w:r>
      <w:r w:rsidR="00510CCD">
        <w:rPr>
          <w:rFonts w:cs="Arial"/>
        </w:rPr>
        <w:t xml:space="preserve"> </w:t>
      </w:r>
      <w:r w:rsidRPr="00A252B9">
        <w:rPr>
          <w:rFonts w:cs="Arial"/>
        </w:rPr>
        <w:t xml:space="preserve">to offer constructive criticism openly. This is seen as an opportunity for professional development and is often valued for its transparency. If these differences </w:t>
      </w:r>
      <w:r w:rsidRPr="00A252B9">
        <w:rPr>
          <w:rFonts w:cs="Arial"/>
        </w:rPr>
        <w:lastRenderedPageBreak/>
        <w:t>are not acknowledged, British feedback might come across as harsh or disrespectful, while Japanese feedback could be dismissed as vague or non-committal. Without mutual understanding, both sides risk undermining team relationships and performance goals.</w:t>
      </w:r>
    </w:p>
    <w:p w14:paraId="555848A6" w14:textId="2922ADAA" w:rsidR="00A252B9" w:rsidRPr="00A252B9" w:rsidRDefault="00A252B9" w:rsidP="00B80956">
      <w:pPr>
        <w:spacing w:line="360" w:lineRule="auto"/>
        <w:jc w:val="both"/>
        <w:rPr>
          <w:rFonts w:cs="Arial"/>
        </w:rPr>
      </w:pPr>
      <w:r w:rsidRPr="00A252B9">
        <w:rPr>
          <w:rFonts w:cs="Arial"/>
        </w:rPr>
        <w:t xml:space="preserve">Cultural attitudes toward </w:t>
      </w:r>
      <w:r w:rsidRPr="00A252B9">
        <w:rPr>
          <w:rFonts w:cs="Arial"/>
          <w:b/>
          <w:bCs/>
        </w:rPr>
        <w:t>hierarchy and authority</w:t>
      </w:r>
      <w:r w:rsidRPr="00A252B9">
        <w:rPr>
          <w:rFonts w:cs="Arial"/>
        </w:rPr>
        <w:t xml:space="preserve"> further influence how teams operate. In Japanese companies, workplace culture tends to be </w:t>
      </w:r>
      <w:r w:rsidRPr="00A252B9">
        <w:rPr>
          <w:rFonts w:cs="Arial"/>
          <w:b/>
          <w:bCs/>
        </w:rPr>
        <w:t>hierarchical</w:t>
      </w:r>
      <w:r w:rsidRPr="00A252B9">
        <w:rPr>
          <w:rFonts w:cs="Arial"/>
        </w:rPr>
        <w:t>, with a strong emphasis on seniority and respect for authority. Junior employees are often expected to listen rather than speak, especially in the presence of managers. In contrast, UK-based organisations generally promote a more egalitarian environment, encouraging all team members</w:t>
      </w:r>
      <w:r w:rsidR="00510CCD">
        <w:rPr>
          <w:rFonts w:cs="Arial"/>
        </w:rPr>
        <w:t xml:space="preserve"> </w:t>
      </w:r>
      <w:r w:rsidRPr="00A252B9">
        <w:rPr>
          <w:rFonts w:cs="Arial"/>
        </w:rPr>
        <w:t>regardless of rank</w:t>
      </w:r>
      <w:r w:rsidR="00510CCD">
        <w:rPr>
          <w:rFonts w:cs="Arial"/>
        </w:rPr>
        <w:t xml:space="preserve"> </w:t>
      </w:r>
      <w:r w:rsidRPr="00A252B9">
        <w:rPr>
          <w:rFonts w:cs="Arial"/>
        </w:rPr>
        <w:t>to participate in discussions and offer suggestions (Trompenaars and Hampden-Turner, 20</w:t>
      </w:r>
      <w:r w:rsidR="006A79A5" w:rsidRPr="00790F26">
        <w:rPr>
          <w:rFonts w:cs="Arial"/>
        </w:rPr>
        <w:t>20</w:t>
      </w:r>
      <w:r w:rsidRPr="00A252B9">
        <w:rPr>
          <w:rFonts w:cs="Arial"/>
        </w:rPr>
        <w:t>). This can lead to misunderstandings. British professionals might interpret Japanese silence as disinterest, while Japanese staff may view British assertiveness as lacking in proper decorum. These differences affect how ideas are shared, how conflict is addressed, and ultimately, how effective collaboration can be.</w:t>
      </w:r>
    </w:p>
    <w:p w14:paraId="36E7E059" w14:textId="7FBC7821" w:rsidR="00A252B9" w:rsidRPr="00A252B9" w:rsidRDefault="00A252B9" w:rsidP="00B80956">
      <w:pPr>
        <w:spacing w:line="360" w:lineRule="auto"/>
        <w:jc w:val="both"/>
        <w:rPr>
          <w:rFonts w:cs="Arial"/>
        </w:rPr>
      </w:pPr>
      <w:r w:rsidRPr="00A252B9">
        <w:rPr>
          <w:rFonts w:cs="Arial"/>
        </w:rPr>
        <w:t xml:space="preserve">To navigate these differences successfully, organisations must develop and promote </w:t>
      </w:r>
      <w:r w:rsidRPr="00A252B9">
        <w:rPr>
          <w:rFonts w:cs="Arial"/>
          <w:b/>
          <w:bCs/>
        </w:rPr>
        <w:t>cultural intelligence (CQ).</w:t>
      </w:r>
      <w:r w:rsidRPr="00A252B9">
        <w:rPr>
          <w:rFonts w:cs="Arial"/>
        </w:rPr>
        <w:t xml:space="preserve"> This refers to the ability to understand, interpret, and adapt to different cultural contexts (</w:t>
      </w:r>
      <w:r w:rsidR="0062151C" w:rsidRPr="00790F26">
        <w:rPr>
          <w:rFonts w:cs="Arial"/>
        </w:rPr>
        <w:t>Paiuc</w:t>
      </w:r>
      <w:r w:rsidRPr="00A252B9">
        <w:rPr>
          <w:rFonts w:cs="Arial"/>
        </w:rPr>
        <w:t>, 2021). Leaders with high cultural intelligence are more likely to create environments where diverse team members feel understood, included, and empowered. One useful strategy is to implement hybrid communication practices. This means balancing verbal communication (like meetings and video calls) with written follow-ups (such as emails or shared documents). This not only reinforces clarity but also gives team members time to reflect</w:t>
      </w:r>
      <w:r w:rsidR="00510CCD">
        <w:rPr>
          <w:rFonts w:cs="Arial"/>
        </w:rPr>
        <w:t xml:space="preserve"> </w:t>
      </w:r>
      <w:r w:rsidRPr="00A252B9">
        <w:rPr>
          <w:rFonts w:cs="Arial"/>
        </w:rPr>
        <w:t>especially those from high-context cultures who prefer to consider their responses carefully.</w:t>
      </w:r>
    </w:p>
    <w:p w14:paraId="78967A37" w14:textId="40F231F7" w:rsidR="00A252B9" w:rsidRPr="00A252B9" w:rsidRDefault="00A252B9" w:rsidP="00B80956">
      <w:pPr>
        <w:spacing w:line="360" w:lineRule="auto"/>
        <w:jc w:val="both"/>
        <w:rPr>
          <w:rFonts w:cs="Arial"/>
        </w:rPr>
      </w:pPr>
      <w:r w:rsidRPr="00A252B9">
        <w:rPr>
          <w:rFonts w:cs="Arial"/>
          <w:b/>
          <w:bCs/>
        </w:rPr>
        <w:t>Technology</w:t>
      </w:r>
      <w:r w:rsidRPr="00A252B9">
        <w:rPr>
          <w:rFonts w:cs="Arial"/>
        </w:rPr>
        <w:t xml:space="preserve"> can also support cross-cultural communication. Platforms like Slack, Microsoft Teams, or project management tools such as Asana allow for asynchronous collaboration, which is especially helpful in teams with different time zones or communication styles. Japanese professionals, for example, may appreciate the chance to respond after reviewing a written message thoroughly, rather than being put on the spot in a live meeting</w:t>
      </w:r>
      <w:r w:rsidR="00E12A04" w:rsidRPr="003F39D0">
        <w:rPr>
          <w:rFonts w:cs="Arial"/>
        </w:rPr>
        <w:t xml:space="preserve"> </w:t>
      </w:r>
      <w:r w:rsidR="003F39D0" w:rsidRPr="003F39D0">
        <w:rPr>
          <w:rFonts w:cs="Arial"/>
        </w:rPr>
        <w:t>(Thomas and Peterson, 2016)</w:t>
      </w:r>
      <w:r w:rsidRPr="00A252B9">
        <w:rPr>
          <w:rFonts w:cs="Arial"/>
        </w:rPr>
        <w:t>.</w:t>
      </w:r>
    </w:p>
    <w:p w14:paraId="3FDB7F8D" w14:textId="6912D6EB" w:rsidR="00A252B9" w:rsidRPr="00A252B9" w:rsidRDefault="00A252B9" w:rsidP="00B80956">
      <w:pPr>
        <w:spacing w:line="360" w:lineRule="auto"/>
        <w:jc w:val="both"/>
        <w:rPr>
          <w:rFonts w:cs="Arial"/>
        </w:rPr>
      </w:pPr>
      <w:r w:rsidRPr="00A252B9">
        <w:rPr>
          <w:rFonts w:cs="Arial"/>
        </w:rPr>
        <w:t xml:space="preserve">In addition, organisations should consider using </w:t>
      </w:r>
      <w:r w:rsidRPr="00A252B9">
        <w:rPr>
          <w:rFonts w:cs="Arial"/>
          <w:b/>
          <w:bCs/>
        </w:rPr>
        <w:t>structured feedback mechanisms</w:t>
      </w:r>
      <w:r w:rsidRPr="00A252B9">
        <w:rPr>
          <w:rFonts w:cs="Arial"/>
        </w:rPr>
        <w:t xml:space="preserve"> that respect cultural sensitivities. Anonymous surveys, private check-ins, and one-on-</w:t>
      </w:r>
      <w:r w:rsidRPr="00A252B9">
        <w:rPr>
          <w:rFonts w:cs="Arial"/>
        </w:rPr>
        <w:lastRenderedPageBreak/>
        <w:t>one performance reviews provide alternative channels for giving and receiving feedback. This helps avoid the discomfort associated with public critiques and ensures that important issues are still addressed</w:t>
      </w:r>
      <w:r w:rsidR="00453D5A">
        <w:rPr>
          <w:rFonts w:cs="Arial"/>
        </w:rPr>
        <w:t xml:space="preserve"> </w:t>
      </w:r>
      <w:r w:rsidR="00E12A04">
        <w:rPr>
          <w:rFonts w:cs="Arial"/>
        </w:rPr>
        <w:t>(</w:t>
      </w:r>
      <w:r w:rsidR="00E12A04" w:rsidRPr="00E12A04">
        <w:rPr>
          <w:rFonts w:cs="Arial"/>
        </w:rPr>
        <w:t>Spitzberg and Changnon</w:t>
      </w:r>
      <w:r w:rsidR="00E12A04">
        <w:rPr>
          <w:rFonts w:cs="Arial"/>
        </w:rPr>
        <w:t xml:space="preserve">, </w:t>
      </w:r>
      <w:r w:rsidR="00E12A04" w:rsidRPr="00E12A04">
        <w:rPr>
          <w:rFonts w:cs="Arial"/>
        </w:rPr>
        <w:t>2009)</w:t>
      </w:r>
      <w:r w:rsidRPr="00A252B9">
        <w:rPr>
          <w:rFonts w:cs="Arial"/>
        </w:rPr>
        <w:t>.</w:t>
      </w:r>
    </w:p>
    <w:p w14:paraId="62B90988" w14:textId="7F3167B4" w:rsidR="00A252B9" w:rsidRPr="00A252B9" w:rsidRDefault="00A252B9" w:rsidP="00B80956">
      <w:pPr>
        <w:spacing w:line="360" w:lineRule="auto"/>
        <w:jc w:val="both"/>
        <w:rPr>
          <w:rFonts w:cs="Arial"/>
        </w:rPr>
      </w:pPr>
      <w:r w:rsidRPr="00A252B9">
        <w:rPr>
          <w:rFonts w:cs="Arial"/>
        </w:rPr>
        <w:t xml:space="preserve">Establishing </w:t>
      </w:r>
      <w:r w:rsidRPr="00A252B9">
        <w:rPr>
          <w:rFonts w:cs="Arial"/>
          <w:b/>
          <w:bCs/>
        </w:rPr>
        <w:t>shared team values</w:t>
      </w:r>
      <w:r w:rsidRPr="00A252B9">
        <w:rPr>
          <w:rFonts w:cs="Arial"/>
        </w:rPr>
        <w:t xml:space="preserve"> is another step toward cultural integration. When teams explicitly agree to uphold values such as respect, open-mindedness, collaboration, and patience, it creates a shared sense of purpose. This not only reduces the likelihood of cultural conflict but also strengthens team cohesion</w:t>
      </w:r>
      <w:r w:rsidR="00453D5A">
        <w:rPr>
          <w:rFonts w:cs="Arial"/>
        </w:rPr>
        <w:t xml:space="preserve"> </w:t>
      </w:r>
      <w:r w:rsidR="00453D5A" w:rsidRPr="00453D5A">
        <w:rPr>
          <w:rFonts w:cs="Arial"/>
        </w:rPr>
        <w:t>(Hampden-Turner and Trompenaars, 2020)</w:t>
      </w:r>
      <w:r w:rsidRPr="00A252B9">
        <w:rPr>
          <w:rFonts w:cs="Arial"/>
        </w:rPr>
        <w:t>.</w:t>
      </w:r>
    </w:p>
    <w:p w14:paraId="6FAF80EB" w14:textId="4EB2DA4B" w:rsidR="00A252B9" w:rsidRPr="00A252B9" w:rsidRDefault="00A252B9" w:rsidP="00B80956">
      <w:pPr>
        <w:spacing w:line="360" w:lineRule="auto"/>
        <w:jc w:val="both"/>
        <w:rPr>
          <w:rFonts w:cs="Arial"/>
        </w:rPr>
      </w:pPr>
      <w:r w:rsidRPr="00A252B9">
        <w:rPr>
          <w:rFonts w:cs="Arial"/>
        </w:rPr>
        <w:t xml:space="preserve">Ultimately, </w:t>
      </w:r>
      <w:r w:rsidRPr="00A252B9">
        <w:rPr>
          <w:rFonts w:cs="Arial"/>
          <w:b/>
          <w:bCs/>
        </w:rPr>
        <w:t>understanding and managing cultural differences</w:t>
      </w:r>
      <w:r w:rsidRPr="00A252B9">
        <w:rPr>
          <w:rFonts w:cs="Arial"/>
        </w:rPr>
        <w:t xml:space="preserve"> in communication is not just about avoiding conflict</w:t>
      </w:r>
      <w:r w:rsidR="00510CCD">
        <w:rPr>
          <w:rFonts w:cs="Arial"/>
        </w:rPr>
        <w:t xml:space="preserve"> </w:t>
      </w:r>
      <w:r w:rsidRPr="00A252B9">
        <w:rPr>
          <w:rFonts w:cs="Arial"/>
        </w:rPr>
        <w:t>it’s about unlocking the full potential of diverse teams. When companies like Admiral and Rakuten invest in cultural awareness and inclusive practices, they lay the groundwork for more successful and sustainable international collaborations. Communication, when approached with respect and adaptability, becomes a tool for building trust, efficiency, and shared success</w:t>
      </w:r>
      <w:r w:rsidR="003F39D0">
        <w:rPr>
          <w:rFonts w:cs="Arial"/>
        </w:rPr>
        <w:t xml:space="preserve"> </w:t>
      </w:r>
      <w:r w:rsidR="003F39D0" w:rsidRPr="00A252B9">
        <w:rPr>
          <w:rFonts w:cs="Arial"/>
        </w:rPr>
        <w:t>(</w:t>
      </w:r>
      <w:r w:rsidR="003F39D0" w:rsidRPr="00790F26">
        <w:rPr>
          <w:rFonts w:cs="Arial"/>
        </w:rPr>
        <w:t>Paiuc</w:t>
      </w:r>
      <w:r w:rsidR="003F39D0" w:rsidRPr="00A252B9">
        <w:rPr>
          <w:rFonts w:cs="Arial"/>
        </w:rPr>
        <w:t>, 2021)</w:t>
      </w:r>
      <w:r w:rsidRPr="00A252B9">
        <w:rPr>
          <w:rFonts w:cs="Arial"/>
        </w:rPr>
        <w:t>.</w:t>
      </w:r>
    </w:p>
    <w:p w14:paraId="3AF1A165" w14:textId="547BAFCB" w:rsidR="00A252B9" w:rsidRPr="000407F3" w:rsidRDefault="00B80956" w:rsidP="000407F3">
      <w:pPr>
        <w:pStyle w:val="Heading1"/>
      </w:pPr>
      <w:bookmarkStart w:id="3" w:name="_Toc193962511"/>
      <w:r w:rsidRPr="000407F3">
        <w:t>3</w:t>
      </w:r>
      <w:r w:rsidR="00A252B9" w:rsidRPr="000407F3">
        <w:t>. Communication Challenges in the Admiral-Rakuten Partnership</w:t>
      </w:r>
      <w:bookmarkEnd w:id="3"/>
    </w:p>
    <w:p w14:paraId="62C97A6E" w14:textId="0E08277F" w:rsidR="00A252B9" w:rsidRPr="00A252B9" w:rsidRDefault="00A252B9" w:rsidP="00B80956">
      <w:pPr>
        <w:spacing w:line="360" w:lineRule="auto"/>
        <w:jc w:val="both"/>
        <w:rPr>
          <w:rFonts w:cs="Arial"/>
        </w:rPr>
      </w:pPr>
      <w:r w:rsidRPr="00A252B9">
        <w:rPr>
          <w:rFonts w:cs="Arial"/>
        </w:rPr>
        <w:t>The partnership between Admiral Group PLC and Rakuten is more than just a joint venture</w:t>
      </w:r>
      <w:r w:rsidR="00510CCD">
        <w:rPr>
          <w:rFonts w:cs="Arial"/>
        </w:rPr>
        <w:t xml:space="preserve"> </w:t>
      </w:r>
      <w:r w:rsidRPr="00A252B9">
        <w:rPr>
          <w:rFonts w:cs="Arial"/>
        </w:rPr>
        <w:t xml:space="preserve">it’s an opportunity to bridge two very different cultural approaches to business. As both organisations develop new car insurance products for the Asian market, their success will depend heavily on how well they can communicate across these cultural divides. Without strong intercultural awareness, communication can easily become a source of conflict, frustration, or inefficiency </w:t>
      </w:r>
      <w:r w:rsidR="00BF35BE" w:rsidRPr="00553A53">
        <w:rPr>
          <w:rFonts w:cs="Arial"/>
        </w:rPr>
        <w:t xml:space="preserve">(Sahadevan and Sumangala, 2021). </w:t>
      </w:r>
    </w:p>
    <w:p w14:paraId="666AA686" w14:textId="77777777" w:rsidR="00A252B9" w:rsidRPr="00553A53" w:rsidRDefault="00A252B9" w:rsidP="00B80956">
      <w:pPr>
        <w:spacing w:line="360" w:lineRule="auto"/>
        <w:jc w:val="both"/>
        <w:rPr>
          <w:rFonts w:cs="Arial"/>
        </w:rPr>
      </w:pPr>
      <w:r w:rsidRPr="00A252B9">
        <w:rPr>
          <w:rFonts w:cs="Arial"/>
        </w:rPr>
        <w:t>One of the main issues is how the two cultures interpret messages. Japanese communication often involves reading between the lines, with employees relying on tone, silence, and shared understanding to avoid confrontation. Meanwhile, British team members tend to use direct, open expression and expect others to do the same (Hall, 1976; Gudykunst, 2003). When these two styles meet, misinterpretation is likely. A British colleague might believe a decision has been agreed upon when their Japanese counterpart was simply being polite or non-committal (Haghirian, 2010).</w:t>
      </w:r>
    </w:p>
    <w:p w14:paraId="1DBC2E2C" w14:textId="0E74A38A" w:rsidR="00CC3B0C" w:rsidRDefault="00CC3B0C" w:rsidP="00B80956">
      <w:pPr>
        <w:spacing w:line="360" w:lineRule="auto"/>
        <w:jc w:val="both"/>
        <w:rPr>
          <w:rFonts w:cs="Arial"/>
        </w:rPr>
      </w:pPr>
      <w:r w:rsidRPr="00CC3B0C">
        <w:rPr>
          <w:rFonts w:cs="Arial"/>
          <w:noProof/>
        </w:rPr>
        <w:lastRenderedPageBreak/>
        <w:drawing>
          <wp:inline distT="0" distB="0" distL="0" distR="0" wp14:anchorId="2BB29C0F" wp14:editId="465586CA">
            <wp:extent cx="5731510" cy="3629025"/>
            <wp:effectExtent l="0" t="0" r="2540" b="9525"/>
            <wp:docPr id="623576892"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576892" name="Picture 1" descr="A graph of different colored bars&#10;&#10;AI-generated content may be incorrect."/>
                    <pic:cNvPicPr/>
                  </pic:nvPicPr>
                  <pic:blipFill>
                    <a:blip r:embed="rId9"/>
                    <a:stretch>
                      <a:fillRect/>
                    </a:stretch>
                  </pic:blipFill>
                  <pic:spPr>
                    <a:xfrm>
                      <a:off x="0" y="0"/>
                      <a:ext cx="5731510" cy="3629025"/>
                    </a:xfrm>
                    <a:prstGeom prst="rect">
                      <a:avLst/>
                    </a:prstGeom>
                  </pic:spPr>
                </pic:pic>
              </a:graphicData>
            </a:graphic>
          </wp:inline>
        </w:drawing>
      </w:r>
    </w:p>
    <w:p w14:paraId="3573EC24" w14:textId="79A925CF" w:rsidR="00CC3B0C" w:rsidRPr="00A252B9" w:rsidRDefault="000B6E0B" w:rsidP="00B80956">
      <w:pPr>
        <w:spacing w:line="360" w:lineRule="auto"/>
        <w:jc w:val="both"/>
        <w:rPr>
          <w:rFonts w:cs="Arial"/>
        </w:rPr>
      </w:pPr>
      <w:r w:rsidRPr="00A252B9">
        <w:rPr>
          <w:rFonts w:cs="Arial"/>
        </w:rPr>
        <w:t>(Hofstede Insights, 202</w:t>
      </w:r>
      <w:r>
        <w:rPr>
          <w:rFonts w:cs="Arial"/>
        </w:rPr>
        <w:t>5</w:t>
      </w:r>
      <w:r w:rsidRPr="00A252B9">
        <w:rPr>
          <w:rFonts w:cs="Arial"/>
        </w:rPr>
        <w:t>)</w:t>
      </w:r>
    </w:p>
    <w:p w14:paraId="24835758" w14:textId="7DC1B29A" w:rsidR="00A252B9" w:rsidRPr="00A252B9" w:rsidRDefault="00A252B9" w:rsidP="00B80956">
      <w:pPr>
        <w:spacing w:line="360" w:lineRule="auto"/>
        <w:jc w:val="both"/>
        <w:rPr>
          <w:rFonts w:cs="Arial"/>
        </w:rPr>
      </w:pPr>
      <w:r w:rsidRPr="00A252B9">
        <w:rPr>
          <w:rFonts w:cs="Arial"/>
        </w:rPr>
        <w:t xml:space="preserve">Using </w:t>
      </w:r>
      <w:r w:rsidRPr="00A252B9">
        <w:rPr>
          <w:rFonts w:cs="Arial"/>
          <w:b/>
          <w:bCs/>
        </w:rPr>
        <w:t>Hofstede’s dimensions</w:t>
      </w:r>
      <w:r w:rsidRPr="00A252B9">
        <w:rPr>
          <w:rFonts w:cs="Arial"/>
        </w:rPr>
        <w:t xml:space="preserve">, we see more sources of friction. </w:t>
      </w:r>
      <w:r w:rsidRPr="00A252B9">
        <w:rPr>
          <w:rFonts w:cs="Arial"/>
          <w:b/>
          <w:bCs/>
        </w:rPr>
        <w:t>The UK’s high individualism</w:t>
      </w:r>
      <w:r w:rsidRPr="00A252B9">
        <w:rPr>
          <w:rFonts w:cs="Arial"/>
        </w:rPr>
        <w:t xml:space="preserve"> suggests a focus on independence and personal initiative, whereas </w:t>
      </w:r>
      <w:r w:rsidRPr="00A252B9">
        <w:rPr>
          <w:rFonts w:cs="Arial"/>
          <w:b/>
          <w:bCs/>
        </w:rPr>
        <w:t>Japan values group alignment</w:t>
      </w:r>
      <w:r w:rsidRPr="00A252B9">
        <w:rPr>
          <w:rFonts w:cs="Arial"/>
        </w:rPr>
        <w:t xml:space="preserve"> and team consensus (Hofstede Insights, 20</w:t>
      </w:r>
      <w:r w:rsidR="00F54F48">
        <w:rPr>
          <w:rFonts w:cs="Arial"/>
        </w:rPr>
        <w:t>10</w:t>
      </w:r>
      <w:r w:rsidRPr="00A252B9">
        <w:rPr>
          <w:rFonts w:cs="Arial"/>
        </w:rPr>
        <w:t>). This can create an imbalance in meetings, where British employees readily contribute, while Japanese staff may hold back unless specifically asked. These dynamics don’t indicate disengagement but reflect deep cultural norms around respect, humility, and collective responsibility.</w:t>
      </w:r>
    </w:p>
    <w:p w14:paraId="5DBA9DB0" w14:textId="0986CEDD" w:rsidR="00A252B9" w:rsidRPr="00A252B9" w:rsidRDefault="00A252B9" w:rsidP="00510CCD">
      <w:pPr>
        <w:spacing w:line="360" w:lineRule="auto"/>
        <w:jc w:val="both"/>
        <w:rPr>
          <w:rFonts w:cs="Arial"/>
        </w:rPr>
      </w:pPr>
      <w:r w:rsidRPr="00A252B9">
        <w:rPr>
          <w:rFonts w:cs="Arial"/>
          <w:b/>
          <w:bCs/>
        </w:rPr>
        <w:t>Uncertainty avoidance</w:t>
      </w:r>
      <w:r w:rsidRPr="00A252B9">
        <w:rPr>
          <w:rFonts w:cs="Arial"/>
        </w:rPr>
        <w:t xml:space="preserve"> is another crucial dimension. Japanese teams tend to be more </w:t>
      </w:r>
      <w:r w:rsidRPr="00A252B9">
        <w:rPr>
          <w:rFonts w:cs="Arial"/>
          <w:b/>
          <w:bCs/>
        </w:rPr>
        <w:t>risk-averse</w:t>
      </w:r>
      <w:r w:rsidRPr="00A252B9">
        <w:rPr>
          <w:rFonts w:cs="Arial"/>
        </w:rPr>
        <w:t>, preferring detailed structures, planning, and clear expectations. British professionals are more accustomed to navigating ambiguity and adapting as new information emerges (Hofstede Insights, 20</w:t>
      </w:r>
      <w:r w:rsidR="00F54F48">
        <w:rPr>
          <w:rFonts w:cs="Arial"/>
        </w:rPr>
        <w:t>10</w:t>
      </w:r>
      <w:r w:rsidRPr="00A252B9">
        <w:rPr>
          <w:rFonts w:cs="Arial"/>
        </w:rPr>
        <w:t>). In practice, this means a British team might view a Japanese team’s requests for clarity as overcautious, while the Japanese side could perceive flexibility as disorganised.</w:t>
      </w:r>
    </w:p>
    <w:p w14:paraId="5B405728" w14:textId="5BF1F8E2" w:rsidR="00A252B9" w:rsidRPr="00A252B9" w:rsidRDefault="00A252B9" w:rsidP="00510CCD">
      <w:pPr>
        <w:spacing w:line="360" w:lineRule="auto"/>
        <w:jc w:val="both"/>
        <w:rPr>
          <w:rFonts w:cs="Arial"/>
        </w:rPr>
      </w:pPr>
      <w:r w:rsidRPr="00A252B9">
        <w:rPr>
          <w:rFonts w:cs="Arial"/>
        </w:rPr>
        <w:t xml:space="preserve">The role of </w:t>
      </w:r>
      <w:r w:rsidRPr="00A252B9">
        <w:rPr>
          <w:rFonts w:cs="Arial"/>
          <w:b/>
          <w:bCs/>
        </w:rPr>
        <w:t>hierarchy</w:t>
      </w:r>
      <w:r w:rsidRPr="00A252B9">
        <w:rPr>
          <w:rFonts w:cs="Arial"/>
        </w:rPr>
        <w:t xml:space="preserve"> in communication also matters. Japanese organisations often operate with a clear structure where seniority defines who speaks and when. In the UK, conversations in the workplace are typically more informal and inclusive (Trompenaars and Hampden-Turner, 20</w:t>
      </w:r>
      <w:r w:rsidR="006A79A5">
        <w:rPr>
          <w:rFonts w:cs="Arial"/>
        </w:rPr>
        <w:t>20</w:t>
      </w:r>
      <w:r w:rsidRPr="00A252B9">
        <w:rPr>
          <w:rFonts w:cs="Arial"/>
        </w:rPr>
        <w:t xml:space="preserve">). If these norms are not addressed, UK </w:t>
      </w:r>
      <w:r w:rsidRPr="00A252B9">
        <w:rPr>
          <w:rFonts w:cs="Arial"/>
        </w:rPr>
        <w:lastRenderedPageBreak/>
        <w:t>managers may feel puzzled by a lack of contribution from Japanese colleagues, while Japanese staff may feel uncomfortable challenging authority figures, even subtly.</w:t>
      </w:r>
    </w:p>
    <w:p w14:paraId="4E5C7ACA" w14:textId="12956F9C" w:rsidR="00A252B9" w:rsidRPr="00A252B9" w:rsidRDefault="00A252B9" w:rsidP="00B80956">
      <w:pPr>
        <w:spacing w:line="360" w:lineRule="auto"/>
        <w:jc w:val="both"/>
        <w:rPr>
          <w:rFonts w:cs="Arial"/>
        </w:rPr>
      </w:pPr>
      <w:r w:rsidRPr="00A252B9">
        <w:rPr>
          <w:rFonts w:cs="Arial"/>
        </w:rPr>
        <w:t xml:space="preserve">To build stronger communication, Admiral and Rakuten must take </w:t>
      </w:r>
      <w:r w:rsidRPr="00A252B9">
        <w:rPr>
          <w:rFonts w:cs="Arial"/>
          <w:b/>
          <w:bCs/>
        </w:rPr>
        <w:t>intentional steps</w:t>
      </w:r>
      <w:r w:rsidRPr="00A252B9">
        <w:rPr>
          <w:rFonts w:cs="Arial"/>
        </w:rPr>
        <w:t xml:space="preserve">. First, they should conduct </w:t>
      </w:r>
      <w:r w:rsidRPr="00A252B9">
        <w:rPr>
          <w:rFonts w:cs="Arial"/>
          <w:b/>
          <w:bCs/>
        </w:rPr>
        <w:t>practical intercultural training</w:t>
      </w:r>
      <w:r w:rsidRPr="00A252B9">
        <w:rPr>
          <w:rFonts w:cs="Arial"/>
        </w:rPr>
        <w:t xml:space="preserve"> that includes role-playing, real-life examples, and collaborative problem-solving. This helps move beyond generalities and gives teams tools they can apply directly. These sessions should emphasise that silence, hesitation, or deference may signal reflection or respect</w:t>
      </w:r>
      <w:r w:rsidR="00510CCD">
        <w:rPr>
          <w:rFonts w:cs="Arial"/>
        </w:rPr>
        <w:t xml:space="preserve"> </w:t>
      </w:r>
      <w:r w:rsidRPr="00A252B9">
        <w:rPr>
          <w:rFonts w:cs="Arial"/>
        </w:rPr>
        <w:t>not disinterest.</w:t>
      </w:r>
    </w:p>
    <w:p w14:paraId="4CDF6861" w14:textId="55740BEA" w:rsidR="00A252B9" w:rsidRPr="00A252B9" w:rsidRDefault="00A252B9" w:rsidP="00B80956">
      <w:pPr>
        <w:spacing w:line="360" w:lineRule="auto"/>
        <w:jc w:val="both"/>
        <w:rPr>
          <w:rFonts w:cs="Arial"/>
        </w:rPr>
      </w:pPr>
      <w:r w:rsidRPr="00A252B9">
        <w:rPr>
          <w:rFonts w:cs="Arial"/>
        </w:rPr>
        <w:t xml:space="preserve">Second, </w:t>
      </w:r>
      <w:r w:rsidRPr="00A252B9">
        <w:rPr>
          <w:rFonts w:cs="Arial"/>
          <w:b/>
          <w:bCs/>
        </w:rPr>
        <w:t>cultural liaisons</w:t>
      </w:r>
      <w:r w:rsidR="00510CCD">
        <w:rPr>
          <w:rFonts w:cs="Arial"/>
        </w:rPr>
        <w:t xml:space="preserve"> </w:t>
      </w:r>
      <w:r w:rsidRPr="00A252B9">
        <w:rPr>
          <w:rFonts w:cs="Arial"/>
        </w:rPr>
        <w:t>people who understand both business environments</w:t>
      </w:r>
      <w:r w:rsidR="00510CCD">
        <w:rPr>
          <w:rFonts w:cs="Arial"/>
        </w:rPr>
        <w:t xml:space="preserve"> </w:t>
      </w:r>
      <w:r w:rsidRPr="00A252B9">
        <w:rPr>
          <w:rFonts w:cs="Arial"/>
        </w:rPr>
        <w:t xml:space="preserve">can help bridge gaps in tone, expectations, and feedback delivery. These individuals serve as interpreters of meaning and mediators when confusion arises. They can ensure that messages are not just translated </w:t>
      </w:r>
      <w:r w:rsidR="00CC3B0C" w:rsidRPr="00A252B9">
        <w:rPr>
          <w:rFonts w:cs="Arial"/>
        </w:rPr>
        <w:t>literally but</w:t>
      </w:r>
      <w:r w:rsidRPr="00A252B9">
        <w:rPr>
          <w:rFonts w:cs="Arial"/>
        </w:rPr>
        <w:t xml:space="preserve"> are also adjusted for cultural nuance.</w:t>
      </w:r>
    </w:p>
    <w:p w14:paraId="31B438A4" w14:textId="77777777" w:rsidR="00A252B9" w:rsidRPr="00A252B9" w:rsidRDefault="00A252B9" w:rsidP="00B80956">
      <w:pPr>
        <w:spacing w:line="360" w:lineRule="auto"/>
        <w:jc w:val="both"/>
        <w:rPr>
          <w:rFonts w:cs="Arial"/>
        </w:rPr>
      </w:pPr>
      <w:r w:rsidRPr="00A252B9">
        <w:rPr>
          <w:rFonts w:cs="Arial"/>
        </w:rPr>
        <w:t xml:space="preserve">Third, Admiral and Rakuten should adopt a </w:t>
      </w:r>
      <w:r w:rsidRPr="00A252B9">
        <w:rPr>
          <w:rFonts w:cs="Arial"/>
          <w:b/>
          <w:bCs/>
        </w:rPr>
        <w:t>dual-channel communication system</w:t>
      </w:r>
      <w:r w:rsidRPr="00A252B9">
        <w:rPr>
          <w:rFonts w:cs="Arial"/>
        </w:rPr>
        <w:t xml:space="preserve">. For example, verbal updates can be paired with written summaries that clarify key points. This method supports both direct and reflective styles of communication and creates shared reference points. Encouraging </w:t>
      </w:r>
      <w:r w:rsidRPr="00A252B9">
        <w:rPr>
          <w:rFonts w:cs="Arial"/>
          <w:b/>
          <w:bCs/>
        </w:rPr>
        <w:t>post-meeting reflections</w:t>
      </w:r>
      <w:r w:rsidRPr="00A252B9">
        <w:rPr>
          <w:rFonts w:cs="Arial"/>
        </w:rPr>
        <w:t xml:space="preserve"> or feedback forms can also help Japanese team members who may feel more comfortable offering insights privately.</w:t>
      </w:r>
    </w:p>
    <w:p w14:paraId="69EDB887" w14:textId="77777777" w:rsidR="00A252B9" w:rsidRPr="00A252B9" w:rsidRDefault="00A252B9" w:rsidP="00B80956">
      <w:pPr>
        <w:spacing w:line="360" w:lineRule="auto"/>
        <w:jc w:val="both"/>
        <w:rPr>
          <w:rFonts w:cs="Arial"/>
        </w:rPr>
      </w:pPr>
      <w:r w:rsidRPr="00A252B9">
        <w:rPr>
          <w:rFonts w:cs="Arial"/>
          <w:b/>
          <w:bCs/>
        </w:rPr>
        <w:t>Technology</w:t>
      </w:r>
      <w:r w:rsidRPr="00A252B9">
        <w:rPr>
          <w:rFonts w:cs="Arial"/>
        </w:rPr>
        <w:t xml:space="preserve"> plays a role too. Shared platforms like </w:t>
      </w:r>
      <w:r w:rsidRPr="00A252B9">
        <w:rPr>
          <w:rFonts w:cs="Arial"/>
          <w:b/>
          <w:bCs/>
        </w:rPr>
        <w:t>Microsoft Teams</w:t>
      </w:r>
      <w:r w:rsidRPr="00A252B9">
        <w:rPr>
          <w:rFonts w:cs="Arial"/>
        </w:rPr>
        <w:t xml:space="preserve">, </w:t>
      </w:r>
      <w:r w:rsidRPr="00A252B9">
        <w:rPr>
          <w:rFonts w:cs="Arial"/>
          <w:b/>
          <w:bCs/>
        </w:rPr>
        <w:t>Google Docs</w:t>
      </w:r>
      <w:r w:rsidRPr="00A252B9">
        <w:rPr>
          <w:rFonts w:cs="Arial"/>
        </w:rPr>
        <w:t xml:space="preserve">, and </w:t>
      </w:r>
      <w:r w:rsidRPr="00A252B9">
        <w:rPr>
          <w:rFonts w:cs="Arial"/>
          <w:b/>
          <w:bCs/>
        </w:rPr>
        <w:t>Asana</w:t>
      </w:r>
      <w:r w:rsidRPr="00A252B9">
        <w:rPr>
          <w:rFonts w:cs="Arial"/>
        </w:rPr>
        <w:t xml:space="preserve"> allow equal access to information and reduce the need for real-time responses. Asynchronous tools also provide space for thoughtful input, helping avoid misunderstandings due to cultural speed or response styles.</w:t>
      </w:r>
    </w:p>
    <w:p w14:paraId="5FCD01C9" w14:textId="77777777" w:rsidR="00A252B9" w:rsidRPr="00A252B9" w:rsidRDefault="00A252B9" w:rsidP="00B80956">
      <w:pPr>
        <w:spacing w:line="360" w:lineRule="auto"/>
        <w:jc w:val="both"/>
        <w:rPr>
          <w:rFonts w:cs="Arial"/>
        </w:rPr>
      </w:pPr>
      <w:r w:rsidRPr="00A252B9">
        <w:rPr>
          <w:rFonts w:cs="Arial"/>
        </w:rPr>
        <w:t xml:space="preserve">Encouraging </w:t>
      </w:r>
      <w:r w:rsidRPr="00A252B9">
        <w:rPr>
          <w:rFonts w:cs="Arial"/>
          <w:b/>
          <w:bCs/>
        </w:rPr>
        <w:t>smaller breakout sessions</w:t>
      </w:r>
      <w:r w:rsidRPr="00A252B9">
        <w:rPr>
          <w:rFonts w:cs="Arial"/>
        </w:rPr>
        <w:t xml:space="preserve"> can promote equal participation. Japanese team members may be more willing to share ideas in small groups than in full meetings. These settings allow more balanced discussion and build confidence.</w:t>
      </w:r>
    </w:p>
    <w:p w14:paraId="56CA67B1" w14:textId="006965A6" w:rsidR="00A252B9" w:rsidRPr="00A252B9" w:rsidRDefault="00A252B9" w:rsidP="00B80956">
      <w:pPr>
        <w:spacing w:line="360" w:lineRule="auto"/>
        <w:jc w:val="both"/>
        <w:rPr>
          <w:rFonts w:cs="Arial"/>
        </w:rPr>
      </w:pPr>
      <w:r w:rsidRPr="00A252B9">
        <w:rPr>
          <w:rFonts w:cs="Arial"/>
        </w:rPr>
        <w:t xml:space="preserve">Ultimately, successful collaboration between Admiral and Rakuten depends on a </w:t>
      </w:r>
      <w:r w:rsidRPr="00A252B9">
        <w:rPr>
          <w:rFonts w:cs="Arial"/>
          <w:b/>
          <w:bCs/>
        </w:rPr>
        <w:t>mutual willingness to learn and adapt</w:t>
      </w:r>
      <w:r w:rsidRPr="00A252B9">
        <w:rPr>
          <w:rFonts w:cs="Arial"/>
        </w:rPr>
        <w:t>. Communication is not just about speaking</w:t>
      </w:r>
      <w:r w:rsidR="00510CCD">
        <w:rPr>
          <w:rFonts w:cs="Arial"/>
        </w:rPr>
        <w:t xml:space="preserve"> </w:t>
      </w:r>
      <w:r w:rsidRPr="00A252B9">
        <w:rPr>
          <w:rFonts w:cs="Arial"/>
        </w:rPr>
        <w:t xml:space="preserve">it’s about listening, interpreting, and adjusting. By acknowledging their differences and developing practical strategies to manage them, both companies can turn cultural diversity into a </w:t>
      </w:r>
      <w:r w:rsidRPr="00A252B9">
        <w:rPr>
          <w:rFonts w:cs="Arial"/>
          <w:b/>
          <w:bCs/>
        </w:rPr>
        <w:t>strategic advantage</w:t>
      </w:r>
      <w:r w:rsidRPr="00A252B9">
        <w:rPr>
          <w:rFonts w:cs="Arial"/>
        </w:rPr>
        <w:t xml:space="preserve"> rather than a barrier.</w:t>
      </w:r>
    </w:p>
    <w:p w14:paraId="6DDCB460" w14:textId="5F70791B" w:rsidR="0054394D" w:rsidRPr="0046508D" w:rsidRDefault="0046508D" w:rsidP="0046508D">
      <w:pPr>
        <w:pStyle w:val="Heading1"/>
      </w:pPr>
      <w:bookmarkStart w:id="4" w:name="_Toc193962512"/>
      <w:r>
        <w:lastRenderedPageBreak/>
        <w:t xml:space="preserve">4. </w:t>
      </w:r>
      <w:r w:rsidR="0054394D" w:rsidRPr="0046508D">
        <w:t>Strategic Leadership Plan for Admiral-Rakuten Cross-Cultural Collaboration</w:t>
      </w:r>
      <w:bookmarkEnd w:id="4"/>
    </w:p>
    <w:p w14:paraId="02D6C81E" w14:textId="7384017F" w:rsidR="0054394D" w:rsidRPr="0054394D" w:rsidRDefault="0054394D" w:rsidP="00B80956">
      <w:pPr>
        <w:spacing w:line="360" w:lineRule="auto"/>
        <w:jc w:val="both"/>
        <w:rPr>
          <w:rFonts w:cs="Arial"/>
        </w:rPr>
      </w:pPr>
      <w:r w:rsidRPr="0054394D">
        <w:rPr>
          <w:rFonts w:cs="Arial"/>
        </w:rPr>
        <w:t>As Country Director at Admiral Group PLC, my responsibility is to lead a joint team of UK and Japanese employees following our partnership with Rakuten. Our goal is to develop and launch innovative car insurance products for the Asian market. Given the cultural differences in communication, feedback, and decision-making styles, a structured communication plan is vital to ensure collaboration, alignment, and successful implementation.</w:t>
      </w:r>
    </w:p>
    <w:p w14:paraId="04086FEC" w14:textId="5E89B177" w:rsidR="0054394D" w:rsidRPr="0054394D" w:rsidRDefault="0054394D" w:rsidP="00B80956">
      <w:pPr>
        <w:spacing w:line="360" w:lineRule="auto"/>
        <w:jc w:val="both"/>
        <w:rPr>
          <w:rFonts w:cs="Arial"/>
        </w:rPr>
      </w:pPr>
      <w:r w:rsidRPr="0054394D">
        <w:rPr>
          <w:rFonts w:cs="Arial"/>
        </w:rPr>
        <w:t xml:space="preserve">A key part of this strategy involves </w:t>
      </w:r>
      <w:r w:rsidRPr="00C912FA">
        <w:rPr>
          <w:rFonts w:cs="Arial"/>
          <w:b/>
          <w:bCs/>
        </w:rPr>
        <w:t>appointing bilingual or bicultural team facilitators who understand both communication styles</w:t>
      </w:r>
      <w:r w:rsidRPr="0054394D">
        <w:rPr>
          <w:rFonts w:cs="Arial"/>
        </w:rPr>
        <w:t>. These individuals help interpret tone, gestures, and intent—crucial in high-context cultures like Japan. Bird and Mendenhall highlight that culturally fluent leaders are essential in global teams, especially for managing misunderstandings and facilitating respectful dialogue (2016).</w:t>
      </w:r>
    </w:p>
    <w:p w14:paraId="526C6F46" w14:textId="1FA560CF" w:rsidR="0054394D" w:rsidRPr="0054394D" w:rsidRDefault="0054394D" w:rsidP="007C38EF">
      <w:pPr>
        <w:spacing w:line="360" w:lineRule="auto"/>
        <w:jc w:val="both"/>
        <w:rPr>
          <w:rFonts w:cs="Arial"/>
        </w:rPr>
      </w:pPr>
      <w:r w:rsidRPr="0054394D">
        <w:rPr>
          <w:rFonts w:cs="Arial"/>
        </w:rPr>
        <w:t xml:space="preserve">To meet the needs of both UK and Japanese staff, it is important to </w:t>
      </w:r>
      <w:r w:rsidRPr="00C912FA">
        <w:rPr>
          <w:rFonts w:cs="Arial"/>
          <w:b/>
          <w:bCs/>
        </w:rPr>
        <w:t>use dual communication channels</w:t>
      </w:r>
      <w:r w:rsidRPr="0054394D">
        <w:rPr>
          <w:rFonts w:cs="Arial"/>
        </w:rPr>
        <w:t>. This means combining real-time meetings with written summaries and collaborative tools. As Tenzer et al. (20</w:t>
      </w:r>
      <w:r w:rsidR="007C38EF">
        <w:rPr>
          <w:rFonts w:cs="Arial"/>
        </w:rPr>
        <w:t>13</w:t>
      </w:r>
      <w:r w:rsidRPr="0054394D">
        <w:rPr>
          <w:rFonts w:cs="Arial"/>
        </w:rPr>
        <w:t>) explain, this approach helps reduce ambiguity in multicultural teams by balancing clarity with flexibility.</w:t>
      </w:r>
    </w:p>
    <w:p w14:paraId="7E025CB6" w14:textId="26AF1B1B" w:rsidR="0054394D" w:rsidRPr="0054394D" w:rsidRDefault="0054394D" w:rsidP="00B80956">
      <w:pPr>
        <w:spacing w:line="360" w:lineRule="auto"/>
        <w:jc w:val="both"/>
        <w:rPr>
          <w:rFonts w:cs="Arial"/>
        </w:rPr>
      </w:pPr>
      <w:r w:rsidRPr="0054394D">
        <w:rPr>
          <w:rFonts w:cs="Arial"/>
        </w:rPr>
        <w:t xml:space="preserve">The plan also recommends </w:t>
      </w:r>
      <w:r w:rsidRPr="00C912FA">
        <w:rPr>
          <w:rFonts w:cs="Arial"/>
          <w:b/>
          <w:bCs/>
        </w:rPr>
        <w:t>introducing cultural training based on real-life project scenarios.</w:t>
      </w:r>
      <w:r w:rsidRPr="0054394D">
        <w:rPr>
          <w:rFonts w:cs="Arial"/>
        </w:rPr>
        <w:t xml:space="preserve"> Rather than general awareness sessions, the training should simulate decision-making and feedback exchanges. This method helps teams recognise cultural blind spots and adjust their behaviours (</w:t>
      </w:r>
      <w:r w:rsidR="00027784" w:rsidRPr="00552A80">
        <w:t>Phuong-Mai</w:t>
      </w:r>
      <w:r w:rsidR="00027784">
        <w:t xml:space="preserve">, </w:t>
      </w:r>
      <w:r w:rsidR="00027784" w:rsidRPr="00552A80">
        <w:t>Terlouw, Pilot, &amp; Elliott</w:t>
      </w:r>
      <w:r w:rsidR="007B5B27">
        <w:t xml:space="preserve">, </w:t>
      </w:r>
      <w:r w:rsidR="00027784" w:rsidRPr="00552A80">
        <w:t>2009</w:t>
      </w:r>
      <w:r w:rsidRPr="0054394D">
        <w:rPr>
          <w:rFonts w:cs="Arial"/>
        </w:rPr>
        <w:t>). Such preparation builds empathy and supports adaptability across the project’s lifecycle.</w:t>
      </w:r>
    </w:p>
    <w:p w14:paraId="446EEAEA" w14:textId="0BA2E9F5" w:rsidR="0054394D" w:rsidRPr="0054394D" w:rsidRDefault="0054394D" w:rsidP="00B80956">
      <w:pPr>
        <w:spacing w:line="360" w:lineRule="auto"/>
        <w:jc w:val="both"/>
        <w:rPr>
          <w:rFonts w:cs="Arial"/>
        </w:rPr>
      </w:pPr>
      <w:r w:rsidRPr="00C912FA">
        <w:rPr>
          <w:rFonts w:cs="Arial"/>
          <w:b/>
          <w:bCs/>
        </w:rPr>
        <w:t>A shared communication charter should also be developed</w:t>
      </w:r>
      <w:r w:rsidRPr="0054394D">
        <w:rPr>
          <w:rFonts w:cs="Arial"/>
        </w:rPr>
        <w:t xml:space="preserve">. This would outline how meetings are conducted, how disagreement is expressed, and how roles are defined. Maznevski and Chudoba (2000) suggest that creating shared norms improves collaboration and ensures team </w:t>
      </w:r>
      <w:r w:rsidR="00510CCD" w:rsidRPr="0054394D">
        <w:rPr>
          <w:rFonts w:cs="Arial"/>
        </w:rPr>
        <w:t>consistency</w:t>
      </w:r>
      <w:r w:rsidR="00510CCD">
        <w:rPr>
          <w:rFonts w:cs="Arial"/>
        </w:rPr>
        <w:t>, even</w:t>
      </w:r>
      <w:r w:rsidRPr="0054394D">
        <w:rPr>
          <w:rFonts w:cs="Arial"/>
        </w:rPr>
        <w:t xml:space="preserve"> when participants are spread across borders.</w:t>
      </w:r>
    </w:p>
    <w:p w14:paraId="4AC1C2AB" w14:textId="77F00D83" w:rsidR="0054394D" w:rsidRPr="0054394D" w:rsidRDefault="0054394D" w:rsidP="00B80956">
      <w:pPr>
        <w:spacing w:line="360" w:lineRule="auto"/>
        <w:jc w:val="both"/>
        <w:rPr>
          <w:rFonts w:cs="Arial"/>
        </w:rPr>
      </w:pPr>
      <w:r w:rsidRPr="0054394D">
        <w:rPr>
          <w:rFonts w:cs="Arial"/>
        </w:rPr>
        <w:t xml:space="preserve">Additionally, Admiral and Rakuten should </w:t>
      </w:r>
      <w:r w:rsidRPr="00C912FA">
        <w:rPr>
          <w:rFonts w:cs="Arial"/>
          <w:b/>
          <w:bCs/>
        </w:rPr>
        <w:t>adopt digital tools</w:t>
      </w:r>
      <w:r w:rsidRPr="0054394D">
        <w:rPr>
          <w:rFonts w:cs="Arial"/>
        </w:rPr>
        <w:t xml:space="preserve"> like Trello, Microsoft Teams, or Notion to coordinate tasks and maintain transparency. These tools enable all team members to contribute equally and stay updated without relying on live </w:t>
      </w:r>
      <w:r w:rsidRPr="0054394D">
        <w:rPr>
          <w:rFonts w:cs="Arial"/>
        </w:rPr>
        <w:lastRenderedPageBreak/>
        <w:t>interaction. According to</w:t>
      </w:r>
      <w:r w:rsidR="00DB2F01" w:rsidRPr="00DB2F01">
        <w:t xml:space="preserve"> </w:t>
      </w:r>
      <w:r w:rsidR="00DB2F01" w:rsidRPr="006C0617">
        <w:t>Zhang</w:t>
      </w:r>
      <w:r w:rsidR="008B7305">
        <w:t xml:space="preserve"> and</w:t>
      </w:r>
      <w:r w:rsidR="00DB2F01" w:rsidRPr="006C0617">
        <w:t xml:space="preserve"> Tansuhaj</w:t>
      </w:r>
      <w:r w:rsidR="008B7305">
        <w:t xml:space="preserve"> </w:t>
      </w:r>
      <w:r w:rsidR="00DB2F01" w:rsidRPr="006C0617">
        <w:t>(2007),</w:t>
      </w:r>
      <w:r w:rsidRPr="0054394D">
        <w:rPr>
          <w:rFonts w:cs="Arial"/>
        </w:rPr>
        <w:t xml:space="preserve"> platforms that support asynchronous input improve participation and productivity in global teams</w:t>
      </w:r>
      <w:r w:rsidR="008B7305">
        <w:rPr>
          <w:rFonts w:cs="Arial"/>
        </w:rPr>
        <w:t xml:space="preserve">. </w:t>
      </w:r>
    </w:p>
    <w:p w14:paraId="2CE41A5D" w14:textId="363F20C9" w:rsidR="0054394D" w:rsidRPr="0054394D" w:rsidRDefault="0054394D" w:rsidP="00B80956">
      <w:pPr>
        <w:spacing w:line="360" w:lineRule="auto"/>
        <w:jc w:val="both"/>
        <w:rPr>
          <w:rFonts w:cs="Arial"/>
        </w:rPr>
      </w:pPr>
      <w:r w:rsidRPr="00C912FA">
        <w:rPr>
          <w:rFonts w:cs="Arial"/>
          <w:b/>
          <w:bCs/>
        </w:rPr>
        <w:t>Regular feedback loops are also essential</w:t>
      </w:r>
      <w:r w:rsidRPr="0054394D">
        <w:rPr>
          <w:rFonts w:cs="Arial"/>
        </w:rPr>
        <w:t>. Monthly retrospectives or quick surveys can help identify issues early and adjust communication practices over time. Stahl and Tung (201</w:t>
      </w:r>
      <w:r w:rsidR="00B16EB2">
        <w:rPr>
          <w:rFonts w:cs="Arial"/>
        </w:rPr>
        <w:t>4</w:t>
      </w:r>
      <w:r w:rsidRPr="0054394D">
        <w:rPr>
          <w:rFonts w:cs="Arial"/>
        </w:rPr>
        <w:t>) argue that continuous reflection is crucial in managing evolving team dynamics across cultures.</w:t>
      </w:r>
    </w:p>
    <w:p w14:paraId="7A003ACB" w14:textId="4D2A5F74" w:rsidR="0054394D" w:rsidRPr="0054394D" w:rsidRDefault="0054394D" w:rsidP="00B80956">
      <w:pPr>
        <w:spacing w:line="360" w:lineRule="auto"/>
        <w:jc w:val="both"/>
        <w:rPr>
          <w:rFonts w:cs="Arial"/>
        </w:rPr>
      </w:pPr>
      <w:r w:rsidRPr="0054394D">
        <w:rPr>
          <w:rFonts w:cs="Arial"/>
        </w:rPr>
        <w:t xml:space="preserve">Lastly, </w:t>
      </w:r>
      <w:r w:rsidRPr="00C912FA">
        <w:rPr>
          <w:rFonts w:cs="Arial"/>
          <w:b/>
          <w:bCs/>
        </w:rPr>
        <w:t>cultural inclusion should be embedded in team culture</w:t>
      </w:r>
      <w:r w:rsidRPr="0054394D">
        <w:rPr>
          <w:rFonts w:cs="Arial"/>
        </w:rPr>
        <w:t>. Celebrating both UK and Japanese holidays or acknowledging cultural contributions helps strengthen relationships and create a sense of shared purpose (Ochieng and Price, 2010).</w:t>
      </w:r>
    </w:p>
    <w:p w14:paraId="51B21638" w14:textId="75DC7D7F" w:rsidR="00A6605A" w:rsidRPr="0054394D" w:rsidRDefault="0054394D" w:rsidP="00B80956">
      <w:pPr>
        <w:spacing w:line="360" w:lineRule="auto"/>
        <w:jc w:val="both"/>
        <w:rPr>
          <w:rFonts w:cs="Arial"/>
        </w:rPr>
      </w:pPr>
      <w:r w:rsidRPr="0054394D">
        <w:rPr>
          <w:rFonts w:cs="Arial"/>
        </w:rPr>
        <w:t>In summary, this strategic plan equips Admiral and Rakuten with the tools to navigate cultural complexity. Through inclusive leadership, clear communication systems, and ongoing adaptation, the partnership is well-positioned to deliver innovation and achieve lasting success.</w:t>
      </w:r>
    </w:p>
    <w:p w14:paraId="41ECEA89" w14:textId="5556FBAE" w:rsidR="006C1434" w:rsidRPr="006C1434" w:rsidRDefault="006C1434" w:rsidP="000D65DD">
      <w:pPr>
        <w:pStyle w:val="Heading1"/>
        <w:numPr>
          <w:ilvl w:val="0"/>
          <w:numId w:val="7"/>
        </w:numPr>
      </w:pPr>
      <w:bookmarkStart w:id="5" w:name="_Toc193962513"/>
      <w:r w:rsidRPr="006C1434">
        <w:t>Conclusion</w:t>
      </w:r>
      <w:bookmarkEnd w:id="5"/>
    </w:p>
    <w:p w14:paraId="38EE6329" w14:textId="50974EC9" w:rsidR="006C1434" w:rsidRPr="006C1434" w:rsidRDefault="006C1434" w:rsidP="006C1434">
      <w:pPr>
        <w:spacing w:line="360" w:lineRule="auto"/>
        <w:jc w:val="both"/>
        <w:rPr>
          <w:rFonts w:cs="Arial"/>
        </w:rPr>
      </w:pPr>
      <w:r w:rsidRPr="006C1434">
        <w:rPr>
          <w:rFonts w:cs="Arial"/>
        </w:rPr>
        <w:t>The partnership between Admiral Group PLC and Rakuten represents a significant step in expanding into the Asian market and driving innovation in the car insurance industry. However, the success of this collaboration depends not only on shared strategic goals but also on the ability to manage cross-cultural communication effectively. As this essay has demonstrated, cultural differences between the UK and Japan</w:t>
      </w:r>
      <w:r w:rsidR="00510CCD">
        <w:rPr>
          <w:rFonts w:cs="Arial"/>
        </w:rPr>
        <w:t xml:space="preserve"> </w:t>
      </w:r>
      <w:r w:rsidRPr="006C1434">
        <w:rPr>
          <w:rFonts w:cs="Arial"/>
        </w:rPr>
        <w:t>ranging from communication styles and time orientation to attitudes toward hierarchy and feedback</w:t>
      </w:r>
      <w:r w:rsidR="00510CCD">
        <w:rPr>
          <w:rFonts w:cs="Arial"/>
        </w:rPr>
        <w:t xml:space="preserve"> </w:t>
      </w:r>
      <w:r w:rsidRPr="006C1434">
        <w:rPr>
          <w:rFonts w:cs="Arial"/>
        </w:rPr>
        <w:t>can impact team performance, decision-making, and collaboration.</w:t>
      </w:r>
    </w:p>
    <w:p w14:paraId="2C5EEA1F" w14:textId="77777777" w:rsidR="006C1434" w:rsidRPr="006C1434" w:rsidRDefault="006C1434" w:rsidP="006C1434">
      <w:pPr>
        <w:spacing w:line="360" w:lineRule="auto"/>
        <w:jc w:val="both"/>
        <w:rPr>
          <w:rFonts w:cs="Arial"/>
        </w:rPr>
      </w:pPr>
      <w:r w:rsidRPr="006C1434">
        <w:rPr>
          <w:rFonts w:cs="Arial"/>
        </w:rPr>
        <w:t>Applying theoretical frameworks such as Hofstede’s cultural dimensions, Hall’s context model, and Trompenaars’ seven dimensions of culture has provided valuable insights into these dynamics. These models help us understand why miscommunication occurs and how it can be resolved through increased cultural awareness and adaptability.</w:t>
      </w:r>
    </w:p>
    <w:p w14:paraId="50487303" w14:textId="77777777" w:rsidR="006C1434" w:rsidRPr="006C1434" w:rsidRDefault="006C1434" w:rsidP="006C1434">
      <w:pPr>
        <w:spacing w:line="360" w:lineRule="auto"/>
        <w:jc w:val="both"/>
        <w:rPr>
          <w:rFonts w:cs="Arial"/>
        </w:rPr>
      </w:pPr>
      <w:r w:rsidRPr="006C1434">
        <w:rPr>
          <w:rFonts w:cs="Arial"/>
        </w:rPr>
        <w:t xml:space="preserve">To lead such a multicultural team effectively, a strategic communication plan is essential. This involves appointing culturally fluent team leads, creating shared communication protocols, using digital collaboration tools, and offering targeted cultural training. These initiatives, when implemented thoughtfully, can bridge gaps, </w:t>
      </w:r>
      <w:r w:rsidRPr="006C1434">
        <w:rPr>
          <w:rFonts w:cs="Arial"/>
        </w:rPr>
        <w:lastRenderedPageBreak/>
        <w:t>reduce misunderstandings, and foster a more inclusive and productive work environment.</w:t>
      </w:r>
    </w:p>
    <w:p w14:paraId="06712C6F" w14:textId="1002CAE8" w:rsidR="006C1434" w:rsidRPr="006C1434" w:rsidRDefault="006C1434" w:rsidP="006C1434">
      <w:pPr>
        <w:spacing w:line="360" w:lineRule="auto"/>
        <w:jc w:val="both"/>
        <w:rPr>
          <w:rFonts w:cs="Arial"/>
        </w:rPr>
      </w:pPr>
      <w:r w:rsidRPr="006C1434">
        <w:rPr>
          <w:rFonts w:cs="Arial"/>
        </w:rPr>
        <w:t>As Country Director, my role is to ensure not only operational alignment but also cultural integration. By embracing cultural diversity as a strength rather than a barrier, Admiral and Rakuten can leverage their differences to fuel creativity, build trust, and deliver meaningful results. Ultimately, cross-cultural competence is not a supplementary skill</w:t>
      </w:r>
      <w:r w:rsidR="00510CCD">
        <w:rPr>
          <w:rFonts w:cs="Arial"/>
        </w:rPr>
        <w:t xml:space="preserve"> </w:t>
      </w:r>
      <w:r w:rsidRPr="006C1434">
        <w:rPr>
          <w:rFonts w:cs="Arial"/>
        </w:rPr>
        <w:t>it is a core leadership capability in today’s interconnected business world.</w:t>
      </w:r>
    </w:p>
    <w:p w14:paraId="089F248B" w14:textId="77777777" w:rsidR="00003B9C" w:rsidRDefault="00003B9C" w:rsidP="00B80956">
      <w:pPr>
        <w:spacing w:line="360" w:lineRule="auto"/>
        <w:jc w:val="both"/>
        <w:rPr>
          <w:rFonts w:cs="Arial"/>
        </w:rPr>
      </w:pPr>
    </w:p>
    <w:p w14:paraId="14C0D2D5" w14:textId="77777777" w:rsidR="00F35576" w:rsidRDefault="00F35576" w:rsidP="00B80956">
      <w:pPr>
        <w:spacing w:line="360" w:lineRule="auto"/>
        <w:jc w:val="both"/>
        <w:rPr>
          <w:rFonts w:cs="Arial"/>
        </w:rPr>
      </w:pPr>
    </w:p>
    <w:p w14:paraId="06B41E85" w14:textId="77777777" w:rsidR="00C912FA" w:rsidRDefault="00C912FA" w:rsidP="00B80956">
      <w:pPr>
        <w:spacing w:line="360" w:lineRule="auto"/>
        <w:jc w:val="both"/>
        <w:rPr>
          <w:rFonts w:cs="Arial"/>
        </w:rPr>
      </w:pPr>
    </w:p>
    <w:p w14:paraId="6BC29C55" w14:textId="77777777" w:rsidR="00C912FA" w:rsidRDefault="00C912FA" w:rsidP="00B80956">
      <w:pPr>
        <w:spacing w:line="360" w:lineRule="auto"/>
        <w:jc w:val="both"/>
        <w:rPr>
          <w:rFonts w:cs="Arial"/>
        </w:rPr>
      </w:pPr>
    </w:p>
    <w:p w14:paraId="6FBE3B69" w14:textId="77777777" w:rsidR="00C912FA" w:rsidRDefault="00C912FA" w:rsidP="00B80956">
      <w:pPr>
        <w:spacing w:line="360" w:lineRule="auto"/>
        <w:jc w:val="both"/>
        <w:rPr>
          <w:rFonts w:cs="Arial"/>
        </w:rPr>
      </w:pPr>
    </w:p>
    <w:p w14:paraId="6B15EA62" w14:textId="77777777" w:rsidR="00C912FA" w:rsidRDefault="00C912FA" w:rsidP="00B80956">
      <w:pPr>
        <w:spacing w:line="360" w:lineRule="auto"/>
        <w:jc w:val="both"/>
        <w:rPr>
          <w:rFonts w:cs="Arial"/>
        </w:rPr>
      </w:pPr>
    </w:p>
    <w:p w14:paraId="68647AFE" w14:textId="77777777" w:rsidR="00C912FA" w:rsidRDefault="00C912FA" w:rsidP="00B80956">
      <w:pPr>
        <w:spacing w:line="360" w:lineRule="auto"/>
        <w:jc w:val="both"/>
        <w:rPr>
          <w:rFonts w:cs="Arial"/>
        </w:rPr>
      </w:pPr>
    </w:p>
    <w:p w14:paraId="3C215292" w14:textId="77777777" w:rsidR="00C912FA" w:rsidRDefault="00C912FA" w:rsidP="00B80956">
      <w:pPr>
        <w:spacing w:line="360" w:lineRule="auto"/>
        <w:jc w:val="both"/>
        <w:rPr>
          <w:rFonts w:cs="Arial"/>
        </w:rPr>
      </w:pPr>
    </w:p>
    <w:p w14:paraId="1B01CA16" w14:textId="77777777" w:rsidR="00C912FA" w:rsidRDefault="00C912FA" w:rsidP="00B80956">
      <w:pPr>
        <w:spacing w:line="360" w:lineRule="auto"/>
        <w:jc w:val="both"/>
        <w:rPr>
          <w:rFonts w:cs="Arial"/>
        </w:rPr>
      </w:pPr>
    </w:p>
    <w:p w14:paraId="0F48E820" w14:textId="77777777" w:rsidR="00C912FA" w:rsidRDefault="00C912FA" w:rsidP="00B80956">
      <w:pPr>
        <w:spacing w:line="360" w:lineRule="auto"/>
        <w:jc w:val="both"/>
        <w:rPr>
          <w:rFonts w:cs="Arial"/>
        </w:rPr>
      </w:pPr>
    </w:p>
    <w:p w14:paraId="78699879" w14:textId="77777777" w:rsidR="00C912FA" w:rsidRDefault="00C912FA" w:rsidP="00B80956">
      <w:pPr>
        <w:spacing w:line="360" w:lineRule="auto"/>
        <w:jc w:val="both"/>
        <w:rPr>
          <w:rFonts w:cs="Arial"/>
        </w:rPr>
      </w:pPr>
    </w:p>
    <w:p w14:paraId="79195078" w14:textId="77777777" w:rsidR="00C912FA" w:rsidRDefault="00C912FA" w:rsidP="00B80956">
      <w:pPr>
        <w:spacing w:line="360" w:lineRule="auto"/>
        <w:jc w:val="both"/>
        <w:rPr>
          <w:rFonts w:cs="Arial"/>
        </w:rPr>
      </w:pPr>
    </w:p>
    <w:p w14:paraId="0516F1FE" w14:textId="77777777" w:rsidR="00C912FA" w:rsidRDefault="00C912FA" w:rsidP="00B80956">
      <w:pPr>
        <w:spacing w:line="360" w:lineRule="auto"/>
        <w:jc w:val="both"/>
        <w:rPr>
          <w:rFonts w:cs="Arial"/>
        </w:rPr>
      </w:pPr>
    </w:p>
    <w:p w14:paraId="4517B4EE" w14:textId="77777777" w:rsidR="00C912FA" w:rsidRDefault="00C912FA" w:rsidP="00B80956">
      <w:pPr>
        <w:spacing w:line="360" w:lineRule="auto"/>
        <w:jc w:val="both"/>
        <w:rPr>
          <w:rFonts w:cs="Arial"/>
        </w:rPr>
      </w:pPr>
    </w:p>
    <w:p w14:paraId="703CF499" w14:textId="77777777" w:rsidR="00F35576" w:rsidRDefault="00F35576" w:rsidP="00B80956">
      <w:pPr>
        <w:spacing w:line="360" w:lineRule="auto"/>
        <w:jc w:val="both"/>
        <w:rPr>
          <w:rFonts w:cs="Arial"/>
        </w:rPr>
      </w:pPr>
    </w:p>
    <w:p w14:paraId="73BCB35C" w14:textId="77777777" w:rsidR="00F35576" w:rsidRDefault="00F35576" w:rsidP="00B80956">
      <w:pPr>
        <w:spacing w:line="360" w:lineRule="auto"/>
        <w:jc w:val="both"/>
        <w:rPr>
          <w:rFonts w:cs="Arial"/>
        </w:rPr>
      </w:pPr>
    </w:p>
    <w:p w14:paraId="3837E251" w14:textId="77777777" w:rsidR="00F35576" w:rsidRDefault="00F35576" w:rsidP="00B80956">
      <w:pPr>
        <w:spacing w:line="360" w:lineRule="auto"/>
        <w:jc w:val="both"/>
        <w:rPr>
          <w:rFonts w:cs="Arial"/>
        </w:rPr>
      </w:pPr>
    </w:p>
    <w:p w14:paraId="2A5415D2" w14:textId="1531FEFF" w:rsidR="00F35576" w:rsidRDefault="00F35576" w:rsidP="000D65DD">
      <w:pPr>
        <w:pStyle w:val="Heading1"/>
        <w:numPr>
          <w:ilvl w:val="0"/>
          <w:numId w:val="7"/>
        </w:numPr>
      </w:pPr>
      <w:bookmarkStart w:id="6" w:name="_Toc193962514"/>
      <w:r>
        <w:lastRenderedPageBreak/>
        <w:t>References</w:t>
      </w:r>
      <w:bookmarkEnd w:id="6"/>
    </w:p>
    <w:p w14:paraId="6C880721" w14:textId="77777777" w:rsidR="00F35576" w:rsidRPr="007B4DC5" w:rsidRDefault="00F35576" w:rsidP="00F35576"/>
    <w:p w14:paraId="39867519" w14:textId="69C30AA5" w:rsidR="00F35576" w:rsidRPr="00EA3FEB" w:rsidRDefault="00F35576" w:rsidP="00510CCD">
      <w:pPr>
        <w:jc w:val="both"/>
      </w:pPr>
      <w:r w:rsidRPr="00EA3FEB">
        <w:t>Bird, A. and Mendenhall, M.E.,</w:t>
      </w:r>
      <w:r w:rsidR="008F7676">
        <w:t xml:space="preserve"> (</w:t>
      </w:r>
      <w:r w:rsidR="008F7676" w:rsidRPr="00EA3FEB">
        <w:t>2016</w:t>
      </w:r>
      <w:r w:rsidR="008F7676">
        <w:t>)</w:t>
      </w:r>
      <w:r w:rsidRPr="00EA3FEB">
        <w:t xml:space="preserve">. </w:t>
      </w:r>
      <w:r w:rsidR="004804F8">
        <w:t>‘</w:t>
      </w:r>
      <w:r w:rsidRPr="00EA3FEB">
        <w:t>From cross-cultural management to global leadership: Evolution and adaptation</w:t>
      </w:r>
      <w:r w:rsidR="004804F8">
        <w:t>’</w:t>
      </w:r>
      <w:r w:rsidRPr="00EA3FEB">
        <w:t xml:space="preserve">. </w:t>
      </w:r>
      <w:r w:rsidRPr="00510CCD">
        <w:rPr>
          <w:i/>
          <w:iCs/>
        </w:rPr>
        <w:t>Journal of World Business</w:t>
      </w:r>
      <w:r w:rsidRPr="00EA3FEB">
        <w:t>, 51(1), pp.115-126.</w:t>
      </w:r>
    </w:p>
    <w:p w14:paraId="76472083" w14:textId="0BCBB873" w:rsidR="00F35576" w:rsidRPr="00007C77" w:rsidRDefault="00F35576" w:rsidP="00510CCD">
      <w:pPr>
        <w:jc w:val="both"/>
      </w:pPr>
      <w:r w:rsidRPr="00007C77">
        <w:t xml:space="preserve">Gudykunst, W.B., </w:t>
      </w:r>
      <w:r w:rsidR="008F7676">
        <w:t>(</w:t>
      </w:r>
      <w:r w:rsidRPr="00007C77">
        <w:t>2003</w:t>
      </w:r>
      <w:r w:rsidR="008F7676">
        <w:t>)</w:t>
      </w:r>
      <w:r w:rsidRPr="00007C77">
        <w:t xml:space="preserve">. </w:t>
      </w:r>
      <w:r w:rsidRPr="00510CCD">
        <w:rPr>
          <w:i/>
          <w:iCs/>
        </w:rPr>
        <w:t>Cross-cultural and intercultural communication</w:t>
      </w:r>
      <w:r w:rsidRPr="00007C77">
        <w:t>. Thousand Oaks, CA: Sage Publications.</w:t>
      </w:r>
    </w:p>
    <w:p w14:paraId="21B73907" w14:textId="59FC461C" w:rsidR="00F35576" w:rsidRPr="00007C77" w:rsidRDefault="00F35576" w:rsidP="00510CCD">
      <w:pPr>
        <w:jc w:val="both"/>
      </w:pPr>
      <w:r w:rsidRPr="00007C77">
        <w:t xml:space="preserve">Haghirian, P., </w:t>
      </w:r>
      <w:r w:rsidR="008F7676">
        <w:t>(</w:t>
      </w:r>
      <w:r w:rsidRPr="00007C77">
        <w:t>2010</w:t>
      </w:r>
      <w:r w:rsidR="008F7676">
        <w:t>)</w:t>
      </w:r>
      <w:r w:rsidRPr="00007C77">
        <w:t xml:space="preserve">. </w:t>
      </w:r>
      <w:r w:rsidRPr="00510CCD">
        <w:rPr>
          <w:i/>
          <w:iCs/>
        </w:rPr>
        <w:t>Understanding Japanese Management Practices</w:t>
      </w:r>
      <w:r w:rsidRPr="00007C77">
        <w:t>. Business Expert Press.</w:t>
      </w:r>
    </w:p>
    <w:p w14:paraId="0D1389B4" w14:textId="1A1AC781" w:rsidR="00F35576" w:rsidRPr="00007C77" w:rsidRDefault="00F35576" w:rsidP="00510CCD">
      <w:pPr>
        <w:jc w:val="both"/>
      </w:pPr>
      <w:r w:rsidRPr="00007C77">
        <w:t xml:space="preserve">Hall, E.T., </w:t>
      </w:r>
      <w:r w:rsidR="008F7676">
        <w:t>(</w:t>
      </w:r>
      <w:r w:rsidRPr="00007C77">
        <w:t>1976</w:t>
      </w:r>
      <w:r w:rsidR="008F7676">
        <w:t>)</w:t>
      </w:r>
      <w:r w:rsidRPr="00007C77">
        <w:t xml:space="preserve">. </w:t>
      </w:r>
      <w:r w:rsidRPr="00510CCD">
        <w:rPr>
          <w:i/>
          <w:iCs/>
        </w:rPr>
        <w:t>Beyond Culture</w:t>
      </w:r>
      <w:r w:rsidRPr="00007C77">
        <w:t>. New York: Anchor Books.</w:t>
      </w:r>
    </w:p>
    <w:p w14:paraId="41966ECB" w14:textId="75A9ED95" w:rsidR="00F35576" w:rsidRPr="007B4DC5" w:rsidRDefault="00F35576" w:rsidP="00510CCD">
      <w:pPr>
        <w:jc w:val="both"/>
      </w:pPr>
      <w:r w:rsidRPr="0037267F">
        <w:t xml:space="preserve">Hampden-Turner, C. and Trompenaars, F., </w:t>
      </w:r>
      <w:r w:rsidR="008F7676">
        <w:t>(</w:t>
      </w:r>
      <w:r w:rsidRPr="0037267F">
        <w:t>2020</w:t>
      </w:r>
      <w:r w:rsidR="008F7676">
        <w:t>)</w:t>
      </w:r>
      <w:r w:rsidRPr="0037267F">
        <w:t xml:space="preserve">. </w:t>
      </w:r>
      <w:r w:rsidRPr="00510CCD">
        <w:rPr>
          <w:i/>
          <w:iCs/>
        </w:rPr>
        <w:t>Riding the Waves of Culture: Understanding Diversity in Global Business</w:t>
      </w:r>
      <w:r w:rsidRPr="0037267F">
        <w:t>. 4th ed. London: Hachette UK</w:t>
      </w:r>
    </w:p>
    <w:p w14:paraId="53568C96" w14:textId="763F63DB" w:rsidR="00A273F0" w:rsidRDefault="00A273F0" w:rsidP="00510CCD">
      <w:pPr>
        <w:jc w:val="both"/>
      </w:pPr>
      <w:r w:rsidRPr="00A273F0">
        <w:t>Hofstede, G. </w:t>
      </w:r>
      <w:r w:rsidRPr="00510CCD">
        <w:rPr>
          <w:i/>
          <w:iCs/>
        </w:rPr>
        <w:t>et al.</w:t>
      </w:r>
      <w:r w:rsidRPr="00A273F0">
        <w:t> (2010) </w:t>
      </w:r>
      <w:r w:rsidRPr="00510CCD">
        <w:rPr>
          <w:i/>
          <w:iCs/>
        </w:rPr>
        <w:t>Cultures and organizations</w:t>
      </w:r>
      <w:r w:rsidRPr="00510CCD">
        <w:rPr>
          <w:rFonts w:cs="Arial"/>
          <w:i/>
          <w:iCs/>
        </w:rPr>
        <w:t>:</w:t>
      </w:r>
      <w:r w:rsidRPr="00510CCD">
        <w:rPr>
          <w:i/>
          <w:iCs/>
        </w:rPr>
        <w:t xml:space="preserve"> software of the mind</w:t>
      </w:r>
      <w:r w:rsidRPr="00A273F0">
        <w:t>. Third edition. New York: McGraw-Hill.</w:t>
      </w:r>
    </w:p>
    <w:p w14:paraId="4325489F" w14:textId="5DA5F4D1" w:rsidR="00F35576" w:rsidRPr="00007C77" w:rsidRDefault="00F35576" w:rsidP="00510CCD">
      <w:pPr>
        <w:jc w:val="both"/>
      </w:pPr>
      <w:r w:rsidRPr="00007C77">
        <w:t xml:space="preserve">Hofstede Insights, </w:t>
      </w:r>
      <w:r w:rsidR="008F7676">
        <w:t>(</w:t>
      </w:r>
      <w:r w:rsidRPr="00007C77">
        <w:t>202</w:t>
      </w:r>
      <w:r w:rsidR="004804F8">
        <w:t>5</w:t>
      </w:r>
      <w:r w:rsidR="008F7676">
        <w:t>)</w:t>
      </w:r>
      <w:r w:rsidRPr="00007C77">
        <w:t xml:space="preserve">. </w:t>
      </w:r>
      <w:r w:rsidRPr="00510CCD">
        <w:rPr>
          <w:i/>
          <w:iCs/>
        </w:rPr>
        <w:t>Country Comparison: United Kingdom and Japan</w:t>
      </w:r>
      <w:r w:rsidRPr="00007C77">
        <w:t>. Available at:</w:t>
      </w:r>
      <w:r w:rsidR="00152ACD" w:rsidRPr="00152ACD">
        <w:t xml:space="preserve"> </w:t>
      </w:r>
      <w:hyperlink r:id="rId10" w:history="1">
        <w:r w:rsidR="00152ACD" w:rsidRPr="00152ACD">
          <w:rPr>
            <w:rStyle w:val="Hyperlink"/>
          </w:rPr>
          <w:t>Country Comparison Bar Charts - Geert Hofstede</w:t>
        </w:r>
      </w:hyperlink>
      <w:r w:rsidR="00152ACD">
        <w:t xml:space="preserve">. </w:t>
      </w:r>
      <w:r w:rsidRPr="00007C77">
        <w:t xml:space="preserve"> </w:t>
      </w:r>
      <w:r w:rsidR="00152ACD">
        <w:t>(</w:t>
      </w:r>
      <w:r w:rsidRPr="00007C77">
        <w:t>Accessed 22 Mar. 2025</w:t>
      </w:r>
      <w:r w:rsidR="00152ACD">
        <w:t>)</w:t>
      </w:r>
      <w:r w:rsidRPr="00007C77">
        <w:t>.</w:t>
      </w:r>
    </w:p>
    <w:p w14:paraId="085FE4AA" w14:textId="21C33B79" w:rsidR="00F35576" w:rsidRDefault="00F35576" w:rsidP="00510CCD">
      <w:pPr>
        <w:jc w:val="both"/>
      </w:pPr>
      <w:r w:rsidRPr="008271DC">
        <w:t xml:space="preserve">Lee-Kelley, L. and Sankey, T., </w:t>
      </w:r>
      <w:r w:rsidR="008F7676">
        <w:t>(</w:t>
      </w:r>
      <w:r w:rsidRPr="008271DC">
        <w:t>2008</w:t>
      </w:r>
      <w:r w:rsidR="008F7676">
        <w:t>)</w:t>
      </w:r>
      <w:r w:rsidRPr="008271DC">
        <w:t xml:space="preserve">. </w:t>
      </w:r>
      <w:r w:rsidR="00267CAE">
        <w:t>‘</w:t>
      </w:r>
      <w:r w:rsidRPr="008271DC">
        <w:t>Global virtual teams for value creation and project success: A case study</w:t>
      </w:r>
      <w:r w:rsidR="00267CAE">
        <w:t>’</w:t>
      </w:r>
      <w:r w:rsidRPr="008271DC">
        <w:t xml:space="preserve">. </w:t>
      </w:r>
      <w:r w:rsidRPr="00510CCD">
        <w:rPr>
          <w:i/>
          <w:iCs/>
        </w:rPr>
        <w:t>International Journal of Project Management</w:t>
      </w:r>
      <w:r w:rsidRPr="008271DC">
        <w:t>, 26(1), pp.51–62.</w:t>
      </w:r>
    </w:p>
    <w:p w14:paraId="61D40C9F" w14:textId="32CFC79C" w:rsidR="00F35576" w:rsidRPr="00EA3FEB" w:rsidRDefault="00F35576" w:rsidP="00510CCD">
      <w:pPr>
        <w:jc w:val="both"/>
      </w:pPr>
      <w:r w:rsidRPr="00EA3FEB">
        <w:t xml:space="preserve">Maznevski, M.L. and Chudoba, K.M., </w:t>
      </w:r>
      <w:r w:rsidR="008F7676">
        <w:t>(</w:t>
      </w:r>
      <w:r w:rsidRPr="00EA3FEB">
        <w:t>2000</w:t>
      </w:r>
      <w:r w:rsidR="008F7676">
        <w:t>)</w:t>
      </w:r>
      <w:r w:rsidRPr="00EA3FEB">
        <w:t xml:space="preserve">. </w:t>
      </w:r>
      <w:r w:rsidR="00267CAE">
        <w:t>‘</w:t>
      </w:r>
      <w:r w:rsidRPr="00EA3FEB">
        <w:t>Bridging space over time: Global virtual team dynamics and effectiveness</w:t>
      </w:r>
      <w:r w:rsidR="00267CAE">
        <w:t>’</w:t>
      </w:r>
      <w:r w:rsidRPr="00EA3FEB">
        <w:t xml:space="preserve">. </w:t>
      </w:r>
      <w:r w:rsidRPr="00510CCD">
        <w:rPr>
          <w:i/>
          <w:iCs/>
        </w:rPr>
        <w:t>Organization Science</w:t>
      </w:r>
      <w:r w:rsidRPr="00EA3FEB">
        <w:t>, 11(5), pp.473-492.</w:t>
      </w:r>
    </w:p>
    <w:p w14:paraId="1EF518D0" w14:textId="1A083A61" w:rsidR="00F35576" w:rsidRPr="00EA3FEB" w:rsidRDefault="00F35576" w:rsidP="00510CCD">
      <w:pPr>
        <w:jc w:val="both"/>
      </w:pPr>
      <w:r w:rsidRPr="00EA3FEB">
        <w:t xml:space="preserve">Ochieng, E.G. and Price, A.D.F., </w:t>
      </w:r>
      <w:r w:rsidR="008F7676">
        <w:t>(</w:t>
      </w:r>
      <w:r w:rsidRPr="00EA3FEB">
        <w:t>2010</w:t>
      </w:r>
      <w:r w:rsidR="008F7676">
        <w:t>)</w:t>
      </w:r>
      <w:r w:rsidRPr="00EA3FEB">
        <w:t xml:space="preserve">. </w:t>
      </w:r>
      <w:r w:rsidR="00267CAE">
        <w:t>‘</w:t>
      </w:r>
      <w:r w:rsidRPr="00EA3FEB">
        <w:t>Managing cross-cultural communication in multicultural construction project teams: The case of Kenya and UK</w:t>
      </w:r>
      <w:r w:rsidR="00267CAE">
        <w:t>’</w:t>
      </w:r>
      <w:r w:rsidRPr="00EA3FEB">
        <w:t>.</w:t>
      </w:r>
      <w:r w:rsidR="00267CAE">
        <w:t xml:space="preserve"> </w:t>
      </w:r>
      <w:r w:rsidRPr="00510CCD">
        <w:rPr>
          <w:i/>
          <w:iCs/>
        </w:rPr>
        <w:t>International Journal of Project Management</w:t>
      </w:r>
      <w:r w:rsidRPr="00EA3FEB">
        <w:t>, 28(5), pp.449–460.</w:t>
      </w:r>
    </w:p>
    <w:p w14:paraId="3BC5B05D" w14:textId="3B296473" w:rsidR="00F35576" w:rsidRDefault="00F35576" w:rsidP="00510CCD">
      <w:pPr>
        <w:jc w:val="both"/>
      </w:pPr>
      <w:r w:rsidRPr="00315413">
        <w:t xml:space="preserve">Paiuc, D., </w:t>
      </w:r>
      <w:r w:rsidR="00C46DC3">
        <w:t>(</w:t>
      </w:r>
      <w:r w:rsidRPr="00315413">
        <w:t>2021</w:t>
      </w:r>
      <w:r w:rsidR="00C46DC3">
        <w:t>)</w:t>
      </w:r>
      <w:r w:rsidRPr="00315413">
        <w:t xml:space="preserve">. </w:t>
      </w:r>
      <w:r w:rsidR="00267CAE">
        <w:t>‘</w:t>
      </w:r>
      <w:r w:rsidRPr="00315413">
        <w:t>Cultural intelligence as a core competence of inclusive leadership</w:t>
      </w:r>
      <w:r w:rsidR="00267CAE">
        <w:t>’</w:t>
      </w:r>
      <w:r w:rsidRPr="00315413">
        <w:t xml:space="preserve">. </w:t>
      </w:r>
      <w:r w:rsidRPr="00510CCD">
        <w:rPr>
          <w:i/>
          <w:iCs/>
        </w:rPr>
        <w:t>Management Dynamics in the Knowledge Economy</w:t>
      </w:r>
      <w:r w:rsidRPr="00315413">
        <w:t>, 9(3), pp.363–378.</w:t>
      </w:r>
    </w:p>
    <w:p w14:paraId="2A0BC098" w14:textId="1620AC91" w:rsidR="00F35576" w:rsidRDefault="00F35576" w:rsidP="00510CCD">
      <w:pPr>
        <w:jc w:val="both"/>
      </w:pPr>
      <w:r w:rsidRPr="00552A80">
        <w:t xml:space="preserve">Phuong-Mai, N., Terlouw, C., Pilot, A., </w:t>
      </w:r>
      <w:r w:rsidR="00FE4C1C">
        <w:t>and</w:t>
      </w:r>
      <w:r w:rsidRPr="00552A80">
        <w:t xml:space="preserve"> Elliott, J. (2009). </w:t>
      </w:r>
      <w:r w:rsidR="00267CAE">
        <w:t>‘</w:t>
      </w:r>
      <w:r w:rsidRPr="00552A80">
        <w:t>Cooperative Learning That Features a Culturally Appropriate Pedagogy</w:t>
      </w:r>
      <w:r w:rsidR="00267CAE">
        <w:t>’</w:t>
      </w:r>
      <w:r w:rsidRPr="00552A80">
        <w:t>. </w:t>
      </w:r>
      <w:r w:rsidRPr="00510CCD">
        <w:rPr>
          <w:i/>
          <w:iCs/>
        </w:rPr>
        <w:t>British Educational Research Journal</w:t>
      </w:r>
      <w:r w:rsidRPr="00552A80">
        <w:t>, </w:t>
      </w:r>
      <w:r w:rsidRPr="00510CCD">
        <w:rPr>
          <w:i/>
          <w:iCs/>
        </w:rPr>
        <w:t>35</w:t>
      </w:r>
      <w:r w:rsidRPr="00552A80">
        <w:t>(6), 857–875.</w:t>
      </w:r>
    </w:p>
    <w:p w14:paraId="1FE854C6" w14:textId="530E41E1" w:rsidR="00F35576" w:rsidRDefault="00F35576" w:rsidP="00510CCD">
      <w:pPr>
        <w:jc w:val="both"/>
      </w:pPr>
      <w:r w:rsidRPr="004535CC">
        <w:t xml:space="preserve">Sahadevan, P. and Sumangala, M., </w:t>
      </w:r>
      <w:r w:rsidR="00463CFA">
        <w:t>(</w:t>
      </w:r>
      <w:r w:rsidRPr="004535CC">
        <w:t>2021</w:t>
      </w:r>
      <w:r w:rsidR="00463CFA">
        <w:t>)</w:t>
      </w:r>
      <w:r w:rsidRPr="004535CC">
        <w:t xml:space="preserve">. </w:t>
      </w:r>
      <w:r w:rsidR="00267CAE">
        <w:t>‘</w:t>
      </w:r>
      <w:r w:rsidRPr="004535CC">
        <w:t xml:space="preserve">Effective cross-cultural communication for international </w:t>
      </w:r>
      <w:r w:rsidR="00400E96" w:rsidRPr="004535CC">
        <w:t>business</w:t>
      </w:r>
      <w:r w:rsidR="00400E96">
        <w:t>es</w:t>
      </w:r>
      <w:r w:rsidRPr="004535CC">
        <w:t xml:space="preserve">. </w:t>
      </w:r>
      <w:r w:rsidRPr="00510CCD">
        <w:rPr>
          <w:i/>
          <w:iCs/>
        </w:rPr>
        <w:t>Shanlax International Journal of Management</w:t>
      </w:r>
      <w:r w:rsidRPr="004535CC">
        <w:t>, 8(4), pp.24–33.</w:t>
      </w:r>
    </w:p>
    <w:p w14:paraId="2F08E355" w14:textId="5456E6A5" w:rsidR="00F35576" w:rsidRDefault="00F35576" w:rsidP="00510CCD">
      <w:pPr>
        <w:jc w:val="both"/>
      </w:pPr>
      <w:r w:rsidRPr="00B547A5">
        <w:t xml:space="preserve">Sell, J. (2019). </w:t>
      </w:r>
      <w:r w:rsidR="00267CAE">
        <w:t>‘</w:t>
      </w:r>
      <w:r w:rsidRPr="00B547A5">
        <w:t>Cultural Approaches Toward Time in Global Organizations. In: Chlopczyk, J., Erlach, C. (eds) Transforming Organizations. Management for Professionals. Springer, Cham.</w:t>
      </w:r>
    </w:p>
    <w:p w14:paraId="0305FE96" w14:textId="76B020A1" w:rsidR="00F35576" w:rsidRPr="00EA3FEB" w:rsidRDefault="00F35576" w:rsidP="00510CCD">
      <w:pPr>
        <w:jc w:val="both"/>
      </w:pPr>
      <w:r w:rsidRPr="00EA3FEB">
        <w:lastRenderedPageBreak/>
        <w:t xml:space="preserve">Stahl, G.K. and Tung, R.L., </w:t>
      </w:r>
      <w:r w:rsidR="00463CFA">
        <w:t>(</w:t>
      </w:r>
      <w:r w:rsidRPr="00EA3FEB">
        <w:t>201</w:t>
      </w:r>
      <w:r>
        <w:t>4</w:t>
      </w:r>
      <w:r w:rsidR="00463CFA">
        <w:t>)</w:t>
      </w:r>
      <w:r w:rsidRPr="00EA3FEB">
        <w:t xml:space="preserve">. Towards a more balanced treatment of culture in international business studies: The need for positive cross-cultural scholarship. </w:t>
      </w:r>
      <w:r w:rsidRPr="00510CCD">
        <w:rPr>
          <w:i/>
          <w:iCs/>
        </w:rPr>
        <w:t xml:space="preserve">Journal of </w:t>
      </w:r>
      <w:r w:rsidR="00AA6DF7" w:rsidRPr="00510CCD">
        <w:rPr>
          <w:i/>
          <w:iCs/>
        </w:rPr>
        <w:t>International</w:t>
      </w:r>
      <w:r w:rsidRPr="00510CCD">
        <w:rPr>
          <w:i/>
          <w:iCs/>
        </w:rPr>
        <w:t xml:space="preserve"> Business Studies</w:t>
      </w:r>
      <w:r w:rsidRPr="00EA3FEB">
        <w:t>, 46(4), pp.391–414.</w:t>
      </w:r>
    </w:p>
    <w:p w14:paraId="180477A4" w14:textId="0E6A84CC" w:rsidR="00F35576" w:rsidRDefault="00F35576" w:rsidP="00510CCD">
      <w:pPr>
        <w:jc w:val="both"/>
      </w:pPr>
      <w:r w:rsidRPr="00EA3FEB">
        <w:t xml:space="preserve">Tenzer, H., Pudelko, M. and Harzing, A.W., </w:t>
      </w:r>
      <w:r w:rsidR="00463CFA">
        <w:t>(</w:t>
      </w:r>
      <w:r w:rsidRPr="00EA3FEB">
        <w:t>20</w:t>
      </w:r>
      <w:r>
        <w:t>13</w:t>
      </w:r>
      <w:r w:rsidR="00463CFA">
        <w:t>)</w:t>
      </w:r>
      <w:r w:rsidRPr="00EA3FEB">
        <w:t xml:space="preserve">. The impact of language barriers on trust formation in multinational teams. </w:t>
      </w:r>
      <w:r w:rsidRPr="00510CCD">
        <w:rPr>
          <w:i/>
          <w:iCs/>
        </w:rPr>
        <w:t>Journal of International Business Studies</w:t>
      </w:r>
      <w:r w:rsidRPr="00EA3FEB">
        <w:t>, 52(3), pp.508–53</w:t>
      </w:r>
      <w:r>
        <w:t>5</w:t>
      </w:r>
      <w:r w:rsidRPr="00EA3FEB">
        <w:t>.</w:t>
      </w:r>
    </w:p>
    <w:p w14:paraId="7E6E9C6D" w14:textId="77777777" w:rsidR="00F35576" w:rsidRDefault="00F35576" w:rsidP="00510CCD">
      <w:pPr>
        <w:jc w:val="both"/>
      </w:pPr>
      <w:r w:rsidRPr="006C0617">
        <w:t>Zhang, M. and Tansuhaj, P.S. (2007), "Organizational Culture, Information Technology Capability, and Performance: The Case of Born Global Firms", Multinational Business Review, Vol. 15 No. 3, pp. 43-78.</w:t>
      </w:r>
    </w:p>
    <w:p w14:paraId="70E717C6" w14:textId="77777777" w:rsidR="00F35576" w:rsidRPr="00F35576" w:rsidRDefault="00F35576" w:rsidP="00510CCD">
      <w:pPr>
        <w:jc w:val="both"/>
      </w:pPr>
    </w:p>
    <w:p w14:paraId="04C9999C" w14:textId="77777777" w:rsidR="00F35576" w:rsidRDefault="00F35576" w:rsidP="00B80956">
      <w:pPr>
        <w:spacing w:line="360" w:lineRule="auto"/>
        <w:jc w:val="both"/>
        <w:rPr>
          <w:rFonts w:cs="Arial"/>
        </w:rPr>
      </w:pPr>
    </w:p>
    <w:p w14:paraId="114CE984" w14:textId="77777777" w:rsidR="00F35576" w:rsidRDefault="00F35576" w:rsidP="00B80956">
      <w:pPr>
        <w:spacing w:line="360" w:lineRule="auto"/>
        <w:jc w:val="both"/>
        <w:rPr>
          <w:rFonts w:cs="Arial"/>
        </w:rPr>
      </w:pPr>
    </w:p>
    <w:p w14:paraId="7BB3B7B8" w14:textId="77777777" w:rsidR="00F35576" w:rsidRDefault="00F35576" w:rsidP="00B80956">
      <w:pPr>
        <w:spacing w:line="360" w:lineRule="auto"/>
        <w:jc w:val="both"/>
        <w:rPr>
          <w:rFonts w:cs="Arial"/>
        </w:rPr>
      </w:pPr>
    </w:p>
    <w:p w14:paraId="52305E02" w14:textId="77777777" w:rsidR="00F35576" w:rsidRDefault="00F35576" w:rsidP="00B80956">
      <w:pPr>
        <w:spacing w:line="360" w:lineRule="auto"/>
        <w:jc w:val="both"/>
        <w:rPr>
          <w:rFonts w:cs="Arial"/>
        </w:rPr>
      </w:pPr>
    </w:p>
    <w:p w14:paraId="41C7CA07" w14:textId="77777777" w:rsidR="00F35576" w:rsidRDefault="00F35576" w:rsidP="00B80956">
      <w:pPr>
        <w:spacing w:line="360" w:lineRule="auto"/>
        <w:jc w:val="both"/>
        <w:rPr>
          <w:rFonts w:cs="Arial"/>
        </w:rPr>
      </w:pPr>
    </w:p>
    <w:p w14:paraId="5D81EFCB" w14:textId="77777777" w:rsidR="00F35576" w:rsidRDefault="00F35576" w:rsidP="00B80956">
      <w:pPr>
        <w:spacing w:line="360" w:lineRule="auto"/>
        <w:jc w:val="both"/>
        <w:rPr>
          <w:rFonts w:cs="Arial"/>
        </w:rPr>
      </w:pPr>
    </w:p>
    <w:p w14:paraId="1450ED76" w14:textId="77777777" w:rsidR="00F35576" w:rsidRDefault="00F35576" w:rsidP="00B80956">
      <w:pPr>
        <w:spacing w:line="360" w:lineRule="auto"/>
        <w:jc w:val="both"/>
        <w:rPr>
          <w:rFonts w:cs="Arial"/>
        </w:rPr>
      </w:pPr>
    </w:p>
    <w:p w14:paraId="005A6C4E" w14:textId="77777777" w:rsidR="00F35576" w:rsidRDefault="00F35576" w:rsidP="00B80956">
      <w:pPr>
        <w:spacing w:line="360" w:lineRule="auto"/>
        <w:jc w:val="both"/>
        <w:rPr>
          <w:rFonts w:cs="Arial"/>
        </w:rPr>
      </w:pPr>
    </w:p>
    <w:p w14:paraId="2D554D2B" w14:textId="77777777" w:rsidR="00F35576" w:rsidRDefault="00F35576" w:rsidP="00B80956">
      <w:pPr>
        <w:spacing w:line="360" w:lineRule="auto"/>
        <w:jc w:val="both"/>
        <w:rPr>
          <w:rFonts w:cs="Arial"/>
        </w:rPr>
      </w:pPr>
    </w:p>
    <w:p w14:paraId="53B06D8E" w14:textId="77777777" w:rsidR="00F35576" w:rsidRDefault="00F35576" w:rsidP="00B80956">
      <w:pPr>
        <w:spacing w:line="360" w:lineRule="auto"/>
        <w:jc w:val="both"/>
        <w:rPr>
          <w:rFonts w:cs="Arial"/>
        </w:rPr>
      </w:pPr>
    </w:p>
    <w:p w14:paraId="517BACDA" w14:textId="77777777" w:rsidR="00F35576" w:rsidRDefault="00F35576" w:rsidP="00B80956">
      <w:pPr>
        <w:spacing w:line="360" w:lineRule="auto"/>
        <w:jc w:val="both"/>
        <w:rPr>
          <w:rFonts w:cs="Arial"/>
        </w:rPr>
      </w:pPr>
    </w:p>
    <w:p w14:paraId="5C4E1B31" w14:textId="77777777" w:rsidR="00F35576" w:rsidRDefault="00F35576" w:rsidP="00B80956">
      <w:pPr>
        <w:spacing w:line="360" w:lineRule="auto"/>
        <w:jc w:val="both"/>
        <w:rPr>
          <w:rFonts w:cs="Arial"/>
        </w:rPr>
      </w:pPr>
    </w:p>
    <w:p w14:paraId="3DBAAEEF" w14:textId="77777777" w:rsidR="00F35576" w:rsidRPr="0054394D" w:rsidRDefault="00F35576" w:rsidP="00B80956">
      <w:pPr>
        <w:spacing w:line="360" w:lineRule="auto"/>
        <w:jc w:val="both"/>
        <w:rPr>
          <w:rFonts w:cs="Arial"/>
        </w:rPr>
      </w:pPr>
    </w:p>
    <w:sectPr w:rsidR="00F35576" w:rsidRPr="0054394D">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A8694" w14:textId="77777777" w:rsidR="00122320" w:rsidRDefault="00122320" w:rsidP="005D78C8">
      <w:pPr>
        <w:spacing w:after="0" w:line="240" w:lineRule="auto"/>
      </w:pPr>
      <w:r>
        <w:separator/>
      </w:r>
    </w:p>
  </w:endnote>
  <w:endnote w:type="continuationSeparator" w:id="0">
    <w:p w14:paraId="653CDFC5" w14:textId="77777777" w:rsidR="00122320" w:rsidRDefault="00122320" w:rsidP="005D7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A2CDCB" w14:textId="77777777" w:rsidR="005D78C8" w:rsidRDefault="005D78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0378076"/>
      <w:docPartObj>
        <w:docPartGallery w:val="Page Numbers (Bottom of Page)"/>
        <w:docPartUnique/>
      </w:docPartObj>
    </w:sdtPr>
    <w:sdtEndPr>
      <w:rPr>
        <w:noProof/>
      </w:rPr>
    </w:sdtEndPr>
    <w:sdtContent>
      <w:p w14:paraId="38CF884E" w14:textId="5F7D94EB" w:rsidR="005D78C8" w:rsidRDefault="005D78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077F77" w14:textId="77777777" w:rsidR="005D78C8" w:rsidRDefault="005D78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C8678" w14:textId="77777777" w:rsidR="005D78C8" w:rsidRDefault="005D7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DF413" w14:textId="77777777" w:rsidR="00122320" w:rsidRDefault="00122320" w:rsidP="005D78C8">
      <w:pPr>
        <w:spacing w:after="0" w:line="240" w:lineRule="auto"/>
      </w:pPr>
      <w:r>
        <w:separator/>
      </w:r>
    </w:p>
  </w:footnote>
  <w:footnote w:type="continuationSeparator" w:id="0">
    <w:p w14:paraId="04DC8167" w14:textId="77777777" w:rsidR="00122320" w:rsidRDefault="00122320" w:rsidP="005D78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EEDD09" w14:textId="77777777" w:rsidR="005D78C8" w:rsidRDefault="005D78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0A60A8" w14:textId="77777777" w:rsidR="005D78C8" w:rsidRDefault="005D78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A0B984" w14:textId="77777777" w:rsidR="005D78C8" w:rsidRDefault="005D78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0687E"/>
    <w:multiLevelType w:val="hybridMultilevel"/>
    <w:tmpl w:val="E02A686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9658E2"/>
    <w:multiLevelType w:val="hybridMultilevel"/>
    <w:tmpl w:val="B82CEFFC"/>
    <w:lvl w:ilvl="0" w:tplc="140EE1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6147EC2"/>
    <w:multiLevelType w:val="hybridMultilevel"/>
    <w:tmpl w:val="85EC43D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9A4049"/>
    <w:multiLevelType w:val="hybridMultilevel"/>
    <w:tmpl w:val="E0408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EC0D35"/>
    <w:multiLevelType w:val="hybridMultilevel"/>
    <w:tmpl w:val="A970D6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A10F20"/>
    <w:multiLevelType w:val="hybridMultilevel"/>
    <w:tmpl w:val="5CF21C9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C16B40"/>
    <w:multiLevelType w:val="hybridMultilevel"/>
    <w:tmpl w:val="BF06F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5033784">
    <w:abstractNumId w:val="6"/>
  </w:num>
  <w:num w:numId="2" w16cid:durableId="730083361">
    <w:abstractNumId w:val="5"/>
  </w:num>
  <w:num w:numId="3" w16cid:durableId="743339614">
    <w:abstractNumId w:val="2"/>
  </w:num>
  <w:num w:numId="4" w16cid:durableId="810833189">
    <w:abstractNumId w:val="4"/>
  </w:num>
  <w:num w:numId="5" w16cid:durableId="699163250">
    <w:abstractNumId w:val="1"/>
  </w:num>
  <w:num w:numId="6" w16cid:durableId="385876777">
    <w:abstractNumId w:val="3"/>
  </w:num>
  <w:num w:numId="7" w16cid:durableId="1948194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8B7"/>
    <w:rsid w:val="00003B9C"/>
    <w:rsid w:val="00027784"/>
    <w:rsid w:val="000407F3"/>
    <w:rsid w:val="0004324D"/>
    <w:rsid w:val="000B6E0B"/>
    <w:rsid w:val="000D65DD"/>
    <w:rsid w:val="00122320"/>
    <w:rsid w:val="00152ACD"/>
    <w:rsid w:val="001D6272"/>
    <w:rsid w:val="002121A0"/>
    <w:rsid w:val="00267CAE"/>
    <w:rsid w:val="002C54A7"/>
    <w:rsid w:val="002D2A7B"/>
    <w:rsid w:val="002D33F6"/>
    <w:rsid w:val="003536BF"/>
    <w:rsid w:val="00383165"/>
    <w:rsid w:val="003B70F9"/>
    <w:rsid w:val="003D10B1"/>
    <w:rsid w:val="003F39D0"/>
    <w:rsid w:val="00400E96"/>
    <w:rsid w:val="00453D5A"/>
    <w:rsid w:val="00463CFA"/>
    <w:rsid w:val="0046508D"/>
    <w:rsid w:val="00466503"/>
    <w:rsid w:val="004804F8"/>
    <w:rsid w:val="00510CCD"/>
    <w:rsid w:val="00527933"/>
    <w:rsid w:val="0054394D"/>
    <w:rsid w:val="00553A53"/>
    <w:rsid w:val="00562A45"/>
    <w:rsid w:val="00582EF6"/>
    <w:rsid w:val="005D78C8"/>
    <w:rsid w:val="0062151C"/>
    <w:rsid w:val="006363AA"/>
    <w:rsid w:val="006A2F1B"/>
    <w:rsid w:val="006A79A5"/>
    <w:rsid w:val="006C1434"/>
    <w:rsid w:val="006C5175"/>
    <w:rsid w:val="00731CAF"/>
    <w:rsid w:val="00785469"/>
    <w:rsid w:val="00790F26"/>
    <w:rsid w:val="007B5B27"/>
    <w:rsid w:val="007C38EF"/>
    <w:rsid w:val="007D0555"/>
    <w:rsid w:val="00887D19"/>
    <w:rsid w:val="00892782"/>
    <w:rsid w:val="008B7305"/>
    <w:rsid w:val="008D7950"/>
    <w:rsid w:val="008F7676"/>
    <w:rsid w:val="0095771D"/>
    <w:rsid w:val="009A641D"/>
    <w:rsid w:val="009B321A"/>
    <w:rsid w:val="00A252B9"/>
    <w:rsid w:val="00A273F0"/>
    <w:rsid w:val="00A6605A"/>
    <w:rsid w:val="00AA6DF7"/>
    <w:rsid w:val="00AD5AF7"/>
    <w:rsid w:val="00AF0981"/>
    <w:rsid w:val="00B053F0"/>
    <w:rsid w:val="00B056B6"/>
    <w:rsid w:val="00B16EB2"/>
    <w:rsid w:val="00B80956"/>
    <w:rsid w:val="00B82E68"/>
    <w:rsid w:val="00BB4718"/>
    <w:rsid w:val="00BF35BE"/>
    <w:rsid w:val="00C265AA"/>
    <w:rsid w:val="00C46DC3"/>
    <w:rsid w:val="00C912FA"/>
    <w:rsid w:val="00CA325F"/>
    <w:rsid w:val="00CC3B0C"/>
    <w:rsid w:val="00DB2F01"/>
    <w:rsid w:val="00DD68B7"/>
    <w:rsid w:val="00DE2BEF"/>
    <w:rsid w:val="00E019E9"/>
    <w:rsid w:val="00E12A04"/>
    <w:rsid w:val="00E33AB2"/>
    <w:rsid w:val="00EC1FDC"/>
    <w:rsid w:val="00EF3A8E"/>
    <w:rsid w:val="00F35576"/>
    <w:rsid w:val="00F54F48"/>
    <w:rsid w:val="00F821A5"/>
    <w:rsid w:val="00FB3891"/>
    <w:rsid w:val="00FC39A4"/>
    <w:rsid w:val="00FE4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BB43D"/>
  <w15:chartTrackingRefBased/>
  <w15:docId w15:val="{4162BDC4-AD3C-46DE-8B8F-0D45E703B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CCD"/>
    <w:rPr>
      <w:rFonts w:ascii="Arial" w:hAnsi="Arial"/>
      <w:color w:val="000000" w:themeColor="text1"/>
    </w:rPr>
  </w:style>
  <w:style w:type="paragraph" w:styleId="Heading1">
    <w:name w:val="heading 1"/>
    <w:basedOn w:val="Normal"/>
    <w:next w:val="Normal"/>
    <w:link w:val="Heading1Char"/>
    <w:autoRedefine/>
    <w:uiPriority w:val="9"/>
    <w:qFormat/>
    <w:rsid w:val="00510CCD"/>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DD68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6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6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6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6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6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6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6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CCD"/>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semiHidden/>
    <w:rsid w:val="00DD68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6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6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6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6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6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6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68B7"/>
    <w:rPr>
      <w:rFonts w:eastAsiaTheme="majorEastAsia" w:cstheme="majorBidi"/>
      <w:color w:val="272727" w:themeColor="text1" w:themeTint="D8"/>
    </w:rPr>
  </w:style>
  <w:style w:type="paragraph" w:styleId="Title">
    <w:name w:val="Title"/>
    <w:basedOn w:val="Normal"/>
    <w:next w:val="Normal"/>
    <w:link w:val="TitleChar"/>
    <w:uiPriority w:val="10"/>
    <w:qFormat/>
    <w:rsid w:val="00DD6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6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6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6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68B7"/>
    <w:pPr>
      <w:spacing w:before="160"/>
      <w:jc w:val="center"/>
    </w:pPr>
    <w:rPr>
      <w:i/>
      <w:iCs/>
      <w:color w:val="404040" w:themeColor="text1" w:themeTint="BF"/>
    </w:rPr>
  </w:style>
  <w:style w:type="character" w:customStyle="1" w:styleId="QuoteChar">
    <w:name w:val="Quote Char"/>
    <w:basedOn w:val="DefaultParagraphFont"/>
    <w:link w:val="Quote"/>
    <w:uiPriority w:val="29"/>
    <w:rsid w:val="00DD68B7"/>
    <w:rPr>
      <w:i/>
      <w:iCs/>
      <w:color w:val="404040" w:themeColor="text1" w:themeTint="BF"/>
    </w:rPr>
  </w:style>
  <w:style w:type="paragraph" w:styleId="ListParagraph">
    <w:name w:val="List Paragraph"/>
    <w:basedOn w:val="Normal"/>
    <w:uiPriority w:val="34"/>
    <w:qFormat/>
    <w:rsid w:val="00DD68B7"/>
    <w:pPr>
      <w:ind w:left="720"/>
      <w:contextualSpacing/>
    </w:pPr>
  </w:style>
  <w:style w:type="character" w:styleId="IntenseEmphasis">
    <w:name w:val="Intense Emphasis"/>
    <w:basedOn w:val="DefaultParagraphFont"/>
    <w:uiPriority w:val="21"/>
    <w:qFormat/>
    <w:rsid w:val="00DD68B7"/>
    <w:rPr>
      <w:i/>
      <w:iCs/>
      <w:color w:val="0F4761" w:themeColor="accent1" w:themeShade="BF"/>
    </w:rPr>
  </w:style>
  <w:style w:type="paragraph" w:styleId="IntenseQuote">
    <w:name w:val="Intense Quote"/>
    <w:basedOn w:val="Normal"/>
    <w:next w:val="Normal"/>
    <w:link w:val="IntenseQuoteChar"/>
    <w:uiPriority w:val="30"/>
    <w:qFormat/>
    <w:rsid w:val="00DD6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68B7"/>
    <w:rPr>
      <w:i/>
      <w:iCs/>
      <w:color w:val="0F4761" w:themeColor="accent1" w:themeShade="BF"/>
    </w:rPr>
  </w:style>
  <w:style w:type="character" w:styleId="IntenseReference">
    <w:name w:val="Intense Reference"/>
    <w:basedOn w:val="DefaultParagraphFont"/>
    <w:uiPriority w:val="32"/>
    <w:qFormat/>
    <w:rsid w:val="00DD68B7"/>
    <w:rPr>
      <w:b/>
      <w:bCs/>
      <w:smallCaps/>
      <w:color w:val="0F4761" w:themeColor="accent1" w:themeShade="BF"/>
      <w:spacing w:val="5"/>
    </w:rPr>
  </w:style>
  <w:style w:type="paragraph" w:styleId="NormalWeb">
    <w:name w:val="Normal (Web)"/>
    <w:basedOn w:val="Normal"/>
    <w:uiPriority w:val="99"/>
    <w:semiHidden/>
    <w:unhideWhenUsed/>
    <w:rsid w:val="00562A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62A45"/>
    <w:rPr>
      <w:b/>
      <w:bCs/>
    </w:rPr>
  </w:style>
  <w:style w:type="paragraph" w:styleId="TOCHeading">
    <w:name w:val="TOC Heading"/>
    <w:basedOn w:val="Heading1"/>
    <w:next w:val="Normal"/>
    <w:uiPriority w:val="39"/>
    <w:unhideWhenUsed/>
    <w:qFormat/>
    <w:rsid w:val="0054394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4394D"/>
    <w:pPr>
      <w:spacing w:after="100"/>
    </w:pPr>
  </w:style>
  <w:style w:type="character" w:styleId="Hyperlink">
    <w:name w:val="Hyperlink"/>
    <w:basedOn w:val="DefaultParagraphFont"/>
    <w:uiPriority w:val="99"/>
    <w:unhideWhenUsed/>
    <w:rsid w:val="0054394D"/>
    <w:rPr>
      <w:color w:val="467886" w:themeColor="hyperlink"/>
      <w:u w:val="single"/>
    </w:rPr>
  </w:style>
  <w:style w:type="character" w:styleId="UnresolvedMention">
    <w:name w:val="Unresolved Mention"/>
    <w:basedOn w:val="DefaultParagraphFont"/>
    <w:uiPriority w:val="99"/>
    <w:semiHidden/>
    <w:unhideWhenUsed/>
    <w:rsid w:val="00152ACD"/>
    <w:rPr>
      <w:color w:val="605E5C"/>
      <w:shd w:val="clear" w:color="auto" w:fill="E1DFDD"/>
    </w:rPr>
  </w:style>
  <w:style w:type="paragraph" w:styleId="Header">
    <w:name w:val="header"/>
    <w:basedOn w:val="Normal"/>
    <w:link w:val="HeaderChar"/>
    <w:uiPriority w:val="99"/>
    <w:unhideWhenUsed/>
    <w:rsid w:val="005D78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8C8"/>
    <w:rPr>
      <w:rFonts w:ascii="Arial" w:hAnsi="Arial"/>
      <w:color w:val="000000" w:themeColor="text1"/>
    </w:rPr>
  </w:style>
  <w:style w:type="paragraph" w:styleId="Footer">
    <w:name w:val="footer"/>
    <w:basedOn w:val="Normal"/>
    <w:link w:val="FooterChar"/>
    <w:uiPriority w:val="99"/>
    <w:unhideWhenUsed/>
    <w:rsid w:val="005D78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8C8"/>
    <w:rPr>
      <w:rFonts w:ascii="Arial" w:hAnsi="Arial"/>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21582">
      <w:bodyDiv w:val="1"/>
      <w:marLeft w:val="0"/>
      <w:marRight w:val="0"/>
      <w:marTop w:val="0"/>
      <w:marBottom w:val="0"/>
      <w:divBdr>
        <w:top w:val="none" w:sz="0" w:space="0" w:color="auto"/>
        <w:left w:val="none" w:sz="0" w:space="0" w:color="auto"/>
        <w:bottom w:val="none" w:sz="0" w:space="0" w:color="auto"/>
        <w:right w:val="none" w:sz="0" w:space="0" w:color="auto"/>
      </w:divBdr>
    </w:div>
    <w:div w:id="245652700">
      <w:bodyDiv w:val="1"/>
      <w:marLeft w:val="0"/>
      <w:marRight w:val="0"/>
      <w:marTop w:val="0"/>
      <w:marBottom w:val="0"/>
      <w:divBdr>
        <w:top w:val="none" w:sz="0" w:space="0" w:color="auto"/>
        <w:left w:val="none" w:sz="0" w:space="0" w:color="auto"/>
        <w:bottom w:val="none" w:sz="0" w:space="0" w:color="auto"/>
        <w:right w:val="none" w:sz="0" w:space="0" w:color="auto"/>
      </w:divBdr>
    </w:div>
    <w:div w:id="499001770">
      <w:bodyDiv w:val="1"/>
      <w:marLeft w:val="0"/>
      <w:marRight w:val="0"/>
      <w:marTop w:val="0"/>
      <w:marBottom w:val="0"/>
      <w:divBdr>
        <w:top w:val="none" w:sz="0" w:space="0" w:color="auto"/>
        <w:left w:val="none" w:sz="0" w:space="0" w:color="auto"/>
        <w:bottom w:val="none" w:sz="0" w:space="0" w:color="auto"/>
        <w:right w:val="none" w:sz="0" w:space="0" w:color="auto"/>
      </w:divBdr>
    </w:div>
    <w:div w:id="1880431274">
      <w:bodyDiv w:val="1"/>
      <w:marLeft w:val="0"/>
      <w:marRight w:val="0"/>
      <w:marTop w:val="0"/>
      <w:marBottom w:val="0"/>
      <w:divBdr>
        <w:top w:val="none" w:sz="0" w:space="0" w:color="auto"/>
        <w:left w:val="none" w:sz="0" w:space="0" w:color="auto"/>
        <w:bottom w:val="none" w:sz="0" w:space="0" w:color="auto"/>
        <w:right w:val="none" w:sz="0" w:space="0" w:color="auto"/>
      </w:divBdr>
    </w:div>
    <w:div w:id="1958830664">
      <w:bodyDiv w:val="1"/>
      <w:marLeft w:val="0"/>
      <w:marRight w:val="0"/>
      <w:marTop w:val="0"/>
      <w:marBottom w:val="0"/>
      <w:divBdr>
        <w:top w:val="none" w:sz="0" w:space="0" w:color="auto"/>
        <w:left w:val="none" w:sz="0" w:space="0" w:color="auto"/>
        <w:bottom w:val="none" w:sz="0" w:space="0" w:color="auto"/>
        <w:right w:val="none" w:sz="0" w:space="0" w:color="auto"/>
      </w:divBdr>
    </w:div>
    <w:div w:id="2125885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geerthofstede.com/country-comparison-bar-char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BB39E-DAF1-45BE-8B74-C5D1BDB54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3258</Words>
  <Characters>18573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Madalina-Mihaela Braha(2227915)</dc:creator>
  <cp:keywords/>
  <dc:description/>
  <cp:lastModifiedBy>Madalina Braha</cp:lastModifiedBy>
  <cp:revision>5</cp:revision>
  <dcterms:created xsi:type="dcterms:W3CDTF">2025-03-27T10:07:00Z</dcterms:created>
  <dcterms:modified xsi:type="dcterms:W3CDTF">2025-03-27T10:17:00Z</dcterms:modified>
</cp:coreProperties>
</file>