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20" w:line="360" w:lineRule="auto"/>
        <w:ind w:left="426" w:firstLine="0"/>
        <w:rPr>
          <w:rFonts w:ascii="Arial" w:cs="Arial" w:eastAsia="Arial" w:hAnsi="Arial"/>
          <w:sz w:val="22"/>
          <w:szCs w:val="22"/>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-634</wp:posOffset>
            </wp:positionH>
            <wp:positionV relativeFrom="paragraph">
              <wp:posOffset>289560</wp:posOffset>
            </wp:positionV>
            <wp:extent cx="2600325" cy="9144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2600325" cy="914400"/>
                    </a:xfrm>
                    <a:prstGeom prst="rect"/>
                    <a:ln/>
                  </pic:spPr>
                </pic:pic>
              </a:graphicData>
            </a:graphic>
          </wp:anchor>
        </w:drawing>
      </w:r>
    </w:p>
    <w:p w:rsidR="00000000" w:rsidDel="00000000" w:rsidP="00000000" w:rsidRDefault="00000000" w:rsidRPr="00000000" w14:paraId="00000002">
      <w:pPr>
        <w:spacing w:after="220" w:line="360" w:lineRule="auto"/>
        <w:ind w:left="426"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3">
      <w:pPr>
        <w:spacing w:after="220" w:line="360" w:lineRule="auto"/>
        <w:ind w:left="426"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4">
      <w:pPr>
        <w:spacing w:after="220" w:line="360" w:lineRule="auto"/>
        <w:ind w:left="426"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5">
      <w:pPr>
        <w:tabs>
          <w:tab w:val="left" w:leader="none" w:pos="6540"/>
        </w:tabs>
        <w:spacing w:after="220" w:line="360" w:lineRule="auto"/>
        <w:ind w:left="426" w:firstLine="0"/>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6">
      <w:pPr>
        <w:tabs>
          <w:tab w:val="left" w:leader="none" w:pos="6540"/>
        </w:tabs>
        <w:spacing w:after="220" w:line="360" w:lineRule="auto"/>
        <w:ind w:left="426" w:firstLine="0"/>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 Benedicte Ngoy</w:t>
      </w:r>
    </w:p>
    <w:p w:rsidR="00000000" w:rsidDel="00000000" w:rsidP="00000000" w:rsidRDefault="00000000" w:rsidRPr="00000000" w14:paraId="00000007">
      <w:pPr>
        <w:tabs>
          <w:tab w:val="left" w:leader="none" w:pos="6540"/>
        </w:tabs>
        <w:spacing w:after="220" w:line="360" w:lineRule="auto"/>
        <w:ind w:left="426" w:firstLine="0"/>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 2244194</w:t>
      </w:r>
    </w:p>
    <w:p w:rsidR="00000000" w:rsidDel="00000000" w:rsidP="00000000" w:rsidRDefault="00000000" w:rsidRPr="00000000" w14:paraId="00000008">
      <w:pPr>
        <w:tabs>
          <w:tab w:val="left" w:leader="none" w:pos="6540"/>
        </w:tabs>
        <w:spacing w:after="220" w:line="360" w:lineRule="auto"/>
        <w:ind w:left="426" w:firstLine="0"/>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 </w:t>
      </w:r>
      <w:r w:rsidDel="00000000" w:rsidR="00000000" w:rsidRPr="00000000">
        <w:rPr>
          <w:rFonts w:ascii="Arial" w:cs="Arial" w:eastAsia="Arial" w:hAnsi="Arial"/>
          <w:b w:val="1"/>
          <w:bCs w:val="1"/>
          <w:sz w:val="28"/>
          <w:szCs w:val="28"/>
          <w:rtl w:val="0"/>
        </w:rPr>
        <w:t xml:space="preserve"> </w:t>
      </w:r>
      <w:r w:rsidDel="00000000" w:rsidR="00000000" w:rsidRPr="00000000">
        <w:rPr>
          <w:rFonts w:ascii="Calibri" w:cs="Calibri" w:eastAsia="Calibri" w:hAnsi="Calibri"/>
          <w:sz w:val="30"/>
          <w:szCs w:val="30"/>
          <w:rtl w:val="0"/>
        </w:rPr>
        <w:t xml:space="preserve">Health, Wellbeing and Sustainable Development</w:t>
      </w:r>
      <w:r w:rsidDel="00000000" w:rsidR="00000000" w:rsidRPr="00000000">
        <w:rPr>
          <w:rtl w:val="0"/>
        </w:rPr>
      </w:r>
    </w:p>
    <w:p w:rsidR="00000000" w:rsidDel="00000000" w:rsidP="00000000" w:rsidRDefault="00000000" w:rsidRPr="00000000" w14:paraId="00000009">
      <w:pPr>
        <w:tabs>
          <w:tab w:val="left" w:leader="none" w:pos="6540"/>
        </w:tabs>
        <w:spacing w:after="220" w:line="360" w:lineRule="auto"/>
        <w:ind w:left="426" w:firstLine="0"/>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code</w:t>
      </w:r>
      <w:r w:rsidDel="00000000" w:rsidR="00000000" w:rsidRPr="00000000">
        <w:rPr>
          <w:rFonts w:ascii="Arial" w:cs="Arial" w:eastAsia="Arial" w:hAnsi="Arial"/>
          <w:sz w:val="28"/>
          <w:szCs w:val="28"/>
          <w:rtl w:val="0"/>
        </w:rPr>
        <w:t xml:space="preserve">: </w:t>
      </w:r>
      <w:r w:rsidDel="00000000" w:rsidR="00000000" w:rsidRPr="00000000">
        <w:rPr>
          <w:rFonts w:ascii="Calibri" w:cs="Calibri" w:eastAsia="Calibri" w:hAnsi="Calibri"/>
          <w:sz w:val="33.6"/>
          <w:szCs w:val="33.6"/>
          <w:rtl w:val="0"/>
        </w:rPr>
        <w:t xml:space="preserve"> BMHP6030_LON</w:t>
      </w:r>
      <w:r w:rsidDel="00000000" w:rsidR="00000000" w:rsidRPr="00000000">
        <w:rPr>
          <w:rtl w:val="0"/>
        </w:rPr>
      </w:r>
    </w:p>
    <w:p w:rsidR="00000000" w:rsidDel="00000000" w:rsidP="00000000" w:rsidRDefault="00000000" w:rsidRPr="00000000" w14:paraId="0000000A">
      <w:pPr>
        <w:tabs>
          <w:tab w:val="left" w:leader="none" w:pos="6540"/>
        </w:tabs>
        <w:spacing w:after="220" w:line="360" w:lineRule="auto"/>
        <w:ind w:left="426" w:firstLine="0"/>
        <w:rPr/>
      </w:pPr>
      <w:r w:rsidDel="00000000" w:rsidR="00000000" w:rsidRPr="00000000">
        <w:rPr>
          <w:rFonts w:ascii="Arial" w:cs="Arial" w:eastAsia="Arial" w:hAnsi="Arial"/>
          <w:b w:val="1"/>
          <w:bCs w:val="1"/>
          <w:sz w:val="28"/>
          <w:szCs w:val="28"/>
          <w:rtl w:val="0"/>
        </w:rPr>
        <w:t xml:space="preserve">Supervisor’s name</w:t>
      </w:r>
      <w:r w:rsidDel="00000000" w:rsidR="00000000" w:rsidRPr="00000000">
        <w:rPr>
          <w:rFonts w:ascii="Arial" w:cs="Arial" w:eastAsia="Arial" w:hAnsi="Arial"/>
          <w:sz w:val="28"/>
          <w:szCs w:val="28"/>
          <w:rtl w:val="0"/>
        </w:rPr>
        <w:t xml:space="preserve">: </w:t>
      </w:r>
      <w:r w:rsidDel="00000000" w:rsidR="00000000" w:rsidRPr="00000000">
        <w:rPr>
          <w:rFonts w:ascii="Calibri" w:cs="Calibri" w:eastAsia="Calibri" w:hAnsi="Calibri"/>
          <w:sz w:val="33.6"/>
          <w:szCs w:val="33.6"/>
          <w:rtl w:val="0"/>
        </w:rPr>
        <w:t xml:space="preserve">Dr   Itse Olaoye</w:t>
      </w:r>
      <w:r w:rsidDel="00000000" w:rsidR="00000000" w:rsidRPr="00000000">
        <w:rPr>
          <w:rtl w:val="0"/>
        </w:rPr>
      </w:r>
    </w:p>
    <w:p w:rsidR="00000000" w:rsidDel="00000000" w:rsidP="00000000" w:rsidRDefault="00000000" w:rsidRPr="00000000" w14:paraId="0000000B">
      <w:pPr>
        <w:jc w:val="both"/>
        <w:rPr/>
      </w:pPr>
      <w:r w:rsidDel="00000000" w:rsidR="00000000" w:rsidRPr="00000000">
        <w:rPr>
          <w:rtl w:val="0"/>
        </w:rPr>
      </w:r>
    </w:p>
    <w:p w:rsidR="00000000" w:rsidDel="00000000" w:rsidP="00000000" w:rsidRDefault="00000000" w:rsidRPr="00000000" w14:paraId="0000000C">
      <w:pPr>
        <w:jc w:val="both"/>
        <w:rPr/>
      </w:pPr>
      <w:r w:rsidDel="00000000" w:rsidR="00000000" w:rsidRPr="00000000">
        <w:rPr>
          <w:rtl w:val="0"/>
        </w:rPr>
      </w:r>
    </w:p>
    <w:p w:rsidR="00000000" w:rsidDel="00000000" w:rsidP="00000000" w:rsidRDefault="00000000" w:rsidRPr="00000000" w14:paraId="0000000D">
      <w:pPr>
        <w:jc w:val="both"/>
        <w:rPr/>
      </w:pPr>
      <w:r w:rsidDel="00000000" w:rsidR="00000000" w:rsidRPr="00000000">
        <w:rPr>
          <w:rtl w:val="0"/>
        </w:rPr>
      </w:r>
    </w:p>
    <w:p w:rsidR="00000000" w:rsidDel="00000000" w:rsidP="00000000" w:rsidRDefault="00000000" w:rsidRPr="00000000" w14:paraId="0000000E">
      <w:pPr>
        <w:jc w:val="both"/>
        <w:rPr/>
      </w:pPr>
      <w:r w:rsidDel="00000000" w:rsidR="00000000" w:rsidRPr="00000000">
        <w:rPr>
          <w:rtl w:val="0"/>
        </w:rPr>
      </w:r>
    </w:p>
    <w:p w:rsidR="00000000" w:rsidDel="00000000" w:rsidP="00000000" w:rsidRDefault="00000000" w:rsidRPr="00000000" w14:paraId="0000000F">
      <w:pPr>
        <w:jc w:val="both"/>
        <w:rPr/>
      </w:pPr>
      <w:r w:rsidDel="00000000" w:rsidR="00000000" w:rsidRPr="00000000">
        <w:rPr>
          <w:rtl w:val="0"/>
        </w:rPr>
      </w:r>
    </w:p>
    <w:p w:rsidR="00000000" w:rsidDel="00000000" w:rsidP="00000000" w:rsidRDefault="00000000" w:rsidRPr="00000000" w14:paraId="00000010">
      <w:pPr>
        <w:jc w:val="both"/>
        <w:rPr/>
      </w:pPr>
      <w:r w:rsidDel="00000000" w:rsidR="00000000" w:rsidRPr="00000000">
        <w:rPr>
          <w:rtl w:val="0"/>
        </w:rPr>
      </w:r>
    </w:p>
    <w:p w:rsidR="00000000" w:rsidDel="00000000" w:rsidP="00000000" w:rsidRDefault="00000000" w:rsidRPr="00000000" w14:paraId="00000011">
      <w:pPr>
        <w:jc w:val="both"/>
        <w:rPr/>
      </w:pPr>
      <w:r w:rsidDel="00000000" w:rsidR="00000000" w:rsidRPr="00000000">
        <w:rPr>
          <w:b w:val="1"/>
          <w:bCs w:val="1"/>
          <w:rtl w:val="0"/>
        </w:rPr>
        <w:t xml:space="preserve">Table of contents:</w:t>
      </w:r>
      <w:r w:rsidDel="00000000" w:rsidR="00000000" w:rsidRPr="00000000">
        <w:rPr>
          <w:rtl w:val="0"/>
        </w:rPr>
        <w:t xml:space="preserve"> </w:t>
      </w:r>
    </w:p>
    <w:p w:rsidR="00000000" w:rsidDel="00000000" w:rsidP="00000000" w:rsidRDefault="00000000" w:rsidRPr="00000000" w14:paraId="00000012">
      <w:pPr>
        <w:jc w:val="both"/>
        <w:rPr>
          <w:sz w:val="22"/>
          <w:szCs w:val="22"/>
        </w:rPr>
      </w:pPr>
      <w:r w:rsidDel="00000000" w:rsidR="00000000" w:rsidRPr="00000000">
        <w:rPr>
          <w:rtl w:val="0"/>
        </w:rPr>
      </w:r>
    </w:p>
    <w:p w:rsidR="00000000" w:rsidDel="00000000" w:rsidP="00000000" w:rsidRDefault="00000000" w:rsidRPr="00000000" w14:paraId="00000013">
      <w:pPr>
        <w:numPr>
          <w:ilvl w:val="0"/>
          <w:numId w:val="1"/>
        </w:numPr>
        <w:shd w:fill="ffffff" w:val="clear"/>
        <w:spacing w:after="0" w:afterAutospacing="0" w:before="200" w:lineRule="auto"/>
        <w:ind w:left="940" w:hanging="360"/>
      </w:pPr>
      <w:r w:rsidDel="00000000" w:rsidR="00000000" w:rsidRPr="00000000">
        <w:rPr>
          <w:rFonts w:ascii="Arial" w:cs="Arial" w:eastAsia="Arial" w:hAnsi="Arial"/>
          <w:b w:val="1"/>
          <w:bCs w:val="1"/>
          <w:color w:val="222222"/>
          <w:sz w:val="22"/>
          <w:szCs w:val="22"/>
          <w:rtl w:val="0"/>
        </w:rPr>
        <w:t xml:space="preserve">Introduction</w:t>
      </w:r>
      <w:r w:rsidDel="00000000" w:rsidR="00000000" w:rsidRPr="00000000">
        <w:rPr>
          <w:rFonts w:ascii="Arial" w:cs="Arial" w:eastAsia="Arial" w:hAnsi="Arial"/>
          <w:color w:val="222222"/>
          <w:sz w:val="22"/>
          <w:szCs w:val="22"/>
          <w:rtl w:val="0"/>
        </w:rPr>
        <w:t xml:space="preserve"> ……………………………………………………………… </w:t>
      </w:r>
    </w:p>
    <w:p w:rsidR="00000000" w:rsidDel="00000000" w:rsidP="00000000" w:rsidRDefault="00000000" w:rsidRPr="00000000" w14:paraId="00000014">
      <w:pPr>
        <w:numPr>
          <w:ilvl w:val="0"/>
          <w:numId w:val="1"/>
        </w:numPr>
        <w:shd w:fill="ffffff" w:val="clear"/>
        <w:spacing w:after="0" w:afterAutospacing="0" w:before="0" w:beforeAutospacing="0" w:lineRule="auto"/>
        <w:ind w:left="940" w:hanging="360"/>
      </w:pPr>
      <w:r w:rsidDel="00000000" w:rsidR="00000000" w:rsidRPr="00000000">
        <w:rPr>
          <w:rFonts w:ascii="Arial" w:cs="Arial" w:eastAsia="Arial" w:hAnsi="Arial"/>
          <w:b w:val="1"/>
          <w:bCs w:val="1"/>
          <w:color w:val="222222"/>
          <w:sz w:val="22"/>
          <w:szCs w:val="22"/>
          <w:rtl w:val="0"/>
        </w:rPr>
        <w:t xml:space="preserve">SDG 3: Good Health and Well-being</w:t>
      </w:r>
      <w:r w:rsidDel="00000000" w:rsidR="00000000" w:rsidRPr="00000000">
        <w:rPr>
          <w:rFonts w:ascii="Arial" w:cs="Arial" w:eastAsia="Arial" w:hAnsi="Arial"/>
          <w:color w:val="222222"/>
          <w:sz w:val="22"/>
          <w:szCs w:val="22"/>
          <w:rtl w:val="0"/>
        </w:rPr>
        <w:t xml:space="preserve"> …………………………………. </w:t>
        <w:br w:type="textWrapping"/>
        <w:t xml:space="preserve">2.1 Overview and Importance of SDG 3 …………………………………. </w:t>
        <w:br w:type="textWrapping"/>
        <w:t xml:space="preserve">2.2 Global Progress and Challenges ……………………………………… </w:t>
      </w:r>
    </w:p>
    <w:p w:rsidR="00000000" w:rsidDel="00000000" w:rsidP="00000000" w:rsidRDefault="00000000" w:rsidRPr="00000000" w14:paraId="00000015">
      <w:pPr>
        <w:numPr>
          <w:ilvl w:val="0"/>
          <w:numId w:val="1"/>
        </w:numPr>
        <w:shd w:fill="ffffff" w:val="clear"/>
        <w:spacing w:after="0" w:afterAutospacing="0" w:before="0" w:beforeAutospacing="0" w:lineRule="auto"/>
        <w:ind w:left="940" w:hanging="360"/>
      </w:pPr>
      <w:r w:rsidDel="00000000" w:rsidR="00000000" w:rsidRPr="00000000">
        <w:rPr>
          <w:rFonts w:ascii="Arial" w:cs="Arial" w:eastAsia="Arial" w:hAnsi="Arial"/>
          <w:b w:val="1"/>
          <w:bCs w:val="1"/>
          <w:color w:val="222222"/>
          <w:sz w:val="22"/>
          <w:szCs w:val="22"/>
          <w:rtl w:val="0"/>
        </w:rPr>
        <w:t xml:space="preserve">SDG 11: Sustainable Cities and Communities</w:t>
      </w:r>
      <w:r w:rsidDel="00000000" w:rsidR="00000000" w:rsidRPr="00000000">
        <w:rPr>
          <w:rFonts w:ascii="Arial" w:cs="Arial" w:eastAsia="Arial" w:hAnsi="Arial"/>
          <w:color w:val="222222"/>
          <w:sz w:val="22"/>
          <w:szCs w:val="22"/>
          <w:rtl w:val="0"/>
        </w:rPr>
        <w:t xml:space="preserve"> ………………………. </w:t>
        <w:br w:type="textWrapping"/>
        <w:t xml:space="preserve">3.1 Relationship Between SDG 11 and Health ………………………….. </w:t>
        <w:br w:type="textWrapping"/>
        <w:t xml:space="preserve">3.2 Housing, Transport, Green Space and Air Quality …………………</w:t>
      </w:r>
    </w:p>
    <w:p w:rsidR="00000000" w:rsidDel="00000000" w:rsidP="00000000" w:rsidRDefault="00000000" w:rsidRPr="00000000" w14:paraId="00000016">
      <w:pPr>
        <w:numPr>
          <w:ilvl w:val="0"/>
          <w:numId w:val="1"/>
        </w:numPr>
        <w:shd w:fill="ffffff" w:val="clear"/>
        <w:spacing w:after="0" w:afterAutospacing="0" w:before="0" w:beforeAutospacing="0" w:lineRule="auto"/>
        <w:ind w:left="940" w:hanging="360"/>
      </w:pPr>
      <w:r w:rsidDel="00000000" w:rsidR="00000000" w:rsidRPr="00000000">
        <w:rPr>
          <w:rFonts w:ascii="Arial" w:cs="Arial" w:eastAsia="Arial" w:hAnsi="Arial"/>
          <w:b w:val="1"/>
          <w:bCs w:val="1"/>
          <w:color w:val="222222"/>
          <w:sz w:val="22"/>
          <w:szCs w:val="22"/>
          <w:rtl w:val="0"/>
        </w:rPr>
        <w:t xml:space="preserve">Global Health, Wellbeing and Sustainability Initiatives</w:t>
      </w:r>
      <w:r w:rsidDel="00000000" w:rsidR="00000000" w:rsidRPr="00000000">
        <w:rPr>
          <w:rFonts w:ascii="Arial" w:cs="Arial" w:eastAsia="Arial" w:hAnsi="Arial"/>
          <w:color w:val="222222"/>
          <w:sz w:val="22"/>
          <w:szCs w:val="22"/>
          <w:rtl w:val="0"/>
        </w:rPr>
        <w:t xml:space="preserve"> …………… </w:t>
        <w:br w:type="textWrapping"/>
        <w:t xml:space="preserve">4.1 International Health Initiatives ………………………………………… </w:t>
        <w:br w:type="textWrapping"/>
        <w:t xml:space="preserve">4.2 Strengths and Limitations ………………………………………………. </w:t>
      </w:r>
    </w:p>
    <w:p w:rsidR="00000000" w:rsidDel="00000000" w:rsidP="00000000" w:rsidRDefault="00000000" w:rsidRPr="00000000" w14:paraId="00000017">
      <w:pPr>
        <w:numPr>
          <w:ilvl w:val="0"/>
          <w:numId w:val="1"/>
        </w:numPr>
        <w:shd w:fill="ffffff" w:val="clear"/>
        <w:spacing w:after="0" w:afterAutospacing="0" w:before="0" w:beforeAutospacing="0" w:lineRule="auto"/>
        <w:ind w:left="940" w:hanging="360"/>
      </w:pPr>
      <w:r w:rsidDel="00000000" w:rsidR="00000000" w:rsidRPr="00000000">
        <w:rPr>
          <w:rFonts w:ascii="Arial" w:cs="Arial" w:eastAsia="Arial" w:hAnsi="Arial"/>
          <w:b w:val="1"/>
          <w:bCs w:val="1"/>
          <w:color w:val="222222"/>
          <w:sz w:val="22"/>
          <w:szCs w:val="22"/>
          <w:rtl w:val="0"/>
        </w:rPr>
        <w:t xml:space="preserve">National Policies and Initiatives in the United Kingdom</w:t>
      </w:r>
      <w:r w:rsidDel="00000000" w:rsidR="00000000" w:rsidRPr="00000000">
        <w:rPr>
          <w:rFonts w:ascii="Arial" w:cs="Arial" w:eastAsia="Arial" w:hAnsi="Arial"/>
          <w:color w:val="222222"/>
          <w:sz w:val="22"/>
          <w:szCs w:val="22"/>
          <w:rtl w:val="0"/>
        </w:rPr>
        <w:t xml:space="preserve"> …………. </w:t>
        <w:br w:type="textWrapping"/>
        <w:t xml:space="preserve">5.1 NHS Core20PLUS5 ………………………………………………………. </w:t>
        <w:br w:type="textWrapping"/>
        <w:t xml:space="preserve">5.2 UK Net Zero Strategy ……………………………………………………. </w:t>
        <w:br w:type="textWrapping"/>
        <w:t xml:space="preserve">5.3 Clean Air Strategy ……………………………………………………….. </w:t>
        <w:br w:type="textWrapping"/>
        <w:t xml:space="preserve">5.4 Critical Evaluation of National Initiatives ……………………………. </w:t>
      </w:r>
    </w:p>
    <w:p w:rsidR="00000000" w:rsidDel="00000000" w:rsidP="00000000" w:rsidRDefault="00000000" w:rsidRPr="00000000" w14:paraId="00000018">
      <w:pPr>
        <w:numPr>
          <w:ilvl w:val="0"/>
          <w:numId w:val="1"/>
        </w:numPr>
        <w:shd w:fill="ffffff" w:val="clear"/>
        <w:spacing w:after="0" w:afterAutospacing="0" w:before="0" w:beforeAutospacing="0" w:lineRule="auto"/>
        <w:ind w:left="940" w:hanging="360"/>
      </w:pPr>
      <w:r w:rsidDel="00000000" w:rsidR="00000000" w:rsidRPr="00000000">
        <w:rPr>
          <w:rFonts w:ascii="Arial" w:cs="Arial" w:eastAsia="Arial" w:hAnsi="Arial"/>
          <w:b w:val="1"/>
          <w:bCs w:val="1"/>
          <w:color w:val="222222"/>
          <w:sz w:val="22"/>
          <w:szCs w:val="22"/>
          <w:rtl w:val="0"/>
        </w:rPr>
        <w:t xml:space="preserve">Local Policies and Initiatives: London Borough of Barnet</w:t>
      </w:r>
      <w:r w:rsidDel="00000000" w:rsidR="00000000" w:rsidRPr="00000000">
        <w:rPr>
          <w:rFonts w:ascii="Arial" w:cs="Arial" w:eastAsia="Arial" w:hAnsi="Arial"/>
          <w:color w:val="222222"/>
          <w:sz w:val="22"/>
          <w:szCs w:val="22"/>
          <w:rtl w:val="0"/>
        </w:rPr>
        <w:t xml:space="preserve"> ………. </w:t>
        <w:br w:type="textWrapping"/>
        <w:t xml:space="preserve">6.1 Joint Health and Wellbeing Strategy …………………………………. </w:t>
        <w:br w:type="textWrapping"/>
        <w:t xml:space="preserve">6.2 Barnet Air Quality Action Plan ………………………………………… </w:t>
        <w:br w:type="textWrapping"/>
        <w:t xml:space="preserve">6.3 BarNET ZERO Programme ……………………………………………… </w:t>
        <w:br w:type="textWrapping"/>
        <w:t xml:space="preserve">6.4 Barnet Local Plan and Healthy Communities …………………………. </w:t>
        <w:br w:type="textWrapping"/>
        <w:t xml:space="preserve">6.5 Critical Evaluation of Local Initiatives ………………………………… </w:t>
      </w:r>
    </w:p>
    <w:p w:rsidR="00000000" w:rsidDel="00000000" w:rsidP="00000000" w:rsidRDefault="00000000" w:rsidRPr="00000000" w14:paraId="00000019">
      <w:pPr>
        <w:numPr>
          <w:ilvl w:val="0"/>
          <w:numId w:val="1"/>
        </w:numPr>
        <w:shd w:fill="ffffff" w:val="clear"/>
        <w:spacing w:after="0" w:afterAutospacing="0" w:before="0" w:beforeAutospacing="0" w:lineRule="auto"/>
        <w:ind w:left="940" w:hanging="360"/>
      </w:pPr>
      <w:r w:rsidDel="00000000" w:rsidR="00000000" w:rsidRPr="00000000">
        <w:rPr>
          <w:rFonts w:ascii="Arial" w:cs="Arial" w:eastAsia="Arial" w:hAnsi="Arial"/>
          <w:b w:val="1"/>
          <w:bCs w:val="1"/>
          <w:color w:val="222222"/>
          <w:sz w:val="22"/>
          <w:szCs w:val="22"/>
          <w:rtl w:val="0"/>
        </w:rPr>
        <w:t xml:space="preserve">Critical Evaluation and Recommendations</w:t>
      </w:r>
      <w:r w:rsidDel="00000000" w:rsidR="00000000" w:rsidRPr="00000000">
        <w:rPr>
          <w:rFonts w:ascii="Arial" w:cs="Arial" w:eastAsia="Arial" w:hAnsi="Arial"/>
          <w:color w:val="222222"/>
          <w:sz w:val="22"/>
          <w:szCs w:val="22"/>
          <w:rtl w:val="0"/>
        </w:rPr>
        <w:t xml:space="preserve"> ………………………….. </w:t>
        <w:br w:type="textWrapping"/>
        <w:t xml:space="preserve">7.1 Improving Health Inequalities ………………………………………….. </w:t>
        <w:br w:type="textWrapping"/>
        <w:t xml:space="preserve">7.2 Increasing Preventive Healthcare ……………………………………… </w:t>
        <w:br w:type="textWrapping"/>
        <w:t xml:space="preserve">7.3 Promoting Sustainable and Active Travel ……………………………. </w:t>
        <w:br w:type="textWrapping"/>
        <w:t xml:space="preserve">7.4 Improving Affordable Sustainable Housing ………………………….. </w:t>
        <w:br w:type="textWrapping"/>
        <w:t xml:space="preserve">7.5 Strengthening Monitoring and Evaluation ……………………………. </w:t>
      </w:r>
    </w:p>
    <w:p w:rsidR="00000000" w:rsidDel="00000000" w:rsidP="00000000" w:rsidRDefault="00000000" w:rsidRPr="00000000" w14:paraId="0000001A">
      <w:pPr>
        <w:numPr>
          <w:ilvl w:val="0"/>
          <w:numId w:val="1"/>
        </w:numPr>
        <w:shd w:fill="ffffff" w:val="clear"/>
        <w:spacing w:after="0" w:afterAutospacing="0" w:before="0" w:beforeAutospacing="0" w:lineRule="auto"/>
        <w:ind w:left="940" w:hanging="360"/>
      </w:pPr>
      <w:r w:rsidDel="00000000" w:rsidR="00000000" w:rsidRPr="00000000">
        <w:rPr>
          <w:rFonts w:ascii="Arial" w:cs="Arial" w:eastAsia="Arial" w:hAnsi="Arial"/>
          <w:b w:val="1"/>
          <w:bCs w:val="1"/>
          <w:color w:val="222222"/>
          <w:sz w:val="22"/>
          <w:szCs w:val="22"/>
          <w:rtl w:val="0"/>
        </w:rPr>
        <w:t xml:space="preserve">Conclusion</w:t>
      </w:r>
      <w:r w:rsidDel="00000000" w:rsidR="00000000" w:rsidRPr="00000000">
        <w:rPr>
          <w:rFonts w:ascii="Arial" w:cs="Arial" w:eastAsia="Arial" w:hAnsi="Arial"/>
          <w:color w:val="222222"/>
          <w:sz w:val="22"/>
          <w:szCs w:val="22"/>
          <w:rtl w:val="0"/>
        </w:rPr>
        <w:t xml:space="preserve"> …………………………………………………………………. </w:t>
      </w:r>
    </w:p>
    <w:p w:rsidR="00000000" w:rsidDel="00000000" w:rsidP="00000000" w:rsidRDefault="00000000" w:rsidRPr="00000000" w14:paraId="0000001B">
      <w:pPr>
        <w:numPr>
          <w:ilvl w:val="0"/>
          <w:numId w:val="1"/>
        </w:numPr>
        <w:shd w:fill="ffffff" w:val="clear"/>
        <w:spacing w:after="200" w:before="0" w:beforeAutospacing="0" w:lineRule="auto"/>
        <w:ind w:left="940" w:hanging="360"/>
      </w:pPr>
      <w:r w:rsidDel="00000000" w:rsidR="00000000" w:rsidRPr="00000000">
        <w:rPr>
          <w:rFonts w:ascii="Arial" w:cs="Arial" w:eastAsia="Arial" w:hAnsi="Arial"/>
          <w:b w:val="1"/>
          <w:bCs w:val="1"/>
          <w:color w:val="222222"/>
          <w:sz w:val="22"/>
          <w:szCs w:val="22"/>
          <w:rtl w:val="0"/>
        </w:rPr>
        <w:t xml:space="preserve">References</w:t>
      </w:r>
      <w:r w:rsidDel="00000000" w:rsidR="00000000" w:rsidRPr="00000000">
        <w:rPr>
          <w:rFonts w:ascii="Arial" w:cs="Arial" w:eastAsia="Arial" w:hAnsi="Arial"/>
          <w:color w:val="222222"/>
          <w:sz w:val="22"/>
          <w:szCs w:val="22"/>
          <w:rtl w:val="0"/>
        </w:rPr>
        <w:t xml:space="preserve"> …………………………………………………………………. </w:t>
      </w:r>
    </w:p>
    <w:p w:rsidR="00000000" w:rsidDel="00000000" w:rsidP="00000000" w:rsidRDefault="00000000" w:rsidRPr="00000000" w14:paraId="0000001C">
      <w:pPr>
        <w:jc w:val="both"/>
        <w:rPr/>
      </w:pPr>
      <w:r w:rsidDel="00000000" w:rsidR="00000000" w:rsidRPr="00000000">
        <w:rPr>
          <w:rtl w:val="0"/>
        </w:rPr>
      </w:r>
    </w:p>
    <w:p w:rsidR="00000000" w:rsidDel="00000000" w:rsidP="00000000" w:rsidRDefault="00000000" w:rsidRPr="00000000" w14:paraId="0000001D">
      <w:pPr>
        <w:jc w:val="both"/>
        <w:rPr/>
      </w:pPr>
      <w:r w:rsidDel="00000000" w:rsidR="00000000" w:rsidRPr="00000000">
        <w:rPr>
          <w:rtl w:val="0"/>
        </w:rPr>
      </w:r>
    </w:p>
    <w:p w:rsidR="00000000" w:rsidDel="00000000" w:rsidP="00000000" w:rsidRDefault="00000000" w:rsidRPr="00000000" w14:paraId="0000001E">
      <w:pPr>
        <w:jc w:val="both"/>
        <w:rPr/>
      </w:pPr>
      <w:r w:rsidDel="00000000" w:rsidR="00000000" w:rsidRPr="00000000">
        <w:rPr>
          <w:rtl w:val="0"/>
        </w:rPr>
      </w:r>
    </w:p>
    <w:p w:rsidR="00000000" w:rsidDel="00000000" w:rsidP="00000000" w:rsidRDefault="00000000" w:rsidRPr="00000000" w14:paraId="0000001F">
      <w:pPr>
        <w:jc w:val="both"/>
        <w:rPr/>
      </w:pPr>
      <w:r w:rsidDel="00000000" w:rsidR="00000000" w:rsidRPr="00000000">
        <w:rPr>
          <w:rtl w:val="0"/>
        </w:rPr>
      </w:r>
    </w:p>
    <w:p w:rsidR="00000000" w:rsidDel="00000000" w:rsidP="00000000" w:rsidRDefault="00000000" w:rsidRPr="00000000" w14:paraId="00000020">
      <w:pPr>
        <w:jc w:val="both"/>
        <w:rPr/>
      </w:pPr>
      <w:r w:rsidDel="00000000" w:rsidR="00000000" w:rsidRPr="00000000">
        <w:rPr>
          <w:rtl w:val="0"/>
        </w:rPr>
      </w:r>
    </w:p>
    <w:p w:rsidR="00000000" w:rsidDel="00000000" w:rsidP="00000000" w:rsidRDefault="00000000" w:rsidRPr="00000000" w14:paraId="00000021">
      <w:pPr>
        <w:jc w:val="both"/>
        <w:rPr/>
      </w:pPr>
      <w:r w:rsidDel="00000000" w:rsidR="00000000" w:rsidRPr="00000000">
        <w:rPr>
          <w:rtl w:val="0"/>
        </w:rPr>
      </w:r>
    </w:p>
    <w:p w:rsidR="00000000" w:rsidDel="00000000" w:rsidP="00000000" w:rsidRDefault="00000000" w:rsidRPr="00000000" w14:paraId="00000022">
      <w:pPr>
        <w:jc w:val="both"/>
        <w:rPr/>
      </w:pPr>
      <w:r w:rsidDel="00000000" w:rsidR="00000000" w:rsidRPr="00000000">
        <w:rPr>
          <w:rtl w:val="0"/>
        </w:rPr>
      </w:r>
    </w:p>
    <w:p w:rsidR="00000000" w:rsidDel="00000000" w:rsidP="00000000" w:rsidRDefault="00000000" w:rsidRPr="00000000" w14:paraId="00000023">
      <w:pPr>
        <w:jc w:val="both"/>
        <w:rPr/>
      </w:pPr>
      <w:r w:rsidDel="00000000" w:rsidR="00000000" w:rsidRPr="00000000">
        <w:rPr>
          <w:rtl w:val="0"/>
        </w:rPr>
      </w:r>
    </w:p>
    <w:p w:rsidR="00000000" w:rsidDel="00000000" w:rsidP="00000000" w:rsidRDefault="00000000" w:rsidRPr="00000000" w14:paraId="00000024">
      <w:pPr>
        <w:jc w:val="both"/>
        <w:rPr/>
      </w:pPr>
      <w:r w:rsidDel="00000000" w:rsidR="00000000" w:rsidRPr="00000000">
        <w:rPr>
          <w:rtl w:val="0"/>
        </w:rPr>
      </w:r>
    </w:p>
    <w:p w:rsidR="00000000" w:rsidDel="00000000" w:rsidP="00000000" w:rsidRDefault="00000000" w:rsidRPr="00000000" w14:paraId="00000025">
      <w:pPr>
        <w:jc w:val="both"/>
        <w:rPr/>
      </w:pPr>
      <w:r w:rsidDel="00000000" w:rsidR="00000000" w:rsidRPr="00000000">
        <w:rPr>
          <w:rtl w:val="0"/>
        </w:rPr>
      </w:r>
    </w:p>
    <w:p w:rsidR="00000000" w:rsidDel="00000000" w:rsidP="00000000" w:rsidRDefault="00000000" w:rsidRPr="00000000" w14:paraId="00000026">
      <w:pPr>
        <w:pStyle w:val="Heading2"/>
        <w:keepNext w:val="0"/>
        <w:keepLines w:val="0"/>
        <w:shd w:fill="ffffff" w:val="clear"/>
        <w:spacing w:before="360" w:line="360" w:lineRule="auto"/>
        <w:jc w:val="both"/>
        <w:rPr>
          <w:rFonts w:ascii="Arial" w:cs="Arial" w:eastAsia="Arial" w:hAnsi="Arial"/>
          <w:b w:val="1"/>
          <w:bCs w:val="1"/>
          <w:color w:val="222222"/>
          <w:sz w:val="34"/>
          <w:szCs w:val="34"/>
        </w:rPr>
      </w:pPr>
      <w:bookmarkStart w:colFirst="0" w:colLast="0" w:name="_heading=h.st4wth66812t" w:id="0"/>
      <w:bookmarkEnd w:id="0"/>
      <w:r w:rsidDel="00000000" w:rsidR="00000000" w:rsidRPr="00000000">
        <w:rPr>
          <w:rtl w:val="0"/>
        </w:rPr>
      </w:r>
    </w:p>
    <w:p w:rsidR="00000000" w:rsidDel="00000000" w:rsidP="00000000" w:rsidRDefault="00000000" w:rsidRPr="00000000" w14:paraId="00000027">
      <w:pPr>
        <w:pStyle w:val="Heading2"/>
        <w:keepNext w:val="0"/>
        <w:keepLines w:val="0"/>
        <w:shd w:fill="ffffff" w:val="clear"/>
        <w:spacing w:before="360" w:line="360" w:lineRule="auto"/>
        <w:jc w:val="both"/>
        <w:rPr>
          <w:rFonts w:ascii="Arial" w:cs="Arial" w:eastAsia="Arial" w:hAnsi="Arial"/>
          <w:b w:val="1"/>
          <w:bCs w:val="1"/>
          <w:color w:val="222222"/>
          <w:sz w:val="34"/>
          <w:szCs w:val="34"/>
        </w:rPr>
      </w:pPr>
      <w:bookmarkStart w:colFirst="0" w:colLast="0" w:name="_heading=h.3vvaxngsvo6t" w:id="1"/>
      <w:bookmarkEnd w:id="1"/>
      <w:r w:rsidDel="00000000" w:rsidR="00000000" w:rsidRPr="00000000">
        <w:rPr>
          <w:rtl w:val="0"/>
        </w:rPr>
      </w:r>
    </w:p>
    <w:p w:rsidR="00000000" w:rsidDel="00000000" w:rsidP="00000000" w:rsidRDefault="00000000" w:rsidRPr="00000000" w14:paraId="00000028">
      <w:pPr>
        <w:pStyle w:val="Heading2"/>
        <w:keepNext w:val="0"/>
        <w:keepLines w:val="0"/>
        <w:shd w:fill="ffffff" w:val="clear"/>
        <w:spacing w:before="360" w:line="360" w:lineRule="auto"/>
        <w:jc w:val="both"/>
        <w:rPr>
          <w:rFonts w:ascii="Arial" w:cs="Arial" w:eastAsia="Arial" w:hAnsi="Arial"/>
          <w:b w:val="1"/>
          <w:bCs w:val="1"/>
          <w:color w:val="222222"/>
          <w:sz w:val="34"/>
          <w:szCs w:val="34"/>
        </w:rPr>
      </w:pPr>
      <w:bookmarkStart w:colFirst="0" w:colLast="0" w:name="_heading=h.hgo4diacoxsn" w:id="2"/>
      <w:bookmarkEnd w:id="2"/>
      <w:r w:rsidDel="00000000" w:rsidR="00000000" w:rsidRPr="00000000">
        <w:rPr>
          <w:rFonts w:ascii="Arial" w:cs="Arial" w:eastAsia="Arial" w:hAnsi="Arial"/>
          <w:b w:val="1"/>
          <w:bCs w:val="1"/>
          <w:color w:val="222222"/>
          <w:sz w:val="34"/>
          <w:szCs w:val="34"/>
          <w:rtl w:val="0"/>
        </w:rPr>
        <w:t xml:space="preserve">Introduction</w:t>
      </w:r>
    </w:p>
    <w:p w:rsidR="00000000" w:rsidDel="00000000" w:rsidP="00000000" w:rsidRDefault="00000000" w:rsidRPr="00000000" w14:paraId="00000029">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Health, wellbeing and sustainability are closely interconnected. Health is influenced not only by access to medical services but also by social, economic and environmental conditions, including housing, employment, education, transport, air quality and access to green spaces. Consequently, policies designed to improve public health increasingly need to address the wider determinants of health while also considering environmental sustainability. The United Nations Sustainable Development Goals (SDGs), established as part of the 2030 Agenda for Sustainable Development, provide a global framework for addressing these interconnected challenges.</w:t>
      </w:r>
    </w:p>
    <w:p w:rsidR="00000000" w:rsidDel="00000000" w:rsidP="00000000" w:rsidRDefault="00000000" w:rsidRPr="00000000" w14:paraId="0000002A">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This report critically examines current policies and initiatives affecting citizens at global, national and local levels. Particular attention is given to </w:t>
      </w:r>
      <w:r w:rsidDel="00000000" w:rsidR="00000000" w:rsidRPr="00000000">
        <w:rPr>
          <w:rFonts w:ascii="Arial" w:cs="Arial" w:eastAsia="Arial" w:hAnsi="Arial"/>
          <w:b w:val="1"/>
          <w:bCs w:val="1"/>
          <w:color w:val="222222"/>
          <w:sz w:val="22"/>
          <w:szCs w:val="22"/>
          <w:rtl w:val="0"/>
        </w:rPr>
        <w:t xml:space="preserve">SDG 3: Good Health and Well-being</w:t>
      </w:r>
      <w:r w:rsidDel="00000000" w:rsidR="00000000" w:rsidRPr="00000000">
        <w:rPr>
          <w:rFonts w:ascii="Arial" w:cs="Arial" w:eastAsia="Arial" w:hAnsi="Arial"/>
          <w:color w:val="222222"/>
          <w:sz w:val="22"/>
          <w:szCs w:val="22"/>
          <w:rtl w:val="0"/>
        </w:rPr>
        <w:t xml:space="preserve"> and </w:t>
      </w:r>
      <w:r w:rsidDel="00000000" w:rsidR="00000000" w:rsidRPr="00000000">
        <w:rPr>
          <w:rFonts w:ascii="Arial" w:cs="Arial" w:eastAsia="Arial" w:hAnsi="Arial"/>
          <w:b w:val="1"/>
          <w:bCs w:val="1"/>
          <w:color w:val="222222"/>
          <w:sz w:val="22"/>
          <w:szCs w:val="22"/>
          <w:rtl w:val="0"/>
        </w:rPr>
        <w:t xml:space="preserve">SDG 11: Sustainable Cities and Communities</w:t>
      </w:r>
      <w:r w:rsidDel="00000000" w:rsidR="00000000" w:rsidRPr="00000000">
        <w:rPr>
          <w:rFonts w:ascii="Arial" w:cs="Arial" w:eastAsia="Arial" w:hAnsi="Arial"/>
          <w:color w:val="222222"/>
          <w:sz w:val="22"/>
          <w:szCs w:val="22"/>
          <w:rtl w:val="0"/>
        </w:rPr>
        <w:t xml:space="preserve">. SDG 3 focuses on improving health outcomes and ensuring access to healthcare, while SDG 11 addresses housing, transport, urban planning, environmental sustainability and resilient communities. These goals are strongly interconnected because the environments in which people live can either support or damage physical and mental health.</w:t>
      </w:r>
    </w:p>
    <w:p w:rsidR="00000000" w:rsidDel="00000000" w:rsidP="00000000" w:rsidRDefault="00000000" w:rsidRPr="00000000" w14:paraId="0000002B">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report evaluates international approaches before examining national initiatives in the United Kingdom and local initiatives in the London Borough of Barnet. It concludes by identifying limitations and making recommendations for improving the effectiveness, equity and sustainability of health and wellbeing interventions.</w:t>
      </w:r>
    </w:p>
    <w:p w:rsidR="00000000" w:rsidDel="00000000" w:rsidP="00000000" w:rsidRDefault="00000000" w:rsidRPr="00000000" w14:paraId="0000002C">
      <w:pPr>
        <w:pStyle w:val="Heading2"/>
        <w:keepNext w:val="0"/>
        <w:keepLines w:val="0"/>
        <w:shd w:fill="ffffff" w:val="clear"/>
        <w:spacing w:before="360" w:line="360" w:lineRule="auto"/>
        <w:jc w:val="both"/>
        <w:rPr>
          <w:rFonts w:ascii="Arial" w:cs="Arial" w:eastAsia="Arial" w:hAnsi="Arial"/>
          <w:b w:val="1"/>
          <w:bCs w:val="1"/>
          <w:color w:val="222222"/>
          <w:sz w:val="34"/>
          <w:szCs w:val="34"/>
        </w:rPr>
      </w:pPr>
      <w:bookmarkStart w:colFirst="0" w:colLast="0" w:name="_heading=h.i2cid8uqyuur" w:id="3"/>
      <w:bookmarkEnd w:id="3"/>
      <w:r w:rsidDel="00000000" w:rsidR="00000000" w:rsidRPr="00000000">
        <w:rPr>
          <w:rFonts w:ascii="Arial" w:cs="Arial" w:eastAsia="Arial" w:hAnsi="Arial"/>
          <w:b w:val="1"/>
          <w:bCs w:val="1"/>
          <w:color w:val="222222"/>
          <w:sz w:val="34"/>
          <w:szCs w:val="34"/>
          <w:rtl w:val="0"/>
        </w:rPr>
        <w:t xml:space="preserve">1. SDG 3: Good Health and Well-being</w:t>
      </w:r>
    </w:p>
    <w:p w:rsidR="00000000" w:rsidDel="00000000" w:rsidP="00000000" w:rsidRDefault="00000000" w:rsidRPr="00000000" w14:paraId="0000002D">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SDG 3 aims to “ensure healthy lives and promote well-being for all at all ages”. Its targets include reducing maternal and child mortality, tackling communicable diseases, reducing premature deaths from non-communicable diseases (NCDs), promoting mental health, reducing substance misuse and achieving universal health coverage (UHC) (United Nations, 2026a). (</w:t>
      </w:r>
      <w:r w:rsidDel="00000000" w:rsidR="00000000" w:rsidRPr="00000000">
        <w:rPr>
          <w:rFonts w:ascii="Arial" w:cs="Arial" w:eastAsia="Arial" w:hAnsi="Arial"/>
          <w:color w:val="222222"/>
          <w:sz w:val="22"/>
          <w:szCs w:val="22"/>
          <w:rtl w:val="0"/>
        </w:rPr>
        <w:t xml:space="preserve">Sustainable Development Goals</w:t>
      </w:r>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2E">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importance of SDG 3 is evident because health is a fundamental component of individual and societal well-being. Good health enables people to participate in education, employment and community life. Conversely, poor health can increase poverty, social exclusion and pressure on health and social care services. The goal, therefore, has implications beyond healthcare itself.</w:t>
      </w:r>
    </w:p>
    <w:p w:rsidR="00000000" w:rsidDel="00000000" w:rsidP="00000000" w:rsidRDefault="00000000" w:rsidRPr="00000000" w14:paraId="0000002F">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However, global progress towards SDG 3 remains uneven. The United Nations reports that the global maternal mortality ratio was approximately 197 deaths per 100,000 live births in 2023, considerably above the SDG target of fewer than 70 by 2030 (United Nations, 2026a). Similarly, the global community is not currently on track to achieve universal health coverage. The World Health Organisation (WHO) reports that approximately 4.6 billion people were not fully covered by essential health services in 2023, while 2.1 billion people experienced financial hardship associated with healthcare costs in 2022 (WHO, 2025). (</w:t>
      </w:r>
      <w:r w:rsidDel="00000000" w:rsidR="00000000" w:rsidRPr="00000000">
        <w:rPr>
          <w:rFonts w:ascii="Arial" w:cs="Arial" w:eastAsia="Arial" w:hAnsi="Arial"/>
          <w:color w:val="222222"/>
          <w:sz w:val="22"/>
          <w:szCs w:val="22"/>
          <w:rtl w:val="0"/>
        </w:rPr>
        <w:t xml:space="preserve">World Health Organisation</w:t>
      </w:r>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30">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These statistics demonstrate both the success and limitations of international health policy. Health service coverage has improved substantially since 2000, but progress has slowed since 2015. This suggests that simply expanding healthcare services is insufficient. Greater attention must be paid to poverty, health inequalities, education, housing, nutrition, environmental conditions and access to preventive services.</w:t>
      </w:r>
    </w:p>
    <w:p w:rsidR="00000000" w:rsidDel="00000000" w:rsidP="00000000" w:rsidRDefault="00000000" w:rsidRPr="00000000" w14:paraId="00000031">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Mental health is another important component of SDG 3. The COVID-19 pandemic demonstrated the vulnerability of mental well-being globally, with disruption to healthcare services and increased psychological distress. SDG 3, therefore, requires governments to treat mental health as an essential part of public health rather than as a secondary concern.</w:t>
      </w:r>
    </w:p>
    <w:p w:rsidR="00000000" w:rsidDel="00000000" w:rsidP="00000000" w:rsidRDefault="00000000" w:rsidRPr="00000000" w14:paraId="00000032">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 further challenge is the increasing burden of NCDs. Cardiovascular disease, cancer, diabetes and chronic respiratory diseases are major causes of premature mortality. These conditions are strongly influenced by lifestyle and environmental factors such as smoking, unhealthy diets, physical inactivity and air pollution. Therefore, policies addressing SDG 3 need to operate across several government departments rather than being restricted to healthcare.</w:t>
      </w:r>
    </w:p>
    <w:p w:rsidR="00000000" w:rsidDel="00000000" w:rsidP="00000000" w:rsidRDefault="00000000" w:rsidRPr="00000000" w14:paraId="00000033">
      <w:pPr>
        <w:pStyle w:val="Heading2"/>
        <w:keepNext w:val="0"/>
        <w:keepLines w:val="0"/>
        <w:shd w:fill="ffffff" w:val="clear"/>
        <w:spacing w:before="360" w:line="360" w:lineRule="auto"/>
        <w:jc w:val="both"/>
        <w:rPr>
          <w:rFonts w:ascii="Arial" w:cs="Arial" w:eastAsia="Arial" w:hAnsi="Arial"/>
          <w:b w:val="1"/>
          <w:bCs w:val="1"/>
          <w:color w:val="222222"/>
          <w:sz w:val="34"/>
          <w:szCs w:val="34"/>
        </w:rPr>
      </w:pPr>
      <w:bookmarkStart w:colFirst="0" w:colLast="0" w:name="_heading=h.9cczmd55iskg" w:id="4"/>
      <w:bookmarkEnd w:id="4"/>
      <w:r w:rsidDel="00000000" w:rsidR="00000000" w:rsidRPr="00000000">
        <w:rPr>
          <w:rFonts w:ascii="Arial" w:cs="Arial" w:eastAsia="Arial" w:hAnsi="Arial"/>
          <w:b w:val="1"/>
          <w:bCs w:val="1"/>
          <w:color w:val="222222"/>
          <w:sz w:val="34"/>
          <w:szCs w:val="34"/>
          <w:rtl w:val="0"/>
        </w:rPr>
        <w:t xml:space="preserve">2. SDG 11: Sustainable Cities and Communities</w:t>
      </w:r>
    </w:p>
    <w:p w:rsidR="00000000" w:rsidDel="00000000" w:rsidP="00000000" w:rsidRDefault="00000000" w:rsidRPr="00000000" w14:paraId="00000034">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SDG 11 aims to make cities and human settlements “inclusive, safe, resilient and sustainable”. Key targets include access to adequate and affordable housing, sustainable transport, inclusive urban planning, reduced environmental impact and improved access to safe green and public spaces (United Nations, 2026b). (</w:t>
      </w:r>
      <w:r w:rsidDel="00000000" w:rsidR="00000000" w:rsidRPr="00000000">
        <w:rPr>
          <w:rFonts w:ascii="Arial" w:cs="Arial" w:eastAsia="Arial" w:hAnsi="Arial"/>
          <w:color w:val="222222"/>
          <w:sz w:val="22"/>
          <w:szCs w:val="22"/>
          <w:rtl w:val="0"/>
        </w:rPr>
        <w:t xml:space="preserve">Sustainable Development Goals</w:t>
      </w:r>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35">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SDG 11 has a direct influence on health and well-being. Housing quality affects respiratory health, mental health and exposure to cold or excessive heat. Transport affects physical activity, road safety, air pollution and social participation. Green spaces can support physical activity and psychological wellbeing, while poor urban planning can increase social isolation, pollution and health inequalities.</w:t>
      </w:r>
    </w:p>
    <w:p w:rsidR="00000000" w:rsidDel="00000000" w:rsidP="00000000" w:rsidRDefault="00000000" w:rsidRPr="00000000" w14:paraId="00000036">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global relevance of SDG 11 is increasing as urbanisation continues. More than half of the world’s population now lives in urban areas, with this proportion projected to approach 70% by 2050. Nevertheless, approximately 1.16 billion urban residents are estimated to live in slums or informal settlements or inadequate housing (United Nations, 2026b). (</w:t>
      </w:r>
      <w:r w:rsidDel="00000000" w:rsidR="00000000" w:rsidRPr="00000000">
        <w:rPr>
          <w:rFonts w:ascii="Arial" w:cs="Arial" w:eastAsia="Arial" w:hAnsi="Arial"/>
          <w:color w:val="222222"/>
          <w:sz w:val="22"/>
          <w:szCs w:val="22"/>
          <w:rtl w:val="0"/>
        </w:rPr>
        <w:t xml:space="preserve">Sustainable Development Goals</w:t>
      </w:r>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37">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Air pollution illustrates the relationship between SDG 3 and SDG 11 particularly clearly. WHO estimates that ambient outdoor air pollution caused approximately 4.2 million premature deaths worldwide in 2019, with cardiovascular and respiratory diseases representing a major proportion of these deaths. WHO also reports that 99% of the world’s population lived in locations where its air-quality guideline levels were not met in 2019 (WHO, 2024). (</w:t>
      </w:r>
      <w:r w:rsidDel="00000000" w:rsidR="00000000" w:rsidRPr="00000000">
        <w:rPr>
          <w:rFonts w:ascii="Arial" w:cs="Arial" w:eastAsia="Arial" w:hAnsi="Arial"/>
          <w:color w:val="222222"/>
          <w:sz w:val="22"/>
          <w:szCs w:val="22"/>
          <w:rtl w:val="0"/>
        </w:rPr>
        <w:t xml:space="preserve">World Health Organisation</w:t>
      </w:r>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38">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This demonstrates that sustainable urban planning is a public health intervention. Investment in public transport, walking, cycling, cleaner energy and green infrastructure can simultaneously reduce greenhouse-gas emissions and improve health. Therefore, SDG 11 can contribute directly to SDG 3.</w:t>
      </w:r>
    </w:p>
    <w:p w:rsidR="00000000" w:rsidDel="00000000" w:rsidP="00000000" w:rsidRDefault="00000000" w:rsidRPr="00000000" w14:paraId="00000039">
      <w:pPr>
        <w:pStyle w:val="Heading2"/>
        <w:keepNext w:val="0"/>
        <w:keepLines w:val="0"/>
        <w:shd w:fill="ffffff" w:val="clear"/>
        <w:spacing w:before="360" w:line="360" w:lineRule="auto"/>
        <w:jc w:val="both"/>
        <w:rPr>
          <w:rFonts w:ascii="Arial" w:cs="Arial" w:eastAsia="Arial" w:hAnsi="Arial"/>
          <w:b w:val="1"/>
          <w:bCs w:val="1"/>
          <w:color w:val="222222"/>
          <w:sz w:val="34"/>
          <w:szCs w:val="34"/>
        </w:rPr>
      </w:pPr>
      <w:bookmarkStart w:colFirst="0" w:colLast="0" w:name="_heading=h.6rp6vzn0yv4i" w:id="5"/>
      <w:bookmarkEnd w:id="5"/>
      <w:r w:rsidDel="00000000" w:rsidR="00000000" w:rsidRPr="00000000">
        <w:rPr>
          <w:rFonts w:ascii="Arial" w:cs="Arial" w:eastAsia="Arial" w:hAnsi="Arial"/>
          <w:b w:val="1"/>
          <w:bCs w:val="1"/>
          <w:color w:val="222222"/>
          <w:sz w:val="34"/>
          <w:szCs w:val="34"/>
          <w:rtl w:val="0"/>
        </w:rPr>
        <w:t xml:space="preserve">3. Global Health, Wellbeing and Sustainability Initiatives</w:t>
      </w:r>
    </w:p>
    <w:p w:rsidR="00000000" w:rsidDel="00000000" w:rsidP="00000000" w:rsidRDefault="00000000" w:rsidRPr="00000000" w14:paraId="0000003A">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At the global level, WHO plays an important role in coordinating health policy and supporting countries to achieve SDG 3. The </w:t>
      </w:r>
      <w:r w:rsidDel="00000000" w:rsidR="00000000" w:rsidRPr="00000000">
        <w:rPr>
          <w:rFonts w:ascii="Arial" w:cs="Arial" w:eastAsia="Arial" w:hAnsi="Arial"/>
          <w:b w:val="1"/>
          <w:bCs w:val="1"/>
          <w:color w:val="222222"/>
          <w:sz w:val="22"/>
          <w:szCs w:val="22"/>
          <w:rtl w:val="0"/>
        </w:rPr>
        <w:t xml:space="preserve">Global Action Plan for Healthy Lives and Well-being for All</w:t>
      </w:r>
      <w:r w:rsidDel="00000000" w:rsidR="00000000" w:rsidRPr="00000000">
        <w:rPr>
          <w:rFonts w:ascii="Arial" w:cs="Arial" w:eastAsia="Arial" w:hAnsi="Arial"/>
          <w:color w:val="222222"/>
          <w:sz w:val="22"/>
          <w:szCs w:val="22"/>
          <w:rtl w:val="0"/>
        </w:rPr>
        <w:t xml:space="preserve"> aims to improve collaboration between international organisations and national governments. WHO’s 2024 progress report emphasised the importance of aligning international health initiatives with national priorities and strengthening collaboration between development partners (WHO, 2024b). (</w:t>
      </w:r>
      <w:r w:rsidDel="00000000" w:rsidR="00000000" w:rsidRPr="00000000">
        <w:rPr>
          <w:rFonts w:ascii="Arial" w:cs="Arial" w:eastAsia="Arial" w:hAnsi="Arial"/>
          <w:color w:val="222222"/>
          <w:sz w:val="22"/>
          <w:szCs w:val="22"/>
          <w:rtl w:val="0"/>
        </w:rPr>
        <w:t xml:space="preserve">World Health Organisation</w:t>
      </w:r>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3B">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One strength of this approach is that it recognises that health problems are interconnected. International collaboration can support vaccination programmes, disease prevention, maternal healthcare and health-system strengthening. However, a significant weakness is that implementation depends heavily on national political commitment and financial resources. Lower-income countries can face shortages of healthcare workers, infrastructure and medicines, making it more difficult to implement international targets.</w:t>
      </w:r>
    </w:p>
    <w:p w:rsidR="00000000" w:rsidDel="00000000" w:rsidP="00000000" w:rsidRDefault="00000000" w:rsidRPr="00000000" w14:paraId="0000003C">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International environmental initiatives also have important health benefits. WHO recommends cleaner transport, energy-efficient buildings, sustainable waste management and urban planning as strategies for reducing air pollution (WHO, 2024a). </w:t>
      </w:r>
    </w:p>
    <w:p w:rsidR="00000000" w:rsidDel="00000000" w:rsidP="00000000" w:rsidRDefault="00000000" w:rsidRPr="00000000" w14:paraId="0000003D">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effectiveness of global policies is therefore greatest when health and sustainability are integrated. Nevertheless, international targets can be criticised for being broad and difficult to translate into measurable local outcomes. Greater accountability and locally disaggregated data are required to identify which population groups benefit from interventions and which remain disadvantaged.</w:t>
      </w:r>
    </w:p>
    <w:p w:rsidR="00000000" w:rsidDel="00000000" w:rsidP="00000000" w:rsidRDefault="00000000" w:rsidRPr="00000000" w14:paraId="0000003E">
      <w:pPr>
        <w:pStyle w:val="Heading2"/>
        <w:keepNext w:val="0"/>
        <w:keepLines w:val="0"/>
        <w:shd w:fill="ffffff" w:val="clear"/>
        <w:spacing w:before="360" w:line="360" w:lineRule="auto"/>
        <w:jc w:val="both"/>
        <w:rPr>
          <w:rFonts w:ascii="Arial" w:cs="Arial" w:eastAsia="Arial" w:hAnsi="Arial"/>
          <w:b w:val="1"/>
          <w:bCs w:val="1"/>
          <w:color w:val="222222"/>
          <w:sz w:val="30"/>
          <w:szCs w:val="30"/>
        </w:rPr>
      </w:pPr>
      <w:bookmarkStart w:colFirst="0" w:colLast="0" w:name="_heading=h.fa481ejmoyqi" w:id="6"/>
      <w:bookmarkEnd w:id="6"/>
      <w:r w:rsidDel="00000000" w:rsidR="00000000" w:rsidRPr="00000000">
        <w:rPr>
          <w:rFonts w:ascii="Arial" w:cs="Arial" w:eastAsia="Arial" w:hAnsi="Arial"/>
          <w:b w:val="1"/>
          <w:bCs w:val="1"/>
          <w:color w:val="222222"/>
          <w:sz w:val="34"/>
          <w:szCs w:val="34"/>
          <w:rtl w:val="0"/>
        </w:rPr>
        <w:t xml:space="preserve">4. </w:t>
      </w:r>
      <w:r w:rsidDel="00000000" w:rsidR="00000000" w:rsidRPr="00000000">
        <w:rPr>
          <w:rFonts w:ascii="Arial" w:cs="Arial" w:eastAsia="Arial" w:hAnsi="Arial"/>
          <w:b w:val="1"/>
          <w:bCs w:val="1"/>
          <w:color w:val="222222"/>
          <w:sz w:val="30"/>
          <w:szCs w:val="30"/>
          <w:rtl w:val="0"/>
        </w:rPr>
        <w:t xml:space="preserve">National Policies and Initiatives in the United Kingdom</w:t>
      </w:r>
    </w:p>
    <w:p w:rsidR="00000000" w:rsidDel="00000000" w:rsidP="00000000" w:rsidRDefault="00000000" w:rsidRPr="00000000" w14:paraId="0000003F">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At the national level, the UK has implemented a range of policies supporting SDG 3 and SDG 11. One important initiative is </w:t>
      </w:r>
      <w:r w:rsidDel="00000000" w:rsidR="00000000" w:rsidRPr="00000000">
        <w:rPr>
          <w:rFonts w:ascii="Arial" w:cs="Arial" w:eastAsia="Arial" w:hAnsi="Arial"/>
          <w:b w:val="1"/>
          <w:bCs w:val="1"/>
          <w:color w:val="222222"/>
          <w:sz w:val="22"/>
          <w:szCs w:val="22"/>
          <w:rtl w:val="0"/>
        </w:rPr>
        <w:t xml:space="preserve">NHS England’s Core20PLUS5 approach</w:t>
      </w:r>
      <w:r w:rsidDel="00000000" w:rsidR="00000000" w:rsidRPr="00000000">
        <w:rPr>
          <w:rFonts w:ascii="Arial" w:cs="Arial" w:eastAsia="Arial" w:hAnsi="Arial"/>
          <w:color w:val="222222"/>
          <w:sz w:val="22"/>
          <w:szCs w:val="22"/>
          <w:rtl w:val="0"/>
        </w:rPr>
        <w:t xml:space="preserve">, which aims to reduce healthcare inequalities. “Core20” refers to the most deprived 20% of the national population, while “PLUS” allows local health systems to identify additional groups experiencing poorer health outcomes. The approach identifies five clinical priority areas: maternity, severe mental illness, chronic respiratory disease, early cancer diagnosis, and hypertension/lipid management (NHS England, 2026). </w:t>
      </w:r>
    </w:p>
    <w:p w:rsidR="00000000" w:rsidDel="00000000" w:rsidP="00000000" w:rsidRDefault="00000000" w:rsidRPr="00000000" w14:paraId="00000040">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strength of Core20PLUS5 is that it moves away from a universal approach in which identical services are offered to everyone. Instead, it recognises that people experiencing deprivation or social exclusion may require additional support. NHS England identifies factors such as housing, transport, employment, access to healthy food and green space as wider determinants of health (NHS England, 2026).</w:t>
      </w:r>
    </w:p>
    <w:p w:rsidR="00000000" w:rsidDel="00000000" w:rsidP="00000000" w:rsidRDefault="00000000" w:rsidRPr="00000000" w14:paraId="00000041">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However, the effectiveness of Core20PLUS5 depends on implementation. Identifying inequalities does not automatically eliminate them. NHS organisations require sufficient resources, staff and effective partnerships with local authorities and voluntary organisations. There is also a risk that focusing on five clinical areas could overlook other important causes of inequality, including housing insecurity, social isolation and environmental hazards.</w:t>
      </w:r>
    </w:p>
    <w:p w:rsidR="00000000" w:rsidDel="00000000" w:rsidP="00000000" w:rsidRDefault="00000000" w:rsidRPr="00000000" w14:paraId="00000042">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UK’s </w:t>
      </w:r>
      <w:r w:rsidDel="00000000" w:rsidR="00000000" w:rsidRPr="00000000">
        <w:rPr>
          <w:rFonts w:ascii="Arial" w:cs="Arial" w:eastAsia="Arial" w:hAnsi="Arial"/>
          <w:b w:val="1"/>
          <w:bCs w:val="1"/>
          <w:color w:val="222222"/>
          <w:sz w:val="22"/>
          <w:szCs w:val="22"/>
          <w:rtl w:val="0"/>
        </w:rPr>
        <w:t xml:space="preserve">Net Zero Strategy</w:t>
      </w:r>
      <w:r w:rsidDel="00000000" w:rsidR="00000000" w:rsidRPr="00000000">
        <w:rPr>
          <w:rFonts w:ascii="Arial" w:cs="Arial" w:eastAsia="Arial" w:hAnsi="Arial"/>
          <w:color w:val="222222"/>
          <w:sz w:val="22"/>
          <w:szCs w:val="22"/>
          <w:rtl w:val="0"/>
        </w:rPr>
        <w:t xml:space="preserve"> is another important national initiative. The strategy aims to decarbonise the economy and reach net zero emissions by 2050. It includes measures relating to transport, buildings, energy and industry. The government has specifically linked active travel and cleaner transport with improved air quality and public health (UK Government, 2022). </w:t>
      </w:r>
    </w:p>
    <w:p w:rsidR="00000000" w:rsidDel="00000000" w:rsidP="00000000" w:rsidRDefault="00000000" w:rsidRPr="00000000" w14:paraId="00000043">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w:t>
      </w:r>
      <w:r w:rsidDel="00000000" w:rsidR="00000000" w:rsidRPr="00000000">
        <w:rPr>
          <w:rFonts w:ascii="Arial" w:cs="Arial" w:eastAsia="Arial" w:hAnsi="Arial"/>
          <w:b w:val="1"/>
          <w:bCs w:val="1"/>
          <w:color w:val="222222"/>
          <w:sz w:val="22"/>
          <w:szCs w:val="22"/>
          <w:rtl w:val="0"/>
        </w:rPr>
        <w:t xml:space="preserve">Clean Air Strategy</w:t>
      </w:r>
      <w:r w:rsidDel="00000000" w:rsidR="00000000" w:rsidRPr="00000000">
        <w:rPr>
          <w:rFonts w:ascii="Arial" w:cs="Arial" w:eastAsia="Arial" w:hAnsi="Arial"/>
          <w:color w:val="222222"/>
          <w:sz w:val="22"/>
          <w:szCs w:val="22"/>
          <w:rtl w:val="0"/>
        </w:rPr>
        <w:t xml:space="preserve"> similarly recognises that reducing pollution is necessary to protect health while supporting environmental sustainability. It includes measures targeting emissions from transport, homes, agriculture and industry (UK Government, 2019). </w:t>
      </w:r>
    </w:p>
    <w:p w:rsidR="00000000" w:rsidDel="00000000" w:rsidP="00000000" w:rsidRDefault="00000000" w:rsidRPr="00000000" w14:paraId="00000044">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key strength of these policies is their recognition that sustainability can produce co-benefits for health. For example, encouraging walking and cycling can reduce carbon emissions while increasing physical activity. Cleaner vehicles can reduce harmful air pollutants. Energy-efficient housing can reduce emissions while potentially improving comfort and reducing fuel poverty.</w:t>
      </w:r>
    </w:p>
    <w:p w:rsidR="00000000" w:rsidDel="00000000" w:rsidP="00000000" w:rsidRDefault="00000000" w:rsidRPr="00000000" w14:paraId="00000045">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Nevertheless, national policies face challenges relating to implementation and inequality. The financial cost of retrofitting homes, purchasing low-emission vehicles and improving transport infrastructure can disproportionately affect lower-income households. Consequently, sustainability policies need to be designed so that environmental improvements do not unintentionally increase social inequality.</w:t>
      </w:r>
    </w:p>
    <w:p w:rsidR="00000000" w:rsidDel="00000000" w:rsidP="00000000" w:rsidRDefault="00000000" w:rsidRPr="00000000" w14:paraId="00000046">
      <w:pPr>
        <w:pStyle w:val="Heading2"/>
        <w:keepNext w:val="0"/>
        <w:keepLines w:val="0"/>
        <w:shd w:fill="ffffff" w:val="clear"/>
        <w:spacing w:before="360" w:line="360" w:lineRule="auto"/>
        <w:jc w:val="both"/>
        <w:rPr>
          <w:rFonts w:ascii="Arial" w:cs="Arial" w:eastAsia="Arial" w:hAnsi="Arial"/>
          <w:b w:val="1"/>
          <w:bCs w:val="1"/>
          <w:color w:val="222222"/>
          <w:sz w:val="30"/>
          <w:szCs w:val="30"/>
        </w:rPr>
      </w:pPr>
      <w:bookmarkStart w:colFirst="0" w:colLast="0" w:name="_heading=h.7f8q73660t8w" w:id="7"/>
      <w:bookmarkEnd w:id="7"/>
      <w:r w:rsidDel="00000000" w:rsidR="00000000" w:rsidRPr="00000000">
        <w:rPr>
          <w:rFonts w:ascii="Arial" w:cs="Arial" w:eastAsia="Arial" w:hAnsi="Arial"/>
          <w:b w:val="1"/>
          <w:bCs w:val="1"/>
          <w:color w:val="222222"/>
          <w:sz w:val="34"/>
          <w:szCs w:val="34"/>
          <w:rtl w:val="0"/>
        </w:rPr>
        <w:t xml:space="preserve">5. </w:t>
      </w:r>
      <w:r w:rsidDel="00000000" w:rsidR="00000000" w:rsidRPr="00000000">
        <w:rPr>
          <w:rFonts w:ascii="Arial" w:cs="Arial" w:eastAsia="Arial" w:hAnsi="Arial"/>
          <w:b w:val="1"/>
          <w:bCs w:val="1"/>
          <w:color w:val="222222"/>
          <w:sz w:val="30"/>
          <w:szCs w:val="30"/>
          <w:rtl w:val="0"/>
        </w:rPr>
        <w:t xml:space="preserve">Local Policies and Initiatives: London Borough of Barnet</w:t>
      </w:r>
    </w:p>
    <w:p w:rsidR="00000000" w:rsidDel="00000000" w:rsidP="00000000" w:rsidRDefault="00000000" w:rsidRPr="00000000" w14:paraId="00000047">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At the local level, the London Borough of Barnet provides a useful example of how national and global objectives can be translated into community-level initiatives. Barnet’s Joint Health and Wellbeing Strategy identifies priorities relating to improving health across the life course and reducing inequalities. The current strategy framework includes priorities such as “Start &amp; Grow Well”, “Live &amp; Age Well” and “Better Places &amp; Better Health for All” (London Borough of Barnet, 2026).</w:t>
      </w:r>
    </w:p>
    <w:p w:rsidR="00000000" w:rsidDel="00000000" w:rsidP="00000000" w:rsidRDefault="00000000" w:rsidRPr="00000000" w14:paraId="00000048">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strategy is valuable because it recognises that improving wellbeing requires partnership working between the local authority, health services and other organisations. The earlier 2021–2025 strategy explicitly emphasised partnership working between the council, NHS and other stakeholders (London Borough of Barnet, 2021).</w:t>
      </w:r>
    </w:p>
    <w:p w:rsidR="00000000" w:rsidDel="00000000" w:rsidP="00000000" w:rsidRDefault="00000000" w:rsidRPr="00000000" w14:paraId="00000049">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Barnet has also developed an </w:t>
      </w:r>
      <w:r w:rsidDel="00000000" w:rsidR="00000000" w:rsidRPr="00000000">
        <w:rPr>
          <w:rFonts w:ascii="Arial" w:cs="Arial" w:eastAsia="Arial" w:hAnsi="Arial"/>
          <w:b w:val="1"/>
          <w:bCs w:val="1"/>
          <w:color w:val="222222"/>
          <w:sz w:val="22"/>
          <w:szCs w:val="22"/>
          <w:rtl w:val="0"/>
        </w:rPr>
        <w:t xml:space="preserve">Air Quality Action Plan for 2023–2028</w:t>
      </w:r>
      <w:r w:rsidDel="00000000" w:rsidR="00000000" w:rsidRPr="00000000">
        <w:rPr>
          <w:rFonts w:ascii="Arial" w:cs="Arial" w:eastAsia="Arial" w:hAnsi="Arial"/>
          <w:color w:val="222222"/>
          <w:sz w:val="22"/>
          <w:szCs w:val="22"/>
          <w:rtl w:val="0"/>
        </w:rPr>
        <w:t xml:space="preserve">. Its purpose is to reduce exposure to air pollution and improve residents’ health and quality of life. The plan links pollution reduction to Barnet’s net-zero ambition (London Borough of Barnet, 2026a). </w:t>
      </w:r>
    </w:p>
    <w:p w:rsidR="00000000" w:rsidDel="00000000" w:rsidP="00000000" w:rsidRDefault="00000000" w:rsidRPr="00000000" w14:paraId="0000004A">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This is an effective example of integrating SDG 3 and SDG 11. Barnet monitors pollutants, including nitrogen dioxide and particulate matter, through continuous monitoring stations and diffusion tubes across the borough (London Borough of Barnet, 2026b). </w:t>
      </w:r>
    </w:p>
    <w:p w:rsidR="00000000" w:rsidDel="00000000" w:rsidP="00000000" w:rsidRDefault="00000000" w:rsidRPr="00000000" w14:paraId="0000004B">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Monitoring provides evidence that can inform future interventions.</w:t>
      </w:r>
    </w:p>
    <w:p w:rsidR="00000000" w:rsidDel="00000000" w:rsidP="00000000" w:rsidRDefault="00000000" w:rsidRPr="00000000" w14:paraId="0000004C">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Barnet is also implementing sustainability measures through its </w:t>
      </w:r>
      <w:r w:rsidDel="00000000" w:rsidR="00000000" w:rsidRPr="00000000">
        <w:rPr>
          <w:rFonts w:ascii="Arial" w:cs="Arial" w:eastAsia="Arial" w:hAnsi="Arial"/>
          <w:b w:val="1"/>
          <w:bCs w:val="1"/>
          <w:color w:val="222222"/>
          <w:sz w:val="22"/>
          <w:szCs w:val="22"/>
          <w:rtl w:val="0"/>
        </w:rPr>
        <w:t xml:space="preserve">BarNET ZERO</w:t>
      </w:r>
      <w:r w:rsidDel="00000000" w:rsidR="00000000" w:rsidRPr="00000000">
        <w:rPr>
          <w:rFonts w:ascii="Arial" w:cs="Arial" w:eastAsia="Arial" w:hAnsi="Arial"/>
          <w:color w:val="222222"/>
          <w:sz w:val="22"/>
          <w:szCs w:val="22"/>
          <w:rtl w:val="0"/>
        </w:rPr>
        <w:t xml:space="preserve"> programme. The council aims to become a net-zero organisation by 2030 and a net-zero borough by 2042. The council reports that solar panels, LED lighting and air-source heat pumps installed in 36 schools are expected to save approximately 1,040 tonnes of carbon annually. It also reports more than 1,500 electric vehicle charge points and the introduction of school streets (London Borough of Barnet, 2026c). </w:t>
      </w:r>
    </w:p>
    <w:p w:rsidR="00000000" w:rsidDel="00000000" w:rsidP="00000000" w:rsidRDefault="00000000" w:rsidRPr="00000000" w14:paraId="0000004D">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effectiveness of these initiatives is encouraging, but their overall impact should be assessed against population-level health outcomes rather than simply counting activities. For example, installing electric vehicle charging stations may indicate progress in infrastructure, but it does not necessarily show that car dependency has decreased or that inequalities in transport have been addressed.</w:t>
      </w:r>
    </w:p>
    <w:p w:rsidR="00000000" w:rsidDel="00000000" w:rsidP="00000000" w:rsidRDefault="00000000" w:rsidRPr="00000000" w14:paraId="0000004E">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Similarly, carbon reductions are important, but local authorities should also measure physical activity, respiratory illness, mental wellbeing, access to green space and inequalities between neighbourhoods.</w:t>
      </w:r>
    </w:p>
    <w:p w:rsidR="00000000" w:rsidDel="00000000" w:rsidP="00000000" w:rsidRDefault="00000000" w:rsidRPr="00000000" w14:paraId="0000004F">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Barnet’s Local Plan, adopted in 2025, provides another opportunity to improve health and sustainability. It plans for substantial housing growth while incorporating sustainable development, walking, cycling and the Healthy Streets approach (London Borough of Barnet, 2025). The challenge is to ensure that new housing is genuinely affordable, energy efficient and connected to public transport, green space, education and healthcare.</w:t>
      </w:r>
    </w:p>
    <w:p w:rsidR="00000000" w:rsidDel="00000000" w:rsidP="00000000" w:rsidRDefault="00000000" w:rsidRPr="00000000" w14:paraId="00000050">
      <w:pPr>
        <w:pStyle w:val="Heading2"/>
        <w:keepNext w:val="0"/>
        <w:keepLines w:val="0"/>
        <w:shd w:fill="ffffff" w:val="clear"/>
        <w:spacing w:before="360" w:line="360" w:lineRule="auto"/>
        <w:jc w:val="both"/>
        <w:rPr>
          <w:rFonts w:ascii="Arial" w:cs="Arial" w:eastAsia="Arial" w:hAnsi="Arial"/>
          <w:b w:val="1"/>
          <w:bCs w:val="1"/>
          <w:color w:val="222222"/>
          <w:sz w:val="34"/>
          <w:szCs w:val="34"/>
        </w:rPr>
      </w:pPr>
      <w:bookmarkStart w:colFirst="0" w:colLast="0" w:name="_heading=h.5d3m2edq8aup" w:id="8"/>
      <w:bookmarkEnd w:id="8"/>
      <w:r w:rsidDel="00000000" w:rsidR="00000000" w:rsidRPr="00000000">
        <w:rPr>
          <w:rFonts w:ascii="Arial" w:cs="Arial" w:eastAsia="Arial" w:hAnsi="Arial"/>
          <w:b w:val="1"/>
          <w:bCs w:val="1"/>
          <w:color w:val="222222"/>
          <w:sz w:val="34"/>
          <w:szCs w:val="34"/>
          <w:rtl w:val="0"/>
        </w:rPr>
        <w:t xml:space="preserve">6. Critical Evaluation and Recommendations</w:t>
      </w:r>
    </w:p>
    <w:p w:rsidR="00000000" w:rsidDel="00000000" w:rsidP="00000000" w:rsidRDefault="00000000" w:rsidRPr="00000000" w14:paraId="00000051">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Although considerable progress has been made, several improvements are necessary.</w:t>
      </w:r>
    </w:p>
    <w:p w:rsidR="00000000" w:rsidDel="00000000" w:rsidP="00000000" w:rsidRDefault="00000000" w:rsidRPr="00000000" w14:paraId="00000052">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b w:val="1"/>
          <w:bCs w:val="1"/>
          <w:color w:val="222222"/>
          <w:sz w:val="22"/>
          <w:szCs w:val="22"/>
          <w:rtl w:val="0"/>
        </w:rPr>
        <w:t xml:space="preserve">First, health should be embedded into all sustainability decisions.</w:t>
      </w:r>
      <w:r w:rsidDel="00000000" w:rsidR="00000000" w:rsidRPr="00000000">
        <w:rPr>
          <w:rFonts w:ascii="Arial" w:cs="Arial" w:eastAsia="Arial" w:hAnsi="Arial"/>
          <w:color w:val="222222"/>
          <w:sz w:val="22"/>
          <w:szCs w:val="22"/>
          <w:rtl w:val="0"/>
        </w:rPr>
        <w:t xml:space="preserve"> Local authorities should use a “Health in All Policies” approach so that planning, transport, housing and environmental decisions are assessed for their potential health consequences.</w:t>
      </w:r>
    </w:p>
    <w:p w:rsidR="00000000" w:rsidDel="00000000" w:rsidP="00000000" w:rsidRDefault="00000000" w:rsidRPr="00000000" w14:paraId="00000053">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b w:val="1"/>
          <w:bCs w:val="1"/>
          <w:color w:val="222222"/>
          <w:sz w:val="22"/>
          <w:szCs w:val="22"/>
          <w:rtl w:val="0"/>
        </w:rPr>
        <w:t xml:space="preserve">Second, greater emphasis should be placed on prevention.</w:t>
      </w:r>
      <w:r w:rsidDel="00000000" w:rsidR="00000000" w:rsidRPr="00000000">
        <w:rPr>
          <w:rFonts w:ascii="Arial" w:cs="Arial" w:eastAsia="Arial" w:hAnsi="Arial"/>
          <w:color w:val="222222"/>
          <w:sz w:val="22"/>
          <w:szCs w:val="22"/>
          <w:rtl w:val="0"/>
        </w:rPr>
        <w:t xml:space="preserve"> Healthcare systems often spend significant resources treating established illnesses. Investment in healthy housing, physical activity, nutrition, mental health support and clean air could reduce preventable disease and pressure on healthcare services.</w:t>
      </w:r>
    </w:p>
    <w:p w:rsidR="00000000" w:rsidDel="00000000" w:rsidP="00000000" w:rsidRDefault="00000000" w:rsidRPr="00000000" w14:paraId="00000054">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b w:val="1"/>
          <w:bCs w:val="1"/>
          <w:color w:val="222222"/>
          <w:sz w:val="22"/>
          <w:szCs w:val="22"/>
          <w:rtl w:val="0"/>
        </w:rPr>
        <w:t xml:space="preserve">Third, interventions should target inequality rather than simply improving average outcomes.</w:t>
      </w:r>
      <w:r w:rsidDel="00000000" w:rsidR="00000000" w:rsidRPr="00000000">
        <w:rPr>
          <w:rFonts w:ascii="Arial" w:cs="Arial" w:eastAsia="Arial" w:hAnsi="Arial"/>
          <w:color w:val="222222"/>
          <w:sz w:val="22"/>
          <w:szCs w:val="22"/>
          <w:rtl w:val="0"/>
        </w:rPr>
        <w:t xml:space="preserve"> Barnet and other local authorities should use neighbourhood-level data to identify communities experiencing poorer health outcomes. This should be integrated with NHS Core20PLUS5 data to ensure that investment reaches the people most in need.</w:t>
      </w:r>
    </w:p>
    <w:p w:rsidR="00000000" w:rsidDel="00000000" w:rsidP="00000000" w:rsidRDefault="00000000" w:rsidRPr="00000000" w14:paraId="00000055">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b w:val="1"/>
          <w:bCs w:val="1"/>
          <w:color w:val="222222"/>
          <w:sz w:val="22"/>
          <w:szCs w:val="22"/>
          <w:rtl w:val="0"/>
        </w:rPr>
        <w:t xml:space="preserve">Fourth, sustainability policies should be designed around affordability.</w:t>
      </w:r>
      <w:r w:rsidDel="00000000" w:rsidR="00000000" w:rsidRPr="00000000">
        <w:rPr>
          <w:rFonts w:ascii="Arial" w:cs="Arial" w:eastAsia="Arial" w:hAnsi="Arial"/>
          <w:color w:val="222222"/>
          <w:sz w:val="22"/>
          <w:szCs w:val="22"/>
          <w:rtl w:val="0"/>
        </w:rPr>
        <w:t xml:space="preserve"> Retrofitting homes, improving public transport and encouraging low-carbon technologies can create health benefits, but residents on lower incomes may need financial assistance to participate. Government and councils should therefore expand targeted grants and support for energy efficiency.</w:t>
      </w:r>
    </w:p>
    <w:p w:rsidR="00000000" w:rsidDel="00000000" w:rsidP="00000000" w:rsidRDefault="00000000" w:rsidRPr="00000000" w14:paraId="00000056">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b w:val="1"/>
          <w:bCs w:val="1"/>
          <w:color w:val="222222"/>
          <w:sz w:val="22"/>
          <w:szCs w:val="22"/>
          <w:rtl w:val="0"/>
        </w:rPr>
        <w:t xml:space="preserve">Fifth, active travel should receive greater investment.</w:t>
      </w:r>
      <w:r w:rsidDel="00000000" w:rsidR="00000000" w:rsidRPr="00000000">
        <w:rPr>
          <w:rFonts w:ascii="Arial" w:cs="Arial" w:eastAsia="Arial" w:hAnsi="Arial"/>
          <w:color w:val="222222"/>
          <w:sz w:val="22"/>
          <w:szCs w:val="22"/>
          <w:rtl w:val="0"/>
        </w:rPr>
        <w:t xml:space="preserve"> Safe walking and cycling infrastructure can contribute to SDG 3 through increased physical activity and to SDG 11 through sustainable transport. Barnet should prioritise continuous, accessible walking and cycling routes connecting homes with schools, workplaces, public transport, healthcare facilities and green spaces.</w:t>
      </w:r>
    </w:p>
    <w:p w:rsidR="00000000" w:rsidDel="00000000" w:rsidP="00000000" w:rsidRDefault="00000000" w:rsidRPr="00000000" w14:paraId="00000057">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b w:val="1"/>
          <w:bCs w:val="1"/>
          <w:color w:val="222222"/>
          <w:sz w:val="22"/>
          <w:szCs w:val="22"/>
          <w:rtl w:val="0"/>
        </w:rPr>
        <w:t xml:space="preserve">Finally, a stronger evaluation is required.</w:t>
      </w:r>
      <w:r w:rsidDel="00000000" w:rsidR="00000000" w:rsidRPr="00000000">
        <w:rPr>
          <w:rFonts w:ascii="Arial" w:cs="Arial" w:eastAsia="Arial" w:hAnsi="Arial"/>
          <w:color w:val="222222"/>
          <w:sz w:val="22"/>
          <w:szCs w:val="22"/>
          <w:rtl w:val="0"/>
        </w:rPr>
        <w:t xml:space="preserve"> Policies should be assessed using measurable indicators covering health, well-being, carbon emissions and inequalities. NHS England already recommends disaggregating data by population groups and neighbourhoods to understand differences in access and outcomes (NHS England, 2026). Similar approaches should be systematically applied to local sustainability policies.</w:t>
      </w:r>
    </w:p>
    <w:p w:rsidR="00000000" w:rsidDel="00000000" w:rsidP="00000000" w:rsidRDefault="00000000" w:rsidRPr="00000000" w14:paraId="00000058">
      <w:pPr>
        <w:pStyle w:val="Heading2"/>
        <w:keepNext w:val="0"/>
        <w:keepLines w:val="0"/>
        <w:shd w:fill="ffffff" w:val="clear"/>
        <w:spacing w:before="360" w:line="360" w:lineRule="auto"/>
        <w:jc w:val="both"/>
        <w:rPr>
          <w:rFonts w:ascii="Arial" w:cs="Arial" w:eastAsia="Arial" w:hAnsi="Arial"/>
          <w:b w:val="1"/>
          <w:bCs w:val="1"/>
          <w:color w:val="222222"/>
          <w:sz w:val="34"/>
          <w:szCs w:val="34"/>
        </w:rPr>
      </w:pPr>
      <w:bookmarkStart w:colFirst="0" w:colLast="0" w:name="_heading=h.w3pbze6h5ydb" w:id="9"/>
      <w:bookmarkEnd w:id="9"/>
      <w:r w:rsidDel="00000000" w:rsidR="00000000" w:rsidRPr="00000000">
        <w:rPr>
          <w:rFonts w:ascii="Arial" w:cs="Arial" w:eastAsia="Arial" w:hAnsi="Arial"/>
          <w:b w:val="1"/>
          <w:bCs w:val="1"/>
          <w:color w:val="222222"/>
          <w:sz w:val="34"/>
          <w:szCs w:val="34"/>
          <w:rtl w:val="0"/>
        </w:rPr>
        <w:t xml:space="preserve">Conclusion</w:t>
      </w:r>
    </w:p>
    <w:p w:rsidR="00000000" w:rsidDel="00000000" w:rsidP="00000000" w:rsidRDefault="00000000" w:rsidRPr="00000000" w14:paraId="00000059">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SDG 3 and SDG 11 demonstrate that health, wellbeing and sustainability cannot be considered separately. Good health depends on more than healthcare provision; it is strongly influenced by housing, transport, air quality, employment, social circumstances and the physical environment. SDG 3 provides the health framework, while SDG 11 addresses many of the environmental and social conditions that determine health.</w:t>
      </w:r>
    </w:p>
    <w:p w:rsidR="00000000" w:rsidDel="00000000" w:rsidP="00000000" w:rsidRDefault="00000000" w:rsidRPr="00000000" w14:paraId="0000005A">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At the global level, significant progress has been achieved in health service coverage and disease prevention, but substantial inequalities remain. At the UK national level, initiatives such as Core20PLUS5, the Net Zero Strategy and the Clean Air Strategy demonstrate increasing recognition of the relationship between health inequalities and environmental sustainability. At the local level, Barnet’s Joint Health and Wellbeing Strategy, Air Quality Action Plan, BarNET ZERO programme and Local Plan provide mechanisms for translating these objectives into local action.</w:t>
      </w:r>
    </w:p>
    <w:p w:rsidR="00000000" w:rsidDel="00000000" w:rsidP="00000000" w:rsidRDefault="00000000" w:rsidRPr="00000000" w14:paraId="0000005B">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However, the effectiveness of these initiatives depends on implementation, funding, partnership working and robust evaluation. Future policy should focus more strongly on prevention, health inequalities, affordable sustainability and community participation. Most importantly, success should not be measured only through the number of projects delivered or tonnes of carbon reduced, but through whether citizens experience longer, healthier and more equitable lives. Integrating health and sustainability into housing, transport, planning and environmental policy, therefore, offers one of the strongest routes towards achieving both SDG 3 and SDG 11.</w:t>
      </w:r>
    </w:p>
    <w:p w:rsidR="00000000" w:rsidDel="00000000" w:rsidP="00000000" w:rsidRDefault="00000000" w:rsidRPr="00000000" w14:paraId="0000005C">
      <w:pPr>
        <w:shd w:fill="ffffff" w:val="clear"/>
        <w:spacing w:after="200" w:before="320" w:line="360"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5D">
      <w:pPr>
        <w:jc w:val="both"/>
        <w:rPr/>
      </w:pPr>
      <w:r w:rsidDel="00000000" w:rsidR="00000000" w:rsidRPr="00000000">
        <w:rPr>
          <w:rFonts w:ascii="Calibri" w:cs="Calibri" w:eastAsia="Calibri" w:hAnsi="Calibri"/>
          <w:b w:val="1"/>
          <w:bCs w:val="1"/>
          <w:sz w:val="36"/>
          <w:szCs w:val="36"/>
          <w:rtl w:val="0"/>
        </w:rPr>
        <w:t xml:space="preserve">References</w:t>
      </w:r>
      <w:r w:rsidDel="00000000" w:rsidR="00000000" w:rsidRPr="00000000">
        <w:rPr>
          <w:rtl w:val="0"/>
        </w:rPr>
      </w:r>
    </w:p>
    <w:p w:rsidR="00000000" w:rsidDel="00000000" w:rsidP="00000000" w:rsidRDefault="00000000" w:rsidRPr="00000000" w14:paraId="0000005E">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London Borough of Barnet (2021) </w:t>
      </w:r>
      <w:r w:rsidDel="00000000" w:rsidR="00000000" w:rsidRPr="00000000">
        <w:rPr>
          <w:rFonts w:ascii="Arial" w:cs="Arial" w:eastAsia="Arial" w:hAnsi="Arial"/>
          <w:i w:val="1"/>
          <w:iCs w:val="1"/>
          <w:color w:val="222222"/>
          <w:sz w:val="22"/>
          <w:szCs w:val="22"/>
          <w:rtl w:val="0"/>
        </w:rPr>
        <w:t xml:space="preserve">Barnet Joint Health and Wellbeing Strategy 2021–2025</w:t>
      </w:r>
      <w:r w:rsidDel="00000000" w:rsidR="00000000" w:rsidRPr="00000000">
        <w:rPr>
          <w:rFonts w:ascii="Arial" w:cs="Arial" w:eastAsia="Arial" w:hAnsi="Arial"/>
          <w:color w:val="222222"/>
          <w:sz w:val="22"/>
          <w:szCs w:val="22"/>
          <w:rtl w:val="0"/>
        </w:rPr>
        <w:t xml:space="preserve">. Barnet Council. Available through Barnet Council. (</w:t>
      </w:r>
      <w:hyperlink r:id="rId8">
        <w:r w:rsidDel="00000000" w:rsidR="00000000" w:rsidRPr="00000000">
          <w:rPr>
            <w:rFonts w:ascii="Arial" w:cs="Arial" w:eastAsia="Arial" w:hAnsi="Arial"/>
            <w:color w:val="1155cc"/>
            <w:sz w:val="22"/>
            <w:szCs w:val="22"/>
            <w:u w:val="single"/>
            <w:rtl w:val="0"/>
          </w:rPr>
          <w:t xml:space="preserve">Barnet Council</w:t>
        </w:r>
      </w:hyperlink>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5F">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London Borough of Barnet (2025) </w:t>
      </w:r>
      <w:r w:rsidDel="00000000" w:rsidR="00000000" w:rsidRPr="00000000">
        <w:rPr>
          <w:rFonts w:ascii="Arial" w:cs="Arial" w:eastAsia="Arial" w:hAnsi="Arial"/>
          <w:i w:val="1"/>
          <w:iCs w:val="1"/>
          <w:color w:val="222222"/>
          <w:sz w:val="22"/>
          <w:szCs w:val="22"/>
          <w:rtl w:val="0"/>
        </w:rPr>
        <w:t xml:space="preserve">Barnet Council adopts new Local Plan to shape growth and change up to 2036</w:t>
      </w:r>
      <w:r w:rsidDel="00000000" w:rsidR="00000000" w:rsidRPr="00000000">
        <w:rPr>
          <w:rFonts w:ascii="Arial" w:cs="Arial" w:eastAsia="Arial" w:hAnsi="Arial"/>
          <w:color w:val="222222"/>
          <w:sz w:val="22"/>
          <w:szCs w:val="22"/>
          <w:rtl w:val="0"/>
        </w:rPr>
        <w:t xml:space="preserve">. Barnet Council. (</w:t>
      </w:r>
      <w:hyperlink r:id="rId9">
        <w:r w:rsidDel="00000000" w:rsidR="00000000" w:rsidRPr="00000000">
          <w:rPr>
            <w:rFonts w:ascii="Arial" w:cs="Arial" w:eastAsia="Arial" w:hAnsi="Arial"/>
            <w:color w:val="1155cc"/>
            <w:sz w:val="22"/>
            <w:szCs w:val="22"/>
            <w:u w:val="single"/>
            <w:rtl w:val="0"/>
          </w:rPr>
          <w:t xml:space="preserve">Barnet Council</w:t>
        </w:r>
      </w:hyperlink>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60">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London Borough of Barnet (2026a) </w:t>
      </w:r>
      <w:r w:rsidDel="00000000" w:rsidR="00000000" w:rsidRPr="00000000">
        <w:rPr>
          <w:rFonts w:ascii="Arial" w:cs="Arial" w:eastAsia="Arial" w:hAnsi="Arial"/>
          <w:i w:val="1"/>
          <w:iCs w:val="1"/>
          <w:color w:val="222222"/>
          <w:sz w:val="22"/>
          <w:szCs w:val="22"/>
          <w:rtl w:val="0"/>
        </w:rPr>
        <w:t xml:space="preserve">Air Quality Action Plan 2023–2028</w:t>
      </w:r>
      <w:r w:rsidDel="00000000" w:rsidR="00000000" w:rsidRPr="00000000">
        <w:rPr>
          <w:rFonts w:ascii="Arial" w:cs="Arial" w:eastAsia="Arial" w:hAnsi="Arial"/>
          <w:color w:val="222222"/>
          <w:sz w:val="22"/>
          <w:szCs w:val="22"/>
          <w:rtl w:val="0"/>
        </w:rPr>
        <w:t xml:space="preserve">. Barnet Council. (</w:t>
      </w:r>
      <w:hyperlink r:id="rId10">
        <w:r w:rsidDel="00000000" w:rsidR="00000000" w:rsidRPr="00000000">
          <w:rPr>
            <w:rFonts w:ascii="Arial" w:cs="Arial" w:eastAsia="Arial" w:hAnsi="Arial"/>
            <w:color w:val="1155cc"/>
            <w:sz w:val="22"/>
            <w:szCs w:val="22"/>
            <w:u w:val="single"/>
            <w:rtl w:val="0"/>
          </w:rPr>
          <w:t xml:space="preserve">Barnet Council</w:t>
        </w:r>
      </w:hyperlink>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61">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London Borough of Barnet (2026b) </w:t>
      </w:r>
      <w:r w:rsidDel="00000000" w:rsidR="00000000" w:rsidRPr="00000000">
        <w:rPr>
          <w:rFonts w:ascii="Arial" w:cs="Arial" w:eastAsia="Arial" w:hAnsi="Arial"/>
          <w:i w:val="1"/>
          <w:iCs w:val="1"/>
          <w:color w:val="222222"/>
          <w:sz w:val="22"/>
          <w:szCs w:val="22"/>
          <w:rtl w:val="0"/>
        </w:rPr>
        <w:t xml:space="preserve">Air quality monitoring and reports</w:t>
      </w:r>
      <w:r w:rsidDel="00000000" w:rsidR="00000000" w:rsidRPr="00000000">
        <w:rPr>
          <w:rFonts w:ascii="Arial" w:cs="Arial" w:eastAsia="Arial" w:hAnsi="Arial"/>
          <w:color w:val="222222"/>
          <w:sz w:val="22"/>
          <w:szCs w:val="22"/>
          <w:rtl w:val="0"/>
        </w:rPr>
        <w:t xml:space="preserve">. Barnet Council. (</w:t>
      </w:r>
      <w:hyperlink r:id="rId11">
        <w:r w:rsidDel="00000000" w:rsidR="00000000" w:rsidRPr="00000000">
          <w:rPr>
            <w:rFonts w:ascii="Arial" w:cs="Arial" w:eastAsia="Arial" w:hAnsi="Arial"/>
            <w:color w:val="1155cc"/>
            <w:sz w:val="22"/>
            <w:szCs w:val="22"/>
            <w:u w:val="single"/>
            <w:rtl w:val="0"/>
          </w:rPr>
          <w:t xml:space="preserve">Barnet Council</w:t>
        </w:r>
      </w:hyperlink>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62">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London Borough of Barnet (2026c) </w:t>
      </w:r>
      <w:r w:rsidDel="00000000" w:rsidR="00000000" w:rsidRPr="00000000">
        <w:rPr>
          <w:rFonts w:ascii="Arial" w:cs="Arial" w:eastAsia="Arial" w:hAnsi="Arial"/>
          <w:i w:val="1"/>
          <w:iCs w:val="1"/>
          <w:color w:val="222222"/>
          <w:sz w:val="22"/>
          <w:szCs w:val="22"/>
          <w:rtl w:val="0"/>
        </w:rPr>
        <w:t xml:space="preserve">Building a greener future for Barnet</w:t>
      </w:r>
      <w:r w:rsidDel="00000000" w:rsidR="00000000" w:rsidRPr="00000000">
        <w:rPr>
          <w:rFonts w:ascii="Arial" w:cs="Arial" w:eastAsia="Arial" w:hAnsi="Arial"/>
          <w:color w:val="222222"/>
          <w:sz w:val="22"/>
          <w:szCs w:val="22"/>
          <w:rtl w:val="0"/>
        </w:rPr>
        <w:t xml:space="preserve">. Barnet Council. (</w:t>
      </w:r>
      <w:hyperlink r:id="rId12">
        <w:r w:rsidDel="00000000" w:rsidR="00000000" w:rsidRPr="00000000">
          <w:rPr>
            <w:rFonts w:ascii="Arial" w:cs="Arial" w:eastAsia="Arial" w:hAnsi="Arial"/>
            <w:color w:val="1155cc"/>
            <w:sz w:val="22"/>
            <w:szCs w:val="22"/>
            <w:u w:val="single"/>
            <w:rtl w:val="0"/>
          </w:rPr>
          <w:t xml:space="preserve">Barnet Council</w:t>
        </w:r>
      </w:hyperlink>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63">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London Borough of Barnet (2026d) </w:t>
      </w:r>
      <w:r w:rsidDel="00000000" w:rsidR="00000000" w:rsidRPr="00000000">
        <w:rPr>
          <w:rFonts w:ascii="Arial" w:cs="Arial" w:eastAsia="Arial" w:hAnsi="Arial"/>
          <w:i w:val="1"/>
          <w:iCs w:val="1"/>
          <w:color w:val="222222"/>
          <w:sz w:val="22"/>
          <w:szCs w:val="22"/>
          <w:rtl w:val="0"/>
        </w:rPr>
        <w:t xml:space="preserve">Joint Health and Wellbeing Strategy</w:t>
      </w:r>
      <w:r w:rsidDel="00000000" w:rsidR="00000000" w:rsidRPr="00000000">
        <w:rPr>
          <w:rFonts w:ascii="Arial" w:cs="Arial" w:eastAsia="Arial" w:hAnsi="Arial"/>
          <w:color w:val="222222"/>
          <w:sz w:val="22"/>
          <w:szCs w:val="22"/>
          <w:rtl w:val="0"/>
        </w:rPr>
        <w:t xml:space="preserve">. Barnet Open Data/Joint Strategic Needs Assessment. (</w:t>
      </w:r>
      <w:hyperlink r:id="rId13">
        <w:r w:rsidDel="00000000" w:rsidR="00000000" w:rsidRPr="00000000">
          <w:rPr>
            <w:rFonts w:ascii="Arial" w:cs="Arial" w:eastAsia="Arial" w:hAnsi="Arial"/>
            <w:color w:val="1155cc"/>
            <w:sz w:val="22"/>
            <w:szCs w:val="22"/>
            <w:u w:val="single"/>
            <w:rtl w:val="0"/>
          </w:rPr>
          <w:t xml:space="preserve">Barnet Open Data</w:t>
        </w:r>
      </w:hyperlink>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64">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NHS England (2026a) </w:t>
      </w:r>
      <w:r w:rsidDel="00000000" w:rsidR="00000000" w:rsidRPr="00000000">
        <w:rPr>
          <w:rFonts w:ascii="Arial" w:cs="Arial" w:eastAsia="Arial" w:hAnsi="Arial"/>
          <w:i w:val="1"/>
          <w:iCs w:val="1"/>
          <w:color w:val="222222"/>
          <w:sz w:val="22"/>
          <w:szCs w:val="22"/>
          <w:rtl w:val="0"/>
        </w:rPr>
        <w:t xml:space="preserve">Core20PLUS5: An approach to reducing healthcare inequalities</w:t>
      </w:r>
      <w:r w:rsidDel="00000000" w:rsidR="00000000" w:rsidRPr="00000000">
        <w:rPr>
          <w:rFonts w:ascii="Arial" w:cs="Arial" w:eastAsia="Arial" w:hAnsi="Arial"/>
          <w:color w:val="222222"/>
          <w:sz w:val="22"/>
          <w:szCs w:val="22"/>
          <w:rtl w:val="0"/>
        </w:rPr>
        <w:t xml:space="preserve">. NHS England. (</w:t>
      </w:r>
      <w:hyperlink r:id="rId14">
        <w:r w:rsidDel="00000000" w:rsidR="00000000" w:rsidRPr="00000000">
          <w:rPr>
            <w:rFonts w:ascii="Arial" w:cs="Arial" w:eastAsia="Arial" w:hAnsi="Arial"/>
            <w:color w:val="1155cc"/>
            <w:sz w:val="22"/>
            <w:szCs w:val="22"/>
            <w:u w:val="single"/>
            <w:rtl w:val="0"/>
          </w:rPr>
          <w:t xml:space="preserve">NHS England</w:t>
        </w:r>
      </w:hyperlink>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65">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NHS England (2026b). </w:t>
      </w:r>
      <w:r w:rsidDel="00000000" w:rsidR="00000000" w:rsidRPr="00000000">
        <w:rPr>
          <w:rFonts w:ascii="Arial" w:cs="Arial" w:eastAsia="Arial" w:hAnsi="Arial"/>
          <w:i w:val="1"/>
          <w:iCs w:val="1"/>
          <w:color w:val="222222"/>
          <w:sz w:val="22"/>
          <w:szCs w:val="22"/>
          <w:rtl w:val="0"/>
        </w:rPr>
        <w:t xml:space="preserve">What are healthcare inequalities?</w:t>
      </w:r>
      <w:r w:rsidDel="00000000" w:rsidR="00000000" w:rsidRPr="00000000">
        <w:rPr>
          <w:rFonts w:ascii="Arial" w:cs="Arial" w:eastAsia="Arial" w:hAnsi="Arial"/>
          <w:color w:val="222222"/>
          <w:sz w:val="22"/>
          <w:szCs w:val="22"/>
          <w:rtl w:val="0"/>
        </w:rPr>
        <w:t xml:space="preserve"> NHS England. (</w:t>
      </w:r>
      <w:hyperlink r:id="rId15">
        <w:r w:rsidDel="00000000" w:rsidR="00000000" w:rsidRPr="00000000">
          <w:rPr>
            <w:rFonts w:ascii="Arial" w:cs="Arial" w:eastAsia="Arial" w:hAnsi="Arial"/>
            <w:color w:val="1155cc"/>
            <w:sz w:val="22"/>
            <w:szCs w:val="22"/>
            <w:u w:val="single"/>
            <w:rtl w:val="0"/>
          </w:rPr>
          <w:t xml:space="preserve">NHS England</w:t>
        </w:r>
      </w:hyperlink>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66">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NHS England (2026c) </w:t>
      </w:r>
      <w:r w:rsidDel="00000000" w:rsidR="00000000" w:rsidRPr="00000000">
        <w:rPr>
          <w:rFonts w:ascii="Arial" w:cs="Arial" w:eastAsia="Arial" w:hAnsi="Arial"/>
          <w:i w:val="1"/>
          <w:iCs w:val="1"/>
          <w:color w:val="222222"/>
          <w:sz w:val="22"/>
          <w:szCs w:val="22"/>
          <w:rtl w:val="0"/>
        </w:rPr>
        <w:t xml:space="preserve">NHS England’s statement on information on health inequalities</w:t>
      </w:r>
      <w:r w:rsidDel="00000000" w:rsidR="00000000" w:rsidRPr="00000000">
        <w:rPr>
          <w:rFonts w:ascii="Arial" w:cs="Arial" w:eastAsia="Arial" w:hAnsi="Arial"/>
          <w:color w:val="222222"/>
          <w:sz w:val="22"/>
          <w:szCs w:val="22"/>
          <w:rtl w:val="0"/>
        </w:rPr>
        <w:t xml:space="preserve">. NHS England. (</w:t>
      </w:r>
      <w:hyperlink r:id="rId16">
        <w:r w:rsidDel="00000000" w:rsidR="00000000" w:rsidRPr="00000000">
          <w:rPr>
            <w:rFonts w:ascii="Arial" w:cs="Arial" w:eastAsia="Arial" w:hAnsi="Arial"/>
            <w:color w:val="1155cc"/>
            <w:sz w:val="22"/>
            <w:szCs w:val="22"/>
            <w:u w:val="single"/>
            <w:rtl w:val="0"/>
          </w:rPr>
          <w:t xml:space="preserve">NHS England</w:t>
        </w:r>
      </w:hyperlink>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67">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United Nations (2026a) </w:t>
      </w:r>
      <w:r w:rsidDel="00000000" w:rsidR="00000000" w:rsidRPr="00000000">
        <w:rPr>
          <w:rFonts w:ascii="Arial" w:cs="Arial" w:eastAsia="Arial" w:hAnsi="Arial"/>
          <w:i w:val="1"/>
          <w:iCs w:val="1"/>
          <w:color w:val="222222"/>
          <w:sz w:val="22"/>
          <w:szCs w:val="22"/>
          <w:rtl w:val="0"/>
        </w:rPr>
        <w:t xml:space="preserve">Goal 3: Good Health and Well-being</w:t>
      </w:r>
      <w:r w:rsidDel="00000000" w:rsidR="00000000" w:rsidRPr="00000000">
        <w:rPr>
          <w:rFonts w:ascii="Arial" w:cs="Arial" w:eastAsia="Arial" w:hAnsi="Arial"/>
          <w:color w:val="222222"/>
          <w:sz w:val="22"/>
          <w:szCs w:val="22"/>
          <w:rtl w:val="0"/>
        </w:rPr>
        <w:t xml:space="preserve">. Department of Economic and Social Affairs, Sustainable Development Goals. (</w:t>
      </w:r>
      <w:hyperlink r:id="rId17">
        <w:r w:rsidDel="00000000" w:rsidR="00000000" w:rsidRPr="00000000">
          <w:rPr>
            <w:rFonts w:ascii="Arial" w:cs="Arial" w:eastAsia="Arial" w:hAnsi="Arial"/>
            <w:color w:val="1155cc"/>
            <w:sz w:val="22"/>
            <w:szCs w:val="22"/>
            <w:u w:val="single"/>
            <w:rtl w:val="0"/>
          </w:rPr>
          <w:t xml:space="preserve">Sustainable Development Goals</w:t>
        </w:r>
      </w:hyperlink>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68">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United Nations (2026b) </w:t>
      </w:r>
      <w:r w:rsidDel="00000000" w:rsidR="00000000" w:rsidRPr="00000000">
        <w:rPr>
          <w:rFonts w:ascii="Arial" w:cs="Arial" w:eastAsia="Arial" w:hAnsi="Arial"/>
          <w:i w:val="1"/>
          <w:iCs w:val="1"/>
          <w:color w:val="222222"/>
          <w:sz w:val="22"/>
          <w:szCs w:val="22"/>
          <w:rtl w:val="0"/>
        </w:rPr>
        <w:t xml:space="preserve">Goal 11: Sustainable Cities and Communities</w:t>
      </w:r>
      <w:r w:rsidDel="00000000" w:rsidR="00000000" w:rsidRPr="00000000">
        <w:rPr>
          <w:rFonts w:ascii="Arial" w:cs="Arial" w:eastAsia="Arial" w:hAnsi="Arial"/>
          <w:color w:val="222222"/>
          <w:sz w:val="22"/>
          <w:szCs w:val="22"/>
          <w:rtl w:val="0"/>
        </w:rPr>
        <w:t xml:space="preserve">. Department of Economic and Social Affairs, Sustainable Development Goals. (</w:t>
      </w:r>
      <w:hyperlink r:id="rId18">
        <w:r w:rsidDel="00000000" w:rsidR="00000000" w:rsidRPr="00000000">
          <w:rPr>
            <w:rFonts w:ascii="Arial" w:cs="Arial" w:eastAsia="Arial" w:hAnsi="Arial"/>
            <w:color w:val="1155cc"/>
            <w:sz w:val="22"/>
            <w:szCs w:val="22"/>
            <w:u w:val="single"/>
            <w:rtl w:val="0"/>
          </w:rPr>
          <w:t xml:space="preserve">Sustainable Development Goals</w:t>
        </w:r>
      </w:hyperlink>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69">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UK Government (2019) </w:t>
      </w:r>
      <w:r w:rsidDel="00000000" w:rsidR="00000000" w:rsidRPr="00000000">
        <w:rPr>
          <w:rFonts w:ascii="Arial" w:cs="Arial" w:eastAsia="Arial" w:hAnsi="Arial"/>
          <w:i w:val="1"/>
          <w:iCs w:val="1"/>
          <w:color w:val="222222"/>
          <w:sz w:val="22"/>
          <w:szCs w:val="22"/>
          <w:rtl w:val="0"/>
        </w:rPr>
        <w:t xml:space="preserve">Clean Air Strategy 2019</w:t>
      </w:r>
      <w:r w:rsidDel="00000000" w:rsidR="00000000" w:rsidRPr="00000000">
        <w:rPr>
          <w:rFonts w:ascii="Arial" w:cs="Arial" w:eastAsia="Arial" w:hAnsi="Arial"/>
          <w:color w:val="222222"/>
          <w:sz w:val="22"/>
          <w:szCs w:val="22"/>
          <w:rtl w:val="0"/>
        </w:rPr>
        <w:t xml:space="preserve">. Department for Environment, Food and Rural Affairs et al. (</w:t>
      </w:r>
      <w:hyperlink r:id="rId19">
        <w:r w:rsidDel="00000000" w:rsidR="00000000" w:rsidRPr="00000000">
          <w:rPr>
            <w:rFonts w:ascii="Arial" w:cs="Arial" w:eastAsia="Arial" w:hAnsi="Arial"/>
            <w:color w:val="1155cc"/>
            <w:sz w:val="22"/>
            <w:szCs w:val="22"/>
            <w:u w:val="single"/>
            <w:rtl w:val="0"/>
          </w:rPr>
          <w:t xml:space="preserve">GOV.UK</w:t>
        </w:r>
      </w:hyperlink>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6A">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UK Government (2022) </w:t>
      </w:r>
      <w:r w:rsidDel="00000000" w:rsidR="00000000" w:rsidRPr="00000000">
        <w:rPr>
          <w:rFonts w:ascii="Arial" w:cs="Arial" w:eastAsia="Arial" w:hAnsi="Arial"/>
          <w:i w:val="1"/>
          <w:iCs w:val="1"/>
          <w:color w:val="222222"/>
          <w:sz w:val="22"/>
          <w:szCs w:val="22"/>
          <w:rtl w:val="0"/>
        </w:rPr>
        <w:t xml:space="preserve">Net Zero Strategy: Build Back Greener</w:t>
      </w:r>
      <w:r w:rsidDel="00000000" w:rsidR="00000000" w:rsidRPr="00000000">
        <w:rPr>
          <w:rFonts w:ascii="Arial" w:cs="Arial" w:eastAsia="Arial" w:hAnsi="Arial"/>
          <w:color w:val="222222"/>
          <w:sz w:val="22"/>
          <w:szCs w:val="22"/>
          <w:rtl w:val="0"/>
        </w:rPr>
        <w:t xml:space="preserve">. Department for Business, Energy and Industrial Strategy/Department for Energy Security and Net Zero. (</w:t>
      </w:r>
      <w:hyperlink r:id="rId20">
        <w:r w:rsidDel="00000000" w:rsidR="00000000" w:rsidRPr="00000000">
          <w:rPr>
            <w:rFonts w:ascii="Arial" w:cs="Arial" w:eastAsia="Arial" w:hAnsi="Arial"/>
            <w:color w:val="1155cc"/>
            <w:sz w:val="22"/>
            <w:szCs w:val="22"/>
            <w:u w:val="single"/>
            <w:rtl w:val="0"/>
          </w:rPr>
          <w:t xml:space="preserve">GOV.UK</w:t>
        </w:r>
      </w:hyperlink>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6B">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World Health Organization (2024a) </w:t>
      </w:r>
      <w:r w:rsidDel="00000000" w:rsidR="00000000" w:rsidRPr="00000000">
        <w:rPr>
          <w:rFonts w:ascii="Arial" w:cs="Arial" w:eastAsia="Arial" w:hAnsi="Arial"/>
          <w:i w:val="1"/>
          <w:iCs w:val="1"/>
          <w:color w:val="222222"/>
          <w:sz w:val="22"/>
          <w:szCs w:val="22"/>
          <w:rtl w:val="0"/>
        </w:rPr>
        <w:t xml:space="preserve">Ambient (outdoor) air pollution</w:t>
      </w:r>
      <w:r w:rsidDel="00000000" w:rsidR="00000000" w:rsidRPr="00000000">
        <w:rPr>
          <w:rFonts w:ascii="Arial" w:cs="Arial" w:eastAsia="Arial" w:hAnsi="Arial"/>
          <w:color w:val="222222"/>
          <w:sz w:val="22"/>
          <w:szCs w:val="22"/>
          <w:rtl w:val="0"/>
        </w:rPr>
        <w:t xml:space="preserve">. WHO. (</w:t>
      </w:r>
      <w:hyperlink r:id="rId21">
        <w:r w:rsidDel="00000000" w:rsidR="00000000" w:rsidRPr="00000000">
          <w:rPr>
            <w:rFonts w:ascii="Arial" w:cs="Arial" w:eastAsia="Arial" w:hAnsi="Arial"/>
            <w:color w:val="1155cc"/>
            <w:sz w:val="22"/>
            <w:szCs w:val="22"/>
            <w:u w:val="single"/>
            <w:rtl w:val="0"/>
          </w:rPr>
          <w:t xml:space="preserve">World Health Organization</w:t>
        </w:r>
      </w:hyperlink>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6C">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World Health Organisation (2024b) </w:t>
      </w:r>
      <w:r w:rsidDel="00000000" w:rsidR="00000000" w:rsidRPr="00000000">
        <w:rPr>
          <w:rFonts w:ascii="Arial" w:cs="Arial" w:eastAsia="Arial" w:hAnsi="Arial"/>
          <w:i w:val="1"/>
          <w:iCs w:val="1"/>
          <w:color w:val="222222"/>
          <w:sz w:val="22"/>
          <w:szCs w:val="22"/>
          <w:rtl w:val="0"/>
        </w:rPr>
        <w:t xml:space="preserve">2024 Progress Report on the Global Action Plan for Healthy Lives and Well-being for All</w:t>
      </w:r>
      <w:r w:rsidDel="00000000" w:rsidR="00000000" w:rsidRPr="00000000">
        <w:rPr>
          <w:rFonts w:ascii="Arial" w:cs="Arial" w:eastAsia="Arial" w:hAnsi="Arial"/>
          <w:color w:val="222222"/>
          <w:sz w:val="22"/>
          <w:szCs w:val="22"/>
          <w:rtl w:val="0"/>
        </w:rPr>
        <w:t xml:space="preserve">. WHO. (</w:t>
      </w:r>
      <w:hyperlink r:id="rId22">
        <w:r w:rsidDel="00000000" w:rsidR="00000000" w:rsidRPr="00000000">
          <w:rPr>
            <w:rFonts w:ascii="Arial" w:cs="Arial" w:eastAsia="Arial" w:hAnsi="Arial"/>
            <w:color w:val="1155cc"/>
            <w:sz w:val="22"/>
            <w:szCs w:val="22"/>
            <w:u w:val="single"/>
            <w:rtl w:val="0"/>
          </w:rPr>
          <w:t xml:space="preserve">World Health </w:t>
        </w:r>
      </w:hyperlink>
      <w:r w:rsidDel="00000000" w:rsidR="00000000" w:rsidRPr="00000000">
        <w:rPr>
          <w:rFonts w:ascii="Arial" w:cs="Arial" w:eastAsia="Arial" w:hAnsi="Arial"/>
          <w:color w:val="222222"/>
          <w:sz w:val="22"/>
          <w:szCs w:val="22"/>
          <w:rtl w:val="0"/>
        </w:rPr>
        <w:t xml:space="preserve">Organisation</w:t>
      </w:r>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6D">
      <w:pPr>
        <w:shd w:fill="ffffff" w:val="clear"/>
        <w:spacing w:after="200" w:before="320" w:line="360"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World Health Organization (2025) </w:t>
      </w:r>
      <w:r w:rsidDel="00000000" w:rsidR="00000000" w:rsidRPr="00000000">
        <w:rPr>
          <w:rFonts w:ascii="Arial" w:cs="Arial" w:eastAsia="Arial" w:hAnsi="Arial"/>
          <w:i w:val="1"/>
          <w:iCs w:val="1"/>
          <w:color w:val="222222"/>
          <w:sz w:val="22"/>
          <w:szCs w:val="22"/>
          <w:rtl w:val="0"/>
        </w:rPr>
        <w:t xml:space="preserve">Universal health coverage (UHC)</w:t>
      </w:r>
      <w:r w:rsidDel="00000000" w:rsidR="00000000" w:rsidRPr="00000000">
        <w:rPr>
          <w:rFonts w:ascii="Arial" w:cs="Arial" w:eastAsia="Arial" w:hAnsi="Arial"/>
          <w:color w:val="222222"/>
          <w:sz w:val="22"/>
          <w:szCs w:val="22"/>
          <w:rtl w:val="0"/>
        </w:rPr>
        <w:t xml:space="preserve">. WHO. (</w:t>
      </w:r>
      <w:hyperlink r:id="rId23">
        <w:r w:rsidDel="00000000" w:rsidR="00000000" w:rsidRPr="00000000">
          <w:rPr>
            <w:rFonts w:ascii="Arial" w:cs="Arial" w:eastAsia="Arial" w:hAnsi="Arial"/>
            <w:color w:val="1155cc"/>
            <w:sz w:val="22"/>
            <w:szCs w:val="22"/>
            <w:u w:val="single"/>
            <w:rtl w:val="0"/>
          </w:rPr>
          <w:t xml:space="preserve">World Health Organization</w:t>
        </w:r>
      </w:hyperlink>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6E">
      <w:pPr>
        <w:jc w:val="both"/>
        <w:rPr>
          <w:b w:val="1"/>
          <w:bCs w:val="1"/>
        </w:rPr>
      </w:pPr>
      <w:r w:rsidDel="00000000" w:rsidR="00000000" w:rsidRPr="00000000">
        <w:rPr>
          <w:rtl w:val="0"/>
        </w:rPr>
      </w:r>
    </w:p>
    <w:p w:rsidR="00000000" w:rsidDel="00000000" w:rsidP="00000000" w:rsidRDefault="00000000" w:rsidRPr="00000000" w14:paraId="0000006F">
      <w:pPr>
        <w:jc w:val="both"/>
        <w:rPr>
          <w:b w:val="1"/>
          <w:bCs w:val="1"/>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rFonts w:ascii="Arial" w:cs="Arial" w:eastAsia="Arial" w:hAnsi="Arial"/>
        <w:b w:val="0"/>
        <w:bCs w:val="0"/>
        <w:i w:val="0"/>
        <w:iCs w:val="0"/>
        <w:smallCaps w:val="0"/>
        <w:color w:val="222222"/>
        <w:sz w:val="22"/>
        <w:szCs w:val="2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A4238A"/>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A4238A"/>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A4238A"/>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4238A"/>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A4238A"/>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A4238A"/>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A4238A"/>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A4238A"/>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A4238A"/>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A4238A"/>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A4238A"/>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A4238A"/>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A4238A"/>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A4238A"/>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A4238A"/>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A4238A"/>
    <w:rPr>
      <w:i w:val="1"/>
      <w:iCs w:val="1"/>
      <w:color w:val="404040" w:themeColor="text1" w:themeTint="0000BF"/>
    </w:rPr>
  </w:style>
  <w:style w:type="paragraph" w:styleId="ListParagraph">
    <w:name w:val="List Paragraph"/>
    <w:basedOn w:val="Normal"/>
    <w:uiPriority w:val="34"/>
    <w:qFormat w:val="1"/>
    <w:rsid w:val="00A4238A"/>
    <w:pPr>
      <w:ind w:left="720"/>
      <w:contextualSpacing w:val="1"/>
    </w:pPr>
  </w:style>
  <w:style w:type="character" w:styleId="IntenseEmphasis">
    <w:name w:val="Intense Emphasis"/>
    <w:basedOn w:val="DefaultParagraphFont"/>
    <w:uiPriority w:val="21"/>
    <w:qFormat w:val="1"/>
    <w:rsid w:val="00A4238A"/>
    <w:rPr>
      <w:i w:val="1"/>
      <w:iCs w:val="1"/>
      <w:color w:val="0f4761" w:themeColor="accent1" w:themeShade="0000BF"/>
    </w:rPr>
  </w:style>
  <w:style w:type="paragraph" w:styleId="IntenseQuote">
    <w:name w:val="Intense Quote"/>
    <w:basedOn w:val="Normal"/>
    <w:next w:val="Normal"/>
    <w:link w:val="IntenseQuoteChar"/>
    <w:uiPriority w:val="30"/>
    <w:qFormat w:val="1"/>
    <w:rsid w:val="00A4238A"/>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A4238A"/>
    <w:rPr>
      <w:i w:val="1"/>
      <w:iCs w:val="1"/>
      <w:color w:val="0f4761" w:themeColor="accent1" w:themeShade="0000BF"/>
    </w:rPr>
  </w:style>
  <w:style w:type="character" w:styleId="IntenseReference">
    <w:name w:val="Intense Reference"/>
    <w:basedOn w:val="DefaultParagraphFont"/>
    <w:uiPriority w:val="32"/>
    <w:qFormat w:val="1"/>
    <w:rsid w:val="00A4238A"/>
    <w:rPr>
      <w:b w:val="1"/>
      <w:bCs w:val="1"/>
      <w:smallCaps w:val="1"/>
      <w:color w:val="0f4761" w:themeColor="accent1" w:themeShade="0000BF"/>
      <w:spacing w:val="5"/>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gov.uk/government/publications/net-zero-strategy?utm_source=chatgpt.com" TargetMode="External"/><Relationship Id="rId11" Type="http://schemas.openxmlformats.org/officeDocument/2006/relationships/hyperlink" Target="https://www.barnet.gov.uk/environmental-problems/air-quality/air-quality-monitoring-and-reports?utm_source=chatgpt.com" TargetMode="External"/><Relationship Id="rId22" Type="http://schemas.openxmlformats.org/officeDocument/2006/relationships/hyperlink" Target="https://www.who.int/publications/i/item/9789240094949?utm_source=chatgpt.com" TargetMode="External"/><Relationship Id="rId10" Type="http://schemas.openxmlformats.org/officeDocument/2006/relationships/hyperlink" Target="https://www.barnet.gov.uk/environmental-problems/air-quality/air-quality-action-plan-2023-2028?utm_source=chatgpt.com" TargetMode="External"/><Relationship Id="rId21" Type="http://schemas.openxmlformats.org/officeDocument/2006/relationships/hyperlink" Target="https://www.who.int/en/news-room/fact-sheets/detail/ambient-%28outdoor%29-air-quality-and-health?utm_source=chatgpt.com" TargetMode="External"/><Relationship Id="rId13" Type="http://schemas.openxmlformats.org/officeDocument/2006/relationships/hyperlink" Target="https://open.barnet.gov.uk/joint-strategic-needs-assessment-2024/people/joint-health-and-wellbeing-strategy/?utm_source=chatgpt.com" TargetMode="External"/><Relationship Id="rId12" Type="http://schemas.openxmlformats.org/officeDocument/2006/relationships/hyperlink" Target="https://www.barnet.gov.uk/council-tax/how-your-council-tax-spent/building-greener-future-barnet?utm_source=chatgpt.com" TargetMode="External"/><Relationship Id="rId23" Type="http://schemas.openxmlformats.org/officeDocument/2006/relationships/hyperlink" Target="https://www.who.int/news-room/fact-sheets/detail/universal-health-coverage-%28uhc%29?utm_source=chatgp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arnet.gov.uk/news/barnet-council-adopts-new-local-plan-shape-growth-and-change-2036?utm_source=chatgpt.com" TargetMode="External"/><Relationship Id="rId15" Type="http://schemas.openxmlformats.org/officeDocument/2006/relationships/hyperlink" Target="https://www.england.nhs.uk/about/equality/equality-hub/national-healthcare-inequalities-improvement-programme/what-are-healthcare-inequalities/?utm_source=chatgpt.com" TargetMode="External"/><Relationship Id="rId14" Type="http://schemas.openxmlformats.org/officeDocument/2006/relationships/hyperlink" Target="https://www.england.nhs.uk/about/equality/equality%20-hub/national-healthcare-inequalities-improvement-programme/core20plus5/?utm_source=chatgpt.com" TargetMode="External"/><Relationship Id="rId17" Type="http://schemas.openxmlformats.org/officeDocument/2006/relationships/hyperlink" Target="https://sdgs.un.org/goals/goal3?utm_source=chatgpt.com" TargetMode="External"/><Relationship Id="rId16" Type="http://schemas.openxmlformats.org/officeDocument/2006/relationships/hyperlink" Target="https://www.england.nhs.uk/long-read/nhs-englands-statement-on-information-on-health-inequalities/?utm_source=chatgpt.com" TargetMode="External"/><Relationship Id="rId5" Type="http://schemas.openxmlformats.org/officeDocument/2006/relationships/styles" Target="styles.xml"/><Relationship Id="rId19" Type="http://schemas.openxmlformats.org/officeDocument/2006/relationships/hyperlink" Target="https://www.gov.uk/government/publications/clean-air-strategy-2019?utm_source=chatgpt.com" TargetMode="External"/><Relationship Id="rId6" Type="http://schemas.openxmlformats.org/officeDocument/2006/relationships/customXml" Target="../customXML/item1.xml"/><Relationship Id="rId18" Type="http://schemas.openxmlformats.org/officeDocument/2006/relationships/hyperlink" Target="https://sdgs.un.org/goals/goal11?utm_source=chatgpt.com" TargetMode="External"/><Relationship Id="rId7" Type="http://schemas.openxmlformats.org/officeDocument/2006/relationships/image" Target="media/image1.png"/><Relationship Id="rId8" Type="http://schemas.openxmlformats.org/officeDocument/2006/relationships/hyperlink" Target="https://www.barnet.gov.uk/news/barnet-joint-health-and-wellbeing-strategy-2021-2025?utm_source=chatgpt.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qi2GaeMMYiIt9mqGHrOV0wEN4ZQ==">CgMxLjAyDmguc3Q0d3RoNjY4MTJ0Mg5oLjN2dmF4bmdzdm82dDIOaC5oZ280ZGlhY294c24yDmguaTJjaWQ4dXF5dXVyMg5oLjljY3ptZDU1aXNrZzIOaC42cnA2dnpuMHl2NGkyDmguZmE0ODFlam1veXFpMg5oLjdmOHE3MzY2MHQ4dzIOaC41ZDNtMmVkcThhdXAyDmgudzNwYnplNmg1eWRiOAByITFXZW0yX1ZsZ0RuX0NudjBZNENEdE0xNnNLaWhrdG5YVg==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2025-07-22T12:27:00Z</dcterms:created>
  <dc:creator>Christopher Mafuva</dc:creator>
</cp:coreProperties>
</file>