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B398C" w14:textId="798D5D8F" w:rsidR="00FC6859" w:rsidRPr="000D7CE0" w:rsidRDefault="006402CC">
      <w:pPr>
        <w:rPr>
          <w:rFonts w:ascii="Arial" w:hAnsi="Arial" w:cs="Arial"/>
          <w:sz w:val="24"/>
          <w:szCs w:val="24"/>
        </w:rPr>
      </w:pPr>
      <w:r w:rsidRPr="000D7CE0">
        <w:rPr>
          <w:rFonts w:ascii="Arial" w:hAnsi="Arial" w:cs="Arial"/>
          <w:sz w:val="24"/>
          <w:szCs w:val="24"/>
        </w:rPr>
        <w:t xml:space="preserve">According to </w:t>
      </w:r>
      <w:r w:rsidR="0040315D" w:rsidRPr="000D7CE0">
        <w:rPr>
          <w:rFonts w:ascii="Arial" w:hAnsi="Arial" w:cs="Arial"/>
          <w:sz w:val="24"/>
          <w:szCs w:val="24"/>
        </w:rPr>
        <w:t>McLeod</w:t>
      </w:r>
      <w:r w:rsidR="00B16E72" w:rsidRPr="000D7CE0">
        <w:rPr>
          <w:rFonts w:ascii="Arial" w:hAnsi="Arial" w:cs="Arial"/>
          <w:sz w:val="24"/>
          <w:szCs w:val="24"/>
        </w:rPr>
        <w:t xml:space="preserve"> </w:t>
      </w:r>
      <w:r w:rsidR="00D26DA9" w:rsidRPr="000D7CE0">
        <w:rPr>
          <w:rFonts w:ascii="Arial" w:hAnsi="Arial" w:cs="Arial"/>
          <w:sz w:val="24"/>
          <w:szCs w:val="24"/>
        </w:rPr>
        <w:t>When a case involves a statute, it is sometimes necessary to interpret the words of the statute. However, there are times when the words of the statute have a plain and straightforward meaning.</w:t>
      </w:r>
    </w:p>
    <w:p w14:paraId="6CC20B32" w14:textId="58A0C284" w:rsidR="002A196A" w:rsidRPr="000D7CE0" w:rsidRDefault="002A196A">
      <w:pPr>
        <w:rPr>
          <w:rFonts w:ascii="Arial" w:hAnsi="Arial" w:cs="Arial"/>
          <w:sz w:val="24"/>
          <w:szCs w:val="24"/>
        </w:rPr>
      </w:pPr>
      <w:r w:rsidRPr="000D7CE0">
        <w:rPr>
          <w:rFonts w:ascii="Arial" w:hAnsi="Arial" w:cs="Arial"/>
          <w:sz w:val="24"/>
          <w:szCs w:val="24"/>
        </w:rPr>
        <w:t xml:space="preserve">Statutory interpretation has been brought about in order to help judges make a </w:t>
      </w:r>
      <w:r w:rsidR="0040315D" w:rsidRPr="000D7CE0">
        <w:rPr>
          <w:rFonts w:ascii="Arial" w:hAnsi="Arial" w:cs="Arial"/>
          <w:sz w:val="24"/>
          <w:szCs w:val="24"/>
        </w:rPr>
        <w:t>decision</w:t>
      </w:r>
      <w:r w:rsidRPr="000D7CE0">
        <w:rPr>
          <w:rFonts w:ascii="Arial" w:hAnsi="Arial" w:cs="Arial"/>
          <w:sz w:val="24"/>
          <w:szCs w:val="24"/>
        </w:rPr>
        <w:t xml:space="preserve"> when the acts or regulations of a case may be ambiguous or unclear. The judges will have to make a </w:t>
      </w:r>
      <w:r w:rsidR="0040315D" w:rsidRPr="000D7CE0">
        <w:rPr>
          <w:rFonts w:ascii="Arial" w:hAnsi="Arial" w:cs="Arial"/>
          <w:sz w:val="24"/>
          <w:szCs w:val="24"/>
        </w:rPr>
        <w:t>decision,</w:t>
      </w:r>
      <w:r w:rsidRPr="000D7CE0">
        <w:rPr>
          <w:rFonts w:ascii="Arial" w:hAnsi="Arial" w:cs="Arial"/>
          <w:sz w:val="24"/>
          <w:szCs w:val="24"/>
        </w:rPr>
        <w:t xml:space="preserve"> and this could differ the case completely. However</w:t>
      </w:r>
      <w:r w:rsidR="00C8717E" w:rsidRPr="000D7CE0">
        <w:rPr>
          <w:rFonts w:ascii="Arial" w:hAnsi="Arial" w:cs="Arial"/>
          <w:sz w:val="24"/>
          <w:szCs w:val="24"/>
        </w:rPr>
        <w:t>, within most cases the legislation and the wording to so will be clear, and the arguments between victim and defendant will be based on their differing accounts of the evidence and conflicting evidence as stated by Elliot and Quinn</w:t>
      </w:r>
      <w:r w:rsidR="00A0600B">
        <w:rPr>
          <w:rFonts w:ascii="Arial" w:hAnsi="Arial" w:cs="Arial"/>
          <w:sz w:val="24"/>
          <w:szCs w:val="24"/>
        </w:rPr>
        <w:t>(2016)</w:t>
      </w:r>
      <w:r w:rsidR="00002075">
        <w:rPr>
          <w:rFonts w:ascii="Arial" w:hAnsi="Arial" w:cs="Arial"/>
          <w:sz w:val="24"/>
          <w:szCs w:val="24"/>
        </w:rPr>
        <w:t xml:space="preserve">. </w:t>
      </w:r>
    </w:p>
    <w:p w14:paraId="1B8D9B8C" w14:textId="6EB7D8D6" w:rsidR="003370BD" w:rsidRPr="000D7CE0" w:rsidRDefault="006466EB">
      <w:pPr>
        <w:rPr>
          <w:rFonts w:ascii="Arial" w:hAnsi="Arial" w:cs="Arial"/>
          <w:sz w:val="24"/>
          <w:szCs w:val="24"/>
        </w:rPr>
      </w:pPr>
      <w:r w:rsidRPr="000D7CE0">
        <w:rPr>
          <w:rFonts w:ascii="Arial" w:hAnsi="Arial" w:cs="Arial"/>
          <w:sz w:val="24"/>
          <w:szCs w:val="24"/>
        </w:rPr>
        <w:t xml:space="preserve">Statutory interpretation has come about to be necessary especially in cases such as </w:t>
      </w:r>
      <w:r w:rsidR="00BA5C56" w:rsidRPr="000D7CE0">
        <w:rPr>
          <w:rFonts w:ascii="Arial" w:hAnsi="Arial" w:cs="Arial"/>
          <w:sz w:val="24"/>
          <w:szCs w:val="24"/>
        </w:rPr>
        <w:t>the case of Coltman V Bibby [1988]</w:t>
      </w:r>
      <w:r w:rsidR="004F4471" w:rsidRPr="000D7CE0">
        <w:rPr>
          <w:rFonts w:ascii="Arial" w:hAnsi="Arial" w:cs="Arial"/>
          <w:sz w:val="24"/>
          <w:szCs w:val="24"/>
        </w:rPr>
        <w:t xml:space="preserve">, provided by </w:t>
      </w:r>
      <w:r w:rsidR="001B2D51">
        <w:rPr>
          <w:rFonts w:ascii="Arial" w:hAnsi="Arial" w:cs="Arial"/>
          <w:sz w:val="24"/>
          <w:szCs w:val="24"/>
        </w:rPr>
        <w:t>university of London (2022).</w:t>
      </w:r>
      <w:r w:rsidR="00CE1C1E" w:rsidRPr="000D7CE0">
        <w:rPr>
          <w:rFonts w:ascii="Arial" w:hAnsi="Arial" w:cs="Arial"/>
          <w:sz w:val="24"/>
          <w:szCs w:val="24"/>
        </w:rPr>
        <w:t xml:space="preserve"> The case illustrates how statutory interpretation rules may be used to determine the intention of parliament.</w:t>
      </w:r>
      <w:r w:rsidR="001C0BBB" w:rsidRPr="000D7CE0">
        <w:rPr>
          <w:rFonts w:ascii="Arial" w:hAnsi="Arial" w:cs="Arial"/>
          <w:sz w:val="24"/>
          <w:szCs w:val="24"/>
        </w:rPr>
        <w:t xml:space="preserve"> </w:t>
      </w:r>
      <w:r w:rsidR="00BA5C56" w:rsidRPr="000D7CE0">
        <w:rPr>
          <w:rFonts w:ascii="Arial" w:hAnsi="Arial" w:cs="Arial"/>
          <w:sz w:val="24"/>
          <w:szCs w:val="24"/>
        </w:rPr>
        <w:t>Within this case Leo Coltman died when a ship on which he worked</w:t>
      </w:r>
      <w:r w:rsidR="00202A5C" w:rsidRPr="000D7CE0">
        <w:rPr>
          <w:rFonts w:ascii="Arial" w:hAnsi="Arial" w:cs="Arial"/>
          <w:sz w:val="24"/>
          <w:szCs w:val="24"/>
        </w:rPr>
        <w:t>.</w:t>
      </w:r>
      <w:r w:rsidR="001C0BBB" w:rsidRPr="000D7CE0">
        <w:rPr>
          <w:rFonts w:ascii="Arial" w:hAnsi="Arial" w:cs="Arial"/>
          <w:sz w:val="24"/>
          <w:szCs w:val="24"/>
        </w:rPr>
        <w:t xml:space="preserve"> Claimants were seeking damages from the defendant employers on behalf of the estate of Coltman, Bibby Tankers Ltd. </w:t>
      </w:r>
      <w:r w:rsidR="00202A5C" w:rsidRPr="000D7CE0">
        <w:rPr>
          <w:rFonts w:ascii="Arial" w:hAnsi="Arial" w:cs="Arial"/>
          <w:sz w:val="24"/>
          <w:szCs w:val="24"/>
        </w:rPr>
        <w:t xml:space="preserve">The case sets out the difficulties that become over the use of definitions in statutes: the house of lords had to decide whether a ship was in fact classed as equipment </w:t>
      </w:r>
      <w:r w:rsidR="00F34398" w:rsidRPr="000D7CE0">
        <w:rPr>
          <w:rFonts w:ascii="Arial" w:hAnsi="Arial" w:cs="Arial"/>
          <w:sz w:val="24"/>
          <w:szCs w:val="24"/>
        </w:rPr>
        <w:t xml:space="preserve">for the purpose of the </w:t>
      </w:r>
      <w:r w:rsidR="0040315D" w:rsidRPr="000D7CE0">
        <w:rPr>
          <w:rFonts w:ascii="Arial" w:hAnsi="Arial" w:cs="Arial"/>
          <w:sz w:val="24"/>
          <w:szCs w:val="24"/>
        </w:rPr>
        <w:t>employer’s</w:t>
      </w:r>
      <w:r w:rsidR="00F34398" w:rsidRPr="000D7CE0">
        <w:rPr>
          <w:rFonts w:ascii="Arial" w:hAnsi="Arial" w:cs="Arial"/>
          <w:sz w:val="24"/>
          <w:szCs w:val="24"/>
        </w:rPr>
        <w:t xml:space="preserve"> liability within the Defective Equipment Act 1969. If a ship was </w:t>
      </w:r>
      <w:r w:rsidR="0040315D" w:rsidRPr="000D7CE0">
        <w:rPr>
          <w:rFonts w:ascii="Arial" w:hAnsi="Arial" w:cs="Arial"/>
          <w:sz w:val="24"/>
          <w:szCs w:val="24"/>
        </w:rPr>
        <w:t>in fact</w:t>
      </w:r>
      <w:r w:rsidR="00F34398" w:rsidRPr="000D7CE0">
        <w:rPr>
          <w:rFonts w:ascii="Arial" w:hAnsi="Arial" w:cs="Arial"/>
          <w:sz w:val="24"/>
          <w:szCs w:val="24"/>
        </w:rPr>
        <w:t xml:space="preserve"> classed as </w:t>
      </w:r>
      <w:r w:rsidR="0040315D" w:rsidRPr="000D7CE0">
        <w:rPr>
          <w:rFonts w:ascii="Arial" w:hAnsi="Arial" w:cs="Arial"/>
          <w:sz w:val="24"/>
          <w:szCs w:val="24"/>
        </w:rPr>
        <w:t>equipment,</w:t>
      </w:r>
      <w:r w:rsidR="00F34398" w:rsidRPr="000D7CE0">
        <w:rPr>
          <w:rFonts w:ascii="Arial" w:hAnsi="Arial" w:cs="Arial"/>
          <w:sz w:val="24"/>
          <w:szCs w:val="24"/>
        </w:rPr>
        <w:t xml:space="preserve"> then the defendant would be liable to pay damages to Leo Coltman</w:t>
      </w:r>
      <w:r w:rsidR="0040315D" w:rsidRPr="000D7CE0">
        <w:rPr>
          <w:rFonts w:ascii="Arial" w:hAnsi="Arial" w:cs="Arial"/>
          <w:sz w:val="24"/>
          <w:szCs w:val="24"/>
        </w:rPr>
        <w:t>’s</w:t>
      </w:r>
      <w:r w:rsidR="00F34398" w:rsidRPr="000D7CE0">
        <w:rPr>
          <w:rFonts w:ascii="Arial" w:hAnsi="Arial" w:cs="Arial"/>
          <w:sz w:val="24"/>
          <w:szCs w:val="24"/>
        </w:rPr>
        <w:t xml:space="preserve"> estate. Within the Act of Defective Equipment Act (1969) in S1(3) it states that ‘any plant equipment and machinery, vehicle, </w:t>
      </w:r>
      <w:r w:rsidR="0040315D" w:rsidRPr="000D7CE0">
        <w:rPr>
          <w:rFonts w:ascii="Arial" w:hAnsi="Arial" w:cs="Arial"/>
          <w:sz w:val="24"/>
          <w:szCs w:val="24"/>
        </w:rPr>
        <w:t>aircraft,</w:t>
      </w:r>
      <w:r w:rsidR="00F34398" w:rsidRPr="000D7CE0">
        <w:rPr>
          <w:rFonts w:ascii="Arial" w:hAnsi="Arial" w:cs="Arial"/>
          <w:sz w:val="24"/>
          <w:szCs w:val="24"/>
        </w:rPr>
        <w:t xml:space="preserve"> and clothing…. Personal injury includes loss of life’. </w:t>
      </w:r>
      <w:r w:rsidR="004F4471" w:rsidRPr="000D7CE0">
        <w:rPr>
          <w:rFonts w:ascii="Arial" w:hAnsi="Arial" w:cs="Arial"/>
          <w:sz w:val="24"/>
          <w:szCs w:val="24"/>
        </w:rPr>
        <w:t xml:space="preserve">It was in fact decided that a ship was </w:t>
      </w:r>
      <w:r w:rsidR="0040315D" w:rsidRPr="000D7CE0">
        <w:rPr>
          <w:rFonts w:ascii="Arial" w:hAnsi="Arial" w:cs="Arial"/>
          <w:sz w:val="24"/>
          <w:szCs w:val="24"/>
        </w:rPr>
        <w:t>equipment,</w:t>
      </w:r>
      <w:r w:rsidR="004F4471" w:rsidRPr="000D7CE0">
        <w:rPr>
          <w:rFonts w:ascii="Arial" w:hAnsi="Arial" w:cs="Arial"/>
          <w:sz w:val="24"/>
          <w:szCs w:val="24"/>
        </w:rPr>
        <w:t xml:space="preserve"> but the courts of appeal decided it was not. Although this case did not, perhaps work in favour of </w:t>
      </w:r>
      <w:r w:rsidR="0040315D" w:rsidRPr="000D7CE0">
        <w:rPr>
          <w:rFonts w:ascii="Arial" w:hAnsi="Arial" w:cs="Arial"/>
          <w:sz w:val="24"/>
          <w:szCs w:val="24"/>
        </w:rPr>
        <w:t>Coltman,</w:t>
      </w:r>
      <w:r w:rsidR="004F4471" w:rsidRPr="000D7CE0">
        <w:rPr>
          <w:rFonts w:ascii="Arial" w:hAnsi="Arial" w:cs="Arial"/>
          <w:sz w:val="24"/>
          <w:szCs w:val="24"/>
        </w:rPr>
        <w:t xml:space="preserve"> but it does </w:t>
      </w:r>
      <w:r w:rsidR="0040315D" w:rsidRPr="000D7CE0">
        <w:rPr>
          <w:rFonts w:ascii="Arial" w:hAnsi="Arial" w:cs="Arial"/>
          <w:sz w:val="24"/>
          <w:szCs w:val="24"/>
        </w:rPr>
        <w:t>clearly</w:t>
      </w:r>
      <w:r w:rsidR="004F4471" w:rsidRPr="000D7CE0">
        <w:rPr>
          <w:rFonts w:ascii="Arial" w:hAnsi="Arial" w:cs="Arial"/>
          <w:sz w:val="24"/>
          <w:szCs w:val="24"/>
        </w:rPr>
        <w:t xml:space="preserve"> indicate how statutory interpretation is </w:t>
      </w:r>
      <w:r w:rsidR="0040315D" w:rsidRPr="000D7CE0">
        <w:rPr>
          <w:rFonts w:ascii="Arial" w:hAnsi="Arial" w:cs="Arial"/>
          <w:sz w:val="24"/>
          <w:szCs w:val="24"/>
        </w:rPr>
        <w:t>in</w:t>
      </w:r>
      <w:r w:rsidR="004F4471" w:rsidRPr="000D7CE0">
        <w:rPr>
          <w:rFonts w:ascii="Arial" w:hAnsi="Arial" w:cs="Arial"/>
          <w:sz w:val="24"/>
          <w:szCs w:val="24"/>
        </w:rPr>
        <w:t xml:space="preserve"> fact necessary. </w:t>
      </w:r>
    </w:p>
    <w:p w14:paraId="14F512E5" w14:textId="75E57CA2" w:rsidR="009E5A35" w:rsidRPr="000D7CE0" w:rsidRDefault="00B7603B" w:rsidP="009E5A35">
      <w:pPr>
        <w:tabs>
          <w:tab w:val="left" w:pos="5800"/>
        </w:tabs>
        <w:rPr>
          <w:rFonts w:ascii="Arial" w:hAnsi="Arial" w:cs="Arial"/>
          <w:sz w:val="24"/>
          <w:szCs w:val="24"/>
        </w:rPr>
      </w:pPr>
      <w:r>
        <w:rPr>
          <w:rFonts w:ascii="Arial" w:hAnsi="Arial" w:cs="Arial"/>
          <w:sz w:val="24"/>
          <w:szCs w:val="24"/>
        </w:rPr>
        <w:t>Wit</w:t>
      </w:r>
      <w:r w:rsidR="00B06EE0" w:rsidRPr="000D7CE0">
        <w:rPr>
          <w:rFonts w:ascii="Arial" w:hAnsi="Arial" w:cs="Arial"/>
          <w:sz w:val="24"/>
          <w:szCs w:val="24"/>
        </w:rPr>
        <w:t>hin statutory interpretation</w:t>
      </w:r>
      <w:r w:rsidR="00EC4EE1" w:rsidRPr="000D7CE0">
        <w:rPr>
          <w:rFonts w:ascii="Arial" w:hAnsi="Arial" w:cs="Arial"/>
          <w:sz w:val="24"/>
          <w:szCs w:val="24"/>
        </w:rPr>
        <w:t xml:space="preserve"> there are two elements, </w:t>
      </w:r>
      <w:r w:rsidR="00240E74" w:rsidRPr="000D7CE0">
        <w:rPr>
          <w:rFonts w:ascii="Arial" w:hAnsi="Arial" w:cs="Arial"/>
          <w:sz w:val="24"/>
          <w:szCs w:val="24"/>
        </w:rPr>
        <w:t xml:space="preserve">in which are </w:t>
      </w:r>
      <w:r w:rsidR="00D174FB" w:rsidRPr="000D7CE0">
        <w:rPr>
          <w:rFonts w:ascii="Arial" w:hAnsi="Arial" w:cs="Arial"/>
          <w:sz w:val="24"/>
          <w:szCs w:val="24"/>
        </w:rPr>
        <w:t>literal and purposive</w:t>
      </w:r>
      <w:r w:rsidR="0095033C" w:rsidRPr="000D7CE0">
        <w:rPr>
          <w:rFonts w:ascii="Arial" w:hAnsi="Arial" w:cs="Arial"/>
          <w:sz w:val="24"/>
          <w:szCs w:val="24"/>
        </w:rPr>
        <w:t xml:space="preserve"> approach. </w:t>
      </w:r>
      <w:r w:rsidR="00E776B2" w:rsidRPr="000D7CE0">
        <w:rPr>
          <w:rFonts w:ascii="Arial" w:hAnsi="Arial" w:cs="Arial"/>
          <w:sz w:val="24"/>
          <w:szCs w:val="24"/>
        </w:rPr>
        <w:t>Both these approaches apply</w:t>
      </w:r>
      <w:r w:rsidR="00EA63A5" w:rsidRPr="000D7CE0">
        <w:rPr>
          <w:rFonts w:ascii="Arial" w:hAnsi="Arial" w:cs="Arial"/>
          <w:sz w:val="24"/>
          <w:szCs w:val="24"/>
        </w:rPr>
        <w:t xml:space="preserve"> the purpose </w:t>
      </w:r>
      <w:r w:rsidR="00B925C3" w:rsidRPr="000D7CE0">
        <w:rPr>
          <w:rFonts w:ascii="Arial" w:hAnsi="Arial" w:cs="Arial"/>
          <w:sz w:val="24"/>
          <w:szCs w:val="24"/>
        </w:rPr>
        <w:t xml:space="preserve">of determining how judges should go about </w:t>
      </w:r>
      <w:r w:rsidR="00864AA0" w:rsidRPr="000D7CE0">
        <w:rPr>
          <w:rFonts w:ascii="Arial" w:hAnsi="Arial" w:cs="Arial"/>
          <w:sz w:val="24"/>
          <w:szCs w:val="24"/>
        </w:rPr>
        <w:t xml:space="preserve">determining the meaning of statute. The purposive approach is used greatly </w:t>
      </w:r>
      <w:r w:rsidR="00AE7BF7" w:rsidRPr="000D7CE0">
        <w:rPr>
          <w:rFonts w:ascii="Arial" w:hAnsi="Arial" w:cs="Arial"/>
          <w:sz w:val="24"/>
          <w:szCs w:val="24"/>
        </w:rPr>
        <w:t xml:space="preserve">in interpreting </w:t>
      </w:r>
      <w:r w:rsidR="00F924E1" w:rsidRPr="000D7CE0">
        <w:rPr>
          <w:rFonts w:ascii="Arial" w:hAnsi="Arial" w:cs="Arial"/>
          <w:sz w:val="24"/>
          <w:szCs w:val="24"/>
        </w:rPr>
        <w:t>the stat</w:t>
      </w:r>
      <w:r w:rsidR="00FE0668" w:rsidRPr="000D7CE0">
        <w:rPr>
          <w:rFonts w:ascii="Arial" w:hAnsi="Arial" w:cs="Arial"/>
          <w:sz w:val="24"/>
          <w:szCs w:val="24"/>
        </w:rPr>
        <w:t xml:space="preserve">utes rather than the literal approach. The purposive approach </w:t>
      </w:r>
      <w:r w:rsidR="001948FA" w:rsidRPr="000D7CE0">
        <w:rPr>
          <w:rFonts w:ascii="Arial" w:hAnsi="Arial" w:cs="Arial"/>
          <w:sz w:val="24"/>
          <w:szCs w:val="24"/>
        </w:rPr>
        <w:t xml:space="preserve">rejects strongly on </w:t>
      </w:r>
      <w:r w:rsidR="00F51282" w:rsidRPr="000D7CE0">
        <w:rPr>
          <w:rFonts w:ascii="Arial" w:hAnsi="Arial" w:cs="Arial"/>
          <w:sz w:val="24"/>
          <w:szCs w:val="24"/>
        </w:rPr>
        <w:t>judges’</w:t>
      </w:r>
      <w:r w:rsidR="001948FA" w:rsidRPr="000D7CE0">
        <w:rPr>
          <w:rFonts w:ascii="Arial" w:hAnsi="Arial" w:cs="Arial"/>
          <w:sz w:val="24"/>
          <w:szCs w:val="24"/>
        </w:rPr>
        <w:t xml:space="preserve"> limitations on searching the meaning </w:t>
      </w:r>
      <w:r w:rsidR="0062437F" w:rsidRPr="000D7CE0">
        <w:rPr>
          <w:rFonts w:ascii="Arial" w:hAnsi="Arial" w:cs="Arial"/>
          <w:sz w:val="24"/>
          <w:szCs w:val="24"/>
        </w:rPr>
        <w:t xml:space="preserve">of the literal meaning of the word in </w:t>
      </w:r>
      <w:r w:rsidR="00694AFD" w:rsidRPr="000D7CE0">
        <w:rPr>
          <w:rFonts w:ascii="Arial" w:hAnsi="Arial" w:cs="Arial"/>
          <w:sz w:val="24"/>
          <w:szCs w:val="24"/>
        </w:rPr>
        <w:t xml:space="preserve">the legislation itself. </w:t>
      </w:r>
      <w:r w:rsidR="00B06EE0" w:rsidRPr="000D7CE0">
        <w:rPr>
          <w:rFonts w:ascii="Arial" w:hAnsi="Arial" w:cs="Arial"/>
          <w:sz w:val="24"/>
          <w:szCs w:val="24"/>
        </w:rPr>
        <w:t xml:space="preserve"> </w:t>
      </w:r>
    </w:p>
    <w:p w14:paraId="42658851" w14:textId="5FCF6740" w:rsidR="00057385" w:rsidRPr="000D7CE0" w:rsidRDefault="00B7603B" w:rsidP="009E5A35">
      <w:pPr>
        <w:tabs>
          <w:tab w:val="left" w:pos="5800"/>
        </w:tabs>
        <w:rPr>
          <w:rFonts w:ascii="Arial" w:hAnsi="Arial" w:cs="Arial"/>
          <w:sz w:val="24"/>
          <w:szCs w:val="24"/>
        </w:rPr>
      </w:pPr>
      <w:r>
        <w:rPr>
          <w:rFonts w:ascii="Arial" w:hAnsi="Arial" w:cs="Arial"/>
          <w:sz w:val="24"/>
          <w:szCs w:val="24"/>
        </w:rPr>
        <w:t>St</w:t>
      </w:r>
      <w:r w:rsidR="00E87BB3" w:rsidRPr="000D7CE0">
        <w:rPr>
          <w:rFonts w:ascii="Arial" w:hAnsi="Arial" w:cs="Arial"/>
          <w:sz w:val="24"/>
          <w:szCs w:val="24"/>
        </w:rPr>
        <w:t xml:space="preserve">atutory interpretation is made up of </w:t>
      </w:r>
      <w:r w:rsidR="002B2067" w:rsidRPr="000D7CE0">
        <w:rPr>
          <w:rFonts w:ascii="Arial" w:hAnsi="Arial" w:cs="Arial"/>
          <w:sz w:val="24"/>
          <w:szCs w:val="24"/>
        </w:rPr>
        <w:t>three</w:t>
      </w:r>
      <w:r w:rsidR="00E87BB3" w:rsidRPr="000D7CE0">
        <w:rPr>
          <w:rFonts w:ascii="Arial" w:hAnsi="Arial" w:cs="Arial"/>
          <w:sz w:val="24"/>
          <w:szCs w:val="24"/>
        </w:rPr>
        <w:t xml:space="preserve"> strict rules. These rules are the literal rules, the golden rule</w:t>
      </w:r>
      <w:r w:rsidR="002B2067" w:rsidRPr="000D7CE0">
        <w:rPr>
          <w:rFonts w:ascii="Arial" w:hAnsi="Arial" w:cs="Arial"/>
          <w:sz w:val="24"/>
          <w:szCs w:val="24"/>
        </w:rPr>
        <w:t xml:space="preserve"> and </w:t>
      </w:r>
      <w:r w:rsidR="00E87BB3" w:rsidRPr="000D7CE0">
        <w:rPr>
          <w:rFonts w:ascii="Arial" w:hAnsi="Arial" w:cs="Arial"/>
          <w:sz w:val="24"/>
          <w:szCs w:val="24"/>
        </w:rPr>
        <w:t xml:space="preserve">the </w:t>
      </w:r>
      <w:r w:rsidR="00D420C3" w:rsidRPr="000D7CE0">
        <w:rPr>
          <w:rFonts w:ascii="Arial" w:hAnsi="Arial" w:cs="Arial"/>
          <w:sz w:val="24"/>
          <w:szCs w:val="24"/>
        </w:rPr>
        <w:t>mischief rule</w:t>
      </w:r>
      <w:r w:rsidR="002B2067" w:rsidRPr="000D7CE0">
        <w:rPr>
          <w:rFonts w:ascii="Arial" w:hAnsi="Arial" w:cs="Arial"/>
          <w:sz w:val="24"/>
          <w:szCs w:val="24"/>
        </w:rPr>
        <w:t>.</w:t>
      </w:r>
      <w:r w:rsidR="000F2426" w:rsidRPr="000D7CE0">
        <w:rPr>
          <w:rFonts w:ascii="Arial" w:hAnsi="Arial" w:cs="Arial"/>
          <w:sz w:val="24"/>
          <w:szCs w:val="24"/>
        </w:rPr>
        <w:t xml:space="preserve"> These rules have bee</w:t>
      </w:r>
      <w:r w:rsidR="001E08A8" w:rsidRPr="000D7CE0">
        <w:rPr>
          <w:rFonts w:ascii="Arial" w:hAnsi="Arial" w:cs="Arial"/>
          <w:sz w:val="24"/>
          <w:szCs w:val="24"/>
        </w:rPr>
        <w:t xml:space="preserve">n developed over time therefore, providing an important </w:t>
      </w:r>
      <w:r w:rsidR="000D7CE0" w:rsidRPr="000D7CE0">
        <w:rPr>
          <w:rFonts w:ascii="Arial" w:hAnsi="Arial" w:cs="Arial"/>
          <w:sz w:val="24"/>
          <w:szCs w:val="24"/>
        </w:rPr>
        <w:t>framework</w:t>
      </w:r>
      <w:r w:rsidR="00D11A05" w:rsidRPr="000D7CE0">
        <w:rPr>
          <w:rFonts w:ascii="Arial" w:hAnsi="Arial" w:cs="Arial"/>
          <w:sz w:val="24"/>
          <w:szCs w:val="24"/>
        </w:rPr>
        <w:t xml:space="preserve"> for interpretation. </w:t>
      </w:r>
    </w:p>
    <w:p w14:paraId="1C0AA541" w14:textId="0C0F320F" w:rsidR="00454F48" w:rsidRPr="000D7CE0" w:rsidRDefault="00454F48" w:rsidP="009E5A35">
      <w:pPr>
        <w:tabs>
          <w:tab w:val="left" w:pos="5800"/>
        </w:tabs>
        <w:rPr>
          <w:rFonts w:ascii="Arial" w:hAnsi="Arial" w:cs="Arial"/>
          <w:sz w:val="24"/>
          <w:szCs w:val="24"/>
        </w:rPr>
      </w:pPr>
      <w:r w:rsidRPr="000D7CE0">
        <w:rPr>
          <w:rFonts w:ascii="Arial" w:hAnsi="Arial" w:cs="Arial"/>
          <w:sz w:val="24"/>
          <w:szCs w:val="24"/>
        </w:rPr>
        <w:t xml:space="preserve">In terms of the literal rule, In the absence of any ambiguity, words in a statute should be given their literal meaning. Judges who </w:t>
      </w:r>
      <w:r w:rsidR="00D926AA" w:rsidRPr="000D7CE0">
        <w:rPr>
          <w:rFonts w:ascii="Arial" w:hAnsi="Arial" w:cs="Arial"/>
          <w:sz w:val="24"/>
          <w:szCs w:val="24"/>
        </w:rPr>
        <w:t>favour</w:t>
      </w:r>
      <w:r w:rsidRPr="000D7CE0">
        <w:rPr>
          <w:rFonts w:ascii="Arial" w:hAnsi="Arial" w:cs="Arial"/>
          <w:sz w:val="24"/>
          <w:szCs w:val="24"/>
        </w:rPr>
        <w:t xml:space="preserve"> this approach often consult dictionaries to construe (interpret) words according to their natural meaning.</w:t>
      </w:r>
      <w:r w:rsidR="00965854" w:rsidRPr="000D7CE0">
        <w:rPr>
          <w:rFonts w:ascii="Arial" w:hAnsi="Arial" w:cs="Arial"/>
          <w:sz w:val="24"/>
          <w:szCs w:val="24"/>
        </w:rPr>
        <w:t xml:space="preserve"> </w:t>
      </w:r>
      <w:r w:rsidR="004E228F" w:rsidRPr="000D7CE0">
        <w:rPr>
          <w:rFonts w:ascii="Arial" w:hAnsi="Arial" w:cs="Arial"/>
          <w:sz w:val="24"/>
          <w:szCs w:val="24"/>
        </w:rPr>
        <w:t xml:space="preserve">under the literal rule, the words in a statute are given their ordinary and natural meaning. Legislation is </w:t>
      </w:r>
      <w:r w:rsidR="000D7CE0" w:rsidRPr="000D7CE0">
        <w:rPr>
          <w:rFonts w:ascii="Arial" w:hAnsi="Arial" w:cs="Arial"/>
          <w:sz w:val="24"/>
          <w:szCs w:val="24"/>
        </w:rPr>
        <w:t>read, and</w:t>
      </w:r>
      <w:r w:rsidR="004E228F" w:rsidRPr="000D7CE0">
        <w:rPr>
          <w:rFonts w:ascii="Arial" w:hAnsi="Arial" w:cs="Arial"/>
          <w:sz w:val="24"/>
          <w:szCs w:val="24"/>
        </w:rPr>
        <w:t xml:space="preserve"> no further analysis is required, disregarding the plain meaning of the words.</w:t>
      </w:r>
      <w:r w:rsidR="00A549F6" w:rsidRPr="000D7CE0">
        <w:rPr>
          <w:rFonts w:ascii="Arial" w:hAnsi="Arial" w:cs="Arial"/>
          <w:sz w:val="24"/>
          <w:szCs w:val="24"/>
        </w:rPr>
        <w:t xml:space="preserve"> In the Berriman case (1946), a railway worker died while doing some 'oiling' on a railway line because there was no lookout point, a plain reading resulted in a harsh result.</w:t>
      </w:r>
      <w:r w:rsidR="00436B5C" w:rsidRPr="000D7CE0">
        <w:rPr>
          <w:rFonts w:ascii="Arial" w:hAnsi="Arial" w:cs="Arial"/>
          <w:sz w:val="24"/>
          <w:szCs w:val="24"/>
        </w:rPr>
        <w:t xml:space="preserve"> Mrs. Berriman was denied compensation because the relevant act only required look out points to be issued to workers relaying or </w:t>
      </w:r>
      <w:r w:rsidR="00436B5C" w:rsidRPr="000D7CE0">
        <w:rPr>
          <w:rFonts w:ascii="Arial" w:hAnsi="Arial" w:cs="Arial"/>
          <w:sz w:val="24"/>
          <w:szCs w:val="24"/>
        </w:rPr>
        <w:lastRenderedPageBreak/>
        <w:t>repairing the line. oiling did not come within either of the two categories. this result was clearly harsh and unjust</w:t>
      </w:r>
      <w:r w:rsidR="00696D7E" w:rsidRPr="000D7CE0">
        <w:rPr>
          <w:rFonts w:ascii="Arial" w:hAnsi="Arial" w:cs="Arial"/>
          <w:sz w:val="24"/>
          <w:szCs w:val="24"/>
        </w:rPr>
        <w:t>, Harris (</w:t>
      </w:r>
      <w:r w:rsidR="00B7603B">
        <w:rPr>
          <w:rFonts w:ascii="Arial" w:hAnsi="Arial" w:cs="Arial"/>
          <w:sz w:val="24"/>
          <w:szCs w:val="24"/>
        </w:rPr>
        <w:t>2009).</w:t>
      </w:r>
    </w:p>
    <w:p w14:paraId="376E63A0" w14:textId="6C39EFE0" w:rsidR="00057385" w:rsidRPr="000D7CE0" w:rsidRDefault="001E1A63" w:rsidP="009E5A35">
      <w:pPr>
        <w:tabs>
          <w:tab w:val="left" w:pos="5800"/>
        </w:tabs>
        <w:rPr>
          <w:rFonts w:ascii="Arial" w:hAnsi="Arial" w:cs="Arial"/>
          <w:sz w:val="24"/>
          <w:szCs w:val="24"/>
        </w:rPr>
      </w:pPr>
      <w:r w:rsidRPr="000D7CE0">
        <w:rPr>
          <w:rFonts w:ascii="Arial" w:hAnsi="Arial" w:cs="Arial"/>
          <w:sz w:val="24"/>
          <w:szCs w:val="24"/>
        </w:rPr>
        <w:t xml:space="preserve">The next rule is the </w:t>
      </w:r>
      <w:r w:rsidR="008829C2" w:rsidRPr="000D7CE0">
        <w:rPr>
          <w:rFonts w:ascii="Arial" w:hAnsi="Arial" w:cs="Arial"/>
          <w:sz w:val="24"/>
          <w:szCs w:val="24"/>
        </w:rPr>
        <w:t xml:space="preserve">golden rule. </w:t>
      </w:r>
      <w:r w:rsidR="00FA2592" w:rsidRPr="000D7CE0">
        <w:rPr>
          <w:rFonts w:ascii="Arial" w:hAnsi="Arial" w:cs="Arial"/>
          <w:sz w:val="24"/>
          <w:szCs w:val="24"/>
        </w:rPr>
        <w:t xml:space="preserve">As </w:t>
      </w:r>
      <w:r w:rsidR="003E6226" w:rsidRPr="000D7CE0">
        <w:rPr>
          <w:rFonts w:ascii="Arial" w:hAnsi="Arial" w:cs="Arial"/>
          <w:sz w:val="24"/>
          <w:szCs w:val="24"/>
        </w:rPr>
        <w:t xml:space="preserve">mentioned within </w:t>
      </w:r>
      <w:r w:rsidR="000B2CAA" w:rsidRPr="000D7CE0">
        <w:rPr>
          <w:rFonts w:ascii="Arial" w:hAnsi="Arial" w:cs="Arial"/>
          <w:sz w:val="24"/>
          <w:szCs w:val="24"/>
        </w:rPr>
        <w:t>lawtea</w:t>
      </w:r>
      <w:r w:rsidR="003310ED" w:rsidRPr="000D7CE0">
        <w:rPr>
          <w:rFonts w:ascii="Arial" w:hAnsi="Arial" w:cs="Arial"/>
          <w:sz w:val="24"/>
          <w:szCs w:val="24"/>
        </w:rPr>
        <w:t>c</w:t>
      </w:r>
      <w:r w:rsidR="000B2CAA" w:rsidRPr="000D7CE0">
        <w:rPr>
          <w:rFonts w:ascii="Arial" w:hAnsi="Arial" w:cs="Arial"/>
          <w:sz w:val="24"/>
          <w:szCs w:val="24"/>
        </w:rPr>
        <w:t>he</w:t>
      </w:r>
      <w:r w:rsidR="004D6073">
        <w:rPr>
          <w:rFonts w:ascii="Arial" w:hAnsi="Arial" w:cs="Arial"/>
          <w:sz w:val="24"/>
          <w:szCs w:val="24"/>
        </w:rPr>
        <w:t>r</w:t>
      </w:r>
      <w:r w:rsidR="006A09CD" w:rsidRPr="000D7CE0">
        <w:rPr>
          <w:rFonts w:ascii="Arial" w:hAnsi="Arial" w:cs="Arial"/>
          <w:sz w:val="24"/>
          <w:szCs w:val="24"/>
        </w:rPr>
        <w:t xml:space="preserve">, </w:t>
      </w:r>
      <w:r w:rsidR="000457BD" w:rsidRPr="000D7CE0">
        <w:rPr>
          <w:rFonts w:ascii="Arial" w:hAnsi="Arial" w:cs="Arial"/>
          <w:sz w:val="24"/>
          <w:szCs w:val="24"/>
        </w:rPr>
        <w:t>Where the or</w:t>
      </w:r>
      <w:r w:rsidR="00811131" w:rsidRPr="000D7CE0">
        <w:rPr>
          <w:rFonts w:ascii="Arial" w:hAnsi="Arial" w:cs="Arial"/>
          <w:sz w:val="24"/>
          <w:szCs w:val="24"/>
        </w:rPr>
        <w:t>dinary meaning of words leads to apparent absurdity, the natural</w:t>
      </w:r>
      <w:r w:rsidR="00E36378" w:rsidRPr="000D7CE0">
        <w:rPr>
          <w:rFonts w:ascii="Arial" w:hAnsi="Arial" w:cs="Arial"/>
          <w:sz w:val="24"/>
          <w:szCs w:val="24"/>
        </w:rPr>
        <w:t xml:space="preserve"> meaning of the word may be </w:t>
      </w:r>
      <w:r w:rsidR="000D7CE0" w:rsidRPr="000D7CE0">
        <w:rPr>
          <w:rFonts w:ascii="Arial" w:hAnsi="Arial" w:cs="Arial"/>
          <w:sz w:val="24"/>
          <w:szCs w:val="24"/>
        </w:rPr>
        <w:t>modified,</w:t>
      </w:r>
      <w:r w:rsidR="00E36378" w:rsidRPr="000D7CE0">
        <w:rPr>
          <w:rFonts w:ascii="Arial" w:hAnsi="Arial" w:cs="Arial"/>
          <w:sz w:val="24"/>
          <w:szCs w:val="24"/>
        </w:rPr>
        <w:t xml:space="preserve"> or an alternative definition chosen in order to avoid such ab</w:t>
      </w:r>
      <w:r w:rsidR="00E66FD1" w:rsidRPr="000D7CE0">
        <w:rPr>
          <w:rFonts w:ascii="Arial" w:hAnsi="Arial" w:cs="Arial"/>
          <w:sz w:val="24"/>
          <w:szCs w:val="24"/>
        </w:rPr>
        <w:t xml:space="preserve">surdities. </w:t>
      </w:r>
      <w:r w:rsidR="00C60E5E" w:rsidRPr="000D7CE0">
        <w:rPr>
          <w:rFonts w:ascii="Arial" w:hAnsi="Arial" w:cs="Arial"/>
          <w:sz w:val="24"/>
          <w:szCs w:val="24"/>
        </w:rPr>
        <w:t>U</w:t>
      </w:r>
      <w:r w:rsidR="00B9569C" w:rsidRPr="000D7CE0">
        <w:rPr>
          <w:rFonts w:ascii="Arial" w:hAnsi="Arial" w:cs="Arial"/>
          <w:sz w:val="24"/>
          <w:szCs w:val="24"/>
        </w:rPr>
        <w:t>ltimat</w:t>
      </w:r>
      <w:r w:rsidR="00C60E5E" w:rsidRPr="000D7CE0">
        <w:rPr>
          <w:rFonts w:ascii="Arial" w:hAnsi="Arial" w:cs="Arial"/>
          <w:sz w:val="24"/>
          <w:szCs w:val="24"/>
        </w:rPr>
        <w:t xml:space="preserve">ely, the golden rule is common-sense approach if judges are seeking to carry out </w:t>
      </w:r>
      <w:r w:rsidR="000D7CE0" w:rsidRPr="000D7CE0">
        <w:rPr>
          <w:rFonts w:ascii="Arial" w:hAnsi="Arial" w:cs="Arial"/>
          <w:sz w:val="24"/>
          <w:szCs w:val="24"/>
        </w:rPr>
        <w:t>parliament’s</w:t>
      </w:r>
      <w:r w:rsidR="00C60E5E" w:rsidRPr="000D7CE0">
        <w:rPr>
          <w:rFonts w:ascii="Arial" w:hAnsi="Arial" w:cs="Arial"/>
          <w:sz w:val="24"/>
          <w:szCs w:val="24"/>
        </w:rPr>
        <w:t xml:space="preserve"> intent, since surely parliament could not have intended an absurd outcome. </w:t>
      </w:r>
      <w:r w:rsidR="00D404C4" w:rsidRPr="000D7CE0">
        <w:rPr>
          <w:rFonts w:ascii="Arial" w:hAnsi="Arial" w:cs="Arial"/>
          <w:sz w:val="24"/>
          <w:szCs w:val="24"/>
        </w:rPr>
        <w:t>A different view holds that courts should not j</w:t>
      </w:r>
      <w:r w:rsidR="009C000F" w:rsidRPr="000D7CE0">
        <w:rPr>
          <w:rFonts w:ascii="Arial" w:hAnsi="Arial" w:cs="Arial"/>
          <w:sz w:val="24"/>
          <w:szCs w:val="24"/>
        </w:rPr>
        <w:t xml:space="preserve">udge the absurdity of parliamentary </w:t>
      </w:r>
      <w:r w:rsidR="000D7CE0" w:rsidRPr="000D7CE0">
        <w:rPr>
          <w:rFonts w:ascii="Arial" w:hAnsi="Arial" w:cs="Arial"/>
          <w:sz w:val="24"/>
          <w:szCs w:val="24"/>
        </w:rPr>
        <w:t>legislation but</w:t>
      </w:r>
      <w:r w:rsidR="009C000F" w:rsidRPr="000D7CE0">
        <w:rPr>
          <w:rFonts w:ascii="Arial" w:hAnsi="Arial" w:cs="Arial"/>
          <w:sz w:val="24"/>
          <w:szCs w:val="24"/>
        </w:rPr>
        <w:t xml:space="preserve"> </w:t>
      </w:r>
      <w:r w:rsidR="000D7CE0" w:rsidRPr="000D7CE0">
        <w:rPr>
          <w:rFonts w:ascii="Arial" w:hAnsi="Arial" w:cs="Arial"/>
          <w:sz w:val="24"/>
          <w:szCs w:val="24"/>
        </w:rPr>
        <w:t>applying</w:t>
      </w:r>
      <w:r w:rsidR="009C000F" w:rsidRPr="000D7CE0">
        <w:rPr>
          <w:rFonts w:ascii="Arial" w:hAnsi="Arial" w:cs="Arial"/>
          <w:sz w:val="24"/>
          <w:szCs w:val="24"/>
        </w:rPr>
        <w:t xml:space="preserve"> it. </w:t>
      </w:r>
      <w:r w:rsidR="007D6942" w:rsidRPr="000D7CE0">
        <w:rPr>
          <w:rFonts w:ascii="Arial" w:hAnsi="Arial" w:cs="Arial"/>
          <w:sz w:val="24"/>
          <w:szCs w:val="24"/>
        </w:rPr>
        <w:t>An application of the golden rule approach is seen in Allen [</w:t>
      </w:r>
      <w:r w:rsidR="00CF440E" w:rsidRPr="000D7CE0">
        <w:rPr>
          <w:rFonts w:ascii="Arial" w:hAnsi="Arial" w:cs="Arial"/>
          <w:sz w:val="24"/>
          <w:szCs w:val="24"/>
        </w:rPr>
        <w:t>1872</w:t>
      </w:r>
      <w:r w:rsidR="000D7CE0" w:rsidRPr="000D7CE0">
        <w:rPr>
          <w:rFonts w:ascii="Arial" w:hAnsi="Arial" w:cs="Arial"/>
          <w:sz w:val="24"/>
          <w:szCs w:val="24"/>
        </w:rPr>
        <w:t>],</w:t>
      </w:r>
      <w:r w:rsidR="00CF440E" w:rsidRPr="000D7CE0">
        <w:rPr>
          <w:rFonts w:ascii="Arial" w:hAnsi="Arial" w:cs="Arial"/>
          <w:sz w:val="24"/>
          <w:szCs w:val="24"/>
        </w:rPr>
        <w:t xml:space="preserve"> a case involving a charge of big</w:t>
      </w:r>
      <w:r w:rsidR="00C17776" w:rsidRPr="000D7CE0">
        <w:rPr>
          <w:rFonts w:ascii="Arial" w:hAnsi="Arial" w:cs="Arial"/>
          <w:sz w:val="24"/>
          <w:szCs w:val="24"/>
        </w:rPr>
        <w:t>amy under OAPA 1861. According to OAPA, it is an offence for a married person to marry any other person</w:t>
      </w:r>
      <w:r w:rsidR="00FA15AB" w:rsidRPr="000D7CE0">
        <w:rPr>
          <w:rFonts w:ascii="Arial" w:hAnsi="Arial" w:cs="Arial"/>
          <w:sz w:val="24"/>
          <w:szCs w:val="24"/>
        </w:rPr>
        <w:t xml:space="preserve"> during the lifetime of his spouse. </w:t>
      </w:r>
      <w:r w:rsidR="00DE51C1" w:rsidRPr="000D7CE0">
        <w:rPr>
          <w:rFonts w:ascii="Arial" w:hAnsi="Arial" w:cs="Arial"/>
          <w:sz w:val="24"/>
          <w:szCs w:val="24"/>
        </w:rPr>
        <w:t>A valid marriage could only be cont</w:t>
      </w:r>
      <w:r w:rsidR="00C34C60" w:rsidRPr="000D7CE0">
        <w:rPr>
          <w:rFonts w:ascii="Arial" w:hAnsi="Arial" w:cs="Arial"/>
          <w:sz w:val="24"/>
          <w:szCs w:val="24"/>
        </w:rPr>
        <w:t>racted between a man and a woman, neither of whom is married to another</w:t>
      </w:r>
      <w:r w:rsidR="0097599C" w:rsidRPr="000D7CE0">
        <w:rPr>
          <w:rFonts w:ascii="Arial" w:hAnsi="Arial" w:cs="Arial"/>
          <w:sz w:val="24"/>
          <w:szCs w:val="24"/>
        </w:rPr>
        <w:t xml:space="preserve">. As drafted, the offence of bigamy could </w:t>
      </w:r>
      <w:r w:rsidR="000D7CE0" w:rsidRPr="000D7CE0">
        <w:rPr>
          <w:rFonts w:ascii="Arial" w:hAnsi="Arial" w:cs="Arial"/>
          <w:sz w:val="24"/>
          <w:szCs w:val="24"/>
        </w:rPr>
        <w:t>not</w:t>
      </w:r>
      <w:r w:rsidR="0097599C" w:rsidRPr="000D7CE0">
        <w:rPr>
          <w:rFonts w:ascii="Arial" w:hAnsi="Arial" w:cs="Arial"/>
          <w:sz w:val="24"/>
          <w:szCs w:val="24"/>
        </w:rPr>
        <w:t xml:space="preserve"> be committed</w:t>
      </w:r>
      <w:r w:rsidR="00810E05" w:rsidRPr="000D7CE0">
        <w:rPr>
          <w:rFonts w:ascii="Arial" w:hAnsi="Arial" w:cs="Arial"/>
          <w:sz w:val="24"/>
          <w:szCs w:val="24"/>
        </w:rPr>
        <w:t xml:space="preserve"> since any such second ‘marriage’ would be void. In order to avoid the absurdity</w:t>
      </w:r>
      <w:r w:rsidR="00E87546" w:rsidRPr="000D7CE0">
        <w:rPr>
          <w:rFonts w:ascii="Arial" w:hAnsi="Arial" w:cs="Arial"/>
          <w:sz w:val="24"/>
          <w:szCs w:val="24"/>
        </w:rPr>
        <w:t xml:space="preserve">, the words shall marry were interpreted as “shall go through marriage ceremony with” and the appellants conviction for bigamy was upheld. </w:t>
      </w:r>
      <w:r w:rsidR="00BD5DE4" w:rsidRPr="000D7CE0">
        <w:rPr>
          <w:rFonts w:ascii="Arial" w:hAnsi="Arial" w:cs="Arial"/>
          <w:sz w:val="24"/>
          <w:szCs w:val="24"/>
        </w:rPr>
        <w:t xml:space="preserve">In this way, the golden rule is closely </w:t>
      </w:r>
      <w:r w:rsidR="00C825C1" w:rsidRPr="000D7CE0">
        <w:rPr>
          <w:rFonts w:ascii="Arial" w:hAnsi="Arial" w:cs="Arial"/>
          <w:sz w:val="24"/>
          <w:szCs w:val="24"/>
        </w:rPr>
        <w:t>related to the literal rule but allows for deviations from the literal rule whe</w:t>
      </w:r>
      <w:r w:rsidR="00CB4C9A" w:rsidRPr="000D7CE0">
        <w:rPr>
          <w:rFonts w:ascii="Arial" w:hAnsi="Arial" w:cs="Arial"/>
          <w:sz w:val="24"/>
          <w:szCs w:val="24"/>
        </w:rPr>
        <w:t>re an interpretation would be repugnant, inconsistent with another section of the statute or simply absurd</w:t>
      </w:r>
      <w:r w:rsidR="000D7CE0" w:rsidRPr="000D7CE0">
        <w:rPr>
          <w:rFonts w:ascii="Arial" w:hAnsi="Arial" w:cs="Arial"/>
          <w:sz w:val="24"/>
          <w:szCs w:val="24"/>
        </w:rPr>
        <w:t xml:space="preserve">. </w:t>
      </w:r>
      <w:r w:rsidR="006A09CD" w:rsidRPr="000D7CE0">
        <w:rPr>
          <w:rFonts w:ascii="Arial" w:hAnsi="Arial" w:cs="Arial"/>
          <w:sz w:val="24"/>
          <w:szCs w:val="24"/>
        </w:rPr>
        <w:t xml:space="preserve"> </w:t>
      </w:r>
    </w:p>
    <w:p w14:paraId="14E2F736" w14:textId="2DB11589" w:rsidR="003310ED" w:rsidRPr="000D7CE0" w:rsidRDefault="00DC396E" w:rsidP="009E5A35">
      <w:pPr>
        <w:tabs>
          <w:tab w:val="left" w:pos="5800"/>
        </w:tabs>
        <w:rPr>
          <w:rFonts w:ascii="Arial" w:hAnsi="Arial" w:cs="Arial"/>
          <w:sz w:val="24"/>
          <w:szCs w:val="24"/>
        </w:rPr>
      </w:pPr>
      <w:r w:rsidRPr="000D7CE0">
        <w:rPr>
          <w:rFonts w:ascii="Arial" w:hAnsi="Arial" w:cs="Arial"/>
          <w:sz w:val="24"/>
          <w:szCs w:val="24"/>
        </w:rPr>
        <w:t xml:space="preserve">The final rule within statutory interpretation is the mischief rule. The mischief rule was first brought about within </w:t>
      </w:r>
      <w:r w:rsidR="00187EBA" w:rsidRPr="000D7CE0">
        <w:rPr>
          <w:rFonts w:ascii="Arial" w:hAnsi="Arial" w:cs="Arial"/>
          <w:sz w:val="24"/>
          <w:szCs w:val="24"/>
        </w:rPr>
        <w:t xml:space="preserve">Heydon’s case [1584]. This rule requires judges to </w:t>
      </w:r>
      <w:r w:rsidR="0075095D" w:rsidRPr="000D7CE0">
        <w:rPr>
          <w:rFonts w:ascii="Arial" w:hAnsi="Arial" w:cs="Arial"/>
          <w:sz w:val="24"/>
          <w:szCs w:val="24"/>
        </w:rPr>
        <w:t xml:space="preserve">consider what parliament was trying to accomplish by </w:t>
      </w:r>
      <w:r w:rsidR="00E22E97" w:rsidRPr="000D7CE0">
        <w:rPr>
          <w:rFonts w:ascii="Arial" w:hAnsi="Arial" w:cs="Arial"/>
          <w:sz w:val="24"/>
          <w:szCs w:val="24"/>
        </w:rPr>
        <w:t xml:space="preserve">passing legislation. </w:t>
      </w:r>
      <w:r w:rsidR="0017015E" w:rsidRPr="000D7CE0">
        <w:rPr>
          <w:rFonts w:ascii="Arial" w:hAnsi="Arial" w:cs="Arial"/>
          <w:sz w:val="24"/>
          <w:szCs w:val="24"/>
        </w:rPr>
        <w:t>Any ambiguity within the act would be interpreted in such a way as to ensure</w:t>
      </w:r>
      <w:r w:rsidR="00151458" w:rsidRPr="000D7CE0">
        <w:rPr>
          <w:rFonts w:ascii="Arial" w:hAnsi="Arial" w:cs="Arial"/>
          <w:sz w:val="24"/>
          <w:szCs w:val="24"/>
        </w:rPr>
        <w:t xml:space="preserve"> that the intentions of parliament were achieved. Heydon’s case is a classic example of how to formulate this rule. </w:t>
      </w:r>
      <w:r w:rsidR="00920CD8" w:rsidRPr="000D7CE0">
        <w:rPr>
          <w:rFonts w:ascii="Arial" w:hAnsi="Arial" w:cs="Arial"/>
          <w:sz w:val="24"/>
          <w:szCs w:val="24"/>
        </w:rPr>
        <w:t xml:space="preserve">Judges are required </w:t>
      </w:r>
      <w:r w:rsidR="00993357" w:rsidRPr="000D7CE0">
        <w:rPr>
          <w:rFonts w:ascii="Arial" w:hAnsi="Arial" w:cs="Arial"/>
          <w:sz w:val="24"/>
          <w:szCs w:val="24"/>
        </w:rPr>
        <w:t xml:space="preserve">to answer the following </w:t>
      </w:r>
      <w:r w:rsidR="000D7CE0" w:rsidRPr="000D7CE0">
        <w:rPr>
          <w:rFonts w:ascii="Arial" w:hAnsi="Arial" w:cs="Arial"/>
          <w:sz w:val="24"/>
          <w:szCs w:val="24"/>
        </w:rPr>
        <w:t>questions:</w:t>
      </w:r>
      <w:r w:rsidR="00993357" w:rsidRPr="000D7CE0">
        <w:rPr>
          <w:rFonts w:ascii="Arial" w:hAnsi="Arial" w:cs="Arial"/>
          <w:sz w:val="24"/>
          <w:szCs w:val="24"/>
        </w:rPr>
        <w:t xml:space="preserve"> what was the common law before the making of the act? Where did the common law fail to provid</w:t>
      </w:r>
      <w:r w:rsidR="00D82A78" w:rsidRPr="000D7CE0">
        <w:rPr>
          <w:rFonts w:ascii="Arial" w:hAnsi="Arial" w:cs="Arial"/>
          <w:sz w:val="24"/>
          <w:szCs w:val="24"/>
        </w:rPr>
        <w:t xml:space="preserve">e for the mischief and defect? </w:t>
      </w:r>
      <w:r w:rsidR="00A721F1" w:rsidRPr="000D7CE0">
        <w:rPr>
          <w:rFonts w:ascii="Arial" w:hAnsi="Arial" w:cs="Arial"/>
          <w:sz w:val="24"/>
          <w:szCs w:val="24"/>
        </w:rPr>
        <w:t>What remedy did parliament resolve and</w:t>
      </w:r>
      <w:r w:rsidR="000D7CE0" w:rsidRPr="000D7CE0">
        <w:rPr>
          <w:rFonts w:ascii="Arial" w:hAnsi="Arial" w:cs="Arial"/>
          <w:sz w:val="24"/>
          <w:szCs w:val="24"/>
        </w:rPr>
        <w:t xml:space="preserve"> </w:t>
      </w:r>
      <w:r w:rsidR="00A721F1" w:rsidRPr="000D7CE0">
        <w:rPr>
          <w:rFonts w:ascii="Arial" w:hAnsi="Arial" w:cs="Arial"/>
          <w:sz w:val="24"/>
          <w:szCs w:val="24"/>
        </w:rPr>
        <w:t xml:space="preserve">appoint “to cure the disease of the commonwealth (the state)”? for what real reason was it appointed? </w:t>
      </w:r>
      <w:r w:rsidR="00265D7F">
        <w:rPr>
          <w:rFonts w:ascii="Arial" w:hAnsi="Arial" w:cs="Arial"/>
          <w:sz w:val="24"/>
          <w:szCs w:val="24"/>
        </w:rPr>
        <w:t>Gov (2022)</w:t>
      </w:r>
    </w:p>
    <w:p w14:paraId="7C7B8FA1" w14:textId="129504E1" w:rsidR="00237BDA" w:rsidRPr="000D7CE0" w:rsidRDefault="00AE4202" w:rsidP="009E5A35">
      <w:pPr>
        <w:tabs>
          <w:tab w:val="left" w:pos="5800"/>
        </w:tabs>
        <w:rPr>
          <w:rFonts w:ascii="Arial" w:hAnsi="Arial" w:cs="Arial"/>
          <w:sz w:val="24"/>
          <w:szCs w:val="24"/>
        </w:rPr>
      </w:pPr>
      <w:r w:rsidRPr="000D7CE0">
        <w:rPr>
          <w:rFonts w:ascii="Arial" w:hAnsi="Arial" w:cs="Arial"/>
          <w:sz w:val="24"/>
          <w:szCs w:val="24"/>
        </w:rPr>
        <w:t xml:space="preserve">Once these questions have been answered the courts should be in the position to understand what parliament </w:t>
      </w:r>
      <w:r w:rsidR="00D7006D" w:rsidRPr="000D7CE0">
        <w:rPr>
          <w:rFonts w:ascii="Arial" w:hAnsi="Arial" w:cs="Arial"/>
          <w:sz w:val="24"/>
          <w:szCs w:val="24"/>
        </w:rPr>
        <w:t xml:space="preserve">was attempting to achieve and to give effect to that intention. </w:t>
      </w:r>
      <w:r w:rsidR="002B3043" w:rsidRPr="000D7CE0">
        <w:rPr>
          <w:rFonts w:ascii="Arial" w:hAnsi="Arial" w:cs="Arial"/>
          <w:sz w:val="24"/>
          <w:szCs w:val="24"/>
        </w:rPr>
        <w:t>In modern times, statutes may have been introduced</w:t>
      </w:r>
      <w:r w:rsidR="00237BDA" w:rsidRPr="000D7CE0">
        <w:rPr>
          <w:rFonts w:ascii="Arial" w:hAnsi="Arial" w:cs="Arial"/>
          <w:sz w:val="24"/>
          <w:szCs w:val="24"/>
        </w:rPr>
        <w:t xml:space="preserve"> to replace earlier laws, and in this case, the questions should be amended accordingly</w:t>
      </w:r>
      <w:r w:rsidR="00A15025">
        <w:rPr>
          <w:rFonts w:ascii="Arial" w:hAnsi="Arial" w:cs="Arial"/>
          <w:sz w:val="24"/>
          <w:szCs w:val="24"/>
        </w:rPr>
        <w:t>, inbrief.</w:t>
      </w:r>
    </w:p>
    <w:p w14:paraId="0E430682" w14:textId="37EF2674" w:rsidR="00E014E4" w:rsidRPr="000D7CE0" w:rsidRDefault="000D7CE0" w:rsidP="009E5A35">
      <w:pPr>
        <w:tabs>
          <w:tab w:val="left" w:pos="5800"/>
        </w:tabs>
        <w:rPr>
          <w:rFonts w:ascii="Arial" w:hAnsi="Arial" w:cs="Arial"/>
          <w:sz w:val="24"/>
          <w:szCs w:val="24"/>
        </w:rPr>
      </w:pPr>
      <w:r w:rsidRPr="000D7CE0">
        <w:rPr>
          <w:rFonts w:ascii="Arial" w:hAnsi="Arial" w:cs="Arial"/>
          <w:sz w:val="24"/>
          <w:szCs w:val="24"/>
        </w:rPr>
        <w:t xml:space="preserve">As presented by CieLawTutor, </w:t>
      </w:r>
      <w:r w:rsidR="006612BC" w:rsidRPr="000D7CE0">
        <w:rPr>
          <w:rFonts w:ascii="Arial" w:hAnsi="Arial" w:cs="Arial"/>
          <w:sz w:val="24"/>
          <w:szCs w:val="24"/>
        </w:rPr>
        <w:t>Typical problems</w:t>
      </w:r>
      <w:r w:rsidR="003A09D3" w:rsidRPr="000D7CE0">
        <w:rPr>
          <w:rFonts w:ascii="Arial" w:hAnsi="Arial" w:cs="Arial"/>
          <w:sz w:val="24"/>
          <w:szCs w:val="24"/>
        </w:rPr>
        <w:t xml:space="preserve"> within statutory interpretation</w:t>
      </w:r>
      <w:r w:rsidR="006612BC" w:rsidRPr="000D7CE0">
        <w:rPr>
          <w:rFonts w:ascii="Arial" w:hAnsi="Arial" w:cs="Arial"/>
          <w:sz w:val="24"/>
          <w:szCs w:val="24"/>
        </w:rPr>
        <w:t xml:space="preserve"> include a failure of legislation to address a specific point, ambiguity as to its meaning, drafting errors, new legal developments, and changes in language.</w:t>
      </w:r>
      <w:r w:rsidR="00384CE8" w:rsidRPr="000D7CE0">
        <w:rPr>
          <w:rFonts w:ascii="Arial" w:hAnsi="Arial" w:cs="Arial"/>
          <w:sz w:val="24"/>
          <w:szCs w:val="24"/>
        </w:rPr>
        <w:t xml:space="preserve"> Old statutes often use words that have different meanings today than they did in the 18th century</w:t>
      </w:r>
      <w:r w:rsidR="00E807BB" w:rsidRPr="000D7CE0">
        <w:rPr>
          <w:rFonts w:ascii="Arial" w:hAnsi="Arial" w:cs="Arial"/>
          <w:sz w:val="24"/>
          <w:szCs w:val="24"/>
        </w:rPr>
        <w:t xml:space="preserve"> as stated by </w:t>
      </w:r>
      <w:r w:rsidR="009828AF" w:rsidRPr="000D7CE0">
        <w:rPr>
          <w:rFonts w:ascii="Arial" w:hAnsi="Arial" w:cs="Arial"/>
          <w:sz w:val="24"/>
          <w:szCs w:val="24"/>
        </w:rPr>
        <w:t xml:space="preserve">inbreif.com. </w:t>
      </w:r>
      <w:r w:rsidR="00A47213" w:rsidRPr="000D7CE0">
        <w:rPr>
          <w:rFonts w:ascii="Arial" w:hAnsi="Arial" w:cs="Arial"/>
          <w:sz w:val="24"/>
          <w:szCs w:val="24"/>
        </w:rPr>
        <w:t xml:space="preserve">one of the many problems caused by statutory interpretation includes this within the literal rule. The main disadvantage of the literal rule is that there is little emphasis on end result. </w:t>
      </w:r>
      <w:r w:rsidR="000356A1" w:rsidRPr="000D7CE0">
        <w:rPr>
          <w:rFonts w:ascii="Arial" w:hAnsi="Arial" w:cs="Arial"/>
          <w:sz w:val="24"/>
          <w:szCs w:val="24"/>
        </w:rPr>
        <w:t xml:space="preserve">This issue is emphasised within the case of Fisher V Bell. </w:t>
      </w:r>
      <w:r w:rsidR="00F8112D" w:rsidRPr="000D7CE0">
        <w:rPr>
          <w:rFonts w:ascii="Arial" w:hAnsi="Arial" w:cs="Arial"/>
          <w:sz w:val="24"/>
          <w:szCs w:val="24"/>
        </w:rPr>
        <w:t xml:space="preserve">Fisher V Bell is a case in which refers to </w:t>
      </w:r>
      <w:r w:rsidR="00BC6EB1" w:rsidRPr="000D7CE0">
        <w:rPr>
          <w:rFonts w:ascii="Arial" w:hAnsi="Arial" w:cs="Arial"/>
          <w:sz w:val="24"/>
          <w:szCs w:val="24"/>
        </w:rPr>
        <w:t xml:space="preserve">contractual definition of offer and selling things. </w:t>
      </w:r>
      <w:r w:rsidR="00A80C01" w:rsidRPr="000D7CE0">
        <w:rPr>
          <w:rFonts w:ascii="Arial" w:hAnsi="Arial" w:cs="Arial"/>
          <w:sz w:val="24"/>
          <w:szCs w:val="24"/>
        </w:rPr>
        <w:t xml:space="preserve">The court squashed the </w:t>
      </w:r>
      <w:r w:rsidR="00260DA9" w:rsidRPr="000D7CE0">
        <w:rPr>
          <w:rFonts w:ascii="Arial" w:hAnsi="Arial" w:cs="Arial"/>
          <w:sz w:val="24"/>
          <w:szCs w:val="24"/>
        </w:rPr>
        <w:t xml:space="preserve">shop </w:t>
      </w:r>
      <w:r w:rsidRPr="000D7CE0">
        <w:rPr>
          <w:rFonts w:ascii="Arial" w:hAnsi="Arial" w:cs="Arial"/>
          <w:sz w:val="24"/>
          <w:szCs w:val="24"/>
        </w:rPr>
        <w:t>owners’</w:t>
      </w:r>
      <w:r w:rsidR="00260DA9" w:rsidRPr="000D7CE0">
        <w:rPr>
          <w:rFonts w:ascii="Arial" w:hAnsi="Arial" w:cs="Arial"/>
          <w:sz w:val="24"/>
          <w:szCs w:val="24"/>
        </w:rPr>
        <w:t xml:space="preserve"> convictions </w:t>
      </w:r>
      <w:r w:rsidR="00B022C5" w:rsidRPr="000D7CE0">
        <w:rPr>
          <w:rFonts w:ascii="Arial" w:hAnsi="Arial" w:cs="Arial"/>
          <w:sz w:val="24"/>
          <w:szCs w:val="24"/>
        </w:rPr>
        <w:t xml:space="preserve">because he merely gave ‘invitation to treat’ and did not ‘offer for sale’ the flick knife. </w:t>
      </w:r>
      <w:r w:rsidR="00B022C5" w:rsidRPr="000D7CE0">
        <w:rPr>
          <w:rFonts w:ascii="Arial" w:hAnsi="Arial" w:cs="Arial"/>
          <w:sz w:val="24"/>
          <w:szCs w:val="24"/>
        </w:rPr>
        <w:lastRenderedPageBreak/>
        <w:t>This deems all Acts of Parliament using the words of ‘offer’ to be null since all parties can only give invitation to treat and not ‘offer for sale’ of anything.</w:t>
      </w:r>
    </w:p>
    <w:p w14:paraId="74C43C98" w14:textId="072964BA" w:rsidR="00C55BAE" w:rsidRDefault="00624801" w:rsidP="009E5A35">
      <w:pPr>
        <w:tabs>
          <w:tab w:val="left" w:pos="5800"/>
        </w:tabs>
        <w:rPr>
          <w:rFonts w:ascii="Arial" w:hAnsi="Arial" w:cs="Arial"/>
          <w:sz w:val="24"/>
          <w:szCs w:val="24"/>
        </w:rPr>
      </w:pPr>
      <w:r w:rsidRPr="000D7CE0">
        <w:rPr>
          <w:rFonts w:ascii="Arial" w:hAnsi="Arial" w:cs="Arial"/>
          <w:sz w:val="24"/>
          <w:szCs w:val="24"/>
        </w:rPr>
        <w:t xml:space="preserve">In conclusion </w:t>
      </w:r>
      <w:r w:rsidR="002C1474" w:rsidRPr="000D7CE0">
        <w:rPr>
          <w:rFonts w:ascii="Arial" w:hAnsi="Arial" w:cs="Arial"/>
          <w:sz w:val="24"/>
          <w:szCs w:val="24"/>
        </w:rPr>
        <w:t>it has come clear</w:t>
      </w:r>
      <w:r w:rsidR="00FB4101">
        <w:rPr>
          <w:rFonts w:ascii="Arial" w:hAnsi="Arial" w:cs="Arial"/>
          <w:sz w:val="24"/>
          <w:szCs w:val="24"/>
        </w:rPr>
        <w:t xml:space="preserve"> through research above</w:t>
      </w:r>
      <w:r w:rsidR="002C1474" w:rsidRPr="000D7CE0">
        <w:rPr>
          <w:rFonts w:ascii="Arial" w:hAnsi="Arial" w:cs="Arial"/>
          <w:sz w:val="24"/>
          <w:szCs w:val="24"/>
        </w:rPr>
        <w:t xml:space="preserve"> that statutory interpretation does in fact</w:t>
      </w:r>
      <w:r w:rsidR="00B742BF" w:rsidRPr="000D7CE0">
        <w:rPr>
          <w:rFonts w:ascii="Arial" w:hAnsi="Arial" w:cs="Arial"/>
          <w:sz w:val="24"/>
          <w:szCs w:val="24"/>
        </w:rPr>
        <w:t xml:space="preserve"> diminish legislation as the primary source of law within the UK law.</w:t>
      </w:r>
      <w:r w:rsidR="00B742BF">
        <w:rPr>
          <w:rFonts w:ascii="Arial" w:hAnsi="Arial" w:cs="Arial"/>
          <w:sz w:val="24"/>
          <w:szCs w:val="24"/>
        </w:rPr>
        <w:t xml:space="preserve"> </w:t>
      </w:r>
    </w:p>
    <w:p w14:paraId="1778B9D5" w14:textId="77777777" w:rsidR="00C55BAE" w:rsidRDefault="00C55BAE" w:rsidP="009E5A35">
      <w:pPr>
        <w:tabs>
          <w:tab w:val="left" w:pos="5800"/>
        </w:tabs>
        <w:rPr>
          <w:rFonts w:ascii="Arial" w:hAnsi="Arial" w:cs="Arial"/>
          <w:sz w:val="24"/>
          <w:szCs w:val="24"/>
        </w:rPr>
      </w:pPr>
    </w:p>
    <w:p w14:paraId="03152209" w14:textId="77777777" w:rsidR="00993EC1" w:rsidRDefault="00993EC1" w:rsidP="009E5A35">
      <w:pPr>
        <w:tabs>
          <w:tab w:val="left" w:pos="5800"/>
        </w:tabs>
        <w:rPr>
          <w:rFonts w:ascii="Arial" w:hAnsi="Arial" w:cs="Arial"/>
          <w:sz w:val="24"/>
          <w:szCs w:val="24"/>
        </w:rPr>
      </w:pPr>
    </w:p>
    <w:p w14:paraId="68F41C9A" w14:textId="77777777" w:rsidR="00993EC1" w:rsidRDefault="00993EC1" w:rsidP="009E5A35">
      <w:pPr>
        <w:tabs>
          <w:tab w:val="left" w:pos="5800"/>
        </w:tabs>
        <w:rPr>
          <w:rFonts w:ascii="Arial" w:hAnsi="Arial" w:cs="Arial"/>
          <w:sz w:val="24"/>
          <w:szCs w:val="24"/>
        </w:rPr>
      </w:pPr>
    </w:p>
    <w:p w14:paraId="53E0E17B" w14:textId="77777777" w:rsidR="00993EC1" w:rsidRDefault="00993EC1" w:rsidP="009E5A35">
      <w:pPr>
        <w:tabs>
          <w:tab w:val="left" w:pos="5800"/>
        </w:tabs>
        <w:rPr>
          <w:rFonts w:ascii="Arial" w:hAnsi="Arial" w:cs="Arial"/>
          <w:sz w:val="24"/>
          <w:szCs w:val="24"/>
        </w:rPr>
      </w:pPr>
    </w:p>
    <w:p w14:paraId="5A5D3D0A" w14:textId="77777777" w:rsidR="00993EC1" w:rsidRDefault="00993EC1" w:rsidP="009E5A35">
      <w:pPr>
        <w:tabs>
          <w:tab w:val="left" w:pos="5800"/>
        </w:tabs>
        <w:rPr>
          <w:rFonts w:ascii="Arial" w:hAnsi="Arial" w:cs="Arial"/>
          <w:sz w:val="24"/>
          <w:szCs w:val="24"/>
        </w:rPr>
      </w:pPr>
    </w:p>
    <w:p w14:paraId="60EAFE09" w14:textId="77777777" w:rsidR="00993EC1" w:rsidRDefault="00993EC1" w:rsidP="009E5A35">
      <w:pPr>
        <w:tabs>
          <w:tab w:val="left" w:pos="5800"/>
        </w:tabs>
        <w:rPr>
          <w:rFonts w:ascii="Arial" w:hAnsi="Arial" w:cs="Arial"/>
          <w:sz w:val="24"/>
          <w:szCs w:val="24"/>
        </w:rPr>
      </w:pPr>
    </w:p>
    <w:p w14:paraId="25739A95" w14:textId="77777777" w:rsidR="00993EC1" w:rsidRDefault="00993EC1" w:rsidP="009E5A35">
      <w:pPr>
        <w:tabs>
          <w:tab w:val="left" w:pos="5800"/>
        </w:tabs>
        <w:rPr>
          <w:rFonts w:ascii="Arial" w:hAnsi="Arial" w:cs="Arial"/>
          <w:sz w:val="24"/>
          <w:szCs w:val="24"/>
        </w:rPr>
      </w:pPr>
    </w:p>
    <w:p w14:paraId="5542C898" w14:textId="77777777" w:rsidR="00993EC1" w:rsidRDefault="00993EC1" w:rsidP="009E5A35">
      <w:pPr>
        <w:tabs>
          <w:tab w:val="left" w:pos="5800"/>
        </w:tabs>
        <w:rPr>
          <w:rFonts w:ascii="Arial" w:hAnsi="Arial" w:cs="Arial"/>
          <w:sz w:val="24"/>
          <w:szCs w:val="24"/>
        </w:rPr>
      </w:pPr>
    </w:p>
    <w:p w14:paraId="38DDCC09" w14:textId="77777777" w:rsidR="00993EC1" w:rsidRDefault="00993EC1" w:rsidP="009E5A35">
      <w:pPr>
        <w:tabs>
          <w:tab w:val="left" w:pos="5800"/>
        </w:tabs>
        <w:rPr>
          <w:rFonts w:ascii="Arial" w:hAnsi="Arial" w:cs="Arial"/>
          <w:sz w:val="24"/>
          <w:szCs w:val="24"/>
        </w:rPr>
      </w:pPr>
    </w:p>
    <w:p w14:paraId="224DD0B6" w14:textId="77777777" w:rsidR="00993EC1" w:rsidRDefault="00993EC1" w:rsidP="009E5A35">
      <w:pPr>
        <w:tabs>
          <w:tab w:val="left" w:pos="5800"/>
        </w:tabs>
        <w:rPr>
          <w:rFonts w:ascii="Arial" w:hAnsi="Arial" w:cs="Arial"/>
          <w:sz w:val="24"/>
          <w:szCs w:val="24"/>
        </w:rPr>
      </w:pPr>
    </w:p>
    <w:p w14:paraId="7BFEFE97" w14:textId="77777777" w:rsidR="00993EC1" w:rsidRDefault="00993EC1" w:rsidP="009E5A35">
      <w:pPr>
        <w:tabs>
          <w:tab w:val="left" w:pos="5800"/>
        </w:tabs>
        <w:rPr>
          <w:rFonts w:ascii="Arial" w:hAnsi="Arial" w:cs="Arial"/>
          <w:sz w:val="24"/>
          <w:szCs w:val="24"/>
        </w:rPr>
      </w:pPr>
    </w:p>
    <w:p w14:paraId="7B673A9F" w14:textId="77777777" w:rsidR="000D7CE0" w:rsidRDefault="000D7CE0" w:rsidP="009E5A35">
      <w:pPr>
        <w:tabs>
          <w:tab w:val="left" w:pos="5800"/>
        </w:tabs>
        <w:rPr>
          <w:rFonts w:ascii="Arial" w:hAnsi="Arial" w:cs="Arial"/>
          <w:sz w:val="24"/>
          <w:szCs w:val="24"/>
        </w:rPr>
      </w:pPr>
    </w:p>
    <w:p w14:paraId="4B5C0D96" w14:textId="77777777" w:rsidR="000D7CE0" w:rsidRDefault="000D7CE0" w:rsidP="009E5A35">
      <w:pPr>
        <w:tabs>
          <w:tab w:val="left" w:pos="5800"/>
        </w:tabs>
        <w:rPr>
          <w:rFonts w:ascii="Arial" w:hAnsi="Arial" w:cs="Arial"/>
          <w:sz w:val="24"/>
          <w:szCs w:val="24"/>
        </w:rPr>
      </w:pPr>
    </w:p>
    <w:p w14:paraId="0C5CC3FD" w14:textId="77777777" w:rsidR="000D7CE0" w:rsidRDefault="000D7CE0" w:rsidP="009E5A35">
      <w:pPr>
        <w:tabs>
          <w:tab w:val="left" w:pos="5800"/>
        </w:tabs>
        <w:rPr>
          <w:rFonts w:ascii="Arial" w:hAnsi="Arial" w:cs="Arial"/>
          <w:sz w:val="24"/>
          <w:szCs w:val="24"/>
        </w:rPr>
      </w:pPr>
    </w:p>
    <w:p w14:paraId="302B0E06" w14:textId="77777777" w:rsidR="000D7CE0" w:rsidRDefault="000D7CE0" w:rsidP="009E5A35">
      <w:pPr>
        <w:tabs>
          <w:tab w:val="left" w:pos="5800"/>
        </w:tabs>
        <w:rPr>
          <w:rFonts w:ascii="Arial" w:hAnsi="Arial" w:cs="Arial"/>
          <w:sz w:val="24"/>
          <w:szCs w:val="24"/>
        </w:rPr>
      </w:pPr>
    </w:p>
    <w:p w14:paraId="032C97F9" w14:textId="77777777" w:rsidR="000D7CE0" w:rsidRDefault="000D7CE0" w:rsidP="009E5A35">
      <w:pPr>
        <w:tabs>
          <w:tab w:val="left" w:pos="5800"/>
        </w:tabs>
        <w:rPr>
          <w:rFonts w:ascii="Arial" w:hAnsi="Arial" w:cs="Arial"/>
          <w:sz w:val="24"/>
          <w:szCs w:val="24"/>
        </w:rPr>
      </w:pPr>
    </w:p>
    <w:p w14:paraId="7912221A" w14:textId="77777777" w:rsidR="000D7CE0" w:rsidRDefault="000D7CE0" w:rsidP="009E5A35">
      <w:pPr>
        <w:tabs>
          <w:tab w:val="left" w:pos="5800"/>
        </w:tabs>
        <w:rPr>
          <w:rFonts w:ascii="Arial" w:hAnsi="Arial" w:cs="Arial"/>
          <w:sz w:val="24"/>
          <w:szCs w:val="24"/>
        </w:rPr>
      </w:pPr>
    </w:p>
    <w:p w14:paraId="41CBBE91" w14:textId="77777777" w:rsidR="000D7CE0" w:rsidRDefault="000D7CE0" w:rsidP="009E5A35">
      <w:pPr>
        <w:tabs>
          <w:tab w:val="left" w:pos="5800"/>
        </w:tabs>
        <w:rPr>
          <w:rFonts w:ascii="Arial" w:hAnsi="Arial" w:cs="Arial"/>
          <w:sz w:val="24"/>
          <w:szCs w:val="24"/>
        </w:rPr>
      </w:pPr>
    </w:p>
    <w:p w14:paraId="70031ED2" w14:textId="77777777" w:rsidR="000D7CE0" w:rsidRDefault="000D7CE0" w:rsidP="009E5A35">
      <w:pPr>
        <w:tabs>
          <w:tab w:val="left" w:pos="5800"/>
        </w:tabs>
        <w:rPr>
          <w:rFonts w:ascii="Arial" w:hAnsi="Arial" w:cs="Arial"/>
          <w:sz w:val="24"/>
          <w:szCs w:val="24"/>
        </w:rPr>
      </w:pPr>
    </w:p>
    <w:p w14:paraId="31F86441" w14:textId="77777777" w:rsidR="000D7CE0" w:rsidRDefault="000D7CE0" w:rsidP="009E5A35">
      <w:pPr>
        <w:tabs>
          <w:tab w:val="left" w:pos="5800"/>
        </w:tabs>
        <w:rPr>
          <w:rFonts w:ascii="Arial" w:hAnsi="Arial" w:cs="Arial"/>
          <w:sz w:val="24"/>
          <w:szCs w:val="24"/>
        </w:rPr>
      </w:pPr>
    </w:p>
    <w:p w14:paraId="03F9D0F3" w14:textId="77777777" w:rsidR="000D7CE0" w:rsidRDefault="000D7CE0" w:rsidP="009E5A35">
      <w:pPr>
        <w:tabs>
          <w:tab w:val="left" w:pos="5800"/>
        </w:tabs>
        <w:rPr>
          <w:rFonts w:ascii="Arial" w:hAnsi="Arial" w:cs="Arial"/>
          <w:sz w:val="24"/>
          <w:szCs w:val="24"/>
        </w:rPr>
      </w:pPr>
    </w:p>
    <w:p w14:paraId="041D75A0" w14:textId="77777777" w:rsidR="000D7CE0" w:rsidRDefault="000D7CE0" w:rsidP="009E5A35">
      <w:pPr>
        <w:tabs>
          <w:tab w:val="left" w:pos="5800"/>
        </w:tabs>
        <w:rPr>
          <w:rFonts w:ascii="Arial" w:hAnsi="Arial" w:cs="Arial"/>
          <w:sz w:val="24"/>
          <w:szCs w:val="24"/>
        </w:rPr>
      </w:pPr>
    </w:p>
    <w:p w14:paraId="2EC63A32" w14:textId="77777777" w:rsidR="000D7CE0" w:rsidRDefault="000D7CE0" w:rsidP="009E5A35">
      <w:pPr>
        <w:tabs>
          <w:tab w:val="left" w:pos="5800"/>
        </w:tabs>
        <w:rPr>
          <w:rFonts w:ascii="Arial" w:hAnsi="Arial" w:cs="Arial"/>
          <w:sz w:val="24"/>
          <w:szCs w:val="24"/>
        </w:rPr>
      </w:pPr>
    </w:p>
    <w:p w14:paraId="4DDCC6B5" w14:textId="77777777" w:rsidR="000D7CE0" w:rsidRDefault="000D7CE0" w:rsidP="009E5A35">
      <w:pPr>
        <w:tabs>
          <w:tab w:val="left" w:pos="5800"/>
        </w:tabs>
        <w:rPr>
          <w:rFonts w:ascii="Arial" w:hAnsi="Arial" w:cs="Arial"/>
          <w:sz w:val="24"/>
          <w:szCs w:val="24"/>
        </w:rPr>
      </w:pPr>
    </w:p>
    <w:p w14:paraId="451B61C0" w14:textId="77777777" w:rsidR="000D7CE0" w:rsidRDefault="000D7CE0" w:rsidP="009E5A35">
      <w:pPr>
        <w:tabs>
          <w:tab w:val="left" w:pos="5800"/>
        </w:tabs>
        <w:rPr>
          <w:rFonts w:ascii="Arial" w:hAnsi="Arial" w:cs="Arial"/>
          <w:sz w:val="24"/>
          <w:szCs w:val="24"/>
        </w:rPr>
      </w:pPr>
    </w:p>
    <w:p w14:paraId="7CD63719" w14:textId="77777777" w:rsidR="000D7CE0" w:rsidRDefault="000D7CE0" w:rsidP="009E5A35">
      <w:pPr>
        <w:tabs>
          <w:tab w:val="left" w:pos="5800"/>
        </w:tabs>
        <w:rPr>
          <w:rFonts w:ascii="Arial" w:hAnsi="Arial" w:cs="Arial"/>
          <w:sz w:val="24"/>
          <w:szCs w:val="24"/>
        </w:rPr>
      </w:pPr>
    </w:p>
    <w:p w14:paraId="1CDDFC1A" w14:textId="77777777" w:rsidR="000D7CE0" w:rsidRDefault="000D7CE0" w:rsidP="009E5A35">
      <w:pPr>
        <w:tabs>
          <w:tab w:val="left" w:pos="5800"/>
        </w:tabs>
        <w:rPr>
          <w:rFonts w:ascii="Arial" w:hAnsi="Arial" w:cs="Arial"/>
          <w:sz w:val="24"/>
          <w:szCs w:val="24"/>
        </w:rPr>
      </w:pPr>
    </w:p>
    <w:p w14:paraId="7996D276" w14:textId="77777777" w:rsidR="000D7CE0" w:rsidRDefault="000D7CE0" w:rsidP="009E5A35">
      <w:pPr>
        <w:tabs>
          <w:tab w:val="left" w:pos="5800"/>
        </w:tabs>
        <w:rPr>
          <w:rFonts w:ascii="Arial" w:hAnsi="Arial" w:cs="Arial"/>
          <w:sz w:val="24"/>
          <w:szCs w:val="24"/>
        </w:rPr>
      </w:pPr>
    </w:p>
    <w:p w14:paraId="570AC3B1" w14:textId="068F6FAC" w:rsidR="00993EC1" w:rsidRDefault="00993EC1" w:rsidP="009E5A35">
      <w:pPr>
        <w:tabs>
          <w:tab w:val="left" w:pos="5800"/>
        </w:tabs>
        <w:rPr>
          <w:rFonts w:ascii="Arial" w:hAnsi="Arial" w:cs="Arial"/>
          <w:sz w:val="24"/>
          <w:szCs w:val="24"/>
        </w:rPr>
      </w:pPr>
      <w:r>
        <w:rPr>
          <w:rFonts w:ascii="Arial" w:hAnsi="Arial" w:cs="Arial"/>
          <w:sz w:val="24"/>
          <w:szCs w:val="24"/>
        </w:rPr>
        <w:t xml:space="preserve">Reference </w:t>
      </w:r>
      <w:r w:rsidR="000D7CE0">
        <w:rPr>
          <w:rFonts w:ascii="Arial" w:hAnsi="Arial" w:cs="Arial"/>
          <w:sz w:val="24"/>
          <w:szCs w:val="24"/>
        </w:rPr>
        <w:t>list.</w:t>
      </w:r>
      <w:r>
        <w:rPr>
          <w:rFonts w:ascii="Arial" w:hAnsi="Arial" w:cs="Arial"/>
          <w:sz w:val="24"/>
          <w:szCs w:val="24"/>
        </w:rPr>
        <w:t xml:space="preserve"> </w:t>
      </w:r>
    </w:p>
    <w:p w14:paraId="42A2859D" w14:textId="692CC984" w:rsidR="00993EC1" w:rsidRDefault="00993EC1" w:rsidP="00993EC1">
      <w:pPr>
        <w:pStyle w:val="ListParagraph"/>
        <w:numPr>
          <w:ilvl w:val="0"/>
          <w:numId w:val="1"/>
        </w:numPr>
        <w:tabs>
          <w:tab w:val="left" w:pos="5800"/>
        </w:tabs>
        <w:rPr>
          <w:rFonts w:ascii="Arial" w:hAnsi="Arial" w:cs="Arial"/>
          <w:sz w:val="24"/>
          <w:szCs w:val="24"/>
        </w:rPr>
      </w:pPr>
      <w:r>
        <w:rPr>
          <w:rFonts w:ascii="Arial" w:hAnsi="Arial" w:cs="Arial"/>
          <w:sz w:val="24"/>
          <w:szCs w:val="24"/>
        </w:rPr>
        <w:t xml:space="preserve">Lawteacher.net, The rules behind statutory interpretation. Available at: </w:t>
      </w:r>
      <w:hyperlink r:id="rId5" w:history="1">
        <w:r w:rsidRPr="00993EC1">
          <w:rPr>
            <w:rStyle w:val="Hyperlink"/>
            <w:rFonts w:ascii="Arial" w:hAnsi="Arial" w:cs="Arial"/>
            <w:sz w:val="24"/>
            <w:szCs w:val="24"/>
          </w:rPr>
          <w:t>The Rules Behind Statutory Interpretation (lawteacher.net)</w:t>
        </w:r>
      </w:hyperlink>
      <w:r w:rsidR="00C531B1">
        <w:rPr>
          <w:rFonts w:ascii="Arial" w:hAnsi="Arial" w:cs="Arial"/>
          <w:sz w:val="24"/>
          <w:szCs w:val="24"/>
        </w:rPr>
        <w:t>. Accessed on: 14</w:t>
      </w:r>
      <w:r w:rsidR="00C531B1" w:rsidRPr="00C531B1">
        <w:rPr>
          <w:rFonts w:ascii="Arial" w:hAnsi="Arial" w:cs="Arial"/>
          <w:sz w:val="24"/>
          <w:szCs w:val="24"/>
          <w:vertAlign w:val="superscript"/>
        </w:rPr>
        <w:t>th</w:t>
      </w:r>
      <w:r w:rsidR="00C531B1">
        <w:rPr>
          <w:rFonts w:ascii="Arial" w:hAnsi="Arial" w:cs="Arial"/>
          <w:sz w:val="24"/>
          <w:szCs w:val="24"/>
        </w:rPr>
        <w:t xml:space="preserve"> April. </w:t>
      </w:r>
    </w:p>
    <w:p w14:paraId="6B1E3889" w14:textId="0EC6D365" w:rsidR="00C531B1" w:rsidRDefault="007C5298" w:rsidP="00993EC1">
      <w:pPr>
        <w:pStyle w:val="ListParagraph"/>
        <w:numPr>
          <w:ilvl w:val="0"/>
          <w:numId w:val="1"/>
        </w:numPr>
        <w:tabs>
          <w:tab w:val="left" w:pos="5800"/>
        </w:tabs>
        <w:rPr>
          <w:rFonts w:ascii="Arial" w:hAnsi="Arial" w:cs="Arial"/>
          <w:sz w:val="24"/>
          <w:szCs w:val="24"/>
        </w:rPr>
      </w:pPr>
      <w:r>
        <w:rPr>
          <w:rFonts w:ascii="Arial" w:hAnsi="Arial" w:cs="Arial"/>
          <w:sz w:val="24"/>
          <w:szCs w:val="24"/>
        </w:rPr>
        <w:t>Inbreif.co.uk</w:t>
      </w:r>
      <w:r w:rsidR="00BC4575">
        <w:rPr>
          <w:rFonts w:ascii="Arial" w:hAnsi="Arial" w:cs="Arial"/>
          <w:sz w:val="24"/>
          <w:szCs w:val="24"/>
        </w:rPr>
        <w:t xml:space="preserve">, statutory interpretation. Available at: </w:t>
      </w:r>
      <w:hyperlink r:id="rId6" w:history="1">
        <w:r w:rsidR="003310ED" w:rsidRPr="00845B2A">
          <w:rPr>
            <w:rStyle w:val="Hyperlink"/>
            <w:rFonts w:ascii="Arial" w:hAnsi="Arial" w:cs="Arial"/>
            <w:sz w:val="24"/>
            <w:szCs w:val="24"/>
          </w:rPr>
          <w:t>https://www.inbrief.co.uk/legal-system/statutory-interpretation</w:t>
        </w:r>
      </w:hyperlink>
      <w:r w:rsidR="003310ED">
        <w:rPr>
          <w:rFonts w:ascii="Arial" w:hAnsi="Arial" w:cs="Arial"/>
          <w:sz w:val="24"/>
          <w:szCs w:val="24"/>
        </w:rPr>
        <w:t xml:space="preserve"> .</w:t>
      </w:r>
      <w:r w:rsidR="00640A7B">
        <w:rPr>
          <w:rFonts w:ascii="Arial" w:hAnsi="Arial" w:cs="Arial"/>
          <w:sz w:val="24"/>
          <w:szCs w:val="24"/>
        </w:rPr>
        <w:t xml:space="preserve"> Accessed on: 14</w:t>
      </w:r>
      <w:r w:rsidR="00640A7B" w:rsidRPr="00640A7B">
        <w:rPr>
          <w:rFonts w:ascii="Arial" w:hAnsi="Arial" w:cs="Arial"/>
          <w:sz w:val="24"/>
          <w:szCs w:val="24"/>
          <w:vertAlign w:val="superscript"/>
        </w:rPr>
        <w:t>th</w:t>
      </w:r>
      <w:r w:rsidR="00640A7B">
        <w:rPr>
          <w:rFonts w:ascii="Arial" w:hAnsi="Arial" w:cs="Arial"/>
          <w:sz w:val="24"/>
          <w:szCs w:val="24"/>
        </w:rPr>
        <w:t xml:space="preserve"> April. </w:t>
      </w:r>
    </w:p>
    <w:p w14:paraId="0F0663B2" w14:textId="027DD36C" w:rsidR="00640A7B" w:rsidRDefault="00B16333" w:rsidP="00993EC1">
      <w:pPr>
        <w:pStyle w:val="ListParagraph"/>
        <w:numPr>
          <w:ilvl w:val="0"/>
          <w:numId w:val="1"/>
        </w:numPr>
        <w:tabs>
          <w:tab w:val="left" w:pos="5800"/>
        </w:tabs>
        <w:rPr>
          <w:rFonts w:ascii="Arial" w:hAnsi="Arial" w:cs="Arial"/>
          <w:sz w:val="24"/>
          <w:szCs w:val="24"/>
        </w:rPr>
      </w:pPr>
      <w:r>
        <w:rPr>
          <w:rFonts w:ascii="Arial" w:hAnsi="Arial" w:cs="Arial"/>
          <w:sz w:val="24"/>
          <w:szCs w:val="24"/>
        </w:rPr>
        <w:t xml:space="preserve">CIElawTutor, Statutory interpretation. </w:t>
      </w:r>
      <w:r w:rsidR="00061864">
        <w:rPr>
          <w:rFonts w:ascii="Arial" w:hAnsi="Arial" w:cs="Arial"/>
          <w:sz w:val="24"/>
          <w:szCs w:val="24"/>
        </w:rPr>
        <w:t xml:space="preserve">Available at: </w:t>
      </w:r>
      <w:hyperlink r:id="rId7" w:anchor=":~:text=There%20are%203%20main%20sets%20of%20problems%20faced,in%20absurdity.%20...%203%20Problems%20caused%20by%20draftsmen" w:history="1">
        <w:r w:rsidR="00061864" w:rsidRPr="00061864">
          <w:rPr>
            <w:rStyle w:val="Hyperlink"/>
            <w:rFonts w:ascii="Arial" w:hAnsi="Arial" w:cs="Arial"/>
            <w:sz w:val="24"/>
            <w:szCs w:val="24"/>
          </w:rPr>
          <w:t>Statutory Interpretation (cielawtutor.com)</w:t>
        </w:r>
      </w:hyperlink>
      <w:r w:rsidR="00061864">
        <w:rPr>
          <w:rFonts w:ascii="Arial" w:hAnsi="Arial" w:cs="Arial"/>
          <w:sz w:val="24"/>
          <w:szCs w:val="24"/>
        </w:rPr>
        <w:t>. Accessed on: 15</w:t>
      </w:r>
      <w:r w:rsidR="00061864" w:rsidRPr="000D7CE0">
        <w:rPr>
          <w:rFonts w:ascii="Arial" w:hAnsi="Arial" w:cs="Arial"/>
          <w:sz w:val="24"/>
          <w:szCs w:val="24"/>
          <w:vertAlign w:val="superscript"/>
        </w:rPr>
        <w:t>th</w:t>
      </w:r>
      <w:r w:rsidR="000D7CE0">
        <w:rPr>
          <w:rFonts w:ascii="Arial" w:hAnsi="Arial" w:cs="Arial"/>
          <w:sz w:val="24"/>
          <w:szCs w:val="24"/>
        </w:rPr>
        <w:t xml:space="preserve"> April. </w:t>
      </w:r>
    </w:p>
    <w:p w14:paraId="06702987" w14:textId="60EE058E" w:rsidR="000D7CE0" w:rsidRDefault="00977660" w:rsidP="00993EC1">
      <w:pPr>
        <w:pStyle w:val="ListParagraph"/>
        <w:numPr>
          <w:ilvl w:val="0"/>
          <w:numId w:val="1"/>
        </w:numPr>
        <w:tabs>
          <w:tab w:val="left" w:pos="5800"/>
        </w:tabs>
        <w:rPr>
          <w:rFonts w:ascii="Arial" w:hAnsi="Arial" w:cs="Arial"/>
          <w:sz w:val="24"/>
          <w:szCs w:val="24"/>
        </w:rPr>
      </w:pPr>
      <w:r>
        <w:rPr>
          <w:rFonts w:ascii="Arial" w:hAnsi="Arial" w:cs="Arial"/>
          <w:sz w:val="24"/>
          <w:szCs w:val="24"/>
        </w:rPr>
        <w:t>Alb</w:t>
      </w:r>
      <w:r w:rsidR="0002641E">
        <w:rPr>
          <w:rFonts w:ascii="Arial" w:hAnsi="Arial" w:cs="Arial"/>
          <w:sz w:val="24"/>
          <w:szCs w:val="24"/>
        </w:rPr>
        <w:t>on. E and Dua. S. K. (2016) Elliot and Quinns English Legal System, Twenty</w:t>
      </w:r>
      <w:r w:rsidR="003B497F">
        <w:rPr>
          <w:rFonts w:ascii="Arial" w:hAnsi="Arial" w:cs="Arial"/>
          <w:sz w:val="24"/>
          <w:szCs w:val="24"/>
        </w:rPr>
        <w:t xml:space="preserve">-First Edition. Pearson. </w:t>
      </w:r>
    </w:p>
    <w:p w14:paraId="1ACD654D" w14:textId="35A2D546" w:rsidR="003B497F" w:rsidRDefault="00265D7F" w:rsidP="00993EC1">
      <w:pPr>
        <w:pStyle w:val="ListParagraph"/>
        <w:numPr>
          <w:ilvl w:val="0"/>
          <w:numId w:val="1"/>
        </w:numPr>
        <w:tabs>
          <w:tab w:val="left" w:pos="5800"/>
        </w:tabs>
        <w:rPr>
          <w:rFonts w:ascii="Arial" w:hAnsi="Arial" w:cs="Arial"/>
          <w:sz w:val="24"/>
          <w:szCs w:val="24"/>
        </w:rPr>
      </w:pPr>
      <w:r w:rsidRPr="00265D7F">
        <w:rPr>
          <w:rFonts w:ascii="Arial" w:hAnsi="Arial" w:cs="Arial"/>
          <w:sz w:val="24"/>
          <w:szCs w:val="24"/>
        </w:rPr>
        <w:t>GOV.UK. 2022. The interpretation of statutes. [online] Available at: &lt;https://www.gov.uk/government/publications/the-interpretation-of-statutes&gt; [Accessed 22 July 2022].</w:t>
      </w:r>
    </w:p>
    <w:p w14:paraId="79214914" w14:textId="5C5B89D1" w:rsidR="001B2D51" w:rsidRPr="00993EC1" w:rsidRDefault="001B2D51" w:rsidP="00993EC1">
      <w:pPr>
        <w:pStyle w:val="ListParagraph"/>
        <w:numPr>
          <w:ilvl w:val="0"/>
          <w:numId w:val="1"/>
        </w:numPr>
        <w:tabs>
          <w:tab w:val="left" w:pos="5800"/>
        </w:tabs>
        <w:rPr>
          <w:rFonts w:ascii="Arial" w:hAnsi="Arial" w:cs="Arial"/>
          <w:sz w:val="24"/>
          <w:szCs w:val="24"/>
        </w:rPr>
      </w:pPr>
      <w:r w:rsidRPr="001B2D51">
        <w:rPr>
          <w:rFonts w:ascii="Arial" w:hAnsi="Arial" w:cs="Arial"/>
          <w:sz w:val="24"/>
          <w:szCs w:val="24"/>
        </w:rPr>
        <w:t>University of London. 2022. Legislation and statutory interpretation. [online] Available at: &lt;https://www.london.ac.uk/courses/legislation-and-statutory-interpretation&gt; [Accessed 22 July 2022].</w:t>
      </w:r>
    </w:p>
    <w:sectPr w:rsidR="001B2D51" w:rsidRPr="00993E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3709A"/>
    <w:multiLevelType w:val="hybridMultilevel"/>
    <w:tmpl w:val="21144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7698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859"/>
    <w:rsid w:val="00002075"/>
    <w:rsid w:val="0002641E"/>
    <w:rsid w:val="000356A1"/>
    <w:rsid w:val="000457BD"/>
    <w:rsid w:val="00057385"/>
    <w:rsid w:val="00061864"/>
    <w:rsid w:val="000B2CAA"/>
    <w:rsid w:val="000D7CE0"/>
    <w:rsid w:val="000E019A"/>
    <w:rsid w:val="000F2426"/>
    <w:rsid w:val="00151458"/>
    <w:rsid w:val="00157BFF"/>
    <w:rsid w:val="0017015E"/>
    <w:rsid w:val="00187EBA"/>
    <w:rsid w:val="001948FA"/>
    <w:rsid w:val="001B2D51"/>
    <w:rsid w:val="001C0BBB"/>
    <w:rsid w:val="001E08A8"/>
    <w:rsid w:val="001E1A63"/>
    <w:rsid w:val="00202A5C"/>
    <w:rsid w:val="00237BDA"/>
    <w:rsid w:val="00240E74"/>
    <w:rsid w:val="00260DA9"/>
    <w:rsid w:val="00265D7F"/>
    <w:rsid w:val="002A196A"/>
    <w:rsid w:val="002B2067"/>
    <w:rsid w:val="002B2383"/>
    <w:rsid w:val="002B3043"/>
    <w:rsid w:val="002C1474"/>
    <w:rsid w:val="003126A1"/>
    <w:rsid w:val="003310ED"/>
    <w:rsid w:val="003370BD"/>
    <w:rsid w:val="00384CE8"/>
    <w:rsid w:val="003A09D3"/>
    <w:rsid w:val="003B497F"/>
    <w:rsid w:val="003E6226"/>
    <w:rsid w:val="0040315D"/>
    <w:rsid w:val="00436B5C"/>
    <w:rsid w:val="00454F48"/>
    <w:rsid w:val="004D6073"/>
    <w:rsid w:val="004E228F"/>
    <w:rsid w:val="004F4471"/>
    <w:rsid w:val="00504D83"/>
    <w:rsid w:val="005A01DF"/>
    <w:rsid w:val="0062437F"/>
    <w:rsid w:val="00624801"/>
    <w:rsid w:val="006402CC"/>
    <w:rsid w:val="00640A7B"/>
    <w:rsid w:val="006466EB"/>
    <w:rsid w:val="006612BC"/>
    <w:rsid w:val="00694AFD"/>
    <w:rsid w:val="00696D7E"/>
    <w:rsid w:val="006A09CD"/>
    <w:rsid w:val="0075095D"/>
    <w:rsid w:val="007C5298"/>
    <w:rsid w:val="007D6942"/>
    <w:rsid w:val="00810E05"/>
    <w:rsid w:val="00811131"/>
    <w:rsid w:val="00864AA0"/>
    <w:rsid w:val="008829C2"/>
    <w:rsid w:val="00896E54"/>
    <w:rsid w:val="008A1C12"/>
    <w:rsid w:val="00920CD8"/>
    <w:rsid w:val="0095033C"/>
    <w:rsid w:val="00965854"/>
    <w:rsid w:val="0097599C"/>
    <w:rsid w:val="00977660"/>
    <w:rsid w:val="009828AF"/>
    <w:rsid w:val="00993357"/>
    <w:rsid w:val="00993EC1"/>
    <w:rsid w:val="009C000F"/>
    <w:rsid w:val="009E5A35"/>
    <w:rsid w:val="00A0600B"/>
    <w:rsid w:val="00A15025"/>
    <w:rsid w:val="00A408C7"/>
    <w:rsid w:val="00A47213"/>
    <w:rsid w:val="00A549F6"/>
    <w:rsid w:val="00A721F1"/>
    <w:rsid w:val="00A80C01"/>
    <w:rsid w:val="00AE4202"/>
    <w:rsid w:val="00AE7BF7"/>
    <w:rsid w:val="00B022C5"/>
    <w:rsid w:val="00B06EE0"/>
    <w:rsid w:val="00B16333"/>
    <w:rsid w:val="00B16E72"/>
    <w:rsid w:val="00B742BF"/>
    <w:rsid w:val="00B7603B"/>
    <w:rsid w:val="00B925C3"/>
    <w:rsid w:val="00B9569C"/>
    <w:rsid w:val="00BA5C56"/>
    <w:rsid w:val="00BC4575"/>
    <w:rsid w:val="00BC6EB1"/>
    <w:rsid w:val="00BD5DE4"/>
    <w:rsid w:val="00C17776"/>
    <w:rsid w:val="00C34C60"/>
    <w:rsid w:val="00C531B1"/>
    <w:rsid w:val="00C55BAE"/>
    <w:rsid w:val="00C60E5E"/>
    <w:rsid w:val="00C66FF8"/>
    <w:rsid w:val="00C825C1"/>
    <w:rsid w:val="00C8717E"/>
    <w:rsid w:val="00CB4C9A"/>
    <w:rsid w:val="00CE1C1E"/>
    <w:rsid w:val="00CF440E"/>
    <w:rsid w:val="00D11A05"/>
    <w:rsid w:val="00D174FB"/>
    <w:rsid w:val="00D26DA9"/>
    <w:rsid w:val="00D404C4"/>
    <w:rsid w:val="00D420C3"/>
    <w:rsid w:val="00D7006D"/>
    <w:rsid w:val="00D82A78"/>
    <w:rsid w:val="00D926AA"/>
    <w:rsid w:val="00DC396E"/>
    <w:rsid w:val="00DE51C1"/>
    <w:rsid w:val="00E014E4"/>
    <w:rsid w:val="00E22E97"/>
    <w:rsid w:val="00E36378"/>
    <w:rsid w:val="00E66FD1"/>
    <w:rsid w:val="00E6757D"/>
    <w:rsid w:val="00E776B2"/>
    <w:rsid w:val="00E807BB"/>
    <w:rsid w:val="00E87546"/>
    <w:rsid w:val="00E87BB3"/>
    <w:rsid w:val="00EA63A5"/>
    <w:rsid w:val="00EC4EE1"/>
    <w:rsid w:val="00F00ACF"/>
    <w:rsid w:val="00F34398"/>
    <w:rsid w:val="00F51282"/>
    <w:rsid w:val="00F8112D"/>
    <w:rsid w:val="00F924E1"/>
    <w:rsid w:val="00FA15AB"/>
    <w:rsid w:val="00FA2592"/>
    <w:rsid w:val="00FB4101"/>
    <w:rsid w:val="00FC6859"/>
    <w:rsid w:val="00FE0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9ED6F"/>
  <w15:chartTrackingRefBased/>
  <w15:docId w15:val="{CB215162-3B05-41EA-9A90-B760D7A4B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3EC1"/>
    <w:pPr>
      <w:ind w:left="720"/>
      <w:contextualSpacing/>
    </w:pPr>
  </w:style>
  <w:style w:type="character" w:styleId="Hyperlink">
    <w:name w:val="Hyperlink"/>
    <w:basedOn w:val="DefaultParagraphFont"/>
    <w:uiPriority w:val="99"/>
    <w:unhideWhenUsed/>
    <w:rsid w:val="00993EC1"/>
    <w:rPr>
      <w:color w:val="0563C1" w:themeColor="hyperlink"/>
      <w:u w:val="single"/>
    </w:rPr>
  </w:style>
  <w:style w:type="character" w:styleId="UnresolvedMention">
    <w:name w:val="Unresolved Mention"/>
    <w:basedOn w:val="DefaultParagraphFont"/>
    <w:uiPriority w:val="99"/>
    <w:semiHidden/>
    <w:unhideWhenUsed/>
    <w:rsid w:val="00993E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ielawtutor.com/english-legal-system/unit-1-sources-of-law/statutory-interpret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brief.co.uk/legal-system/statutory-interpretation" TargetMode="External"/><Relationship Id="rId5" Type="http://schemas.openxmlformats.org/officeDocument/2006/relationships/hyperlink" Target="https://www.lawteacher.net/free-law-essays/administrative-law/the-rules-behind-statutory-interpretation-administrative-law-essay.php"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4</Pages>
  <Words>1283</Words>
  <Characters>7315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meigonpeters123@icloud.com</dc:creator>
  <cp:keywords/>
  <dc:description/>
  <cp:lastModifiedBy>meigonpeters123@icloud.com</cp:lastModifiedBy>
  <cp:revision>119</cp:revision>
  <dcterms:created xsi:type="dcterms:W3CDTF">2022-05-03T12:16:00Z</dcterms:created>
  <dcterms:modified xsi:type="dcterms:W3CDTF">2022-07-22T15:20:00Z</dcterms:modified>
</cp:coreProperties>
</file>