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3F4AD" w14:textId="34C68BB8" w:rsidR="00D34FA1" w:rsidRPr="00D34FA1" w:rsidRDefault="00D34FA1" w:rsidP="00D34FA1">
      <w:pPr>
        <w:spacing w:line="360" w:lineRule="auto"/>
        <w:rPr>
          <w:rFonts w:ascii="Arial" w:hAnsi="Arial" w:cs="Arial"/>
        </w:rPr>
      </w:pPr>
      <w:bookmarkStart w:id="0" w:name="_Toc234691473"/>
      <w:r w:rsidRPr="00D34FA1">
        <w:rPr>
          <w:rFonts w:ascii="Arial" w:hAnsi="Arial" w:cs="Arial"/>
        </w:rPr>
        <w:t>International Business Communications</w:t>
      </w:r>
    </w:p>
    <w:p w14:paraId="021E7E19" w14:textId="77777777" w:rsidR="00D34FA1" w:rsidRPr="00D34FA1" w:rsidRDefault="00D34FA1" w:rsidP="00D34FA1">
      <w:pPr>
        <w:spacing w:line="360" w:lineRule="auto"/>
        <w:rPr>
          <w:rFonts w:ascii="Arial" w:hAnsi="Arial" w:cs="Arial"/>
        </w:rPr>
      </w:pPr>
      <w:r w:rsidRPr="00D34FA1">
        <w:rPr>
          <w:rFonts w:ascii="Arial" w:hAnsi="Arial" w:cs="Arial"/>
        </w:rPr>
        <w:t>LCBB6023</w:t>
      </w:r>
    </w:p>
    <w:p w14:paraId="66D83243" w14:textId="6E6F4A66" w:rsidR="00D34FA1" w:rsidRPr="00D34FA1" w:rsidRDefault="00D34FA1" w:rsidP="00D34FA1">
      <w:pPr>
        <w:spacing w:line="360" w:lineRule="auto"/>
        <w:rPr>
          <w:rFonts w:ascii="Arial" w:hAnsi="Arial" w:cs="Arial"/>
        </w:rPr>
      </w:pPr>
      <w:r w:rsidRPr="00D34FA1">
        <w:rPr>
          <w:rFonts w:ascii="Arial" w:hAnsi="Arial" w:cs="Arial"/>
        </w:rPr>
        <w:t xml:space="preserve">Component </w:t>
      </w:r>
      <w:r w:rsidRPr="00D34FA1">
        <w:rPr>
          <w:rFonts w:ascii="Arial" w:hAnsi="Arial" w:cs="Arial"/>
        </w:rPr>
        <w:t>2</w:t>
      </w:r>
      <w:r w:rsidRPr="00D34FA1">
        <w:rPr>
          <w:rFonts w:ascii="Arial" w:hAnsi="Arial" w:cs="Arial"/>
        </w:rPr>
        <w:t>: Coursework: Essay</w:t>
      </w:r>
    </w:p>
    <w:p w14:paraId="0F0D227D" w14:textId="77777777" w:rsidR="00D34FA1" w:rsidRPr="00D34FA1" w:rsidRDefault="00D34FA1" w:rsidP="00D34FA1">
      <w:pPr>
        <w:spacing w:line="360" w:lineRule="auto"/>
        <w:rPr>
          <w:rFonts w:ascii="Arial" w:hAnsi="Arial" w:cs="Arial"/>
        </w:rPr>
      </w:pPr>
      <w:r w:rsidRPr="00D34FA1">
        <w:rPr>
          <w:rFonts w:ascii="Arial" w:hAnsi="Arial" w:cs="Arial"/>
        </w:rPr>
        <w:t>Lecturer: Dr Abdi Rahman</w:t>
      </w:r>
    </w:p>
    <w:p w14:paraId="05F0E058" w14:textId="77777777" w:rsidR="00D34FA1" w:rsidRPr="00D34FA1" w:rsidRDefault="00D34FA1" w:rsidP="00D34FA1">
      <w:pPr>
        <w:spacing w:line="360" w:lineRule="auto"/>
        <w:rPr>
          <w:rFonts w:ascii="Arial" w:hAnsi="Arial" w:cs="Arial"/>
        </w:rPr>
      </w:pPr>
      <w:r w:rsidRPr="00D34FA1">
        <w:rPr>
          <w:rFonts w:ascii="Arial" w:hAnsi="Arial" w:cs="Arial"/>
        </w:rPr>
        <w:t>Student: Catalin Alexandru Artenie</w:t>
      </w:r>
    </w:p>
    <w:p w14:paraId="27EE10FF" w14:textId="5109E89F" w:rsidR="0034331B" w:rsidRPr="00D34FA1" w:rsidRDefault="00D34FA1" w:rsidP="00D34FA1">
      <w:pPr>
        <w:spacing w:line="360" w:lineRule="auto"/>
        <w:rPr>
          <w:rFonts w:ascii="Arial" w:hAnsi="Arial" w:cs="Arial"/>
        </w:rPr>
      </w:pPr>
      <w:r w:rsidRPr="00D34FA1">
        <w:rPr>
          <w:rFonts w:ascii="Arial" w:hAnsi="Arial" w:cs="Arial"/>
        </w:rPr>
        <w:t>2240460</w:t>
      </w:r>
      <w:r w:rsidRPr="00D34FA1">
        <w:rPr>
          <w:rFonts w:ascii="Arial" w:hAnsi="Arial" w:cs="Arial"/>
        </w:rPr>
        <w:t xml:space="preserve"> </w:t>
      </w:r>
      <w:bookmarkEnd w:id="0"/>
    </w:p>
    <w:p w14:paraId="756721C2" w14:textId="1086F7A1" w:rsidR="00D34FA1" w:rsidRPr="00D34FA1" w:rsidRDefault="00D34FA1">
      <w:pPr>
        <w:rPr>
          <w:rFonts w:ascii="Arial" w:hAnsi="Arial" w:cs="Arial"/>
          <w:b/>
          <w:bCs/>
        </w:rPr>
      </w:pPr>
      <w:r w:rsidRPr="00D34FA1">
        <w:rPr>
          <w:rFonts w:ascii="Arial" w:hAnsi="Arial" w:cs="Arial"/>
          <w:b/>
          <w:bCs/>
        </w:rPr>
        <w:br w:type="page"/>
      </w:r>
    </w:p>
    <w:p w14:paraId="5BFF1B60" w14:textId="3C9510E7" w:rsidR="00D34FA1" w:rsidRPr="00D34FA1" w:rsidRDefault="00D34FA1" w:rsidP="00B532A8">
      <w:pPr>
        <w:spacing w:line="360" w:lineRule="auto"/>
        <w:rPr>
          <w:rFonts w:ascii="Arial" w:hAnsi="Arial" w:cs="Arial"/>
        </w:rPr>
      </w:pPr>
      <w:r w:rsidRPr="00D34FA1">
        <w:rPr>
          <w:rFonts w:ascii="Arial" w:hAnsi="Arial" w:cs="Arial"/>
        </w:rPr>
        <w:lastRenderedPageBreak/>
        <w:t>Table of Contents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D34FA1">
        <w:rPr>
          <w:rFonts w:ascii="Arial" w:hAnsi="Arial" w:cs="Arial"/>
        </w:rPr>
        <w:tab/>
      </w:r>
      <w:r>
        <w:rPr>
          <w:rFonts w:ascii="Arial" w:hAnsi="Arial" w:cs="Arial"/>
        </w:rPr>
        <w:t>2</w:t>
      </w:r>
    </w:p>
    <w:p w14:paraId="64CA2497" w14:textId="39784A44" w:rsidR="00D34FA1" w:rsidRPr="00D34FA1" w:rsidRDefault="00D34FA1" w:rsidP="00B532A8">
      <w:pPr>
        <w:spacing w:line="360" w:lineRule="auto"/>
        <w:rPr>
          <w:rFonts w:ascii="Arial" w:hAnsi="Arial" w:cs="Arial"/>
        </w:rPr>
      </w:pPr>
      <w:r w:rsidRPr="00D34FA1">
        <w:rPr>
          <w:rFonts w:ascii="Arial" w:hAnsi="Arial" w:cs="Arial"/>
        </w:rPr>
        <w:t>1. 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39EA9238" w14:textId="26ED5B7B" w:rsidR="00D34FA1" w:rsidRPr="00D34FA1" w:rsidRDefault="00D34FA1" w:rsidP="00B532A8">
      <w:pPr>
        <w:spacing w:line="360" w:lineRule="auto"/>
        <w:rPr>
          <w:rFonts w:ascii="Arial" w:hAnsi="Arial" w:cs="Arial"/>
        </w:rPr>
      </w:pPr>
      <w:r w:rsidRPr="00D34FA1">
        <w:rPr>
          <w:rFonts w:ascii="Arial" w:hAnsi="Arial" w:cs="Arial"/>
        </w:rPr>
        <w:t>2. Theoretical Framework</w:t>
      </w:r>
      <w:r w:rsidRPr="00D34FA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76F82E41" w14:textId="16E8D009" w:rsidR="00D34FA1" w:rsidRPr="00D34FA1" w:rsidRDefault="00D34FA1" w:rsidP="00B532A8">
      <w:pPr>
        <w:spacing w:line="360" w:lineRule="auto"/>
        <w:rPr>
          <w:rFonts w:ascii="Arial" w:hAnsi="Arial" w:cs="Arial"/>
        </w:rPr>
      </w:pPr>
      <w:r w:rsidRPr="00D34FA1">
        <w:rPr>
          <w:rFonts w:ascii="Arial" w:hAnsi="Arial" w:cs="Arial"/>
        </w:rPr>
        <w:t>2.1 Hofstede's Cultural Dimensions</w:t>
      </w:r>
      <w:r w:rsidRPr="00D34FA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2A13717F" w14:textId="4ABB5466" w:rsidR="00D34FA1" w:rsidRPr="00D34FA1" w:rsidRDefault="00D34FA1" w:rsidP="00B532A8">
      <w:pPr>
        <w:spacing w:line="360" w:lineRule="auto"/>
        <w:rPr>
          <w:rFonts w:ascii="Arial" w:hAnsi="Arial" w:cs="Arial"/>
        </w:rPr>
      </w:pPr>
      <w:r w:rsidRPr="00D34FA1">
        <w:rPr>
          <w:rFonts w:ascii="Arial" w:hAnsi="Arial" w:cs="Arial"/>
        </w:rPr>
        <w:t>2.2 Hall and Hall's High-Context/Low-Context Communication</w:t>
      </w:r>
      <w:r w:rsidRPr="00D34FA1">
        <w:rPr>
          <w:rFonts w:ascii="Arial" w:hAnsi="Arial" w:cs="Arial"/>
        </w:rPr>
        <w:tab/>
      </w:r>
      <w:r>
        <w:rPr>
          <w:rFonts w:ascii="Arial" w:hAnsi="Arial" w:cs="Arial"/>
        </w:rPr>
        <w:tab/>
      </w:r>
      <w:r>
        <w:rPr>
          <w:rFonts w:ascii="Arial" w:hAnsi="Arial" w:cs="Arial"/>
        </w:rPr>
        <w:tab/>
        <w:t>4</w:t>
      </w:r>
    </w:p>
    <w:p w14:paraId="46F5CE9B" w14:textId="519480A0" w:rsidR="00D34FA1" w:rsidRPr="00D34FA1" w:rsidRDefault="00D34FA1" w:rsidP="00B532A8">
      <w:pPr>
        <w:spacing w:line="360" w:lineRule="auto"/>
        <w:rPr>
          <w:rFonts w:ascii="Arial" w:hAnsi="Arial" w:cs="Arial"/>
        </w:rPr>
      </w:pPr>
      <w:r w:rsidRPr="00D34FA1">
        <w:rPr>
          <w:rFonts w:ascii="Arial" w:hAnsi="Arial" w:cs="Arial"/>
        </w:rPr>
        <w:t>2.3 GLOBE and Trompenaars and Hampden-Turner</w:t>
      </w:r>
      <w:r w:rsidRPr="00D34FA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5F03F65C" w14:textId="1A5AD8C0" w:rsidR="00D34FA1" w:rsidRPr="00D34FA1" w:rsidRDefault="00D34FA1" w:rsidP="00B532A8">
      <w:pPr>
        <w:spacing w:line="360" w:lineRule="auto"/>
        <w:rPr>
          <w:rFonts w:ascii="Arial" w:hAnsi="Arial" w:cs="Arial"/>
        </w:rPr>
      </w:pPr>
      <w:r w:rsidRPr="00D34FA1">
        <w:rPr>
          <w:rFonts w:ascii="Arial" w:hAnsi="Arial" w:cs="Arial"/>
        </w:rPr>
        <w:t>2.4 A Critical Perspective: McSweeney (2002)</w:t>
      </w:r>
      <w:r w:rsidRPr="00D34FA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360F1066" w14:textId="106B9BC2" w:rsidR="00D34FA1" w:rsidRPr="00D34FA1" w:rsidRDefault="00D34FA1" w:rsidP="00B532A8">
      <w:pPr>
        <w:spacing w:line="360" w:lineRule="auto"/>
        <w:rPr>
          <w:rFonts w:ascii="Arial" w:hAnsi="Arial" w:cs="Arial"/>
        </w:rPr>
      </w:pPr>
      <w:r w:rsidRPr="00D34FA1">
        <w:rPr>
          <w:rFonts w:ascii="Arial" w:hAnsi="Arial" w:cs="Arial"/>
        </w:rPr>
        <w:t>3. Communication Style Differences Between the UK and Japanese Teams</w:t>
      </w:r>
      <w:r w:rsidRPr="00D34FA1">
        <w:rPr>
          <w:rFonts w:ascii="Arial" w:hAnsi="Arial" w:cs="Arial"/>
        </w:rPr>
        <w:tab/>
      </w:r>
      <w:r>
        <w:rPr>
          <w:rFonts w:ascii="Arial" w:hAnsi="Arial" w:cs="Arial"/>
        </w:rPr>
        <w:t>6</w:t>
      </w:r>
    </w:p>
    <w:p w14:paraId="7AF4DEE2" w14:textId="6227F016" w:rsidR="00D34FA1" w:rsidRPr="00D34FA1" w:rsidRDefault="00D34FA1" w:rsidP="00B532A8">
      <w:pPr>
        <w:spacing w:line="360" w:lineRule="auto"/>
        <w:rPr>
          <w:rFonts w:ascii="Arial" w:hAnsi="Arial" w:cs="Arial"/>
        </w:rPr>
      </w:pPr>
      <w:r w:rsidRPr="00D34FA1">
        <w:rPr>
          <w:rFonts w:ascii="Arial" w:hAnsi="Arial" w:cs="Arial"/>
        </w:rPr>
        <w:t>4. Implications for the Smith &amp; Nephew–Terumo Collaboration</w:t>
      </w:r>
      <w:r w:rsidRPr="00D34FA1">
        <w:rPr>
          <w:rFonts w:ascii="Arial" w:hAnsi="Arial" w:cs="Arial"/>
        </w:rPr>
        <w:tab/>
      </w:r>
      <w:r>
        <w:rPr>
          <w:rFonts w:ascii="Arial" w:hAnsi="Arial" w:cs="Arial"/>
        </w:rPr>
        <w:tab/>
      </w:r>
      <w:r>
        <w:rPr>
          <w:rFonts w:ascii="Arial" w:hAnsi="Arial" w:cs="Arial"/>
        </w:rPr>
        <w:tab/>
        <w:t>7</w:t>
      </w:r>
    </w:p>
    <w:p w14:paraId="1F178F65" w14:textId="628FD8B2" w:rsidR="00D34FA1" w:rsidRPr="00D34FA1" w:rsidRDefault="00D34FA1" w:rsidP="00B532A8">
      <w:pPr>
        <w:spacing w:line="360" w:lineRule="auto"/>
        <w:rPr>
          <w:rFonts w:ascii="Arial" w:hAnsi="Arial" w:cs="Arial"/>
        </w:rPr>
      </w:pPr>
      <w:r w:rsidRPr="00D34FA1">
        <w:rPr>
          <w:rFonts w:ascii="Arial" w:hAnsi="Arial" w:cs="Arial"/>
        </w:rPr>
        <w:t>5. Managing the Communication Differences</w:t>
      </w:r>
      <w:r w:rsidRPr="00D34FA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65E4E2F1" w14:textId="15049E50" w:rsidR="00D34FA1" w:rsidRPr="00D34FA1" w:rsidRDefault="00D34FA1" w:rsidP="00B532A8">
      <w:pPr>
        <w:spacing w:line="360" w:lineRule="auto"/>
        <w:rPr>
          <w:rFonts w:ascii="Arial" w:hAnsi="Arial" w:cs="Arial"/>
        </w:rPr>
      </w:pPr>
      <w:r w:rsidRPr="00D34FA1">
        <w:rPr>
          <w:rFonts w:ascii="Arial" w:hAnsi="Arial" w:cs="Arial"/>
        </w:rPr>
        <w:t>6. Conclusion</w:t>
      </w:r>
      <w:r w:rsidRPr="00D34FA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9</w:t>
      </w:r>
    </w:p>
    <w:p w14:paraId="18E31BCF" w14:textId="466A5030" w:rsidR="00D34FA1" w:rsidRPr="00D34FA1" w:rsidRDefault="00D34FA1" w:rsidP="00B532A8">
      <w:pPr>
        <w:spacing w:line="360" w:lineRule="auto"/>
        <w:rPr>
          <w:rFonts w:ascii="Arial" w:hAnsi="Arial" w:cs="Arial"/>
        </w:rPr>
      </w:pPr>
      <w:r w:rsidRPr="00D34FA1">
        <w:rPr>
          <w:rFonts w:ascii="Arial" w:hAnsi="Arial" w:cs="Arial"/>
        </w:rPr>
        <w:t>Reference List</w:t>
      </w:r>
      <w:r w:rsidRPr="00D34FA1">
        <w:rPr>
          <w:rFonts w:ascii="Arial" w:hAnsi="Arial" w:cs="Arial"/>
        </w:rPr>
        <w:tab/>
      </w:r>
    </w:p>
    <w:p w14:paraId="6909CD2C" w14:textId="5BAE8906" w:rsidR="0034331B" w:rsidRPr="00D34FA1" w:rsidRDefault="0034331B">
      <w:pPr>
        <w:rPr>
          <w:rFonts w:ascii="Arial" w:hAnsi="Arial" w:cs="Arial"/>
        </w:rPr>
      </w:pPr>
    </w:p>
    <w:p w14:paraId="31F88AB0" w14:textId="77777777" w:rsidR="00D34FA1" w:rsidRDefault="00D34FA1">
      <w:pPr>
        <w:rPr>
          <w:rFonts w:ascii="Arial" w:hAnsi="Arial" w:cs="Arial"/>
          <w:b/>
          <w:bCs/>
        </w:rPr>
      </w:pPr>
      <w:bookmarkStart w:id="1" w:name="_Toc234691474"/>
      <w:r>
        <w:rPr>
          <w:rFonts w:ascii="Arial" w:hAnsi="Arial" w:cs="Arial"/>
          <w:b/>
          <w:bCs/>
        </w:rPr>
        <w:br w:type="page"/>
      </w:r>
    </w:p>
    <w:p w14:paraId="381107F9" w14:textId="1D2866B2" w:rsidR="0034331B" w:rsidRPr="00D34FA1" w:rsidRDefault="00000000">
      <w:pPr>
        <w:pStyle w:val="Heading1"/>
        <w:spacing w:before="400" w:after="200"/>
        <w:rPr>
          <w:rFonts w:ascii="Arial" w:hAnsi="Arial" w:cs="Arial"/>
          <w:color w:val="auto"/>
          <w:sz w:val="24"/>
          <w:szCs w:val="24"/>
        </w:rPr>
      </w:pPr>
      <w:r w:rsidRPr="00D34FA1">
        <w:rPr>
          <w:rFonts w:ascii="Arial" w:hAnsi="Arial" w:cs="Arial"/>
          <w:b/>
          <w:bCs/>
          <w:color w:val="auto"/>
          <w:sz w:val="24"/>
          <w:szCs w:val="24"/>
        </w:rPr>
        <w:t>1. Introduction</w:t>
      </w:r>
      <w:bookmarkEnd w:id="1"/>
    </w:p>
    <w:p w14:paraId="006BA005"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Smith &amp; Nephew plc is a British multinational medical technology company, founded in Hull in 1856 and now headquartered in Watford, England, with products sold in over 100 countries (Smith &amp; Nephew, 2026). This essay considers a joint product-development partnership between Smith &amp; Nephew and Terumo Corporation, a medical technology company headquartered in Tokyo since 1921, employing over 30,000 people across more than 160 countries (Terumo Corporation, 2026). Pairing a UK-headquartered and a Japan-headquartered medical device business provides a realistic context in which to examine cross-cultural communication, since both organisations share an engineering-driven industry but have grown out of markedly different national business cultures.</w:t>
      </w:r>
    </w:p>
    <w:p w14:paraId="3BE69B03"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As Country Director leading a jointly staffed UK–Japan project team, one of the most significant operational risks is not technical but communicative: differences in how UK and Japanese </w:t>
      </w:r>
      <w:proofErr w:type="gramStart"/>
      <w:r w:rsidRPr="00D34FA1">
        <w:rPr>
          <w:rFonts w:ascii="Arial" w:hAnsi="Arial" w:cs="Arial"/>
        </w:rPr>
        <w:t>colleagues</w:t>
      </w:r>
      <w:proofErr w:type="gramEnd"/>
      <w:r w:rsidRPr="00D34FA1">
        <w:rPr>
          <w:rFonts w:ascii="Arial" w:hAnsi="Arial" w:cs="Arial"/>
        </w:rPr>
        <w:t xml:space="preserve"> express opinions, disagree, make decisions and build trust. Left unmanaged, such differences can slow product-development milestones, damage trust between partners, and be mistaken for a lack of commitment on either side. This essay evaluates these differences using Hofstede's cultural dimensions, Hall and Hall's high-context/low-context framework, Trompenaars and Hampden-Turner's seven dimensions, and the GLOBE study, while applying McSweeney's (2002) critique of Hofstede to guard against treating any single model as definitive. Three diagrams are used throughout to summarise the theoretical comparisons and the practical decision-making process most likely to affect the joint team.</w:t>
      </w:r>
    </w:p>
    <w:p w14:paraId="18D5889A" w14:textId="77777777" w:rsidR="0034331B" w:rsidRPr="00D34FA1" w:rsidRDefault="00000000">
      <w:pPr>
        <w:pStyle w:val="Heading1"/>
        <w:spacing w:before="400" w:after="200"/>
        <w:rPr>
          <w:rFonts w:ascii="Arial" w:hAnsi="Arial" w:cs="Arial"/>
          <w:color w:val="auto"/>
          <w:sz w:val="24"/>
          <w:szCs w:val="24"/>
        </w:rPr>
      </w:pPr>
      <w:bookmarkStart w:id="2" w:name="_Toc234691475"/>
      <w:r w:rsidRPr="00D34FA1">
        <w:rPr>
          <w:rFonts w:ascii="Arial" w:hAnsi="Arial" w:cs="Arial"/>
          <w:b/>
          <w:bCs/>
          <w:color w:val="auto"/>
          <w:sz w:val="24"/>
          <w:szCs w:val="24"/>
        </w:rPr>
        <w:t>2. Theoretical Framework</w:t>
      </w:r>
      <w:bookmarkEnd w:id="2"/>
    </w:p>
    <w:p w14:paraId="52E637F6" w14:textId="77777777" w:rsidR="0034331B" w:rsidRPr="00D34FA1" w:rsidRDefault="00000000">
      <w:pPr>
        <w:pStyle w:val="Heading2"/>
        <w:spacing w:before="300" w:after="150"/>
        <w:rPr>
          <w:rFonts w:ascii="Arial" w:hAnsi="Arial" w:cs="Arial"/>
          <w:color w:val="auto"/>
          <w:sz w:val="24"/>
          <w:szCs w:val="24"/>
        </w:rPr>
      </w:pPr>
      <w:bookmarkStart w:id="3" w:name="_Toc234691476"/>
      <w:r w:rsidRPr="00D34FA1">
        <w:rPr>
          <w:rFonts w:ascii="Arial" w:hAnsi="Arial" w:cs="Arial"/>
          <w:b/>
          <w:bCs/>
          <w:color w:val="auto"/>
          <w:sz w:val="24"/>
          <w:szCs w:val="24"/>
        </w:rPr>
        <w:t>2.1 Hofstede's Cultural Dimensions</w:t>
      </w:r>
      <w:bookmarkEnd w:id="3"/>
    </w:p>
    <w:p w14:paraId="64FDC529"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Hofstede, Hofstede and Minkov (2010) compare national cultures along value dimensions derived from a survey of IBM employees in 76 countries. As Figure 1 shows, the UK and Japan diverge sharply on Individualism (UK 89 versus Japan 46), Uncertainty Avoidance (Japan 92 versus UK 35) and Long-Term Orientation (Japan 80 versus UK 25), with a smaller gap on Power Distance (Japan 54, UK 35) and Masculinity (Japan 95, UK 66) (Hofstede, Hofstede and Minkov, 2010, pp.59, 95–96, 141, 192, 194, 240). The Individualism gap suggests UK team members are more likely to expect personal accountability and individually attributed credit for ideas, whereas Japan's more moderate score, described by the authors as a 'halfway' position between the nuclear and extended family model, points toward decisions and credit being distributed across the group rather than an individual (Hofstede, Hofstede and Minkov, 2010, pp.95–96). The authors also link uncertainty avoidance directly to communication style: in strongly uncertainty-avoiding, collectivist societies such as Japan, rules are often left implicit and rooted in tradition — high-context communication — a pattern they note is 'a bone of contention' in Western dealings with Japanese distribution systems (Hofstede, Hofstede and Minkov, 2010, pp.218–219).</w:t>
      </w:r>
    </w:p>
    <w:p w14:paraId="7681AC34" w14:textId="77777777" w:rsidR="0034331B" w:rsidRPr="00D34FA1" w:rsidRDefault="00000000">
      <w:pPr>
        <w:spacing w:before="200" w:after="80"/>
        <w:jc w:val="center"/>
        <w:rPr>
          <w:rFonts w:ascii="Arial" w:hAnsi="Arial" w:cs="Arial"/>
        </w:rPr>
      </w:pPr>
      <w:r w:rsidRPr="00D34FA1">
        <w:rPr>
          <w:rFonts w:ascii="Arial" w:hAnsi="Arial" w:cs="Arial"/>
          <w:noProof/>
        </w:rPr>
        <w:drawing>
          <wp:inline distT="0" distB="0" distL="0" distR="0" wp14:anchorId="74DA81C2" wp14:editId="7DB0E735">
            <wp:extent cx="4572000"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572000" cy="2686050"/>
                    </a:xfrm>
                    <a:prstGeom prst="rect">
                      <a:avLst/>
                    </a:prstGeom>
                  </pic:spPr>
                </pic:pic>
              </a:graphicData>
            </a:graphic>
          </wp:inline>
        </w:drawing>
      </w:r>
    </w:p>
    <w:p w14:paraId="67B83FD3" w14:textId="77777777" w:rsidR="0034331B" w:rsidRPr="00D34FA1" w:rsidRDefault="00000000">
      <w:pPr>
        <w:spacing w:after="240"/>
        <w:jc w:val="center"/>
        <w:rPr>
          <w:rFonts w:ascii="Arial" w:hAnsi="Arial" w:cs="Arial"/>
        </w:rPr>
      </w:pPr>
      <w:r w:rsidRPr="00D34FA1">
        <w:rPr>
          <w:rFonts w:ascii="Arial" w:hAnsi="Arial" w:cs="Arial"/>
          <w:i/>
          <w:iCs/>
        </w:rPr>
        <w:t>Figure 1: Hofstede's Cultural Dimension Scores — UK vs Japan (Hofstede, Hofstede and Minkov, 2010, pp.59, 95–96, 141, 192, 194, 240)</w:t>
      </w:r>
    </w:p>
    <w:p w14:paraId="22756216" w14:textId="77777777" w:rsidR="0034331B" w:rsidRPr="00D34FA1" w:rsidRDefault="00000000">
      <w:pPr>
        <w:pStyle w:val="Heading2"/>
        <w:spacing w:before="300" w:after="150"/>
        <w:rPr>
          <w:rFonts w:ascii="Arial" w:hAnsi="Arial" w:cs="Arial"/>
          <w:color w:val="auto"/>
          <w:sz w:val="24"/>
          <w:szCs w:val="24"/>
        </w:rPr>
      </w:pPr>
      <w:bookmarkStart w:id="4" w:name="_Toc234691477"/>
      <w:r w:rsidRPr="00D34FA1">
        <w:rPr>
          <w:rFonts w:ascii="Arial" w:hAnsi="Arial" w:cs="Arial"/>
          <w:b/>
          <w:bCs/>
          <w:color w:val="auto"/>
          <w:sz w:val="24"/>
          <w:szCs w:val="24"/>
        </w:rPr>
        <w:t>2.2 Hall and Hall's High-Context/Low-Context Communication</w:t>
      </w:r>
      <w:bookmarkEnd w:id="4"/>
    </w:p>
    <w:p w14:paraId="0C40B711"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Hall and Hall (1990, p.6) define high-context (HC) communication as one in which most information is already held within the person, with little made explicit, and low-context (LC) communication as the opposite, where meaning is carried in the explicit code itself. As Figure 2 illustrates, Japan sits toward the high-context end of this spectrum and the UK toward the low-context end. Hall and Hall (1990, pp.7–8) note that in Japan even the level of formality of address functions as a channel of meaning — honorific forms are used at the start of a working relationship and dropped as trust develops, so that a shift in register itself communicates approval or displeasure — and that meeting invitations are often issued at short notice because the surrounding context is already understood by those involved; in low-context settings, information instead remains 'highly focused, compartmentalized, and controlled' and does not flow freely without being made explicit (Hall and Hall, 1990, p.23). For a jointly staffed project team, this means that a UK colleague's silence in a Japanese meeting may be read very differently depending on which side of this spectrum the observer is standing on.</w:t>
      </w:r>
    </w:p>
    <w:p w14:paraId="29BBCF2F" w14:textId="77777777" w:rsidR="0034331B" w:rsidRPr="00D34FA1" w:rsidRDefault="00000000">
      <w:pPr>
        <w:spacing w:before="200" w:after="80"/>
        <w:jc w:val="center"/>
        <w:rPr>
          <w:rFonts w:ascii="Arial" w:hAnsi="Arial" w:cs="Arial"/>
        </w:rPr>
      </w:pPr>
      <w:r w:rsidRPr="00D34FA1">
        <w:rPr>
          <w:rFonts w:ascii="Arial" w:hAnsi="Arial" w:cs="Arial"/>
          <w:noProof/>
        </w:rPr>
        <w:drawing>
          <wp:inline distT="0" distB="0" distL="0" distR="0" wp14:anchorId="06A2E6A6" wp14:editId="327734AA">
            <wp:extent cx="4572000" cy="1733550"/>
            <wp:effectExtent l="0" t="0" r="0" b="0"/>
            <wp:docPr id="1604931119" name="Picture 1604931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572000" cy="1733550"/>
                    </a:xfrm>
                    <a:prstGeom prst="rect">
                      <a:avLst/>
                    </a:prstGeom>
                  </pic:spPr>
                </pic:pic>
              </a:graphicData>
            </a:graphic>
          </wp:inline>
        </w:drawing>
      </w:r>
    </w:p>
    <w:p w14:paraId="250806E8" w14:textId="77777777" w:rsidR="0034331B" w:rsidRPr="00D34FA1" w:rsidRDefault="00000000">
      <w:pPr>
        <w:spacing w:after="240"/>
        <w:jc w:val="center"/>
        <w:rPr>
          <w:rFonts w:ascii="Arial" w:hAnsi="Arial" w:cs="Arial"/>
        </w:rPr>
      </w:pPr>
      <w:r w:rsidRPr="00D34FA1">
        <w:rPr>
          <w:rFonts w:ascii="Arial" w:hAnsi="Arial" w:cs="Arial"/>
          <w:i/>
          <w:iCs/>
        </w:rPr>
        <w:t>Figure 2: The High-Context / Low-Context Spectrum (adapted from Hall and Hall, 1990, p.6; Trompenaars and Hampden-Turner, 2020, ch. 7)</w:t>
      </w:r>
    </w:p>
    <w:p w14:paraId="3FFDBB09" w14:textId="77777777" w:rsidR="0034331B" w:rsidRPr="00D34FA1" w:rsidRDefault="00000000">
      <w:pPr>
        <w:pStyle w:val="Heading2"/>
        <w:spacing w:before="300" w:after="150"/>
        <w:rPr>
          <w:rFonts w:ascii="Arial" w:hAnsi="Arial" w:cs="Arial"/>
          <w:color w:val="auto"/>
          <w:sz w:val="24"/>
          <w:szCs w:val="24"/>
        </w:rPr>
      </w:pPr>
      <w:bookmarkStart w:id="5" w:name="_Toc234691478"/>
      <w:r w:rsidRPr="00D34FA1">
        <w:rPr>
          <w:rFonts w:ascii="Arial" w:hAnsi="Arial" w:cs="Arial"/>
          <w:b/>
          <w:bCs/>
          <w:color w:val="auto"/>
          <w:sz w:val="24"/>
          <w:szCs w:val="24"/>
        </w:rPr>
        <w:t>2.3 GLOBE and Trompenaars and Hampden-Turner</w:t>
      </w:r>
      <w:bookmarkEnd w:id="5"/>
    </w:p>
    <w:p w14:paraId="03FD306D"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The GLOBE study distinguishes cultural 'practices' from cultural 'values' (House et al., 2004). On In-Group Collectivism, the Confucian Asia cluster (including Japan) records practices of 5.42 against values of 5.30, while the Anglo cluster (including England) records much lower practices of 4.30 but higher values of 5.84 (House et al., 2004, p.479) — UK teams report wanting more cohesion than they currently practise. A similar pattern appears for Institutional Collectivism, where the Anglo cluster records practices of 4.46 against values of 4.32 and Confucian Asia records practices of 4.80 against values of 4.43 (House et al., 2004, p.477), reinforcing the sense that the two cultures do not simply differ in how much group loyalty they display, but in how closely their stated preferences match their everyday behaviour.</w:t>
      </w:r>
    </w:p>
    <w:p w14:paraId="23376525"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Trompenaars and Hampden-Turner (2020) add four further relevant dimensions. On universalism versus particularism (ch. 4), they describe an </w:t>
      </w:r>
      <w:proofErr w:type="gramStart"/>
      <w:r w:rsidRPr="00D34FA1">
        <w:rPr>
          <w:rFonts w:ascii="Arial" w:hAnsi="Arial" w:cs="Arial"/>
        </w:rPr>
        <w:t>American–Japanese</w:t>
      </w:r>
      <w:proofErr w:type="gramEnd"/>
      <w:r w:rsidRPr="00D34FA1">
        <w:rPr>
          <w:rFonts w:ascii="Arial" w:hAnsi="Arial" w:cs="Arial"/>
        </w:rPr>
        <w:t xml:space="preserve"> pharmaceutical joint-venture negotiation resolved only once personal trust was established through a verbal commitment, not through the length or precision of the eleven-hundred-page contract itself. On specific versus diffuse relationships (ch. 7) — 'sometimes called low and high context' — they introduce </w:t>
      </w:r>
      <w:proofErr w:type="spellStart"/>
      <w:r w:rsidRPr="00D34FA1">
        <w:rPr>
          <w:rFonts w:ascii="Arial" w:hAnsi="Arial" w:cs="Arial"/>
        </w:rPr>
        <w:t>nemawashi</w:t>
      </w:r>
      <w:proofErr w:type="spellEnd"/>
      <w:r w:rsidRPr="00D34FA1">
        <w:rPr>
          <w:rFonts w:ascii="Arial" w:hAnsi="Arial" w:cs="Arial"/>
        </w:rPr>
        <w:t xml:space="preserve">, informal root-binding consultation that precedes formal proposals, and, in the achievement/ascription chapter (ch. 8), the related </w:t>
      </w:r>
      <w:proofErr w:type="spellStart"/>
      <w:r w:rsidRPr="00D34FA1">
        <w:rPr>
          <w:rFonts w:ascii="Arial" w:hAnsi="Arial" w:cs="Arial"/>
        </w:rPr>
        <w:t>ringi</w:t>
      </w:r>
      <w:proofErr w:type="spellEnd"/>
      <w:r w:rsidRPr="00D34FA1">
        <w:rPr>
          <w:rFonts w:ascii="Arial" w:hAnsi="Arial" w:cs="Arial"/>
        </w:rPr>
        <w:t xml:space="preserve"> system of sequential hierarchical sign-off, in which seniority strongly influences whose approval is sought first. On neutral versus affective display (ch. 6), they contrast British indirectness through ironic understatement — describing a poor presentation as merely 'underwhelming' — with Japanese indirectness through exaggerated formal deference, where a superior's excessively polite request can function as a firm rebuke.</w:t>
      </w:r>
    </w:p>
    <w:p w14:paraId="1F3001FA" w14:textId="77777777" w:rsidR="0034331B" w:rsidRPr="00D34FA1" w:rsidRDefault="00000000">
      <w:pPr>
        <w:pStyle w:val="Heading2"/>
        <w:spacing w:before="300" w:after="150"/>
        <w:rPr>
          <w:rFonts w:ascii="Arial" w:hAnsi="Arial" w:cs="Arial"/>
          <w:color w:val="auto"/>
          <w:sz w:val="24"/>
          <w:szCs w:val="24"/>
        </w:rPr>
      </w:pPr>
      <w:bookmarkStart w:id="6" w:name="_Toc234691479"/>
      <w:r w:rsidRPr="00D34FA1">
        <w:rPr>
          <w:rFonts w:ascii="Arial" w:hAnsi="Arial" w:cs="Arial"/>
          <w:b/>
          <w:bCs/>
          <w:color w:val="auto"/>
          <w:sz w:val="24"/>
          <w:szCs w:val="24"/>
        </w:rPr>
        <w:t>2.4 A Critical Perspective: McSweeney (2002)</w:t>
      </w:r>
      <w:bookmarkEnd w:id="6"/>
    </w:p>
    <w:p w14:paraId="0FC89CE1"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Hofstede's model remains the most cited framework in this field but has attracted serious criticism. McSweeney (2002) argues that Hofstede's IBM samples were often small and unrepresentative — the Pakistani survey drew on only 37 and then 70 respondents (McSweeney, 2002, p.94) — yet were treated as revealing a stable national 'central tendency' (McSweeney, 2002, pp.93, 99–100). He further contends that Hofstede's method implicitly treats respondents as 'cultural dopes' (McSweeney, 2002, p.103) and presupposes the very national uniformity it claims to discover (McSweeney, 2002, p.100), concluding that Hofstede's claims are 'excessive and unbalanced' (McSweeney, 2002, p.112). This critique does not void the UK–Japan contrasts used here, which are corroborated independently by GLOBE and Trompenaars and Hampden-Turner's separate research, but it means the scores should be read as indicative tendencies, not fixed traits every individual will display.</w:t>
      </w:r>
    </w:p>
    <w:p w14:paraId="1E371B0A" w14:textId="77777777" w:rsidR="0034331B" w:rsidRPr="00D34FA1" w:rsidRDefault="00000000">
      <w:pPr>
        <w:pStyle w:val="Heading1"/>
        <w:spacing w:before="400" w:after="200"/>
        <w:rPr>
          <w:rFonts w:ascii="Arial" w:hAnsi="Arial" w:cs="Arial"/>
          <w:color w:val="auto"/>
          <w:sz w:val="24"/>
          <w:szCs w:val="24"/>
        </w:rPr>
      </w:pPr>
      <w:bookmarkStart w:id="7" w:name="_Toc234691480"/>
      <w:r w:rsidRPr="00D34FA1">
        <w:rPr>
          <w:rFonts w:ascii="Arial" w:hAnsi="Arial" w:cs="Arial"/>
          <w:b/>
          <w:bCs/>
          <w:color w:val="auto"/>
          <w:sz w:val="24"/>
          <w:szCs w:val="24"/>
        </w:rPr>
        <w:t>3. Communication Style Differences Between the UK and Japanese Teams</w:t>
      </w:r>
      <w:bookmarkEnd w:id="7"/>
    </w:p>
    <w:p w14:paraId="4315040F"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Meyer (2014, ch. 1) places Japan at the most high-context extreme of any country she studied, while noting the UK is the most high-context nation within the Anglo-Saxon cluster — a reminder that cultural position is always relative. Japanese norms are captured in </w:t>
      </w:r>
      <w:proofErr w:type="spellStart"/>
      <w:r w:rsidRPr="00D34FA1">
        <w:rPr>
          <w:rFonts w:ascii="Arial" w:hAnsi="Arial" w:cs="Arial"/>
        </w:rPr>
        <w:t>kuuki</w:t>
      </w:r>
      <w:proofErr w:type="spellEnd"/>
      <w:r w:rsidRPr="00D34FA1">
        <w:rPr>
          <w:rFonts w:ascii="Arial" w:hAnsi="Arial" w:cs="Arial"/>
        </w:rPr>
        <w:t xml:space="preserve"> </w:t>
      </w:r>
      <w:proofErr w:type="spellStart"/>
      <w:r w:rsidRPr="00D34FA1">
        <w:rPr>
          <w:rFonts w:ascii="Arial" w:hAnsi="Arial" w:cs="Arial"/>
        </w:rPr>
        <w:t>yomenai</w:t>
      </w:r>
      <w:proofErr w:type="spellEnd"/>
      <w:r w:rsidRPr="00D34FA1">
        <w:rPr>
          <w:rFonts w:ascii="Arial" w:hAnsi="Arial" w:cs="Arial"/>
        </w:rPr>
        <w:t xml:space="preserve"> ('KY'), an inability to 'read the air', used pejoratively for someone who misses unstated disagreement in a meeting (Meyer, 2014, ch. 1); a UK colleague unfamiliar with this expectation may miss signals a Japanese colleague considers </w:t>
      </w:r>
      <w:proofErr w:type="gramStart"/>
      <w:r w:rsidRPr="00D34FA1">
        <w:rPr>
          <w:rFonts w:ascii="Arial" w:hAnsi="Arial" w:cs="Arial"/>
        </w:rPr>
        <w:t>to have</w:t>
      </w:r>
      <w:proofErr w:type="gramEnd"/>
      <w:r w:rsidRPr="00D34FA1">
        <w:rPr>
          <w:rFonts w:ascii="Arial" w:hAnsi="Arial" w:cs="Arial"/>
        </w:rPr>
        <w:t xml:space="preserve"> already been communicated. UK communication, though more explicit than most Asian styles, retains ironic understatement that can itself confuse a colleague accustomed to reading indirectness through silence and formality (Trompenaars and Hampden-Turner, 2020, ch. 6).</w:t>
      </w:r>
    </w:p>
    <w:p w14:paraId="18497A7C"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The clearest illustration of how this plays out comes from Meyer's (2014, ch. 5) account of Astellas, a Japanese pharmaceutical company with UK offices. A UK-based manager travelled to Tokyo expecting to argue his case for continuing a testing programme, only to find the room already unanimously aligned against him: the decision had been reached beforehand through </w:t>
      </w:r>
      <w:proofErr w:type="spellStart"/>
      <w:r w:rsidRPr="00D34FA1">
        <w:rPr>
          <w:rFonts w:ascii="Arial" w:hAnsi="Arial" w:cs="Arial"/>
        </w:rPr>
        <w:t>nemawashi</w:t>
      </w:r>
      <w:proofErr w:type="spellEnd"/>
      <w:r w:rsidRPr="00D34FA1">
        <w:rPr>
          <w:rFonts w:ascii="Arial" w:hAnsi="Arial" w:cs="Arial"/>
        </w:rPr>
        <w:t xml:space="preserve"> and the </w:t>
      </w:r>
      <w:proofErr w:type="spellStart"/>
      <w:r w:rsidRPr="00D34FA1">
        <w:rPr>
          <w:rFonts w:ascii="Arial" w:hAnsi="Arial" w:cs="Arial"/>
        </w:rPr>
        <w:t>ringisho</w:t>
      </w:r>
      <w:proofErr w:type="spellEnd"/>
      <w:r w:rsidRPr="00D34FA1">
        <w:rPr>
          <w:rFonts w:ascii="Arial" w:hAnsi="Arial" w:cs="Arial"/>
        </w:rPr>
        <w:t>, a proposal document circulated for sequential sign-off (Meyer, 2014, ch. 5; Trompenaars and Hampden-Turner, 2020, ch. 7). As Figure 3 shows, by the time a formal meeting occurs the substantive discussion has typically already happened, and the meeting functions as ratification rather than debate — a structure with no direct UK equivalent.</w:t>
      </w:r>
    </w:p>
    <w:p w14:paraId="55ECA204" w14:textId="77777777" w:rsidR="0034331B" w:rsidRPr="00D34FA1" w:rsidRDefault="00000000">
      <w:pPr>
        <w:spacing w:before="200" w:after="80"/>
        <w:jc w:val="center"/>
        <w:rPr>
          <w:rFonts w:ascii="Arial" w:hAnsi="Arial" w:cs="Arial"/>
        </w:rPr>
      </w:pPr>
      <w:r w:rsidRPr="00D34FA1">
        <w:rPr>
          <w:rFonts w:ascii="Arial" w:hAnsi="Arial" w:cs="Arial"/>
          <w:noProof/>
        </w:rPr>
        <w:drawing>
          <wp:inline distT="0" distB="0" distL="0" distR="0" wp14:anchorId="222C26BD" wp14:editId="12D6F75B">
            <wp:extent cx="4572000" cy="2781300"/>
            <wp:effectExtent l="0" t="0" r="0" b="0"/>
            <wp:docPr id="567984929" name="Picture 567984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572000" cy="2781300"/>
                    </a:xfrm>
                    <a:prstGeom prst="rect">
                      <a:avLst/>
                    </a:prstGeom>
                  </pic:spPr>
                </pic:pic>
              </a:graphicData>
            </a:graphic>
          </wp:inline>
        </w:drawing>
      </w:r>
    </w:p>
    <w:p w14:paraId="72104B6B" w14:textId="77777777" w:rsidR="0034331B" w:rsidRPr="00D34FA1" w:rsidRDefault="00000000">
      <w:pPr>
        <w:spacing w:after="240"/>
        <w:jc w:val="center"/>
        <w:rPr>
          <w:rFonts w:ascii="Arial" w:hAnsi="Arial" w:cs="Arial"/>
        </w:rPr>
      </w:pPr>
      <w:r w:rsidRPr="00D34FA1">
        <w:rPr>
          <w:rFonts w:ascii="Arial" w:hAnsi="Arial" w:cs="Arial"/>
          <w:i/>
          <w:iCs/>
        </w:rPr>
        <w:t xml:space="preserve">Figure 3: The </w:t>
      </w:r>
      <w:proofErr w:type="spellStart"/>
      <w:r w:rsidRPr="00D34FA1">
        <w:rPr>
          <w:rFonts w:ascii="Arial" w:hAnsi="Arial" w:cs="Arial"/>
          <w:i/>
          <w:iCs/>
        </w:rPr>
        <w:t>Nemawashi</w:t>
      </w:r>
      <w:proofErr w:type="spellEnd"/>
      <w:r w:rsidRPr="00D34FA1">
        <w:rPr>
          <w:rFonts w:ascii="Arial" w:hAnsi="Arial" w:cs="Arial"/>
          <w:i/>
          <w:iCs/>
        </w:rPr>
        <w:t>–</w:t>
      </w:r>
      <w:proofErr w:type="spellStart"/>
      <w:r w:rsidRPr="00D34FA1">
        <w:rPr>
          <w:rFonts w:ascii="Arial" w:hAnsi="Arial" w:cs="Arial"/>
          <w:i/>
          <w:iCs/>
        </w:rPr>
        <w:t>Ringi</w:t>
      </w:r>
      <w:proofErr w:type="spellEnd"/>
      <w:r w:rsidRPr="00D34FA1">
        <w:rPr>
          <w:rFonts w:ascii="Arial" w:hAnsi="Arial" w:cs="Arial"/>
          <w:i/>
          <w:iCs/>
        </w:rPr>
        <w:t xml:space="preserve"> Decision-Making Process (adapted from Trompenaars and Hampden-Turner, 2020, ch. 7–8; Meyer, 2014, ch. 5)</w:t>
      </w:r>
    </w:p>
    <w:p w14:paraId="762A2B26"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Feedback follows a related pattern. British colleagues tend to control emotional expression through irony, while Japanese colleagues more often use exaggerated politeness, such that an excessively deferential request can function as a firm instruction (Trompenaars and Hampden-Turner, 2020, ch. 6). A UK manager delivering direct, low-context criticism (Meyer, 2014, ch. 2) risks appearing blunt to a Japanese colleague, while indirect Japanese criticism risks being missed entirely by a UK manager expecting an explicit verdict. This is reinforced by the Power Distance gap identified in Figure 1: a Japanese colleague working within a higher-power-distance structure (Hofstede, Hofstede and Minkov, 2010, p.59) may also be reluctant to criticise a UK manager's proposal openly regardless of context, since doing so could be read as a challenge to hierarchy rather than as constructive input. Finally, on written agreements, UK teams expect a contract to define the relationship comprehensively, whereas Japanese counterparts are more likely to treat it as an evolving expression of trust established through the relationship itself, adjusted informally as circumstances change (Trompenaars and Hampden-Turner, 2020, ch. 4).</w:t>
      </w:r>
    </w:p>
    <w:p w14:paraId="4AC64492" w14:textId="77777777" w:rsidR="0034331B" w:rsidRPr="00D34FA1" w:rsidRDefault="00000000">
      <w:pPr>
        <w:pStyle w:val="Heading1"/>
        <w:spacing w:before="400" w:after="200"/>
        <w:rPr>
          <w:rFonts w:ascii="Arial" w:hAnsi="Arial" w:cs="Arial"/>
          <w:color w:val="auto"/>
          <w:sz w:val="24"/>
          <w:szCs w:val="24"/>
        </w:rPr>
      </w:pPr>
      <w:bookmarkStart w:id="8" w:name="_Toc234691481"/>
      <w:r w:rsidRPr="00D34FA1">
        <w:rPr>
          <w:rFonts w:ascii="Arial" w:hAnsi="Arial" w:cs="Arial"/>
          <w:b/>
          <w:bCs/>
          <w:color w:val="auto"/>
          <w:sz w:val="24"/>
          <w:szCs w:val="24"/>
        </w:rPr>
        <w:t>4. Implications for the Smith &amp; Nephew–Terumo Collaboration</w:t>
      </w:r>
      <w:bookmarkEnd w:id="8"/>
    </w:p>
    <w:p w14:paraId="334160F1"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Applying these frameworks to a jointly staffed Smith &amp; Nephew–Terumo team suggests friction points that mirror the Astellas case. A UK project manager travelling to Tokyo for sign-off could find, as in that case, that the decision has already been reached through </w:t>
      </w:r>
      <w:proofErr w:type="spellStart"/>
      <w:r w:rsidRPr="00D34FA1">
        <w:rPr>
          <w:rFonts w:ascii="Arial" w:hAnsi="Arial" w:cs="Arial"/>
        </w:rPr>
        <w:t>nemawashi</w:t>
      </w:r>
      <w:proofErr w:type="spellEnd"/>
      <w:r w:rsidRPr="00D34FA1">
        <w:rPr>
          <w:rFonts w:ascii="Arial" w:hAnsi="Arial" w:cs="Arial"/>
        </w:rPr>
        <w:t xml:space="preserve"> and is being ratified rather than debated (Meyer, 2014, ch. 5). Polite, indirect responses in status meetings may be logged by UK staff as agreement, only for concerns to surface later during </w:t>
      </w:r>
      <w:proofErr w:type="spellStart"/>
      <w:r w:rsidRPr="00D34FA1">
        <w:rPr>
          <w:rFonts w:ascii="Arial" w:hAnsi="Arial" w:cs="Arial"/>
        </w:rPr>
        <w:t>ringi</w:t>
      </w:r>
      <w:proofErr w:type="spellEnd"/>
      <w:r w:rsidRPr="00D34FA1">
        <w:rPr>
          <w:rFonts w:ascii="Arial" w:hAnsi="Arial" w:cs="Arial"/>
        </w:rPr>
        <w:t xml:space="preserve"> approval, creating an appearance of late reversal when no firm commitment was ever made in the room. Given Japan's markedly higher Uncertainty Avoidance and Power Distance (Hofstede, Hofstede and Minkov, 2010, pp.59, 192, 194; see Figure 1), Terumo colleagues are likely to expect more formal preparation and documentation than a flatter UK structure typically provides, while the two sides may hold different expectations of what a signed joint-development agreement actually covers (Trompenaars and Hampden-Turner, 2020, ch. 4). The GLOBE finding that UK teams value cohesion more than they </w:t>
      </w:r>
      <w:proofErr w:type="gramStart"/>
      <w:r w:rsidRPr="00D34FA1">
        <w:rPr>
          <w:rFonts w:ascii="Arial" w:hAnsi="Arial" w:cs="Arial"/>
        </w:rPr>
        <w:t>practise</w:t>
      </w:r>
      <w:proofErr w:type="gramEnd"/>
      <w:r w:rsidRPr="00D34FA1">
        <w:rPr>
          <w:rFonts w:ascii="Arial" w:hAnsi="Arial" w:cs="Arial"/>
        </w:rPr>
        <w:t xml:space="preserve"> it day to day (House et al., 2004, p.479) also suggests that UK staff may be more receptive to Terumo's consultative approach than their individually accountable working habits would first suggest, provided the process is explained rather than simply experienced as delay.</w:t>
      </w:r>
    </w:p>
    <w:p w14:paraId="6E30D776" w14:textId="77777777" w:rsidR="0034331B" w:rsidRPr="00D34FA1" w:rsidRDefault="00000000">
      <w:pPr>
        <w:pStyle w:val="Heading1"/>
        <w:spacing w:before="400" w:after="200"/>
        <w:rPr>
          <w:rFonts w:ascii="Arial" w:hAnsi="Arial" w:cs="Arial"/>
          <w:color w:val="auto"/>
          <w:sz w:val="24"/>
          <w:szCs w:val="24"/>
        </w:rPr>
      </w:pPr>
      <w:bookmarkStart w:id="9" w:name="_Toc234691482"/>
      <w:r w:rsidRPr="00D34FA1">
        <w:rPr>
          <w:rFonts w:ascii="Arial" w:hAnsi="Arial" w:cs="Arial"/>
          <w:b/>
          <w:bCs/>
          <w:color w:val="auto"/>
          <w:sz w:val="24"/>
          <w:szCs w:val="24"/>
        </w:rPr>
        <w:t>5. Managing the Communication Differences</w:t>
      </w:r>
      <w:bookmarkEnd w:id="9"/>
    </w:p>
    <w:p w14:paraId="62C6C8DE"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Materials should be circulated well before any formal Tokyo meeting so </w:t>
      </w:r>
      <w:proofErr w:type="spellStart"/>
      <w:r w:rsidRPr="00D34FA1">
        <w:rPr>
          <w:rFonts w:ascii="Arial" w:hAnsi="Arial" w:cs="Arial"/>
        </w:rPr>
        <w:t>nemawashi</w:t>
      </w:r>
      <w:proofErr w:type="spellEnd"/>
      <w:r w:rsidRPr="00D34FA1">
        <w:rPr>
          <w:rFonts w:ascii="Arial" w:hAnsi="Arial" w:cs="Arial"/>
        </w:rPr>
        <w:t xml:space="preserve"> can occur beforehand rather than during a decision point (Meyer, 2014, ch. 5). UK staff should treat a quiet meeting with caution rather than as evidence of no </w:t>
      </w:r>
      <w:proofErr w:type="gramStart"/>
      <w:r w:rsidRPr="00D34FA1">
        <w:rPr>
          <w:rFonts w:ascii="Arial" w:hAnsi="Arial" w:cs="Arial"/>
        </w:rPr>
        <w:t>progress, and</w:t>
      </w:r>
      <w:proofErr w:type="gramEnd"/>
      <w:r w:rsidRPr="00D34FA1">
        <w:rPr>
          <w:rFonts w:ascii="Arial" w:hAnsi="Arial" w:cs="Arial"/>
        </w:rPr>
        <w:t xml:space="preserve"> avoid pressing for on-the-spot commitment, which risks appearing to disregard the consultation that legitimises Terumo's decisions. Meyer (2014, ch. 1) suggests low-context written follow-up benefits multicultural teams generally, provided its purpose is explained so high-context colleagues do not read it as distrust rather than clarity. Early investment in relationship-building — site visits, informal contact, and sustained personal engagement over the life of the partnership rather than only at contract signature — addresses the diffuse relational expectations identified by Trompenaars and Hampden-Turner (2020, ch. 4, ch. 7). Structured written minutes after each meeting, agreed jointly rather than issued unilaterally by either side, can further bridge the two cultures' differing reliance on explicit versus contextual communication. Finally, consistent with McSweeney's (2002, p.112) caution against treating national culture as monolithic, briefings on both sides should present these patterns as tendencies rather than fixed rules every colleague will follow, since individual variation within each team is likely to be considerable.</w:t>
      </w:r>
    </w:p>
    <w:p w14:paraId="7F14E85A" w14:textId="77777777" w:rsidR="0034331B" w:rsidRPr="00D34FA1" w:rsidRDefault="00000000">
      <w:pPr>
        <w:pStyle w:val="Heading1"/>
        <w:spacing w:before="400" w:after="200"/>
        <w:rPr>
          <w:rFonts w:ascii="Arial" w:hAnsi="Arial" w:cs="Arial"/>
          <w:color w:val="auto"/>
          <w:sz w:val="24"/>
          <w:szCs w:val="24"/>
        </w:rPr>
      </w:pPr>
      <w:bookmarkStart w:id="10" w:name="_Toc234691483"/>
      <w:r w:rsidRPr="00D34FA1">
        <w:rPr>
          <w:rFonts w:ascii="Arial" w:hAnsi="Arial" w:cs="Arial"/>
          <w:b/>
          <w:bCs/>
          <w:color w:val="auto"/>
          <w:sz w:val="24"/>
          <w:szCs w:val="24"/>
        </w:rPr>
        <w:t>6. Conclusion</w:t>
      </w:r>
      <w:bookmarkEnd w:id="10"/>
    </w:p>
    <w:p w14:paraId="6022C0A0" w14:textId="77777777" w:rsidR="0034331B" w:rsidRPr="00D34FA1" w:rsidRDefault="00000000" w:rsidP="00B532A8">
      <w:pPr>
        <w:spacing w:after="200" w:line="276" w:lineRule="auto"/>
        <w:ind w:firstLine="720"/>
        <w:jc w:val="both"/>
        <w:rPr>
          <w:rFonts w:ascii="Arial" w:hAnsi="Arial" w:cs="Arial"/>
        </w:rPr>
      </w:pPr>
      <w:r w:rsidRPr="00D34FA1">
        <w:rPr>
          <w:rFonts w:ascii="Arial" w:hAnsi="Arial" w:cs="Arial"/>
        </w:rPr>
        <w:t xml:space="preserve">UK–Japan communication differences reflect well-documented, if imperfectly measured, cultural contrasts. Hofstede's dimensions show the UK's individualism and low uncertainty avoidance against Japan's more collectivist, high-power-distance, strongly uncertainty-avoiding profile (Hofstede, Hofstede and Minkov, 2010); Hall and Hall's (1990, p.6) high-/low-context framework explains why explicit UK communication can read as blunt and implicit Japanese communication as evasive; GLOBE adds that UK teams may value cohesion more than everyday practice suggests (House et al., 2004, p.479); and Trompenaars and Hampden-Turner's dimensions, together with Meyer's (2014, ch. 5) Astellas case, show concretely how a UK manager's expectation of an argued, in-the-room decision can collide with a Japanese </w:t>
      </w:r>
      <w:proofErr w:type="spellStart"/>
      <w:r w:rsidRPr="00D34FA1">
        <w:rPr>
          <w:rFonts w:ascii="Arial" w:hAnsi="Arial" w:cs="Arial"/>
        </w:rPr>
        <w:t>ringi</w:t>
      </w:r>
      <w:proofErr w:type="spellEnd"/>
      <w:r w:rsidRPr="00D34FA1">
        <w:rPr>
          <w:rFonts w:ascii="Arial" w:hAnsi="Arial" w:cs="Arial"/>
        </w:rPr>
        <w:t xml:space="preserve"> process whose real work has already happened elsewhere. McSweeney's (2002, p.112) critique is a necessary corrective: these are broad tendencies drawn from imperfect samples, not laws of individual behaviour, and should inform curiosity about a given colleague's likely working style rather than function as a checklist of fixed national stereotypes. For Smith &amp; Nephew's expansion into Asia, sustainable collaboration with a partner such as Terumo therefore depends less on adopting a single 'correct' communication style than on building shared awareness of these tendencies among both teams, adapting meeting and decision-making protocols to accommodate </w:t>
      </w:r>
      <w:proofErr w:type="spellStart"/>
      <w:r w:rsidRPr="00D34FA1">
        <w:rPr>
          <w:rFonts w:ascii="Arial" w:hAnsi="Arial" w:cs="Arial"/>
        </w:rPr>
        <w:t>nemawashi</w:t>
      </w:r>
      <w:proofErr w:type="spellEnd"/>
      <w:r w:rsidRPr="00D34FA1">
        <w:rPr>
          <w:rFonts w:ascii="Arial" w:hAnsi="Arial" w:cs="Arial"/>
        </w:rPr>
        <w:t xml:space="preserve"> and </w:t>
      </w:r>
      <w:proofErr w:type="spellStart"/>
      <w:r w:rsidRPr="00D34FA1">
        <w:rPr>
          <w:rFonts w:ascii="Arial" w:hAnsi="Arial" w:cs="Arial"/>
        </w:rPr>
        <w:t>ringi</w:t>
      </w:r>
      <w:proofErr w:type="spellEnd"/>
      <w:r w:rsidRPr="00D34FA1">
        <w:rPr>
          <w:rFonts w:ascii="Arial" w:hAnsi="Arial" w:cs="Arial"/>
        </w:rPr>
        <w:t xml:space="preserve"> where relevant, and investing deliberately in the relationship-building that underpins trust within a high-context, particularist business culture.</w:t>
      </w:r>
    </w:p>
    <w:p w14:paraId="3044A4C0" w14:textId="77777777" w:rsidR="0034331B" w:rsidRPr="00D34FA1" w:rsidRDefault="00000000">
      <w:pPr>
        <w:rPr>
          <w:rFonts w:ascii="Arial" w:hAnsi="Arial" w:cs="Arial"/>
        </w:rPr>
      </w:pPr>
      <w:r w:rsidRPr="00D34FA1">
        <w:rPr>
          <w:rFonts w:ascii="Arial" w:hAnsi="Arial" w:cs="Arial"/>
        </w:rPr>
        <w:br w:type="page"/>
      </w:r>
    </w:p>
    <w:p w14:paraId="54711F6F" w14:textId="77777777" w:rsidR="0034331B" w:rsidRPr="00D34FA1" w:rsidRDefault="00000000">
      <w:pPr>
        <w:pStyle w:val="Heading1"/>
        <w:spacing w:before="400" w:after="200"/>
        <w:rPr>
          <w:rFonts w:ascii="Arial" w:hAnsi="Arial" w:cs="Arial"/>
          <w:color w:val="auto"/>
          <w:sz w:val="24"/>
          <w:szCs w:val="24"/>
        </w:rPr>
      </w:pPr>
      <w:bookmarkStart w:id="11" w:name="_Toc234691484"/>
      <w:r w:rsidRPr="00D34FA1">
        <w:rPr>
          <w:rFonts w:ascii="Arial" w:hAnsi="Arial" w:cs="Arial"/>
          <w:b/>
          <w:bCs/>
          <w:color w:val="auto"/>
          <w:sz w:val="24"/>
          <w:szCs w:val="24"/>
        </w:rPr>
        <w:t>Reference List</w:t>
      </w:r>
      <w:bookmarkEnd w:id="11"/>
    </w:p>
    <w:p w14:paraId="12CFBC52"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Hall, E.T. and Hall, M.R. (1990) </w:t>
      </w:r>
      <w:r w:rsidRPr="00B532A8">
        <w:rPr>
          <w:rFonts w:ascii="Arial" w:hAnsi="Arial" w:cs="Arial"/>
          <w:i/>
          <w:iCs/>
        </w:rPr>
        <w:t>Understanding Cultural Differences: Germans, French and Americans.</w:t>
      </w:r>
      <w:r w:rsidRPr="00D34FA1">
        <w:rPr>
          <w:rFonts w:ascii="Arial" w:hAnsi="Arial" w:cs="Arial"/>
        </w:rPr>
        <w:t xml:space="preserve"> Yarmouth, ME: Intercultural Press.</w:t>
      </w:r>
    </w:p>
    <w:p w14:paraId="467844D8"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Hofstede, G., Hofstede, G.J. and Minkov, M. (2010) </w:t>
      </w:r>
      <w:r w:rsidRPr="00B532A8">
        <w:rPr>
          <w:rFonts w:ascii="Arial" w:hAnsi="Arial" w:cs="Arial"/>
          <w:i/>
          <w:iCs/>
        </w:rPr>
        <w:t>Cultures and Organizations: Software of the Mind.</w:t>
      </w:r>
      <w:r w:rsidRPr="00D34FA1">
        <w:rPr>
          <w:rFonts w:ascii="Arial" w:hAnsi="Arial" w:cs="Arial"/>
        </w:rPr>
        <w:t xml:space="preserve"> 3rd </w:t>
      </w:r>
      <w:proofErr w:type="spellStart"/>
      <w:r w:rsidRPr="00D34FA1">
        <w:rPr>
          <w:rFonts w:ascii="Arial" w:hAnsi="Arial" w:cs="Arial"/>
        </w:rPr>
        <w:t>edn</w:t>
      </w:r>
      <w:proofErr w:type="spellEnd"/>
      <w:r w:rsidRPr="00D34FA1">
        <w:rPr>
          <w:rFonts w:ascii="Arial" w:hAnsi="Arial" w:cs="Arial"/>
        </w:rPr>
        <w:t>. New York: McGraw-Hill.</w:t>
      </w:r>
    </w:p>
    <w:p w14:paraId="0EF5EF02"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House, R.J., Hanges, P.J., Javidan, M., Dorfman, P.W. and Gupta, V. (eds) (2004) </w:t>
      </w:r>
      <w:r w:rsidRPr="00B532A8">
        <w:rPr>
          <w:rFonts w:ascii="Arial" w:hAnsi="Arial" w:cs="Arial"/>
          <w:i/>
          <w:iCs/>
        </w:rPr>
        <w:t>Culture, Leadership, and Organizations: The GLOBE Study of 62 Societies.</w:t>
      </w:r>
      <w:r w:rsidRPr="00D34FA1">
        <w:rPr>
          <w:rFonts w:ascii="Arial" w:hAnsi="Arial" w:cs="Arial"/>
        </w:rPr>
        <w:t xml:space="preserve"> Thousand Oaks, CA: Sage.</w:t>
      </w:r>
    </w:p>
    <w:p w14:paraId="0BDEDFB8"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Kerzner, H. (2017) </w:t>
      </w:r>
      <w:r w:rsidRPr="00B532A8">
        <w:rPr>
          <w:rFonts w:ascii="Arial" w:hAnsi="Arial" w:cs="Arial"/>
          <w:i/>
          <w:iCs/>
        </w:rPr>
        <w:t>Project Management: A Systems Approach to Planning, Scheduling, and Controlling.</w:t>
      </w:r>
      <w:r w:rsidRPr="00D34FA1">
        <w:rPr>
          <w:rFonts w:ascii="Arial" w:hAnsi="Arial" w:cs="Arial"/>
        </w:rPr>
        <w:t xml:space="preserve"> 12th </w:t>
      </w:r>
      <w:proofErr w:type="spellStart"/>
      <w:r w:rsidRPr="00D34FA1">
        <w:rPr>
          <w:rFonts w:ascii="Arial" w:hAnsi="Arial" w:cs="Arial"/>
        </w:rPr>
        <w:t>edn</w:t>
      </w:r>
      <w:proofErr w:type="spellEnd"/>
      <w:r w:rsidRPr="00D34FA1">
        <w:rPr>
          <w:rFonts w:ascii="Arial" w:hAnsi="Arial" w:cs="Arial"/>
        </w:rPr>
        <w:t>. Hoboken, NJ: Wiley.</w:t>
      </w:r>
    </w:p>
    <w:p w14:paraId="00394DF8"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McSweeney, B. (2002) 'Hofstede's model of national cultural differences and their consequences: a triumph of faith – a failure of analysis', </w:t>
      </w:r>
      <w:r w:rsidRPr="00B532A8">
        <w:rPr>
          <w:rFonts w:ascii="Arial" w:hAnsi="Arial" w:cs="Arial"/>
          <w:i/>
          <w:iCs/>
        </w:rPr>
        <w:t>Human Relations</w:t>
      </w:r>
      <w:r w:rsidRPr="00D34FA1">
        <w:rPr>
          <w:rFonts w:ascii="Arial" w:hAnsi="Arial" w:cs="Arial"/>
        </w:rPr>
        <w:t>, 55(1), pp.89–118.</w:t>
      </w:r>
    </w:p>
    <w:p w14:paraId="3170D872"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Meyer, E. (2014) </w:t>
      </w:r>
      <w:r w:rsidRPr="00B532A8">
        <w:rPr>
          <w:rFonts w:ascii="Arial" w:hAnsi="Arial" w:cs="Arial"/>
          <w:i/>
          <w:iCs/>
        </w:rPr>
        <w:t>The Culture Map: Breaking Through the Invisible Boundaries of Global Business.</w:t>
      </w:r>
      <w:r w:rsidRPr="00D34FA1">
        <w:rPr>
          <w:rFonts w:ascii="Arial" w:hAnsi="Arial" w:cs="Arial"/>
        </w:rPr>
        <w:t xml:space="preserve"> New York: PublicAffairs.</w:t>
      </w:r>
    </w:p>
    <w:p w14:paraId="512C4D7A"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Project Management Institute (2021) </w:t>
      </w:r>
      <w:r w:rsidRPr="00B532A8">
        <w:rPr>
          <w:rFonts w:ascii="Arial" w:hAnsi="Arial" w:cs="Arial"/>
          <w:i/>
          <w:iCs/>
        </w:rPr>
        <w:t>A Guide to the Project Management Body of Knowledge (PMBOK Guide)</w:t>
      </w:r>
      <w:r w:rsidRPr="00D34FA1">
        <w:rPr>
          <w:rFonts w:ascii="Arial" w:hAnsi="Arial" w:cs="Arial"/>
        </w:rPr>
        <w:t xml:space="preserve">. 7th </w:t>
      </w:r>
      <w:proofErr w:type="spellStart"/>
      <w:r w:rsidRPr="00D34FA1">
        <w:rPr>
          <w:rFonts w:ascii="Arial" w:hAnsi="Arial" w:cs="Arial"/>
        </w:rPr>
        <w:t>edn</w:t>
      </w:r>
      <w:proofErr w:type="spellEnd"/>
      <w:r w:rsidRPr="00D34FA1">
        <w:rPr>
          <w:rFonts w:ascii="Arial" w:hAnsi="Arial" w:cs="Arial"/>
        </w:rPr>
        <w:t>. Newtown Square, PA: Project Management Institute.</w:t>
      </w:r>
    </w:p>
    <w:p w14:paraId="2BA53529" w14:textId="75A113E4" w:rsidR="0034331B" w:rsidRPr="00D34FA1" w:rsidRDefault="00000000" w:rsidP="00B532A8">
      <w:pPr>
        <w:spacing w:after="200"/>
        <w:ind w:left="720" w:hanging="720"/>
        <w:rPr>
          <w:rFonts w:ascii="Arial" w:hAnsi="Arial" w:cs="Arial"/>
        </w:rPr>
      </w:pPr>
      <w:r w:rsidRPr="00D34FA1">
        <w:rPr>
          <w:rFonts w:ascii="Arial" w:hAnsi="Arial" w:cs="Arial"/>
        </w:rPr>
        <w:t xml:space="preserve">Smith &amp; Nephew (2026) </w:t>
      </w:r>
      <w:r w:rsidRPr="00B532A8">
        <w:rPr>
          <w:rFonts w:ascii="Arial" w:hAnsi="Arial" w:cs="Arial"/>
          <w:i/>
          <w:iCs/>
        </w:rPr>
        <w:t>Who we are</w:t>
      </w:r>
      <w:r w:rsidRPr="00D34FA1">
        <w:rPr>
          <w:rFonts w:ascii="Arial" w:hAnsi="Arial" w:cs="Arial"/>
        </w:rPr>
        <w:t xml:space="preserve">. Available at: </w:t>
      </w:r>
      <w:hyperlink r:id="rId10" w:history="1">
        <w:r w:rsidR="00B532A8" w:rsidRPr="009C793A">
          <w:rPr>
            <w:rStyle w:val="Hyperlink"/>
            <w:rFonts w:ascii="Arial" w:hAnsi="Arial" w:cs="Arial"/>
          </w:rPr>
          <w:t>https://www.smith-nephew.com/en/who-we-are</w:t>
        </w:r>
      </w:hyperlink>
      <w:r w:rsidR="00B532A8">
        <w:rPr>
          <w:rFonts w:ascii="Arial" w:hAnsi="Arial" w:cs="Arial"/>
        </w:rPr>
        <w:t xml:space="preserve"> </w:t>
      </w:r>
      <w:r w:rsidRPr="00D34FA1">
        <w:rPr>
          <w:rFonts w:ascii="Arial" w:hAnsi="Arial" w:cs="Arial"/>
        </w:rPr>
        <w:t>(Accessed: 10 July 2026).</w:t>
      </w:r>
    </w:p>
    <w:p w14:paraId="7BF538B0" w14:textId="1EEFF5FA" w:rsidR="0034331B" w:rsidRPr="00D34FA1" w:rsidRDefault="00000000" w:rsidP="00B532A8">
      <w:pPr>
        <w:spacing w:after="200"/>
        <w:rPr>
          <w:rFonts w:ascii="Arial" w:hAnsi="Arial" w:cs="Arial"/>
        </w:rPr>
      </w:pPr>
      <w:r w:rsidRPr="00D34FA1">
        <w:rPr>
          <w:rFonts w:ascii="Arial" w:hAnsi="Arial" w:cs="Arial"/>
        </w:rPr>
        <w:t xml:space="preserve">Terumo Corporation (2026) </w:t>
      </w:r>
      <w:r w:rsidRPr="00B532A8">
        <w:rPr>
          <w:rFonts w:ascii="Arial" w:hAnsi="Arial" w:cs="Arial"/>
          <w:i/>
          <w:iCs/>
        </w:rPr>
        <w:t>About Terumo</w:t>
      </w:r>
      <w:r w:rsidRPr="00D34FA1">
        <w:rPr>
          <w:rFonts w:ascii="Arial" w:hAnsi="Arial" w:cs="Arial"/>
        </w:rPr>
        <w:t xml:space="preserve">. Available at: </w:t>
      </w:r>
      <w:hyperlink r:id="rId11" w:history="1">
        <w:r w:rsidR="00B532A8" w:rsidRPr="009C793A">
          <w:rPr>
            <w:rStyle w:val="Hyperlink"/>
            <w:rFonts w:ascii="Arial" w:hAnsi="Arial" w:cs="Arial"/>
          </w:rPr>
          <w:t>https://www.terumo.com/about</w:t>
        </w:r>
      </w:hyperlink>
      <w:r w:rsidR="00B532A8">
        <w:rPr>
          <w:rFonts w:ascii="Arial" w:hAnsi="Arial" w:cs="Arial"/>
        </w:rPr>
        <w:t xml:space="preserve"> </w:t>
      </w:r>
      <w:r w:rsidRPr="00D34FA1">
        <w:rPr>
          <w:rFonts w:ascii="Arial" w:hAnsi="Arial" w:cs="Arial"/>
        </w:rPr>
        <w:t>(Accessed: 10 July 2026).</w:t>
      </w:r>
    </w:p>
    <w:p w14:paraId="098CAD21" w14:textId="77777777" w:rsidR="0034331B" w:rsidRPr="00D34FA1" w:rsidRDefault="00000000" w:rsidP="00B532A8">
      <w:pPr>
        <w:spacing w:after="200"/>
        <w:ind w:left="720" w:hanging="720"/>
        <w:rPr>
          <w:rFonts w:ascii="Arial" w:hAnsi="Arial" w:cs="Arial"/>
        </w:rPr>
      </w:pPr>
      <w:r w:rsidRPr="00D34FA1">
        <w:rPr>
          <w:rFonts w:ascii="Arial" w:hAnsi="Arial" w:cs="Arial"/>
        </w:rPr>
        <w:t xml:space="preserve">Trompenaars, F. and Hampden-Turner, C. (2020) </w:t>
      </w:r>
      <w:r w:rsidRPr="00B532A8">
        <w:rPr>
          <w:rFonts w:ascii="Arial" w:hAnsi="Arial" w:cs="Arial"/>
          <w:i/>
          <w:iCs/>
        </w:rPr>
        <w:t>Riding the Waves of Culture: Understanding Diversity in Global Business.</w:t>
      </w:r>
      <w:r w:rsidRPr="00D34FA1">
        <w:rPr>
          <w:rFonts w:ascii="Arial" w:hAnsi="Arial" w:cs="Arial"/>
        </w:rPr>
        <w:t xml:space="preserve"> 4th </w:t>
      </w:r>
      <w:proofErr w:type="spellStart"/>
      <w:r w:rsidRPr="00D34FA1">
        <w:rPr>
          <w:rFonts w:ascii="Arial" w:hAnsi="Arial" w:cs="Arial"/>
        </w:rPr>
        <w:t>edn</w:t>
      </w:r>
      <w:proofErr w:type="spellEnd"/>
      <w:r w:rsidRPr="00D34FA1">
        <w:rPr>
          <w:rFonts w:ascii="Arial" w:hAnsi="Arial" w:cs="Arial"/>
        </w:rPr>
        <w:t>. New York: McGraw-Hill.</w:t>
      </w:r>
    </w:p>
    <w:sectPr w:rsidR="0034331B" w:rsidRPr="00D34FA1">
      <w:headerReference w:type="default" r:id="rId12"/>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5847A" w14:textId="77777777" w:rsidR="004337F4" w:rsidRDefault="004337F4">
      <w:r>
        <w:separator/>
      </w:r>
    </w:p>
  </w:endnote>
  <w:endnote w:type="continuationSeparator" w:id="0">
    <w:p w14:paraId="7A34D78A" w14:textId="77777777" w:rsidR="004337F4" w:rsidRDefault="00433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0291F" w14:textId="77777777" w:rsidR="0034331B" w:rsidRDefault="00000000">
    <w:pPr>
      <w:jc w:val="center"/>
    </w:pPr>
    <w:r>
      <w:rPr>
        <w:sz w:val="20"/>
        <w:szCs w:val="20"/>
      </w:rPr>
      <w:fldChar w:fldCharType="begin"/>
    </w:r>
    <w:r>
      <w:rPr>
        <w:sz w:val="20"/>
        <w:szCs w:val="20"/>
      </w:rPr>
      <w:instrText>PAGE</w:instrText>
    </w:r>
    <w:r>
      <w:rPr>
        <w:sz w:val="20"/>
        <w:szCs w:val="20"/>
      </w:rPr>
      <w:fldChar w:fldCharType="separate"/>
    </w:r>
    <w:r w:rsidR="001B7E0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64EC7" w14:textId="77777777" w:rsidR="004337F4" w:rsidRDefault="004337F4">
      <w:r>
        <w:separator/>
      </w:r>
    </w:p>
  </w:footnote>
  <w:footnote w:type="continuationSeparator" w:id="0">
    <w:p w14:paraId="339FF0C1" w14:textId="77777777" w:rsidR="004337F4" w:rsidRDefault="00433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0D1FF" w14:textId="4D31F7F0" w:rsidR="0034331B" w:rsidRDefault="0034331B" w:rsidP="001B7E0E">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B4750F"/>
    <w:multiLevelType w:val="hybridMultilevel"/>
    <w:tmpl w:val="4718B5FE"/>
    <w:lvl w:ilvl="0" w:tplc="5B7C3C78">
      <w:start w:val="1"/>
      <w:numFmt w:val="bullet"/>
      <w:lvlText w:val="●"/>
      <w:lvlJc w:val="left"/>
      <w:pPr>
        <w:ind w:left="720" w:hanging="360"/>
      </w:pPr>
    </w:lvl>
    <w:lvl w:ilvl="1" w:tplc="21063946">
      <w:start w:val="1"/>
      <w:numFmt w:val="bullet"/>
      <w:lvlText w:val="○"/>
      <w:lvlJc w:val="left"/>
      <w:pPr>
        <w:ind w:left="1440" w:hanging="360"/>
      </w:pPr>
    </w:lvl>
    <w:lvl w:ilvl="2" w:tplc="A73AF230">
      <w:start w:val="1"/>
      <w:numFmt w:val="bullet"/>
      <w:lvlText w:val="■"/>
      <w:lvlJc w:val="left"/>
      <w:pPr>
        <w:ind w:left="2160" w:hanging="360"/>
      </w:pPr>
    </w:lvl>
    <w:lvl w:ilvl="3" w:tplc="9B9AF632">
      <w:start w:val="1"/>
      <w:numFmt w:val="bullet"/>
      <w:lvlText w:val="●"/>
      <w:lvlJc w:val="left"/>
      <w:pPr>
        <w:ind w:left="2880" w:hanging="360"/>
      </w:pPr>
    </w:lvl>
    <w:lvl w:ilvl="4" w:tplc="820680FA">
      <w:start w:val="1"/>
      <w:numFmt w:val="bullet"/>
      <w:lvlText w:val="○"/>
      <w:lvlJc w:val="left"/>
      <w:pPr>
        <w:ind w:left="3600" w:hanging="360"/>
      </w:pPr>
    </w:lvl>
    <w:lvl w:ilvl="5" w:tplc="9978F53A">
      <w:start w:val="1"/>
      <w:numFmt w:val="bullet"/>
      <w:lvlText w:val="■"/>
      <w:lvlJc w:val="left"/>
      <w:pPr>
        <w:ind w:left="4320" w:hanging="360"/>
      </w:pPr>
    </w:lvl>
    <w:lvl w:ilvl="6" w:tplc="4528A4FC">
      <w:start w:val="1"/>
      <w:numFmt w:val="bullet"/>
      <w:lvlText w:val="●"/>
      <w:lvlJc w:val="left"/>
      <w:pPr>
        <w:ind w:left="5040" w:hanging="360"/>
      </w:pPr>
    </w:lvl>
    <w:lvl w:ilvl="7" w:tplc="DDEE9F3E">
      <w:start w:val="1"/>
      <w:numFmt w:val="bullet"/>
      <w:lvlText w:val="●"/>
      <w:lvlJc w:val="left"/>
      <w:pPr>
        <w:ind w:left="5760" w:hanging="360"/>
      </w:pPr>
    </w:lvl>
    <w:lvl w:ilvl="8" w:tplc="7E2257EC">
      <w:start w:val="1"/>
      <w:numFmt w:val="bullet"/>
      <w:lvlText w:val="●"/>
      <w:lvlJc w:val="left"/>
      <w:pPr>
        <w:ind w:left="6480" w:hanging="360"/>
      </w:pPr>
    </w:lvl>
  </w:abstractNum>
  <w:num w:numId="1" w16cid:durableId="47595110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31B"/>
    <w:rsid w:val="001B7E0E"/>
    <w:rsid w:val="0034331B"/>
    <w:rsid w:val="004337F4"/>
    <w:rsid w:val="00516A42"/>
    <w:rsid w:val="00AE3350"/>
    <w:rsid w:val="00B532A8"/>
    <w:rsid w:val="00D34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F6439"/>
  <w15:docId w15:val="{F91D9D62-E00E-4DBE-8A36-03CA7C2B7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B7E0E"/>
    <w:pPr>
      <w:spacing w:after="100"/>
    </w:pPr>
  </w:style>
  <w:style w:type="paragraph" w:styleId="TOC2">
    <w:name w:val="toc 2"/>
    <w:basedOn w:val="Normal"/>
    <w:next w:val="Normal"/>
    <w:autoRedefine/>
    <w:uiPriority w:val="39"/>
    <w:unhideWhenUsed/>
    <w:rsid w:val="001B7E0E"/>
    <w:pPr>
      <w:spacing w:after="100"/>
      <w:ind w:left="240"/>
    </w:pPr>
  </w:style>
  <w:style w:type="paragraph" w:styleId="Header">
    <w:name w:val="header"/>
    <w:basedOn w:val="Normal"/>
    <w:link w:val="HeaderChar"/>
    <w:uiPriority w:val="99"/>
    <w:unhideWhenUsed/>
    <w:rsid w:val="001B7E0E"/>
    <w:pPr>
      <w:tabs>
        <w:tab w:val="center" w:pos="4513"/>
        <w:tab w:val="right" w:pos="9026"/>
      </w:tabs>
    </w:pPr>
  </w:style>
  <w:style w:type="character" w:customStyle="1" w:styleId="HeaderChar">
    <w:name w:val="Header Char"/>
    <w:basedOn w:val="DefaultParagraphFont"/>
    <w:link w:val="Header"/>
    <w:uiPriority w:val="99"/>
    <w:rsid w:val="001B7E0E"/>
  </w:style>
  <w:style w:type="paragraph" w:styleId="Footer">
    <w:name w:val="footer"/>
    <w:basedOn w:val="Normal"/>
    <w:link w:val="FooterChar"/>
    <w:uiPriority w:val="99"/>
    <w:unhideWhenUsed/>
    <w:rsid w:val="001B7E0E"/>
    <w:pPr>
      <w:tabs>
        <w:tab w:val="center" w:pos="4513"/>
        <w:tab w:val="right" w:pos="9026"/>
      </w:tabs>
    </w:pPr>
  </w:style>
  <w:style w:type="character" w:customStyle="1" w:styleId="FooterChar">
    <w:name w:val="Footer Char"/>
    <w:basedOn w:val="DefaultParagraphFont"/>
    <w:link w:val="Footer"/>
    <w:uiPriority w:val="99"/>
    <w:rsid w:val="001B7E0E"/>
  </w:style>
  <w:style w:type="character" w:styleId="UnresolvedMention">
    <w:name w:val="Unresolved Mention"/>
    <w:basedOn w:val="DefaultParagraphFont"/>
    <w:uiPriority w:val="99"/>
    <w:semiHidden/>
    <w:unhideWhenUsed/>
    <w:rsid w:val="00B532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rumo.com/abou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mith-nephew.com/en/who-we-a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2557</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Catalin Artenie (2240460)</cp:lastModifiedBy>
  <cp:revision>5</cp:revision>
  <dcterms:created xsi:type="dcterms:W3CDTF">2026-07-11T18:40:00Z</dcterms:created>
  <dcterms:modified xsi:type="dcterms:W3CDTF">2026-07-11T19:17:00Z</dcterms:modified>
</cp:coreProperties>
</file>