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bookmarkStart w:colFirst="0" w:colLast="0" w:name="_2t6omaonpjvt" w:id="0"/>
      <w:bookmarkEnd w:id="0"/>
      <w:r w:rsidDel="00000000" w:rsidR="00000000" w:rsidRPr="00000000">
        <w:rPr>
          <w:rtl w:val="0"/>
        </w:rPr>
        <w:t xml:space="preserve">Student Name: Rabina Akhtar.</w:t>
      </w:r>
    </w:p>
    <w:p w:rsidR="00000000" w:rsidDel="00000000" w:rsidP="00000000" w:rsidRDefault="00000000" w:rsidRPr="00000000" w14:paraId="00000002">
      <w:pPr>
        <w:rPr/>
      </w:pPr>
      <w:bookmarkStart w:colFirst="0" w:colLast="0" w:name="_tkui3r6h6u8b" w:id="1"/>
      <w:bookmarkEnd w:id="1"/>
      <w:r w:rsidDel="00000000" w:rsidR="00000000" w:rsidRPr="00000000">
        <w:rPr>
          <w:rtl w:val="0"/>
        </w:rPr>
        <w:t xml:space="preserve">Student Id: 2421435</w:t>
      </w:r>
    </w:p>
    <w:p w:rsidR="00000000" w:rsidDel="00000000" w:rsidP="00000000" w:rsidRDefault="00000000" w:rsidRPr="00000000" w14:paraId="00000003">
      <w:pPr>
        <w:rPr/>
      </w:pPr>
      <w:bookmarkStart w:colFirst="0" w:colLast="0" w:name="_9mlh4hk1kkvq" w:id="2"/>
      <w:bookmarkEnd w:id="2"/>
      <w:r w:rsidDel="00000000" w:rsidR="00000000" w:rsidRPr="00000000">
        <w:rPr>
          <w:rtl w:val="0"/>
        </w:rPr>
        <w:t xml:space="preserve">Lecture name: </w:t>
      </w:r>
      <w:r w:rsidDel="00000000" w:rsidR="00000000" w:rsidRPr="00000000">
        <w:rPr>
          <w:rFonts w:ascii="Arial" w:cs="Arial" w:eastAsia="Arial" w:hAnsi="Arial"/>
          <w:sz w:val="23"/>
          <w:szCs w:val="23"/>
          <w:highlight w:val="white"/>
          <w:rtl w:val="0"/>
        </w:rPr>
        <w:t xml:space="preserve">Mumtaz Goolam.</w:t>
      </w:r>
      <w:r w:rsidDel="00000000" w:rsidR="00000000" w:rsidRPr="00000000">
        <w:rPr>
          <w:rtl w:val="0"/>
        </w:rPr>
      </w:r>
    </w:p>
    <w:p w:rsidR="00000000" w:rsidDel="00000000" w:rsidP="00000000" w:rsidRDefault="00000000" w:rsidRPr="00000000" w14:paraId="00000004">
      <w:pPr>
        <w:jc w:val="center"/>
        <w:rPr>
          <w:b w:val="0"/>
          <w:bCs w:val="0"/>
          <w:i w:val="0"/>
          <w:iCs w:val="0"/>
          <w:color w:val="000000"/>
          <w:sz w:val="72"/>
          <w:szCs w:val="72"/>
          <w:vertAlign w:val="baseline"/>
        </w:rPr>
      </w:pPr>
      <w:r w:rsidDel="00000000" w:rsidR="00000000" w:rsidRPr="00000000">
        <w:rPr>
          <w:rtl w:val="0"/>
        </w:rPr>
      </w:r>
    </w:p>
    <w:p w:rsidR="00000000" w:rsidDel="00000000" w:rsidP="00000000" w:rsidRDefault="00000000" w:rsidRPr="00000000" w14:paraId="00000005">
      <w:pPr>
        <w:jc w:val="center"/>
        <w:rPr>
          <w:b w:val="0"/>
          <w:bCs w:val="0"/>
          <w:i w:val="0"/>
          <w:iCs w:val="0"/>
          <w:color w:val="000000"/>
          <w:sz w:val="56"/>
          <w:szCs w:val="56"/>
          <w:vertAlign w:val="baseline"/>
        </w:rPr>
      </w:pPr>
      <w:r w:rsidDel="00000000" w:rsidR="00000000" w:rsidRPr="00000000">
        <w:rPr>
          <w:b w:val="1"/>
          <w:bCs w:val="1"/>
          <w:i w:val="1"/>
          <w:iCs w:val="1"/>
          <w:color w:val="000000"/>
          <w:sz w:val="56"/>
          <w:szCs w:val="56"/>
          <w:vertAlign w:val="baseline"/>
          <w:rtl w:val="0"/>
        </w:rPr>
        <w:t xml:space="preserve">LCHS4003 Introduction to Health and Social Care  </w:t>
      </w:r>
      <w:r w:rsidDel="00000000" w:rsidR="00000000" w:rsidRPr="00000000">
        <w:rPr>
          <w:rtl w:val="0"/>
        </w:rPr>
      </w:r>
    </w:p>
    <w:p w:rsidR="00000000" w:rsidDel="00000000" w:rsidP="00000000" w:rsidRDefault="00000000" w:rsidRPr="00000000" w14:paraId="00000006">
      <w:pPr>
        <w:keepNext w:val="1"/>
        <w:keepLines w:val="0"/>
        <w:pageBreakBefore w:val="1"/>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14879734"/>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_61ozknolgxfe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1: Communication</w:t>
            <w:tab/>
          </w:r>
          <w:r w:rsidDel="00000000" w:rsidR="00000000" w:rsidRPr="00000000">
            <w:fldChar w:fldCharType="begin"/>
            <w:instrText xml:space="preserve"> PAGEREF _4zsd6gc9nuef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2: Administrative Skills &amp; Record-Keeping</w:t>
            <w:tab/>
          </w:r>
          <w:r w:rsidDel="00000000" w:rsidR="00000000" w:rsidRPr="00000000">
            <w:fldChar w:fldCharType="begin"/>
            <w:instrText xml:space="preserve"> PAGEREF _mblbqicm4rcc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3: Collaborative Working</w:t>
            <w:tab/>
          </w:r>
          <w:r w:rsidDel="00000000" w:rsidR="00000000" w:rsidRPr="00000000">
            <w:fldChar w:fldCharType="begin"/>
            <w:instrText xml:space="preserve"> PAGEREF _2jvpnc1eugbn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_h4lkpgqx1v03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_h0ip47gw96r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rPr>
          <w:color w:val="000000"/>
          <w:vertAlign w:val="baseline"/>
        </w:rPr>
      </w:pPr>
      <w:r w:rsidDel="00000000" w:rsidR="00000000" w:rsidRPr="00000000">
        <w:rPr>
          <w:rtl w:val="0"/>
        </w:rPr>
      </w:r>
    </w:p>
    <w:p w:rsidR="00000000" w:rsidDel="00000000" w:rsidP="00000000" w:rsidRDefault="00000000" w:rsidRPr="00000000" w14:paraId="0000000F">
      <w:pPr>
        <w:rPr>
          <w:color w:val="000000"/>
          <w:vertAlign w:val="baseline"/>
        </w:rPr>
      </w:pPr>
      <w:r w:rsidDel="00000000" w:rsidR="00000000" w:rsidRPr="00000000">
        <w:rPr>
          <w:rtl w:val="0"/>
        </w:rPr>
      </w:r>
    </w:p>
    <w:p w:rsidR="00000000" w:rsidDel="00000000" w:rsidP="00000000" w:rsidRDefault="00000000" w:rsidRPr="00000000" w14:paraId="00000010">
      <w:pPr>
        <w:rPr>
          <w:color w:val="000000"/>
          <w:vertAlign w:val="baseline"/>
        </w:rPr>
      </w:pPr>
      <w:r w:rsidDel="00000000" w:rsidR="00000000" w:rsidRPr="00000000">
        <w:rPr>
          <w:rtl w:val="0"/>
        </w:rPr>
      </w:r>
    </w:p>
    <w:p w:rsidR="00000000" w:rsidDel="00000000" w:rsidP="00000000" w:rsidRDefault="00000000" w:rsidRPr="00000000" w14:paraId="00000011">
      <w:pPr>
        <w:pStyle w:val="Heading1"/>
        <w:numPr>
          <w:ilvl w:val="0"/>
          <w:numId w:val="1"/>
        </w:numPr>
        <w:ind w:left="432" w:hanging="432"/>
        <w:rPr/>
      </w:pPr>
      <w:bookmarkStart w:colFirst="0" w:colLast="0" w:name="_61ozknolgxfe" w:id="3"/>
      <w:bookmarkEnd w:id="3"/>
      <w:r w:rsidDel="00000000" w:rsidR="00000000" w:rsidRPr="00000000">
        <w:br w:type="page"/>
      </w:r>
      <w:r w:rsidDel="00000000" w:rsidR="00000000" w:rsidRPr="00000000">
        <w:rPr>
          <w:b w:val="1"/>
          <w:bCs w:val="1"/>
          <w:vertAlign w:val="baseline"/>
          <w:rtl w:val="0"/>
        </w:rPr>
        <w:t xml:space="preserve">Introduction</w:t>
      </w:r>
      <w:r w:rsidDel="00000000" w:rsidR="00000000" w:rsidRPr="00000000">
        <w:rPr>
          <w:rtl w:val="0"/>
        </w:rPr>
      </w:r>
    </w:p>
    <w:p w:rsidR="00000000" w:rsidDel="00000000" w:rsidP="00000000" w:rsidRDefault="00000000" w:rsidRPr="00000000" w14:paraId="00000012">
      <w:pPr>
        <w:rPr>
          <w:vertAlign w:val="baseline"/>
        </w:rPr>
      </w:pPr>
      <w:r w:rsidDel="00000000" w:rsidR="00000000" w:rsidRPr="00000000">
        <w:rPr>
          <w:vertAlign w:val="baseline"/>
          <w:rtl w:val="0"/>
        </w:rPr>
        <w:t xml:space="preserve">The fact that Mr Ahmed managed this incident in line with the current sophistication of the health and social care delivery in the UK and that the individual centred approach must be present in a good legal and governance framework also shows it is true. The associations of his domiciliary dependency, multidisciplinary role and family advocacy depict the dependencies that prevail between community-based services and the risks to safety that occur whenever there is a lack of coordination. The report is critical in the analysis of the efficacy of conversation, administrative government and working together in his care pathway. In accordance with the transactional Model of communication and the Equality Act 2010, Data Protection Act 2018 and Care Act 2014, the role of legal accountability and multidisciplinary team principles are identified in the discussion in the area of safe, equitable and integrated care delivery (Lalani et al., 2024).</w:t>
      </w:r>
    </w:p>
    <w:p w:rsidR="00000000" w:rsidDel="00000000" w:rsidP="00000000" w:rsidRDefault="00000000" w:rsidRPr="00000000" w14:paraId="00000013">
      <w:pPr>
        <w:rPr>
          <w:vertAlign w:val="baseline"/>
        </w:rPr>
      </w:pPr>
      <w:bookmarkStart w:colFirst="0" w:colLast="0" w:name="_4zsd6gc9nuef" w:id="4"/>
      <w:bookmarkEnd w:id="4"/>
      <w:r w:rsidDel="00000000" w:rsidR="00000000" w:rsidRPr="00000000">
        <w:rPr>
          <w:rtl w:val="0"/>
        </w:rPr>
      </w:r>
    </w:p>
    <w:p w:rsidR="00000000" w:rsidDel="00000000" w:rsidP="00000000" w:rsidRDefault="00000000" w:rsidRPr="00000000" w14:paraId="00000014">
      <w:pPr>
        <w:pStyle w:val="Heading1"/>
        <w:numPr>
          <w:ilvl w:val="0"/>
          <w:numId w:val="1"/>
        </w:numPr>
        <w:ind w:left="432" w:hanging="432"/>
        <w:rPr/>
      </w:pPr>
      <w:r w:rsidDel="00000000" w:rsidR="00000000" w:rsidRPr="00000000">
        <w:rPr>
          <w:b w:val="1"/>
          <w:bCs w:val="1"/>
          <w:vertAlign w:val="baseline"/>
          <w:rtl w:val="0"/>
        </w:rPr>
        <w:t xml:space="preserve">SECTION 1: Communication</w:t>
      </w:r>
      <w:r w:rsidDel="00000000" w:rsidR="00000000" w:rsidRPr="00000000">
        <w:rPr>
          <w:rtl w:val="0"/>
        </w:rPr>
      </w:r>
    </w:p>
    <w:p w:rsidR="00000000" w:rsidDel="00000000" w:rsidP="00000000" w:rsidRDefault="00000000" w:rsidRPr="00000000" w14:paraId="00000015">
      <w:pPr>
        <w:rPr>
          <w:vertAlign w:val="baseline"/>
        </w:rPr>
      </w:pPr>
      <w:r w:rsidDel="00000000" w:rsidR="00000000" w:rsidRPr="00000000">
        <w:rPr>
          <w:vertAlign w:val="baseline"/>
          <w:rtl w:val="0"/>
        </w:rPr>
        <w:t xml:space="preserve">Safe, person-centred care is a process that is grounded on effective communication that takes place at different levels which not only assume the way the information will be shared but also dictate the relation reality that will be created between the care provider and the service user. The Transactional Model of Communication explains communication as a dynamic, actionable and situational act of all involved as senders and receivers and an attribution of a social, cultural and relational context- not as the isolated passage of messages. Here, noise, meaning perverted meaning and understanding are communication barriers. For the case of Mr Ahmed, the damages that occur to speech and understanding with stroke is physiological noise, absence of English proficiency and linguistic variations is semantic noise, and anxiety and frustration following the stroke is psychological noise. This kind of noise distorts a shared meaning and impedes care decision making which further encumbers the safeguarding concerns with the prognosis that vital health information, such as medication orders or symptom reporting is misinterpreted, or disregarded (O’Rourke et al., 2022).</w:t>
      </w:r>
    </w:p>
    <w:p w:rsidR="00000000" w:rsidDel="00000000" w:rsidP="00000000" w:rsidRDefault="00000000" w:rsidRPr="00000000" w14:paraId="00000016">
      <w:pPr>
        <w:ind w:firstLine="720"/>
        <w:rPr>
          <w:vertAlign w:val="baseline"/>
        </w:rPr>
      </w:pPr>
      <w:r w:rsidDel="00000000" w:rsidR="00000000" w:rsidRPr="00000000">
        <w:rPr>
          <w:vertAlign w:val="baseline"/>
          <w:rtl w:val="0"/>
        </w:rPr>
        <w:t xml:space="preserve">Person-centred care was created to expand on the work of Kitwood, and it endorses the worth of dignity, claim on personal values and needs, and requires communication that considers and addresses the entire individual, and not simply the smallest details of the body or the least significant deserts. Indeed, the insufficient discussion of person-centred communication can contribute to the loss of trust, the downfall of autonomy and the reduction of wellbeing in particular, in the situation of the individuals with the communication deficiency (Tieu and Matthews, 2023).</w:t>
      </w:r>
    </w:p>
    <w:p w:rsidR="00000000" w:rsidDel="00000000" w:rsidP="00000000" w:rsidRDefault="00000000" w:rsidRPr="00000000" w14:paraId="00000017">
      <w:pPr>
        <w:ind w:firstLine="720"/>
        <w:rPr>
          <w:vertAlign w:val="baseline"/>
        </w:rPr>
      </w:pPr>
      <w:r w:rsidDel="00000000" w:rsidR="00000000" w:rsidRPr="00000000">
        <w:rPr>
          <w:vertAlign w:val="baseline"/>
          <w:rtl w:val="0"/>
        </w:rPr>
        <w:t xml:space="preserve">Placement in law content and sale: Equality Act 2010 stipulates that, in terms of ensuring that persons with guarded characteristics, including race, indiscipline and age, are not placed at a notable drawback in accessing care, health services should make reasonable accommodations. In practice, it requires formats available, interpreter service plan and communication plans culturally sensitive, failure in which can be an indirect discrimination and health outcomes are worse due to a systematic lack of communication assistance and has been associated with worse service engagement and compromised patient safety.</w:t>
      </w:r>
    </w:p>
    <w:p w:rsidR="00000000" w:rsidDel="00000000" w:rsidP="00000000" w:rsidRDefault="00000000" w:rsidRPr="00000000" w14:paraId="00000018">
      <w:pPr>
        <w:ind w:firstLine="432"/>
        <w:rPr>
          <w:vertAlign w:val="baseline"/>
        </w:rPr>
      </w:pPr>
      <w:r w:rsidDel="00000000" w:rsidR="00000000" w:rsidRPr="00000000">
        <w:rPr>
          <w:vertAlign w:val="baseline"/>
          <w:rtl w:val="0"/>
        </w:rPr>
        <w:t xml:space="preserve">The risks of the instability of depending on the family members, such as wife of Mr Ahmed as un-official interpreters, are huge because the confidentiality might be compromised, not always all clinical terms and power dynamics will be translated that will deprive the service user of the voice. It has been proven that professional interpreters promote quality because it respects privacy and ensures equal access to care. Visual communication helps and collaboration with speech language therapists also enhances the understanding, in particular, when there are neurological or language barriers, and practice is regarded as out of a task-based interaction to the truly person-based and ethically acceptable care.</w:t>
      </w:r>
    </w:p>
    <w:p w:rsidR="00000000" w:rsidDel="00000000" w:rsidP="00000000" w:rsidRDefault="00000000" w:rsidRPr="00000000" w14:paraId="00000019">
      <w:pPr>
        <w:rPr>
          <w:vertAlign w:val="baseline"/>
        </w:rPr>
      </w:pPr>
      <w:bookmarkStart w:colFirst="0" w:colLast="0" w:name="_mblbqicm4rcc" w:id="5"/>
      <w:bookmarkEnd w:id="5"/>
      <w:r w:rsidDel="00000000" w:rsidR="00000000" w:rsidRPr="00000000">
        <w:rPr>
          <w:rtl w:val="0"/>
        </w:rPr>
      </w:r>
    </w:p>
    <w:p w:rsidR="00000000" w:rsidDel="00000000" w:rsidP="00000000" w:rsidRDefault="00000000" w:rsidRPr="00000000" w14:paraId="0000001A">
      <w:pPr>
        <w:pStyle w:val="Heading1"/>
        <w:numPr>
          <w:ilvl w:val="0"/>
          <w:numId w:val="1"/>
        </w:numPr>
        <w:ind w:left="432" w:hanging="432"/>
        <w:rPr/>
      </w:pPr>
      <w:r w:rsidDel="00000000" w:rsidR="00000000" w:rsidRPr="00000000">
        <w:rPr>
          <w:b w:val="1"/>
          <w:bCs w:val="1"/>
          <w:vertAlign w:val="baseline"/>
          <w:rtl w:val="0"/>
        </w:rPr>
        <w:t xml:space="preserve">SECTION 2: Administrative Skills &amp; Record-Keeping</w:t>
      </w:r>
      <w:r w:rsidDel="00000000" w:rsidR="00000000" w:rsidRPr="00000000">
        <w:rPr>
          <w:rtl w:val="0"/>
        </w:rPr>
      </w:r>
    </w:p>
    <w:p w:rsidR="00000000" w:rsidDel="00000000" w:rsidP="00000000" w:rsidRDefault="00000000" w:rsidRPr="00000000" w14:paraId="0000001B">
      <w:pPr>
        <w:rPr>
          <w:vertAlign w:val="baseline"/>
        </w:rPr>
      </w:pPr>
      <w:r w:rsidDel="00000000" w:rsidR="00000000" w:rsidRPr="00000000">
        <w:rPr>
          <w:vertAlign w:val="baseline"/>
          <w:rtl w:val="0"/>
        </w:rPr>
        <w:t xml:space="preserve">A proper governance and accountability framework of the UK health and social care is geared towards ensuring information is handled without contravening the law and any incidents that may have affected patient safety are documented and lessons learnt. The GDPR principles have been contained in the Data Protection Act 2018 which creates legal obligations on health and social in-care givers to process personal data transparently, fairly and lawfully; to ensure its correctness and security and to keep the storage to the minimum that is necessary to support continuance and provision of care. Failure to observe such principles could result in punishment to the organisations and a breach of patient confidentiality and trust (UK Government, 2025).</w:t>
      </w:r>
    </w:p>
    <w:p w:rsidR="00000000" w:rsidDel="00000000" w:rsidP="00000000" w:rsidRDefault="00000000" w:rsidRPr="00000000" w14:paraId="0000001C">
      <w:pPr>
        <w:ind w:firstLine="720"/>
        <w:rPr>
          <w:vertAlign w:val="baseline"/>
        </w:rPr>
      </w:pPr>
      <w:r w:rsidDel="00000000" w:rsidR="00000000" w:rsidRPr="00000000">
        <w:rPr>
          <w:vertAlign w:val="baseline"/>
          <w:rtl w:val="0"/>
        </w:rPr>
        <w:t xml:space="preserve">The duty of protection of the adults who might be at risk and an effective mechanism to identify and intervene in harm or neglect has a very good definition of the responsibility of the providers who have a definite role in the Care Act of 2014. In the Fundamental Standards of the Care Quality Commission, a provider is supposed to be good governed, effectively have quality assurance systems, sufficient qualified personnel and investigative and learning processes of incidents. The candour duty is also legal to providers, and it will involve the delivery of candour and transparency in case an incidence of a slip up on care/treatment has been breached (Care Quality Commission, 2025).</w:t>
      </w:r>
    </w:p>
    <w:p w:rsidR="00000000" w:rsidDel="00000000" w:rsidP="00000000" w:rsidRDefault="00000000" w:rsidRPr="00000000" w14:paraId="0000001D">
      <w:pPr>
        <w:ind w:firstLine="720"/>
        <w:rPr>
          <w:vertAlign w:val="baseline"/>
        </w:rPr>
      </w:pPr>
      <w:r w:rsidDel="00000000" w:rsidR="00000000" w:rsidRPr="00000000">
        <w:rPr>
          <w:vertAlign w:val="baseline"/>
          <w:rtl w:val="0"/>
        </w:rPr>
        <w:t xml:space="preserve">The failure to make a domiciliary visit by the governance in the case of Mr Ahmed would be the missed domiciliary visit and a delay giving the medication. A proper record keeping system would have triggered an alert on the visit miss as soon as it happened that would have triggered the escalation measures and conveyed real-time to the GP and other professionals. As it has been revealed, the absence of complete documentation (in the form of updated MAR charts or electronic logs) that bypasses continuity of care and minimizes potential learning opportunities and quality improvement within the organisation, evidence-based practice has been under constant risk.</w:t>
      </w:r>
    </w:p>
    <w:p w:rsidR="00000000" w:rsidDel="00000000" w:rsidP="00000000" w:rsidRDefault="00000000" w:rsidRPr="00000000" w14:paraId="0000001E">
      <w:pPr>
        <w:ind w:firstLine="720"/>
        <w:rPr>
          <w:vertAlign w:val="baseline"/>
        </w:rPr>
      </w:pPr>
      <w:r w:rsidDel="00000000" w:rsidR="00000000" w:rsidRPr="00000000">
        <w:rPr>
          <w:vertAlign w:val="baseline"/>
          <w:rtl w:val="0"/>
        </w:rPr>
        <w:t xml:space="preserve">The critical analysis of this event demands the necessity of such a look into the acting of the current protocols: Did it have an escalation plan of the missed visits? Was the issue of safeguarding considered and was the GP informed on the possibility of harm issue? A comprehensive review should have considered the duty of candour response, in an attempt to involve sincerity in response, clarification and clear communication to Mr Ahmed and his family.</w:t>
      </w:r>
    </w:p>
    <w:p w:rsidR="00000000" w:rsidDel="00000000" w:rsidP="00000000" w:rsidRDefault="00000000" w:rsidRPr="00000000" w14:paraId="0000001F">
      <w:pPr>
        <w:ind w:firstLine="432"/>
        <w:rPr>
          <w:vertAlign w:val="baseline"/>
        </w:rPr>
      </w:pPr>
      <w:r w:rsidDel="00000000" w:rsidR="00000000" w:rsidRPr="00000000">
        <w:rPr>
          <w:vertAlign w:val="baseline"/>
          <w:rtl w:val="0"/>
        </w:rPr>
        <w:t xml:space="preserve">The health and social care services should adopt electronic care monitoring with real-time notifications of unreported interventions as one of the methods of mitigating future risk and complying with the existing body of knowledge on patient safety. With these systems, accuracy, accountability, and transparency are possible and therefore serve as a way of improving the overall governance structure, and provide better results to the vulnerable patients (Care Quality Commission, 2022).</w:t>
      </w:r>
    </w:p>
    <w:p w:rsidR="00000000" w:rsidDel="00000000" w:rsidP="00000000" w:rsidRDefault="00000000" w:rsidRPr="00000000" w14:paraId="00000020">
      <w:pPr>
        <w:rPr>
          <w:vertAlign w:val="baseline"/>
        </w:rPr>
      </w:pPr>
      <w:bookmarkStart w:colFirst="0" w:colLast="0" w:name="_2jvpnc1eugbn" w:id="6"/>
      <w:bookmarkEnd w:id="6"/>
      <w:r w:rsidDel="00000000" w:rsidR="00000000" w:rsidRPr="00000000">
        <w:rPr>
          <w:rtl w:val="0"/>
        </w:rPr>
      </w:r>
    </w:p>
    <w:p w:rsidR="00000000" w:rsidDel="00000000" w:rsidP="00000000" w:rsidRDefault="00000000" w:rsidRPr="00000000" w14:paraId="00000021">
      <w:pPr>
        <w:pStyle w:val="Heading1"/>
        <w:numPr>
          <w:ilvl w:val="0"/>
          <w:numId w:val="1"/>
        </w:numPr>
        <w:ind w:left="432" w:hanging="432"/>
        <w:rPr/>
      </w:pPr>
      <w:r w:rsidDel="00000000" w:rsidR="00000000" w:rsidRPr="00000000">
        <w:rPr>
          <w:b w:val="1"/>
          <w:bCs w:val="1"/>
          <w:vertAlign w:val="baseline"/>
          <w:rtl w:val="0"/>
        </w:rPr>
        <w:t xml:space="preserve">SECTION 3: Collaborative Working</w:t>
      </w:r>
      <w:r w:rsidDel="00000000" w:rsidR="00000000" w:rsidRPr="00000000">
        <w:rPr>
          <w:rtl w:val="0"/>
        </w:rPr>
      </w:r>
    </w:p>
    <w:p w:rsidR="00000000" w:rsidDel="00000000" w:rsidP="00000000" w:rsidRDefault="00000000" w:rsidRPr="00000000" w14:paraId="00000022">
      <w:pPr>
        <w:rPr>
          <w:vertAlign w:val="baseline"/>
        </w:rPr>
      </w:pPr>
      <w:r w:rsidDel="00000000" w:rsidR="00000000" w:rsidRPr="00000000">
        <w:rPr>
          <w:vertAlign w:val="baseline"/>
          <w:rtl w:val="0"/>
        </w:rPr>
        <w:t xml:space="preserve">Collaborative working has a central place in health and social care in providing integrated, safe and person centred services. The Multidisciplinary Team (MDT) model is a combination of professionals such as primary care, community nursing, therapy services and social care in plotting and managing care in the efforts made around the needs of a person such as Mr Ahmed with the multifaceted needs whose boundary is cut across different spheres of health and social provision. MDTs also facilitate continuity of care and shared decision making because it is able to integrate different levels of expertise in order to make more clinical judgments and reduce the potential error that may arise in case of professionals operating alone (Taberna, 2020).</w:t>
      </w:r>
    </w:p>
    <w:p w:rsidR="00000000" w:rsidDel="00000000" w:rsidP="00000000" w:rsidRDefault="00000000" w:rsidRPr="00000000" w14:paraId="00000023">
      <w:pPr>
        <w:ind w:firstLine="720"/>
        <w:rPr>
          <w:vertAlign w:val="baseline"/>
        </w:rPr>
      </w:pPr>
      <w:r w:rsidDel="00000000" w:rsidR="00000000" w:rsidRPr="00000000">
        <w:rPr>
          <w:vertAlign w:val="baseline"/>
          <w:rtl w:val="0"/>
        </w:rPr>
        <w:t xml:space="preserve">Even though there are some possible benefits of effective collaboration, appropriate collaboration can be inhibited by several complex challenges. This can be limited by the existence of professional silos and fractured communication systems that can hinder the information flow among GP and district nurse, speech and language therapist (SALT) and care agency staff to result in inconsistency in care planning and repetition. Another factor in literature that fails to aid in integrated practice indicates that lack of formal training on collaborative working and role definition does not assist in integrated practice (Korylchuk et al., 2024). </w:t>
      </w:r>
    </w:p>
    <w:p w:rsidR="00000000" w:rsidDel="00000000" w:rsidP="00000000" w:rsidRDefault="00000000" w:rsidRPr="00000000" w14:paraId="00000024">
      <w:pPr>
        <w:ind w:firstLine="432"/>
        <w:rPr>
          <w:vertAlign w:val="baseline"/>
        </w:rPr>
      </w:pPr>
      <w:r w:rsidDel="00000000" w:rsidR="00000000" w:rsidRPr="00000000">
        <w:rPr>
          <w:vertAlign w:val="baseline"/>
          <w:rtl w:val="0"/>
        </w:rPr>
        <w:t xml:space="preserve">In order to address those challenges and improve the concept of integrated working, frequent reviewing meetings of MDTs having clear agendas and common goals are to be applied on the premise of the delivery of common digital patient records to ensure that each professional is informed of the latest updates to the current state of affairs. When it comes to providing clear accountability matrices, this may also assist in explaining the role being and significantly reducing the chances of vagueness in the process of coordinating the care, but the cultural competence training cannot be overlooked when it comes to establishing the proper team work within the multicultural population.</w:t>
      </w:r>
    </w:p>
    <w:p w:rsidR="00000000" w:rsidDel="00000000" w:rsidP="00000000" w:rsidRDefault="00000000" w:rsidRPr="00000000" w14:paraId="00000025">
      <w:pPr>
        <w:rPr>
          <w:vertAlign w:val="baseline"/>
        </w:rPr>
      </w:pPr>
      <w:bookmarkStart w:colFirst="0" w:colLast="0" w:name="_h4lkpgqx1v03" w:id="7"/>
      <w:bookmarkEnd w:id="7"/>
      <w:r w:rsidDel="00000000" w:rsidR="00000000" w:rsidRPr="00000000">
        <w:rPr>
          <w:rtl w:val="0"/>
        </w:rPr>
      </w:r>
    </w:p>
    <w:p w:rsidR="00000000" w:rsidDel="00000000" w:rsidP="00000000" w:rsidRDefault="00000000" w:rsidRPr="00000000" w14:paraId="00000026">
      <w:pPr>
        <w:pStyle w:val="Heading1"/>
        <w:numPr>
          <w:ilvl w:val="0"/>
          <w:numId w:val="1"/>
        </w:numPr>
        <w:ind w:left="432" w:hanging="432"/>
        <w:rPr/>
      </w:pPr>
      <w:r w:rsidDel="00000000" w:rsidR="00000000" w:rsidRPr="00000000">
        <w:rPr>
          <w:b w:val="1"/>
          <w:bCs w:val="1"/>
          <w:vertAlign w:val="baseline"/>
          <w:rtl w:val="0"/>
        </w:rPr>
        <w:t xml:space="preserve">CONCLUSION</w:t>
      </w:r>
      <w:r w:rsidDel="00000000" w:rsidR="00000000" w:rsidRPr="00000000">
        <w:rPr>
          <w:rtl w:val="0"/>
        </w:rPr>
      </w:r>
    </w:p>
    <w:p w:rsidR="00000000" w:rsidDel="00000000" w:rsidP="00000000" w:rsidRDefault="00000000" w:rsidRPr="00000000" w14:paraId="00000027">
      <w:pPr>
        <w:rPr>
          <w:vertAlign w:val="baseline"/>
        </w:rPr>
      </w:pPr>
      <w:r w:rsidDel="00000000" w:rsidR="00000000" w:rsidRPr="00000000">
        <w:rPr>
          <w:vertAlign w:val="baseline"/>
          <w:rtl w:val="0"/>
        </w:rPr>
        <w:t xml:space="preserve">When considering the case of Mr Ahmed, critically, one can tell that the effective communication, strict administrative government, and multidisciplinary practice all work towards the opposite direction in their resilience as is applicable to the safety and dignity of the vulnerable population in the community. Well-known, knowledgeable communication and compliance with legislations help in person-centred care, eradicating risk and enhancing independence. Reliable governance and documentation help create a sense of accountability and make a continuous quality improvement. Existing and well-structured collaboration between cross health and social care / disciplines is imperative in integrated care delivery and system resilience. All of these elements combined (to increase the culture of legally accomplished, ethically based and coordinated practice) emphasize the outcome, rights, and protection of dignity in complex care roadways.</w:t>
      </w:r>
    </w:p>
    <w:p w:rsidR="00000000" w:rsidDel="00000000" w:rsidP="00000000" w:rsidRDefault="00000000" w:rsidRPr="00000000" w14:paraId="00000028">
      <w:pPr>
        <w:pStyle w:val="Heading1"/>
        <w:numPr>
          <w:ilvl w:val="0"/>
          <w:numId w:val="1"/>
        </w:numPr>
        <w:ind w:left="0" w:firstLine="0"/>
        <w:rPr/>
      </w:pPr>
      <w:bookmarkStart w:colFirst="0" w:colLast="0" w:name="_h0ip47gw96r" w:id="8"/>
      <w:bookmarkEnd w:id="8"/>
      <w:r w:rsidDel="00000000" w:rsidR="00000000" w:rsidRPr="00000000">
        <w:br w:type="page"/>
      </w:r>
      <w:r w:rsidDel="00000000" w:rsidR="00000000" w:rsidRPr="00000000">
        <w:rPr>
          <w:b w:val="1"/>
          <w:bCs w:val="1"/>
          <w:vertAlign w:val="baseline"/>
          <w:rtl w:val="0"/>
        </w:rPr>
        <w:t xml:space="preserve">REFERENCES</w:t>
      </w:r>
      <w:r w:rsidDel="00000000" w:rsidR="00000000" w:rsidRPr="00000000">
        <w:rPr>
          <w:rtl w:val="0"/>
        </w:rPr>
      </w:r>
    </w:p>
    <w:p w:rsidR="00000000" w:rsidDel="00000000" w:rsidP="00000000" w:rsidRDefault="00000000" w:rsidRPr="00000000" w14:paraId="00000029">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Care Quality Commission (2022). </w:t>
      </w:r>
      <w:r w:rsidDel="00000000" w:rsidR="00000000" w:rsidRPr="00000000">
        <w:rPr>
          <w:i w:val="1"/>
          <w:iCs w:val="1"/>
          <w:color w:val="000000"/>
          <w:vertAlign w:val="baseline"/>
          <w:rtl w:val="0"/>
        </w:rPr>
        <w:t xml:space="preserve">Check the way you handle personal information meets the right standards | Care Quality Commission</w:t>
      </w:r>
      <w:r w:rsidDel="00000000" w:rsidR="00000000" w:rsidRPr="00000000">
        <w:rPr>
          <w:color w:val="000000"/>
          <w:vertAlign w:val="baseline"/>
          <w:rtl w:val="0"/>
        </w:rPr>
        <w:t xml:space="preserve">. [online] Available at: </w:t>
      </w:r>
      <w:hyperlink r:id="rId6">
        <w:r w:rsidDel="00000000" w:rsidR="00000000" w:rsidRPr="00000000">
          <w:rPr>
            <w:color w:val="000080"/>
            <w:u w:val="single"/>
            <w:vertAlign w:val="baseline"/>
            <w:rtl w:val="0"/>
          </w:rPr>
          <w:t xml:space="preserve">https://www.cqc.org.uk/guidance-providers/all-services/check-way-you-handle-personal-information-meets-right-standards-0</w:t>
        </w:r>
      </w:hyperlink>
      <w:r w:rsidDel="00000000" w:rsidR="00000000" w:rsidRPr="00000000">
        <w:rPr>
          <w:color w:val="000000"/>
          <w:vertAlign w:val="baseline"/>
          <w:rtl w:val="0"/>
        </w:rPr>
        <w:t xml:space="preserve">. </w:t>
      </w:r>
    </w:p>
    <w:p w:rsidR="00000000" w:rsidDel="00000000" w:rsidP="00000000" w:rsidRDefault="00000000" w:rsidRPr="00000000" w14:paraId="0000002A">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Care Quality Commission (2025). </w:t>
      </w:r>
      <w:r w:rsidDel="00000000" w:rsidR="00000000" w:rsidRPr="00000000">
        <w:rPr>
          <w:i w:val="1"/>
          <w:iCs w:val="1"/>
          <w:color w:val="000000"/>
          <w:vertAlign w:val="baseline"/>
          <w:rtl w:val="0"/>
        </w:rPr>
        <w:t xml:space="preserve">Regulation 20: Duty of Candour - Care Quality Commission</w:t>
      </w:r>
      <w:r w:rsidDel="00000000" w:rsidR="00000000" w:rsidRPr="00000000">
        <w:rPr>
          <w:color w:val="000000"/>
          <w:vertAlign w:val="baseline"/>
          <w:rtl w:val="0"/>
        </w:rPr>
        <w:t xml:space="preserve">. [online] Cqc.org.uk. Available at: </w:t>
      </w:r>
      <w:hyperlink r:id="rId7">
        <w:r w:rsidDel="00000000" w:rsidR="00000000" w:rsidRPr="00000000">
          <w:rPr>
            <w:color w:val="000080"/>
            <w:u w:val="single"/>
            <w:vertAlign w:val="baseline"/>
            <w:rtl w:val="0"/>
          </w:rPr>
          <w:t xml:space="preserve">https://www.cqc.org.uk/guidance-regulation/providers/regulations-service-providers-and-managers/health-social-care-act/regulation-20</w:t>
        </w:r>
      </w:hyperlink>
      <w:r w:rsidDel="00000000" w:rsidR="00000000" w:rsidRPr="00000000">
        <w:rPr>
          <w:color w:val="000000"/>
          <w:vertAlign w:val="baseline"/>
          <w:rtl w:val="0"/>
        </w:rPr>
        <w:t xml:space="preserve">. </w:t>
      </w:r>
    </w:p>
    <w:p w:rsidR="00000000" w:rsidDel="00000000" w:rsidP="00000000" w:rsidRDefault="00000000" w:rsidRPr="00000000" w14:paraId="0000002B">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Korylchuk, N., Pelykh, V., Nemyrovych, Y., Didyk, N. and Martsyniak, S. (2024). Challenges and Benefits of a Multidisciplinary Approach to Treatment in Clinical Medicine. </w:t>
      </w:r>
      <w:r w:rsidDel="00000000" w:rsidR="00000000" w:rsidRPr="00000000">
        <w:rPr>
          <w:i w:val="1"/>
          <w:iCs w:val="1"/>
          <w:color w:val="000000"/>
          <w:vertAlign w:val="baseline"/>
          <w:rtl w:val="0"/>
        </w:rPr>
        <w:t xml:space="preserve">Journal of pioneering medical sciences</w:t>
      </w:r>
      <w:r w:rsidDel="00000000" w:rsidR="00000000" w:rsidRPr="00000000">
        <w:rPr>
          <w:color w:val="000000"/>
          <w:vertAlign w:val="baseline"/>
          <w:rtl w:val="0"/>
        </w:rPr>
        <w:t xml:space="preserve">, [online] 13(3), pp.1–9. doi: </w:t>
      </w:r>
      <w:hyperlink r:id="rId8">
        <w:r w:rsidDel="00000000" w:rsidR="00000000" w:rsidRPr="00000000">
          <w:rPr>
            <w:color w:val="000080"/>
            <w:u w:val="single"/>
            <w:vertAlign w:val="baseline"/>
            <w:rtl w:val="0"/>
          </w:rPr>
          <w:t xml:space="preserve">https://doi.org/10.61091/jpms202413301</w:t>
        </w:r>
      </w:hyperlink>
      <w:r w:rsidDel="00000000" w:rsidR="00000000" w:rsidRPr="00000000">
        <w:rPr>
          <w:color w:val="000000"/>
          <w:vertAlign w:val="baseline"/>
          <w:rtl w:val="0"/>
        </w:rPr>
        <w:t xml:space="preserve">. </w:t>
      </w:r>
    </w:p>
    <w:p w:rsidR="00000000" w:rsidDel="00000000" w:rsidP="00000000" w:rsidRDefault="00000000" w:rsidRPr="00000000" w14:paraId="0000002C">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Lalani, M., Peters, M., Thavapriya Sugavanam, Crocker, H., Caiels, J., Hay, H., Gunn, S., Hogan, H., Page, B. and Fitzpatrick, R. (2024). New Ways of Working to Manage and Improve Quality in Integrated Care Systems in England. </w:t>
      </w:r>
      <w:r w:rsidDel="00000000" w:rsidR="00000000" w:rsidRPr="00000000">
        <w:rPr>
          <w:i w:val="1"/>
          <w:iCs w:val="1"/>
          <w:color w:val="000000"/>
          <w:vertAlign w:val="baseline"/>
          <w:rtl w:val="0"/>
        </w:rPr>
        <w:t xml:space="preserve">International Journal of Health Policy and Management</w:t>
      </w:r>
      <w:r w:rsidDel="00000000" w:rsidR="00000000" w:rsidRPr="00000000">
        <w:rPr>
          <w:color w:val="000000"/>
          <w:vertAlign w:val="baseline"/>
          <w:rtl w:val="0"/>
        </w:rPr>
        <w:t xml:space="preserve">, 14(1). doi: </w:t>
      </w:r>
      <w:hyperlink r:id="rId9">
        <w:r w:rsidDel="00000000" w:rsidR="00000000" w:rsidRPr="00000000">
          <w:rPr>
            <w:color w:val="000080"/>
            <w:u w:val="single"/>
            <w:vertAlign w:val="baseline"/>
            <w:rtl w:val="0"/>
          </w:rPr>
          <w:t xml:space="preserve">https://doi.org/10.34172/ijhpm.8424</w:t>
        </w:r>
      </w:hyperlink>
      <w:r w:rsidDel="00000000" w:rsidR="00000000" w:rsidRPr="00000000">
        <w:rPr>
          <w:color w:val="000000"/>
          <w:vertAlign w:val="baseline"/>
          <w:rtl w:val="0"/>
        </w:rPr>
        <w:t xml:space="preserve">. </w:t>
      </w:r>
    </w:p>
    <w:p w:rsidR="00000000" w:rsidDel="00000000" w:rsidP="00000000" w:rsidRDefault="00000000" w:rsidRPr="00000000" w14:paraId="0000002D">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O’Rourke, D.J., Lobchuk, M.M., Thompson, G.N. and Lengyel, C. (2022). Expanding the conversation: A person-centred communication enhancement model. </w:t>
      </w:r>
      <w:r w:rsidDel="00000000" w:rsidR="00000000" w:rsidRPr="00000000">
        <w:rPr>
          <w:i w:val="1"/>
          <w:iCs w:val="1"/>
          <w:color w:val="000000"/>
          <w:vertAlign w:val="baseline"/>
          <w:rtl w:val="0"/>
        </w:rPr>
        <w:t xml:space="preserve">Dementia</w:t>
      </w:r>
      <w:r w:rsidDel="00000000" w:rsidR="00000000" w:rsidRPr="00000000">
        <w:rPr>
          <w:color w:val="000000"/>
          <w:vertAlign w:val="baseline"/>
          <w:rtl w:val="0"/>
        </w:rPr>
        <w:t xml:space="preserve">, [online] 21(5), pp.1596–1617. doi: </w:t>
      </w:r>
      <w:hyperlink r:id="rId10">
        <w:r w:rsidDel="00000000" w:rsidR="00000000" w:rsidRPr="00000000">
          <w:rPr>
            <w:color w:val="000080"/>
            <w:u w:val="single"/>
            <w:vertAlign w:val="baseline"/>
            <w:rtl w:val="0"/>
          </w:rPr>
          <w:t xml:space="preserve">https://doi.org/10.1177/14713012221080252</w:t>
        </w:r>
      </w:hyperlink>
      <w:r w:rsidDel="00000000" w:rsidR="00000000" w:rsidRPr="00000000">
        <w:rPr>
          <w:color w:val="000000"/>
          <w:vertAlign w:val="baseline"/>
          <w:rtl w:val="0"/>
        </w:rPr>
        <w:t xml:space="preserve">. </w:t>
      </w:r>
    </w:p>
    <w:p w:rsidR="00000000" w:rsidDel="00000000" w:rsidP="00000000" w:rsidRDefault="00000000" w:rsidRPr="00000000" w14:paraId="0000002E">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Taberna, M. (2020). The Multidisciplinary Team (MDT) Approach and Quality of Care. </w:t>
      </w:r>
      <w:r w:rsidDel="00000000" w:rsidR="00000000" w:rsidRPr="00000000">
        <w:rPr>
          <w:i w:val="1"/>
          <w:iCs w:val="1"/>
          <w:color w:val="000000"/>
          <w:vertAlign w:val="baseline"/>
          <w:rtl w:val="0"/>
        </w:rPr>
        <w:t xml:space="preserve">Frontiers in Oncology</w:t>
      </w:r>
      <w:r w:rsidDel="00000000" w:rsidR="00000000" w:rsidRPr="00000000">
        <w:rPr>
          <w:color w:val="000000"/>
          <w:vertAlign w:val="baseline"/>
          <w:rtl w:val="0"/>
        </w:rPr>
        <w:t xml:space="preserve">, 10(85), pp.1–16. doi: </w:t>
      </w:r>
      <w:hyperlink r:id="rId11">
        <w:r w:rsidDel="00000000" w:rsidR="00000000" w:rsidRPr="00000000">
          <w:rPr>
            <w:color w:val="000080"/>
            <w:u w:val="single"/>
            <w:vertAlign w:val="baseline"/>
            <w:rtl w:val="0"/>
          </w:rPr>
          <w:t xml:space="preserve">https://doi.org/10.3389/fonc.2020.00085</w:t>
        </w:r>
      </w:hyperlink>
      <w:r w:rsidDel="00000000" w:rsidR="00000000" w:rsidRPr="00000000">
        <w:rPr>
          <w:color w:val="000000"/>
          <w:vertAlign w:val="baseline"/>
          <w:rtl w:val="0"/>
        </w:rPr>
        <w:t xml:space="preserve">. </w:t>
      </w:r>
    </w:p>
    <w:p w:rsidR="00000000" w:rsidDel="00000000" w:rsidP="00000000" w:rsidRDefault="00000000" w:rsidRPr="00000000" w14:paraId="0000002F">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Tieu, M. and Matthews, S. (2023). The Relational Care Framework: Promoting Continuity or Maintenance of Selfhood in Person-Centered Care. </w:t>
      </w:r>
      <w:r w:rsidDel="00000000" w:rsidR="00000000" w:rsidRPr="00000000">
        <w:rPr>
          <w:i w:val="1"/>
          <w:iCs w:val="1"/>
          <w:color w:val="000000"/>
          <w:vertAlign w:val="baseline"/>
          <w:rtl w:val="0"/>
        </w:rPr>
        <w:t xml:space="preserve">The Journal of Medicine and Philosophy: A Forum for Bioethics and Philosophy of Medicine</w:t>
      </w:r>
      <w:r w:rsidDel="00000000" w:rsidR="00000000" w:rsidRPr="00000000">
        <w:rPr>
          <w:color w:val="000000"/>
          <w:vertAlign w:val="baseline"/>
          <w:rtl w:val="0"/>
        </w:rPr>
        <w:t xml:space="preserve">, [online] 49(1). doi: </w:t>
      </w:r>
      <w:hyperlink r:id="rId12">
        <w:r w:rsidDel="00000000" w:rsidR="00000000" w:rsidRPr="00000000">
          <w:rPr>
            <w:color w:val="000080"/>
            <w:u w:val="single"/>
            <w:vertAlign w:val="baseline"/>
            <w:rtl w:val="0"/>
          </w:rPr>
          <w:t xml:space="preserve">https://doi.org/10.1093/jmp/jhad044</w:t>
        </w:r>
      </w:hyperlink>
      <w:r w:rsidDel="00000000" w:rsidR="00000000" w:rsidRPr="00000000">
        <w:rPr>
          <w:color w:val="000000"/>
          <w:vertAlign w:val="baseline"/>
          <w:rtl w:val="0"/>
        </w:rPr>
        <w:t xml:space="preserve">.  </w:t>
      </w:r>
    </w:p>
    <w:p w:rsidR="00000000" w:rsidDel="00000000" w:rsidP="00000000" w:rsidRDefault="00000000" w:rsidRPr="00000000" w14:paraId="00000030">
      <w:pPr>
        <w:numPr>
          <w:ilvl w:val="0"/>
          <w:numId w:val="1"/>
        </w:numPr>
        <w:spacing w:after="240" w:line="240" w:lineRule="auto"/>
        <w:ind w:left="432" w:hanging="432"/>
        <w:rPr>
          <w:color w:val="000000"/>
        </w:rPr>
      </w:pPr>
      <w:r w:rsidDel="00000000" w:rsidR="00000000" w:rsidRPr="00000000">
        <w:rPr>
          <w:color w:val="000000"/>
          <w:vertAlign w:val="baseline"/>
          <w:rtl w:val="0"/>
        </w:rPr>
        <w:t xml:space="preserve">UK Government (2025). </w:t>
      </w:r>
      <w:r w:rsidDel="00000000" w:rsidR="00000000" w:rsidRPr="00000000">
        <w:rPr>
          <w:i w:val="1"/>
          <w:iCs w:val="1"/>
          <w:color w:val="000000"/>
          <w:vertAlign w:val="baseline"/>
          <w:rtl w:val="0"/>
        </w:rPr>
        <w:t xml:space="preserve">Data Protection Act</w:t>
      </w:r>
      <w:r w:rsidDel="00000000" w:rsidR="00000000" w:rsidRPr="00000000">
        <w:rPr>
          <w:color w:val="000000"/>
          <w:vertAlign w:val="baseline"/>
          <w:rtl w:val="0"/>
        </w:rPr>
        <w:t xml:space="preserve">. [online] Gov.uk. Available at: </w:t>
      </w:r>
      <w:hyperlink r:id="rId13">
        <w:r w:rsidDel="00000000" w:rsidR="00000000" w:rsidRPr="00000000">
          <w:rPr>
            <w:color w:val="000080"/>
            <w:u w:val="single"/>
            <w:vertAlign w:val="baseline"/>
            <w:rtl w:val="0"/>
          </w:rPr>
          <w:t xml:space="preserve">https://www.gov.uk/data-protection</w:t>
        </w:r>
      </w:hyperlink>
      <w:r w:rsidDel="00000000" w:rsidR="00000000" w:rsidRPr="00000000">
        <w:rPr>
          <w:color w:val="000000"/>
          <w:vertAlign w:val="baseline"/>
          <w:rtl w:val="0"/>
        </w:rPr>
        <w:t xml:space="preserve">. </w:t>
      </w:r>
    </w:p>
    <w:p w:rsidR="00000000" w:rsidDel="00000000" w:rsidP="00000000" w:rsidRDefault="00000000" w:rsidRPr="00000000" w14:paraId="00000031">
      <w:pPr>
        <w:rPr>
          <w:vertAlign w:val="baseline"/>
        </w:rPr>
      </w:pP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113" w:line="360" w:lineRule="auto"/>
      <w:ind w:left="432" w:hanging="432"/>
      <w:jc w:val="both"/>
    </w:pPr>
    <w:rPr>
      <w:rFonts w:ascii="Times New Roman" w:cs="Times New Roman" w:eastAsia="Times New Roman" w:hAnsi="Times New Roman"/>
      <w:b w:val="1"/>
      <w:bCs w:val="1"/>
      <w:color w:val="000000"/>
      <w:sz w:val="28"/>
      <w:szCs w:val="28"/>
      <w:vertAlign w:val="baseline"/>
    </w:rPr>
  </w:style>
  <w:style w:type="paragraph" w:styleId="Heading2">
    <w:name w:val="heading 2"/>
    <w:basedOn w:val="Normal"/>
    <w:next w:val="Normal"/>
    <w:pPr>
      <w:keepNext w:val="1"/>
      <w:keepLines w:val="1"/>
      <w:spacing w:after="0" w:before="113" w:line="360" w:lineRule="auto"/>
      <w:ind w:left="576" w:hanging="576"/>
      <w:jc w:val="both"/>
    </w:pPr>
    <w:rPr>
      <w:rFonts w:ascii="Times New Roman" w:cs="Times New Roman" w:eastAsia="Times New Roman" w:hAnsi="Times New Roman"/>
      <w:color w:val="000000"/>
      <w:sz w:val="24"/>
      <w:szCs w:val="24"/>
      <w:u w:val="single"/>
      <w:vertAlign w:val="baseline"/>
    </w:rPr>
  </w:style>
  <w:style w:type="paragraph" w:styleId="Heading3">
    <w:name w:val="heading 3"/>
    <w:basedOn w:val="Normal"/>
    <w:next w:val="Normal"/>
    <w:pPr>
      <w:keepNext w:val="1"/>
      <w:spacing w:after="120" w:before="240" w:line="360" w:lineRule="auto"/>
      <w:ind w:left="720" w:hanging="720"/>
      <w:jc w:val="both"/>
    </w:pPr>
    <w:rPr>
      <w:rFonts w:ascii="Arial" w:cs="Arial" w:eastAsia="Arial" w:hAnsi="Arial"/>
      <w:b w:val="1"/>
      <w:bCs w:val="1"/>
      <w:color w:val="000000"/>
      <w:sz w:val="28"/>
      <w:szCs w:val="28"/>
      <w:vertAlign w:val="baseline"/>
    </w:rPr>
  </w:style>
  <w:style w:type="paragraph" w:styleId="Heading4">
    <w:name w:val="heading 4"/>
    <w:basedOn w:val="Normal"/>
    <w:next w:val="Normal"/>
    <w:pPr>
      <w:keepNext w:val="1"/>
      <w:spacing w:after="120" w:before="240" w:line="360" w:lineRule="auto"/>
      <w:ind w:left="864" w:hanging="864"/>
      <w:jc w:val="both"/>
    </w:pPr>
    <w:rPr>
      <w:rFonts w:ascii="Arial" w:cs="Arial" w:eastAsia="Arial" w:hAnsi="Arial"/>
      <w:b w:val="1"/>
      <w:bCs w:val="1"/>
      <w:i w:val="1"/>
      <w:iCs w:val="1"/>
      <w:color w:val="000000"/>
      <w:sz w:val="24"/>
      <w:szCs w:val="24"/>
      <w:vertAlign w:val="baseline"/>
    </w:rPr>
  </w:style>
  <w:style w:type="paragraph" w:styleId="Heading5">
    <w:name w:val="heading 5"/>
    <w:basedOn w:val="Normal"/>
    <w:next w:val="Normal"/>
    <w:pPr>
      <w:keepNext w:val="1"/>
      <w:spacing w:after="120" w:before="240" w:line="360" w:lineRule="auto"/>
      <w:ind w:left="1008" w:hanging="1008"/>
      <w:jc w:val="both"/>
    </w:pPr>
    <w:rPr>
      <w:rFonts w:ascii="Arial" w:cs="Arial" w:eastAsia="Arial" w:hAnsi="Arial"/>
      <w:b w:val="1"/>
      <w:bCs w:val="1"/>
      <w:color w:val="000000"/>
      <w:sz w:val="24"/>
      <w:szCs w:val="24"/>
      <w:vertAlign w:val="baseline"/>
    </w:rPr>
  </w:style>
  <w:style w:type="paragraph" w:styleId="Heading6">
    <w:name w:val="heading 6"/>
    <w:basedOn w:val="Normal"/>
    <w:next w:val="Normal"/>
    <w:pPr>
      <w:keepNext w:val="1"/>
      <w:spacing w:after="120" w:before="240" w:line="360" w:lineRule="auto"/>
      <w:ind w:left="1152" w:hanging="1152"/>
      <w:jc w:val="both"/>
    </w:pPr>
    <w:rPr>
      <w:rFonts w:ascii="Arial" w:cs="Arial" w:eastAsia="Arial" w:hAnsi="Arial"/>
      <w:b w:val="1"/>
      <w:bCs w:val="1"/>
      <w:color w:val="000000"/>
      <w:sz w:val="21"/>
      <w:szCs w:val="21"/>
      <w:vertAlign w:val="baseline"/>
    </w:rPr>
  </w:style>
  <w:style w:type="paragraph" w:styleId="Title">
    <w:name w:val="Title"/>
    <w:basedOn w:val="Normal"/>
    <w:next w:val="Normal"/>
    <w:pPr>
      <w:spacing w:after="60" w:before="240" w:line="360" w:lineRule="auto"/>
      <w:jc w:val="center"/>
    </w:pPr>
    <w:rPr>
      <w:rFonts w:ascii="Cambria" w:cs="Cambria" w:eastAsia="Cambria" w:hAnsi="Cambria"/>
      <w:b w:val="1"/>
      <w:bCs w:val="1"/>
      <w:color w:val="000000"/>
      <w:sz w:val="32"/>
      <w:szCs w:val="32"/>
      <w:vertAlign w:val="baseline"/>
    </w:rPr>
  </w:style>
  <w:style w:type="paragraph" w:styleId="Subtitle">
    <w:name w:val="Subtitle"/>
    <w:basedOn w:val="Normal"/>
    <w:next w:val="Normal"/>
    <w:pPr>
      <w:keepNext w:val="1"/>
      <w:spacing w:after="120" w:before="240" w:line="360" w:lineRule="auto"/>
      <w:jc w:val="center"/>
    </w:pPr>
    <w:rPr>
      <w:rFonts w:ascii="Arial" w:cs="Arial" w:eastAsia="Arial" w:hAnsi="Arial"/>
      <w:i w:val="1"/>
      <w:iCs w:val="1"/>
      <w:color w:val="000000"/>
      <w:sz w:val="28"/>
      <w:szCs w:val="28"/>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3389/fonc.2020.00085" TargetMode="External"/><Relationship Id="rId10" Type="http://schemas.openxmlformats.org/officeDocument/2006/relationships/hyperlink" Target="https://doi.org/10.1177/14713012221080252" TargetMode="External"/><Relationship Id="rId13" Type="http://schemas.openxmlformats.org/officeDocument/2006/relationships/hyperlink" Target="https://www.gov.uk/data-protection" TargetMode="External"/><Relationship Id="rId12" Type="http://schemas.openxmlformats.org/officeDocument/2006/relationships/hyperlink" Target="https://doi.org/10.1093/jmp/jhad04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4172/ijhpm.8424"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cqc.org.uk/guidance-providers/all-services/check-way-you-handle-personal-information-meets-right-standards-0" TargetMode="External"/><Relationship Id="rId7" Type="http://schemas.openxmlformats.org/officeDocument/2006/relationships/hyperlink" Target="https://www.cqc.org.uk/guidance-regulation/providers/regulations-service-providers-and-managers/health-social-care-act/regulation-20" TargetMode="External"/><Relationship Id="rId8" Type="http://schemas.openxmlformats.org/officeDocument/2006/relationships/hyperlink" Target="https://doi.org/10.61091/jpms202413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