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86FD6" w14:textId="7B5AA95D" w:rsidR="00B70EA6" w:rsidRPr="00B70EA6" w:rsidRDefault="001E7B6C" w:rsidP="00B70EA6">
      <w:pPr>
        <w:spacing w:line="360" w:lineRule="auto"/>
        <w:jc w:val="center"/>
        <w:rPr>
          <w:rFonts w:ascii="Times New Roman" w:hAnsi="Times New Roman" w:cs="Times New Roman"/>
          <w:b/>
          <w:sz w:val="24"/>
          <w:szCs w:val="24"/>
          <w:lang w:val="en-US"/>
        </w:rPr>
      </w:pPr>
      <w:r>
        <w:rPr>
          <w:b/>
          <w:bCs/>
          <w:noProof/>
          <w:sz w:val="32"/>
          <w:szCs w:val="32"/>
          <w:shd w:val="clear" w:color="auto" w:fill="FFFFFF"/>
        </w:rPr>
        <w:drawing>
          <wp:anchor distT="0" distB="0" distL="114300" distR="114300" simplePos="0" relativeHeight="251659264" behindDoc="0" locked="0" layoutInCell="1" allowOverlap="1" wp14:anchorId="18873F60" wp14:editId="075EBEA3">
            <wp:simplePos x="0" y="0"/>
            <wp:positionH relativeFrom="margin">
              <wp:posOffset>-254000</wp:posOffset>
            </wp:positionH>
            <wp:positionV relativeFrom="margin">
              <wp:posOffset>-488950</wp:posOffset>
            </wp:positionV>
            <wp:extent cx="1493520" cy="833120"/>
            <wp:effectExtent l="0" t="0" r="5080" b="508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1493520" cy="833120"/>
                    </a:xfrm>
                    <a:prstGeom prst="rect">
                      <a:avLst/>
                    </a:prstGeom>
                  </pic:spPr>
                </pic:pic>
              </a:graphicData>
            </a:graphic>
            <wp14:sizeRelH relativeFrom="margin">
              <wp14:pctWidth>0</wp14:pctWidth>
            </wp14:sizeRelH>
            <wp14:sizeRelV relativeFrom="margin">
              <wp14:pctHeight>0</wp14:pctHeight>
            </wp14:sizeRelV>
          </wp:anchor>
        </w:drawing>
      </w:r>
    </w:p>
    <w:p w14:paraId="2BE2522F" w14:textId="77777777" w:rsidR="001E7B6C" w:rsidRDefault="001E7B6C" w:rsidP="001E7B6C">
      <w:pPr>
        <w:spacing w:line="360" w:lineRule="auto"/>
        <w:jc w:val="both"/>
        <w:rPr>
          <w:rFonts w:ascii="Times New Roman" w:eastAsia="Times New Roman" w:hAnsi="Times New Roman" w:cs="Times New Roman"/>
          <w:b/>
          <w:sz w:val="32"/>
          <w:szCs w:val="32"/>
        </w:rPr>
      </w:pPr>
    </w:p>
    <w:p w14:paraId="2477AA32" w14:textId="77777777" w:rsidR="001E7B6C" w:rsidRPr="0018575C" w:rsidRDefault="001E7B6C" w:rsidP="001E7B6C">
      <w:pPr>
        <w:spacing w:line="360" w:lineRule="auto"/>
        <w:jc w:val="center"/>
        <w:rPr>
          <w:rFonts w:ascii="Times New Roman" w:eastAsia="Times New Roman" w:hAnsi="Times New Roman" w:cs="Times New Roman"/>
          <w:b/>
          <w:sz w:val="32"/>
          <w:szCs w:val="32"/>
          <w:lang w:val="en-GB"/>
        </w:rPr>
      </w:pPr>
    </w:p>
    <w:p w14:paraId="1DC900D4" w14:textId="77777777" w:rsidR="001E7B6C" w:rsidRPr="0018575C" w:rsidRDefault="001E7B6C" w:rsidP="001E7B6C">
      <w:pPr>
        <w:spacing w:line="360" w:lineRule="auto"/>
        <w:jc w:val="center"/>
        <w:rPr>
          <w:rFonts w:ascii="Times New Roman" w:hAnsi="Times New Roman" w:cs="Times New Roman"/>
          <w:b/>
          <w:sz w:val="32"/>
          <w:szCs w:val="32"/>
        </w:rPr>
      </w:pPr>
      <w:r w:rsidRPr="0018575C">
        <w:rPr>
          <w:rFonts w:ascii="Times New Roman" w:hAnsi="Times New Roman" w:cs="Times New Roman"/>
          <w:b/>
          <w:sz w:val="32"/>
          <w:szCs w:val="32"/>
        </w:rPr>
        <w:t xml:space="preserve">  University of Wales Trinity Saint David</w:t>
      </w:r>
    </w:p>
    <w:p w14:paraId="4331957D" w14:textId="77777777" w:rsidR="001E7B6C" w:rsidRPr="0018575C" w:rsidRDefault="001E7B6C" w:rsidP="001E7B6C">
      <w:pPr>
        <w:spacing w:line="360" w:lineRule="auto"/>
        <w:jc w:val="center"/>
        <w:rPr>
          <w:rFonts w:ascii="Times New Roman" w:hAnsi="Times New Roman" w:cs="Times New Roman"/>
          <w:b/>
          <w:sz w:val="32"/>
          <w:szCs w:val="32"/>
        </w:rPr>
      </w:pPr>
    </w:p>
    <w:p w14:paraId="6040B965" w14:textId="77777777" w:rsidR="001E7B6C" w:rsidRPr="0018575C" w:rsidRDefault="001E7B6C" w:rsidP="001E7B6C">
      <w:pPr>
        <w:spacing w:line="360" w:lineRule="auto"/>
        <w:jc w:val="center"/>
        <w:rPr>
          <w:rFonts w:ascii="Times New Roman" w:hAnsi="Times New Roman" w:cs="Times New Roman"/>
          <w:b/>
          <w:sz w:val="32"/>
          <w:szCs w:val="32"/>
        </w:rPr>
      </w:pPr>
    </w:p>
    <w:p w14:paraId="2E15417E" w14:textId="77777777" w:rsidR="001E7B6C" w:rsidRPr="0018575C" w:rsidRDefault="001E7B6C" w:rsidP="001E7B6C">
      <w:pPr>
        <w:spacing w:line="360" w:lineRule="auto"/>
        <w:jc w:val="both"/>
        <w:rPr>
          <w:rFonts w:ascii="Times New Roman" w:hAnsi="Times New Roman" w:cs="Times New Roman"/>
          <w:b/>
          <w:sz w:val="32"/>
          <w:szCs w:val="32"/>
        </w:rPr>
      </w:pPr>
    </w:p>
    <w:p w14:paraId="007E4489" w14:textId="3C28F3A7" w:rsidR="001E7B6C" w:rsidRPr="0018575C" w:rsidRDefault="001E7B6C" w:rsidP="001E7B6C">
      <w:pPr>
        <w:spacing w:line="360" w:lineRule="auto"/>
        <w:jc w:val="center"/>
        <w:rPr>
          <w:rFonts w:ascii="Times New Roman" w:hAnsi="Times New Roman" w:cs="Times New Roman"/>
          <w:b/>
          <w:bCs/>
          <w:sz w:val="32"/>
          <w:szCs w:val="32"/>
        </w:rPr>
      </w:pPr>
      <w:r w:rsidRPr="0018575C">
        <w:rPr>
          <w:rFonts w:ascii="Times New Roman" w:hAnsi="Times New Roman" w:cs="Times New Roman"/>
          <w:b/>
          <w:bCs/>
          <w:sz w:val="32"/>
          <w:szCs w:val="32"/>
        </w:rPr>
        <w:t>Programme: BA Business Management</w:t>
      </w:r>
    </w:p>
    <w:p w14:paraId="0717F35F" w14:textId="77777777" w:rsidR="001E7B6C" w:rsidRPr="0018575C" w:rsidRDefault="001E7B6C" w:rsidP="001E7B6C">
      <w:pPr>
        <w:jc w:val="center"/>
        <w:rPr>
          <w:rFonts w:ascii="Times New Roman" w:eastAsia="Times New Roman" w:hAnsi="Times New Roman" w:cs="Times New Roman"/>
          <w:b/>
          <w:sz w:val="32"/>
          <w:szCs w:val="32"/>
        </w:rPr>
      </w:pPr>
    </w:p>
    <w:p w14:paraId="3CE02E73" w14:textId="3C91FD17" w:rsidR="001E7B6C" w:rsidRPr="001E7B6C" w:rsidRDefault="001E7B6C" w:rsidP="001E7B6C">
      <w:pPr>
        <w:jc w:val="center"/>
        <w:rPr>
          <w:rFonts w:ascii="Times New Roman" w:eastAsia="Times New Roman" w:hAnsi="Times New Roman" w:cs="Times New Roman"/>
          <w:b/>
          <w:bCs/>
          <w:sz w:val="28"/>
          <w:szCs w:val="28"/>
        </w:rPr>
      </w:pPr>
      <w:r w:rsidRPr="0018575C">
        <w:rPr>
          <w:rFonts w:ascii="Times New Roman" w:eastAsia="Times New Roman" w:hAnsi="Times New Roman" w:cs="Times New Roman"/>
          <w:b/>
          <w:bCs/>
          <w:sz w:val="32"/>
          <w:szCs w:val="32"/>
        </w:rPr>
        <w:t xml:space="preserve">Module Name: </w:t>
      </w:r>
      <w:r w:rsidRPr="001E7B6C">
        <w:rPr>
          <w:rFonts w:ascii="Times New Roman" w:hAnsi="Times New Roman" w:cs="Times New Roman"/>
          <w:b/>
          <w:bCs/>
          <w:sz w:val="32"/>
          <w:szCs w:val="32"/>
        </w:rPr>
        <w:t>International Financial Management</w:t>
      </w:r>
    </w:p>
    <w:p w14:paraId="7F62B3D3" w14:textId="615A333C" w:rsidR="001E7B6C" w:rsidRPr="0018575C" w:rsidRDefault="001E7B6C" w:rsidP="001E7B6C">
      <w:pPr>
        <w:jc w:val="center"/>
        <w:rPr>
          <w:rFonts w:ascii="Times New Roman" w:eastAsia="Times New Roman" w:hAnsi="Times New Roman" w:cs="Times New Roman"/>
          <w:b/>
          <w:bCs/>
          <w:sz w:val="32"/>
          <w:szCs w:val="32"/>
        </w:rPr>
      </w:pPr>
      <w:r w:rsidRPr="0018575C">
        <w:rPr>
          <w:rFonts w:ascii="Times New Roman" w:eastAsia="Times New Roman" w:hAnsi="Times New Roman" w:cs="Times New Roman"/>
          <w:b/>
          <w:bCs/>
          <w:sz w:val="32"/>
          <w:szCs w:val="32"/>
        </w:rPr>
        <w:t>Module Code</w:t>
      </w:r>
      <w:r w:rsidRPr="0018575C">
        <w:rPr>
          <w:rFonts w:ascii="Times New Roman" w:eastAsia="Times New Roman" w:hAnsi="Times New Roman" w:cs="Times New Roman"/>
          <w:sz w:val="32"/>
          <w:szCs w:val="32"/>
        </w:rPr>
        <w:t xml:space="preserve">: </w:t>
      </w:r>
      <w:r w:rsidRPr="0052431B">
        <w:rPr>
          <w:rFonts w:ascii="Times New Roman" w:hAnsi="Times New Roman" w:cs="Times New Roman"/>
          <w:b/>
          <w:bCs/>
          <w:sz w:val="32"/>
          <w:szCs w:val="32"/>
        </w:rPr>
        <w:t>LCBB6002</w:t>
      </w:r>
    </w:p>
    <w:p w14:paraId="0899972C" w14:textId="77777777" w:rsidR="001E7B6C" w:rsidRPr="0018575C" w:rsidRDefault="001E7B6C" w:rsidP="001E7B6C">
      <w:pPr>
        <w:jc w:val="center"/>
        <w:rPr>
          <w:rFonts w:ascii="Times New Roman" w:eastAsia="Times New Roman" w:hAnsi="Times New Roman" w:cs="Times New Roman"/>
          <w:b/>
          <w:sz w:val="32"/>
          <w:szCs w:val="32"/>
        </w:rPr>
      </w:pPr>
      <w:r w:rsidRPr="0018575C">
        <w:rPr>
          <w:rFonts w:ascii="Times New Roman" w:eastAsia="Times New Roman" w:hAnsi="Times New Roman" w:cs="Times New Roman"/>
          <w:b/>
          <w:bCs/>
          <w:sz w:val="32"/>
          <w:szCs w:val="32"/>
        </w:rPr>
        <w:t xml:space="preserve">Student Name: Diana </w:t>
      </w:r>
      <w:proofErr w:type="spellStart"/>
      <w:r w:rsidRPr="0018575C">
        <w:rPr>
          <w:rFonts w:ascii="Times New Roman" w:eastAsia="Times New Roman" w:hAnsi="Times New Roman" w:cs="Times New Roman"/>
          <w:b/>
          <w:bCs/>
          <w:sz w:val="32"/>
          <w:szCs w:val="32"/>
        </w:rPr>
        <w:t>Roabis</w:t>
      </w:r>
      <w:proofErr w:type="spellEnd"/>
    </w:p>
    <w:p w14:paraId="07492DA8" w14:textId="77777777" w:rsidR="001E7B6C" w:rsidRPr="0018575C" w:rsidRDefault="001E7B6C" w:rsidP="001E7B6C">
      <w:pPr>
        <w:jc w:val="center"/>
        <w:rPr>
          <w:rFonts w:ascii="Times New Roman" w:eastAsia="Times New Roman" w:hAnsi="Times New Roman" w:cs="Times New Roman"/>
          <w:b/>
          <w:sz w:val="32"/>
          <w:szCs w:val="32"/>
        </w:rPr>
      </w:pPr>
      <w:r w:rsidRPr="0018575C">
        <w:rPr>
          <w:rFonts w:ascii="Times New Roman" w:eastAsia="Times New Roman" w:hAnsi="Times New Roman" w:cs="Times New Roman"/>
          <w:b/>
          <w:bCs/>
          <w:sz w:val="32"/>
          <w:szCs w:val="32"/>
        </w:rPr>
        <w:t>Student ID: 2028044</w:t>
      </w:r>
    </w:p>
    <w:p w14:paraId="1D694220" w14:textId="16CA446F" w:rsidR="001E7B6C" w:rsidRPr="0018575C" w:rsidRDefault="001E7B6C" w:rsidP="001E7B6C">
      <w:pPr>
        <w:jc w:val="center"/>
        <w:rPr>
          <w:rFonts w:ascii="Times New Roman" w:hAnsi="Times New Roman" w:cs="Times New Roman"/>
          <w:lang w:val="en-GB"/>
        </w:rPr>
      </w:pPr>
      <w:r w:rsidRPr="0018575C">
        <w:rPr>
          <w:rFonts w:ascii="Times New Roman" w:eastAsia="Times New Roman" w:hAnsi="Times New Roman" w:cs="Times New Roman"/>
          <w:b/>
          <w:bCs/>
          <w:sz w:val="32"/>
          <w:szCs w:val="32"/>
        </w:rPr>
        <w:t xml:space="preserve">Module </w:t>
      </w:r>
      <w:r w:rsidRPr="0018575C">
        <w:rPr>
          <w:rFonts w:ascii="Times New Roman" w:hAnsi="Times New Roman" w:cs="Times New Roman"/>
          <w:b/>
          <w:bCs/>
          <w:sz w:val="32"/>
          <w:szCs w:val="32"/>
        </w:rPr>
        <w:t>Lecturer</w:t>
      </w:r>
      <w:r w:rsidRPr="0018575C">
        <w:rPr>
          <w:rFonts w:ascii="Times New Roman" w:eastAsia="Times New Roman" w:hAnsi="Times New Roman" w:cs="Times New Roman"/>
          <w:sz w:val="32"/>
          <w:szCs w:val="32"/>
        </w:rPr>
        <w:t xml:space="preserve">: </w:t>
      </w:r>
      <w:r w:rsidR="0052431B" w:rsidRPr="0052431B">
        <w:rPr>
          <w:rFonts w:ascii="Times New Roman" w:hAnsi="Times New Roman" w:cs="Times New Roman"/>
          <w:b/>
          <w:bCs/>
          <w:sz w:val="32"/>
          <w:szCs w:val="32"/>
        </w:rPr>
        <w:t xml:space="preserve">Dr Taye </w:t>
      </w:r>
      <w:proofErr w:type="spellStart"/>
      <w:r w:rsidR="0052431B" w:rsidRPr="0052431B">
        <w:rPr>
          <w:rFonts w:ascii="Times New Roman" w:hAnsi="Times New Roman" w:cs="Times New Roman"/>
          <w:b/>
          <w:bCs/>
          <w:sz w:val="32"/>
          <w:szCs w:val="32"/>
        </w:rPr>
        <w:t>Osadiya</w:t>
      </w:r>
      <w:proofErr w:type="spellEnd"/>
    </w:p>
    <w:p w14:paraId="1E0ACD61" w14:textId="38766A99" w:rsidR="00B70EA6" w:rsidRPr="001E7B6C" w:rsidRDefault="001E7B6C" w:rsidP="001E7B6C">
      <w:pPr>
        <w:jc w:val="center"/>
        <w:rPr>
          <w:b/>
          <w:sz w:val="32"/>
          <w:szCs w:val="32"/>
          <w:lang w:val="en-GB"/>
        </w:rPr>
      </w:pPr>
      <w:r>
        <w:rPr>
          <w:rFonts w:ascii="Times New Roman" w:eastAsia="Times New Roman" w:hAnsi="Times New Roman" w:cs="Times New Roman"/>
          <w:b/>
          <w:sz w:val="32"/>
          <w:szCs w:val="32"/>
        </w:rPr>
        <w:br w:type="page"/>
      </w:r>
      <w:bookmarkStart w:id="0" w:name="_Toc140239752"/>
      <w:r w:rsidR="00B70EA6" w:rsidRPr="00B70EA6">
        <w:rPr>
          <w:rFonts w:ascii="Times New Roman" w:hAnsi="Times New Roman" w:cs="Times New Roman"/>
          <w:sz w:val="24"/>
          <w:szCs w:val="24"/>
        </w:rPr>
        <w:lastRenderedPageBreak/>
        <w:t>Executive Summary</w:t>
      </w:r>
      <w:bookmarkEnd w:id="0"/>
    </w:p>
    <w:p w14:paraId="6E1C228C" w14:textId="77777777" w:rsidR="00B70EA6" w:rsidRPr="00B70EA6" w:rsidRDefault="00B70EA6" w:rsidP="00B70EA6"/>
    <w:p w14:paraId="1F75C0A8"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The given report assessed the significance of International Financial Management (IFM) implications of Tesco Plc. The dividend distribution policy of the company is discussed in the paper supported by adequate theories. Besides, a critical explanation about the efficient market hypothesis theory concerning Tesco Plc's operations is also incorporated. Various investment appraisals methods </w:t>
      </w:r>
      <w:proofErr w:type="spellStart"/>
      <w:r w:rsidRPr="00B70EA6">
        <w:rPr>
          <w:rFonts w:ascii="Times New Roman" w:hAnsi="Times New Roman" w:cs="Times New Roman"/>
          <w:sz w:val="24"/>
          <w:szCs w:val="24"/>
          <w:lang w:val="en-US"/>
        </w:rPr>
        <w:t>utilised</w:t>
      </w:r>
      <w:proofErr w:type="spellEnd"/>
      <w:r w:rsidRPr="00B70EA6">
        <w:rPr>
          <w:rFonts w:ascii="Times New Roman" w:hAnsi="Times New Roman" w:cs="Times New Roman"/>
          <w:sz w:val="24"/>
          <w:szCs w:val="24"/>
          <w:lang w:val="en-US"/>
        </w:rPr>
        <w:t xml:space="preserve"> by Tesco Plc are also </w:t>
      </w:r>
      <w:proofErr w:type="gramStart"/>
      <w:r w:rsidRPr="00B70EA6">
        <w:rPr>
          <w:rFonts w:ascii="Times New Roman" w:hAnsi="Times New Roman" w:cs="Times New Roman"/>
          <w:sz w:val="24"/>
          <w:szCs w:val="24"/>
          <w:lang w:val="en-US"/>
        </w:rPr>
        <w:t>taken into account</w:t>
      </w:r>
      <w:proofErr w:type="gramEnd"/>
      <w:r w:rsidRPr="00B70EA6">
        <w:rPr>
          <w:rFonts w:ascii="Times New Roman" w:hAnsi="Times New Roman" w:cs="Times New Roman"/>
          <w:sz w:val="24"/>
          <w:szCs w:val="24"/>
          <w:lang w:val="en-US"/>
        </w:rPr>
        <w:t xml:space="preserve"> under this assignment.</w:t>
      </w:r>
    </w:p>
    <w:p w14:paraId="036CAC46" w14:textId="77777777" w:rsidR="00B70EA6" w:rsidRPr="00B70EA6" w:rsidRDefault="00B70EA6" w:rsidP="00B70EA6">
      <w:pPr>
        <w:rPr>
          <w:rFonts w:ascii="Times New Roman" w:hAnsi="Times New Roman" w:cs="Times New Roman"/>
          <w:sz w:val="24"/>
          <w:szCs w:val="24"/>
          <w:lang w:val="en-US"/>
        </w:rPr>
      </w:pPr>
      <w:r w:rsidRPr="00B70EA6">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IN"/>
        </w:rPr>
        <w:id w:val="-947771392"/>
        <w:docPartObj>
          <w:docPartGallery w:val="Table of Contents"/>
          <w:docPartUnique/>
        </w:docPartObj>
      </w:sdtPr>
      <w:sdtEndPr>
        <w:rPr>
          <w:b/>
          <w:bCs/>
          <w:noProof/>
        </w:rPr>
      </w:sdtEndPr>
      <w:sdtContent>
        <w:p w14:paraId="7B19B897" w14:textId="77777777" w:rsidR="00B70EA6" w:rsidRPr="00B70EA6" w:rsidRDefault="00B70EA6" w:rsidP="00B70EA6">
          <w:pPr>
            <w:pStyle w:val="TOCHeading"/>
            <w:jc w:val="center"/>
            <w:rPr>
              <w:rFonts w:ascii="Times New Roman" w:hAnsi="Times New Roman" w:cs="Times New Roman"/>
              <w:b/>
              <w:color w:val="auto"/>
              <w:sz w:val="24"/>
              <w:szCs w:val="24"/>
            </w:rPr>
          </w:pPr>
          <w:r w:rsidRPr="00B70EA6">
            <w:rPr>
              <w:rFonts w:ascii="Times New Roman" w:hAnsi="Times New Roman" w:cs="Times New Roman"/>
              <w:b/>
              <w:color w:val="auto"/>
              <w:sz w:val="24"/>
              <w:szCs w:val="24"/>
            </w:rPr>
            <w:t>Table of Contents</w:t>
          </w:r>
        </w:p>
        <w:p w14:paraId="24CB7DC8"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B70EA6">
            <w:rPr>
              <w:rFonts w:ascii="Times New Roman" w:hAnsi="Times New Roman" w:cs="Times New Roman"/>
              <w:sz w:val="24"/>
              <w:szCs w:val="24"/>
            </w:rPr>
            <w:fldChar w:fldCharType="begin"/>
          </w:r>
          <w:r w:rsidRPr="00B70EA6">
            <w:rPr>
              <w:rFonts w:ascii="Times New Roman" w:hAnsi="Times New Roman" w:cs="Times New Roman"/>
              <w:sz w:val="24"/>
              <w:szCs w:val="24"/>
            </w:rPr>
            <w:instrText xml:space="preserve"> TOC \o "1-3" \h \z \u </w:instrText>
          </w:r>
          <w:r w:rsidRPr="00B70EA6">
            <w:rPr>
              <w:rFonts w:ascii="Times New Roman" w:hAnsi="Times New Roman" w:cs="Times New Roman"/>
              <w:sz w:val="24"/>
              <w:szCs w:val="24"/>
            </w:rPr>
            <w:fldChar w:fldCharType="separate"/>
          </w:r>
          <w:hyperlink w:anchor="_Toc140239752" w:history="1">
            <w:r w:rsidRPr="00B70EA6">
              <w:rPr>
                <w:rStyle w:val="Hyperlink"/>
                <w:rFonts w:ascii="Times New Roman" w:hAnsi="Times New Roman" w:cs="Times New Roman"/>
                <w:noProof/>
                <w:sz w:val="24"/>
                <w:szCs w:val="24"/>
              </w:rPr>
              <w:t>Executive Summary</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_Toc140239752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2</w:t>
            </w:r>
            <w:r w:rsidRPr="00B70EA6">
              <w:rPr>
                <w:rFonts w:ascii="Times New Roman" w:hAnsi="Times New Roman" w:cs="Times New Roman"/>
                <w:noProof/>
                <w:webHidden/>
                <w:sz w:val="24"/>
                <w:szCs w:val="24"/>
              </w:rPr>
              <w:fldChar w:fldCharType="end"/>
            </w:r>
          </w:hyperlink>
        </w:p>
        <w:p w14:paraId="2DA51DFA"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3" w:history="1">
            <w:r w:rsidRPr="00B70EA6">
              <w:rPr>
                <w:rStyle w:val="Hyperlink"/>
                <w:rFonts w:ascii="Times New Roman" w:hAnsi="Times New Roman" w:cs="Times New Roman"/>
                <w:noProof/>
                <w:sz w:val="24"/>
                <w:szCs w:val="24"/>
                <w:lang w:val="en-US"/>
              </w:rPr>
              <w:t>Introduction</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_Toc140239753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4</w:t>
            </w:r>
            <w:r w:rsidRPr="00B70EA6">
              <w:rPr>
                <w:rFonts w:ascii="Times New Roman" w:hAnsi="Times New Roman" w:cs="Times New Roman"/>
                <w:noProof/>
                <w:webHidden/>
                <w:sz w:val="24"/>
                <w:szCs w:val="24"/>
              </w:rPr>
              <w:fldChar w:fldCharType="end"/>
            </w:r>
          </w:hyperlink>
        </w:p>
        <w:p w14:paraId="327BBBC4"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4" w:history="1">
            <w:r w:rsidRPr="00B70EA6">
              <w:rPr>
                <w:rStyle w:val="Hyperlink"/>
                <w:rFonts w:ascii="Times New Roman" w:hAnsi="Times New Roman" w:cs="Times New Roman"/>
                <w:noProof/>
                <w:sz w:val="24"/>
                <w:szCs w:val="24"/>
                <w:lang w:val="en-US"/>
              </w:rPr>
              <w:t>Critically analysis dividend distribution policy of Tesco Plc</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_Toc140239754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4</w:t>
            </w:r>
            <w:r w:rsidRPr="00B70EA6">
              <w:rPr>
                <w:rFonts w:ascii="Times New Roman" w:hAnsi="Times New Roman" w:cs="Times New Roman"/>
                <w:noProof/>
                <w:webHidden/>
                <w:sz w:val="24"/>
                <w:szCs w:val="24"/>
              </w:rPr>
              <w:fldChar w:fldCharType="end"/>
            </w:r>
          </w:hyperlink>
        </w:p>
        <w:p w14:paraId="4FDF0DAB"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5" w:history="1">
            <w:r w:rsidRPr="00B70EA6">
              <w:rPr>
                <w:rStyle w:val="Hyperlink"/>
                <w:rFonts w:ascii="Times New Roman" w:hAnsi="Times New Roman" w:cs="Times New Roman"/>
                <w:noProof/>
                <w:sz w:val="24"/>
                <w:szCs w:val="24"/>
                <w:lang w:val="en-US"/>
              </w:rPr>
              <w:t>Evaluation of the efficient market hypothesis theory relative to Tesco Plc’s operations</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_Toc140239755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5</w:t>
            </w:r>
            <w:r w:rsidRPr="00B70EA6">
              <w:rPr>
                <w:rFonts w:ascii="Times New Roman" w:hAnsi="Times New Roman" w:cs="Times New Roman"/>
                <w:noProof/>
                <w:webHidden/>
                <w:sz w:val="24"/>
                <w:szCs w:val="24"/>
              </w:rPr>
              <w:fldChar w:fldCharType="end"/>
            </w:r>
          </w:hyperlink>
        </w:p>
        <w:p w14:paraId="3B1C2D31"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6" w:history="1">
            <w:r w:rsidRPr="00B70EA6">
              <w:rPr>
                <w:rStyle w:val="Hyperlink"/>
                <w:rFonts w:ascii="Times New Roman" w:hAnsi="Times New Roman" w:cs="Times New Roman"/>
                <w:noProof/>
                <w:sz w:val="24"/>
                <w:szCs w:val="24"/>
                <w:lang w:val="en-US"/>
              </w:rPr>
              <w:t>Critically discussion of Tesco Plc’s methods of projects appraising</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_Toc140239756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7</w:t>
            </w:r>
            <w:r w:rsidRPr="00B70EA6">
              <w:rPr>
                <w:rFonts w:ascii="Times New Roman" w:hAnsi="Times New Roman" w:cs="Times New Roman"/>
                <w:noProof/>
                <w:webHidden/>
                <w:sz w:val="24"/>
                <w:szCs w:val="24"/>
              </w:rPr>
              <w:fldChar w:fldCharType="end"/>
            </w:r>
          </w:hyperlink>
        </w:p>
        <w:p w14:paraId="42FE82FF"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7" w:history="1">
            <w:r w:rsidRPr="00B70EA6">
              <w:rPr>
                <w:rStyle w:val="Hyperlink"/>
                <w:rFonts w:ascii="Times New Roman" w:hAnsi="Times New Roman" w:cs="Times New Roman"/>
                <w:noProof/>
                <w:sz w:val="24"/>
                <w:szCs w:val="24"/>
                <w:lang w:val="en-US"/>
              </w:rPr>
              <w:t>Conclusion</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_Toc140239757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8</w:t>
            </w:r>
            <w:r w:rsidRPr="00B70EA6">
              <w:rPr>
                <w:rFonts w:ascii="Times New Roman" w:hAnsi="Times New Roman" w:cs="Times New Roman"/>
                <w:noProof/>
                <w:webHidden/>
                <w:sz w:val="24"/>
                <w:szCs w:val="24"/>
              </w:rPr>
              <w:fldChar w:fldCharType="end"/>
            </w:r>
          </w:hyperlink>
        </w:p>
        <w:p w14:paraId="38F45471" w14:textId="77777777" w:rsidR="00B70EA6" w:rsidRPr="00B70EA6" w:rsidRDefault="00B70EA6" w:rsidP="00B70EA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0239758" w:history="1">
            <w:r w:rsidRPr="00B70EA6">
              <w:rPr>
                <w:rStyle w:val="Hyperlink"/>
                <w:rFonts w:ascii="Times New Roman" w:hAnsi="Times New Roman" w:cs="Times New Roman"/>
                <w:noProof/>
                <w:sz w:val="24"/>
                <w:szCs w:val="24"/>
                <w:lang w:val="en-US"/>
              </w:rPr>
              <w:t>Bibliography</w:t>
            </w:r>
            <w:r w:rsidRPr="00B70EA6">
              <w:rPr>
                <w:rFonts w:ascii="Times New Roman" w:hAnsi="Times New Roman" w:cs="Times New Roman"/>
                <w:noProof/>
                <w:webHidden/>
                <w:sz w:val="24"/>
                <w:szCs w:val="24"/>
              </w:rPr>
              <w:tab/>
            </w:r>
            <w:r w:rsidRPr="00B70EA6">
              <w:rPr>
                <w:rFonts w:ascii="Times New Roman" w:hAnsi="Times New Roman" w:cs="Times New Roman"/>
                <w:noProof/>
                <w:webHidden/>
                <w:sz w:val="24"/>
                <w:szCs w:val="24"/>
              </w:rPr>
              <w:fldChar w:fldCharType="begin"/>
            </w:r>
            <w:r w:rsidRPr="00B70EA6">
              <w:rPr>
                <w:rFonts w:ascii="Times New Roman" w:hAnsi="Times New Roman" w:cs="Times New Roman"/>
                <w:noProof/>
                <w:webHidden/>
                <w:sz w:val="24"/>
                <w:szCs w:val="24"/>
              </w:rPr>
              <w:instrText xml:space="preserve"> PAGEREF _Toc140239758 \h </w:instrText>
            </w:r>
            <w:r w:rsidRPr="00B70EA6">
              <w:rPr>
                <w:rFonts w:ascii="Times New Roman" w:hAnsi="Times New Roman" w:cs="Times New Roman"/>
                <w:noProof/>
                <w:webHidden/>
                <w:sz w:val="24"/>
                <w:szCs w:val="24"/>
              </w:rPr>
            </w:r>
            <w:r w:rsidRPr="00B70EA6">
              <w:rPr>
                <w:rFonts w:ascii="Times New Roman" w:hAnsi="Times New Roman" w:cs="Times New Roman"/>
                <w:noProof/>
                <w:webHidden/>
                <w:sz w:val="24"/>
                <w:szCs w:val="24"/>
              </w:rPr>
              <w:fldChar w:fldCharType="separate"/>
            </w:r>
            <w:r w:rsidRPr="00B70EA6">
              <w:rPr>
                <w:rFonts w:ascii="Times New Roman" w:hAnsi="Times New Roman" w:cs="Times New Roman"/>
                <w:noProof/>
                <w:webHidden/>
                <w:sz w:val="24"/>
                <w:szCs w:val="24"/>
              </w:rPr>
              <w:t>9</w:t>
            </w:r>
            <w:r w:rsidRPr="00B70EA6">
              <w:rPr>
                <w:rFonts w:ascii="Times New Roman" w:hAnsi="Times New Roman" w:cs="Times New Roman"/>
                <w:noProof/>
                <w:webHidden/>
                <w:sz w:val="24"/>
                <w:szCs w:val="24"/>
              </w:rPr>
              <w:fldChar w:fldCharType="end"/>
            </w:r>
          </w:hyperlink>
        </w:p>
        <w:p w14:paraId="10584ACC" w14:textId="77777777" w:rsidR="00B70EA6" w:rsidRPr="00B70EA6" w:rsidRDefault="00B70EA6" w:rsidP="00B70EA6">
          <w:pPr>
            <w:spacing w:line="360" w:lineRule="auto"/>
            <w:jc w:val="both"/>
            <w:rPr>
              <w:rFonts w:ascii="Times New Roman" w:hAnsi="Times New Roman" w:cs="Times New Roman"/>
              <w:sz w:val="24"/>
              <w:szCs w:val="24"/>
            </w:rPr>
          </w:pPr>
          <w:r w:rsidRPr="00B70EA6">
            <w:rPr>
              <w:rFonts w:ascii="Times New Roman" w:hAnsi="Times New Roman" w:cs="Times New Roman"/>
              <w:b/>
              <w:bCs/>
              <w:noProof/>
              <w:sz w:val="24"/>
              <w:szCs w:val="24"/>
            </w:rPr>
            <w:fldChar w:fldCharType="end"/>
          </w:r>
        </w:p>
      </w:sdtContent>
    </w:sdt>
    <w:p w14:paraId="263A1C1F"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 </w:t>
      </w:r>
    </w:p>
    <w:p w14:paraId="20EEB11B" w14:textId="77777777" w:rsidR="001E7B6C" w:rsidRDefault="001E7B6C" w:rsidP="001E7B6C">
      <w:pPr>
        <w:spacing w:line="360" w:lineRule="auto"/>
        <w:jc w:val="both"/>
        <w:rPr>
          <w:rFonts w:ascii="Times New Roman" w:hAnsi="Times New Roman" w:cs="Times New Roman"/>
          <w:b/>
          <w:sz w:val="24"/>
          <w:szCs w:val="24"/>
          <w:lang w:val="en-US"/>
        </w:rPr>
      </w:pPr>
      <w:bookmarkStart w:id="1" w:name="_Toc140239753"/>
    </w:p>
    <w:p w14:paraId="12FB7766" w14:textId="77777777" w:rsidR="001E7B6C" w:rsidRDefault="001E7B6C" w:rsidP="001E7B6C">
      <w:pPr>
        <w:spacing w:line="360" w:lineRule="auto"/>
        <w:jc w:val="both"/>
        <w:rPr>
          <w:rFonts w:ascii="Times New Roman" w:hAnsi="Times New Roman" w:cs="Times New Roman"/>
          <w:b/>
          <w:sz w:val="24"/>
          <w:szCs w:val="24"/>
          <w:lang w:val="en-US"/>
        </w:rPr>
      </w:pPr>
    </w:p>
    <w:p w14:paraId="71A08B82" w14:textId="77777777" w:rsidR="001E7B6C" w:rsidRDefault="001E7B6C" w:rsidP="001E7B6C">
      <w:pPr>
        <w:spacing w:line="360" w:lineRule="auto"/>
        <w:jc w:val="both"/>
        <w:rPr>
          <w:rFonts w:ascii="Times New Roman" w:hAnsi="Times New Roman" w:cs="Times New Roman"/>
          <w:b/>
          <w:sz w:val="24"/>
          <w:szCs w:val="24"/>
          <w:lang w:val="en-US"/>
        </w:rPr>
      </w:pPr>
    </w:p>
    <w:p w14:paraId="3A8A8320" w14:textId="77777777" w:rsidR="001E7B6C" w:rsidRDefault="001E7B6C" w:rsidP="001E7B6C">
      <w:pPr>
        <w:spacing w:line="360" w:lineRule="auto"/>
        <w:jc w:val="both"/>
        <w:rPr>
          <w:rFonts w:ascii="Times New Roman" w:hAnsi="Times New Roman" w:cs="Times New Roman"/>
          <w:b/>
          <w:sz w:val="24"/>
          <w:szCs w:val="24"/>
          <w:lang w:val="en-US"/>
        </w:rPr>
      </w:pPr>
    </w:p>
    <w:p w14:paraId="04D99A47" w14:textId="77777777" w:rsidR="001E7B6C" w:rsidRDefault="001E7B6C" w:rsidP="001E7B6C">
      <w:pPr>
        <w:spacing w:line="360" w:lineRule="auto"/>
        <w:jc w:val="both"/>
        <w:rPr>
          <w:rFonts w:ascii="Times New Roman" w:hAnsi="Times New Roman" w:cs="Times New Roman"/>
          <w:b/>
          <w:sz w:val="24"/>
          <w:szCs w:val="24"/>
          <w:lang w:val="en-US"/>
        </w:rPr>
      </w:pPr>
    </w:p>
    <w:p w14:paraId="45AE663D" w14:textId="77777777" w:rsidR="001E7B6C" w:rsidRDefault="001E7B6C" w:rsidP="001E7B6C">
      <w:pPr>
        <w:spacing w:line="360" w:lineRule="auto"/>
        <w:jc w:val="both"/>
        <w:rPr>
          <w:rFonts w:ascii="Times New Roman" w:hAnsi="Times New Roman" w:cs="Times New Roman"/>
          <w:b/>
          <w:sz w:val="24"/>
          <w:szCs w:val="24"/>
          <w:lang w:val="en-US"/>
        </w:rPr>
      </w:pPr>
    </w:p>
    <w:p w14:paraId="4595BDB5" w14:textId="77777777" w:rsidR="001E7B6C" w:rsidRDefault="001E7B6C" w:rsidP="001E7B6C">
      <w:pPr>
        <w:spacing w:line="360" w:lineRule="auto"/>
        <w:jc w:val="both"/>
        <w:rPr>
          <w:rFonts w:ascii="Times New Roman" w:hAnsi="Times New Roman" w:cs="Times New Roman"/>
          <w:b/>
          <w:sz w:val="24"/>
          <w:szCs w:val="24"/>
          <w:lang w:val="en-US"/>
        </w:rPr>
      </w:pPr>
    </w:p>
    <w:p w14:paraId="1B7F9E76" w14:textId="77777777" w:rsidR="001E7B6C" w:rsidRDefault="001E7B6C" w:rsidP="001E7B6C">
      <w:pPr>
        <w:spacing w:line="360" w:lineRule="auto"/>
        <w:jc w:val="both"/>
        <w:rPr>
          <w:rFonts w:ascii="Times New Roman" w:hAnsi="Times New Roman" w:cs="Times New Roman"/>
          <w:b/>
          <w:sz w:val="24"/>
          <w:szCs w:val="24"/>
          <w:lang w:val="en-US"/>
        </w:rPr>
      </w:pPr>
    </w:p>
    <w:p w14:paraId="289FA89C" w14:textId="77777777" w:rsidR="001E7B6C" w:rsidRDefault="001E7B6C" w:rsidP="001E7B6C">
      <w:pPr>
        <w:spacing w:line="360" w:lineRule="auto"/>
        <w:jc w:val="both"/>
        <w:rPr>
          <w:rFonts w:ascii="Times New Roman" w:hAnsi="Times New Roman" w:cs="Times New Roman"/>
          <w:b/>
          <w:sz w:val="24"/>
          <w:szCs w:val="24"/>
          <w:lang w:val="en-US"/>
        </w:rPr>
      </w:pPr>
    </w:p>
    <w:p w14:paraId="6F4666F0" w14:textId="77777777" w:rsidR="001E7B6C" w:rsidRDefault="001E7B6C" w:rsidP="001E7B6C">
      <w:pPr>
        <w:spacing w:line="360" w:lineRule="auto"/>
        <w:jc w:val="both"/>
        <w:rPr>
          <w:rFonts w:ascii="Times New Roman" w:hAnsi="Times New Roman" w:cs="Times New Roman"/>
          <w:b/>
          <w:sz w:val="24"/>
          <w:szCs w:val="24"/>
          <w:lang w:val="en-US"/>
        </w:rPr>
      </w:pPr>
    </w:p>
    <w:p w14:paraId="318E25CD" w14:textId="77777777" w:rsidR="001E7B6C" w:rsidRDefault="001E7B6C" w:rsidP="001E7B6C">
      <w:pPr>
        <w:spacing w:line="360" w:lineRule="auto"/>
        <w:jc w:val="both"/>
        <w:rPr>
          <w:rFonts w:ascii="Times New Roman" w:hAnsi="Times New Roman" w:cs="Times New Roman"/>
          <w:b/>
          <w:sz w:val="24"/>
          <w:szCs w:val="24"/>
          <w:lang w:val="en-US"/>
        </w:rPr>
      </w:pPr>
    </w:p>
    <w:p w14:paraId="652075C5" w14:textId="77777777" w:rsidR="001E7B6C" w:rsidRDefault="001E7B6C" w:rsidP="001E7B6C">
      <w:pPr>
        <w:spacing w:line="360" w:lineRule="auto"/>
        <w:jc w:val="both"/>
        <w:rPr>
          <w:rFonts w:ascii="Times New Roman" w:hAnsi="Times New Roman" w:cs="Times New Roman"/>
          <w:b/>
          <w:sz w:val="24"/>
          <w:szCs w:val="24"/>
          <w:lang w:val="en-US"/>
        </w:rPr>
      </w:pPr>
    </w:p>
    <w:p w14:paraId="6D3DF304" w14:textId="77777777" w:rsidR="001E7B6C" w:rsidRDefault="001E7B6C" w:rsidP="001E7B6C">
      <w:pPr>
        <w:spacing w:line="360" w:lineRule="auto"/>
        <w:jc w:val="both"/>
        <w:rPr>
          <w:rFonts w:ascii="Times New Roman" w:hAnsi="Times New Roman" w:cs="Times New Roman"/>
          <w:b/>
          <w:sz w:val="24"/>
          <w:szCs w:val="24"/>
          <w:lang w:val="en-US"/>
        </w:rPr>
      </w:pPr>
    </w:p>
    <w:p w14:paraId="42EE5DBE" w14:textId="77777777" w:rsidR="001E7B6C" w:rsidRDefault="001E7B6C" w:rsidP="001E7B6C">
      <w:pPr>
        <w:spacing w:line="360" w:lineRule="auto"/>
        <w:jc w:val="both"/>
        <w:rPr>
          <w:rFonts w:ascii="Times New Roman" w:hAnsi="Times New Roman" w:cs="Times New Roman"/>
          <w:b/>
          <w:sz w:val="24"/>
          <w:szCs w:val="24"/>
          <w:lang w:val="en-US"/>
        </w:rPr>
      </w:pPr>
    </w:p>
    <w:p w14:paraId="07F8AA45" w14:textId="77777777" w:rsidR="001E7B6C" w:rsidRDefault="001E7B6C" w:rsidP="001E7B6C">
      <w:pPr>
        <w:spacing w:line="360" w:lineRule="auto"/>
        <w:jc w:val="both"/>
        <w:rPr>
          <w:rFonts w:ascii="Times New Roman" w:hAnsi="Times New Roman" w:cs="Times New Roman"/>
          <w:b/>
          <w:sz w:val="24"/>
          <w:szCs w:val="24"/>
          <w:lang w:val="en-US"/>
        </w:rPr>
      </w:pPr>
    </w:p>
    <w:p w14:paraId="0A968F5D" w14:textId="77777777" w:rsidR="001E7B6C" w:rsidRDefault="001E7B6C" w:rsidP="001E7B6C">
      <w:pPr>
        <w:spacing w:line="360" w:lineRule="auto"/>
        <w:jc w:val="both"/>
        <w:rPr>
          <w:rFonts w:ascii="Times New Roman" w:hAnsi="Times New Roman" w:cs="Times New Roman"/>
          <w:b/>
          <w:sz w:val="24"/>
          <w:szCs w:val="24"/>
          <w:lang w:val="en-US"/>
        </w:rPr>
      </w:pPr>
    </w:p>
    <w:p w14:paraId="578C1660" w14:textId="69A8C4E6" w:rsidR="00B70EA6" w:rsidRPr="001E7B6C" w:rsidRDefault="00B70EA6" w:rsidP="001E7B6C">
      <w:pPr>
        <w:spacing w:line="360" w:lineRule="auto"/>
        <w:jc w:val="both"/>
        <w:rPr>
          <w:rFonts w:ascii="Times New Roman" w:hAnsi="Times New Roman" w:cs="Times New Roman"/>
          <w:b/>
          <w:bCs/>
          <w:sz w:val="24"/>
          <w:szCs w:val="24"/>
          <w:lang w:val="en-US"/>
        </w:rPr>
      </w:pPr>
      <w:r w:rsidRPr="001E7B6C">
        <w:rPr>
          <w:rFonts w:ascii="Times New Roman" w:hAnsi="Times New Roman" w:cs="Times New Roman"/>
          <w:b/>
          <w:bCs/>
          <w:sz w:val="24"/>
          <w:szCs w:val="24"/>
          <w:lang w:val="en-US"/>
        </w:rPr>
        <w:lastRenderedPageBreak/>
        <w:t>Introduction</w:t>
      </w:r>
      <w:bookmarkEnd w:id="1"/>
      <w:r w:rsidRPr="001E7B6C">
        <w:rPr>
          <w:rFonts w:ascii="Times New Roman" w:hAnsi="Times New Roman" w:cs="Times New Roman"/>
          <w:b/>
          <w:bCs/>
          <w:sz w:val="24"/>
          <w:szCs w:val="24"/>
          <w:lang w:val="en-US"/>
        </w:rPr>
        <w:t xml:space="preserve"> </w:t>
      </w:r>
    </w:p>
    <w:p w14:paraId="34434282" w14:textId="77777777" w:rsidR="00B70EA6" w:rsidRPr="00B70EA6" w:rsidRDefault="00B70EA6" w:rsidP="00B70EA6">
      <w:pPr>
        <w:pStyle w:val="NormalWeb"/>
        <w:spacing w:before="240" w:beforeAutospacing="0" w:after="240" w:afterAutospacing="0" w:line="360" w:lineRule="auto"/>
        <w:jc w:val="both"/>
      </w:pPr>
      <w:r w:rsidRPr="00B70EA6">
        <w:t xml:space="preserve">The provided report is constituted to evaluate the significance of international financial management (IFM) implications associated with the United Kingdom (UK) based multinational organisation "Tesco Plc". Hence, the assignment proceeds to present critical discussion about Tesco Plc's dividend distribution policy, operations, and projects apprising approaches supported by adequate theories. </w:t>
      </w:r>
    </w:p>
    <w:p w14:paraId="135B42B5" w14:textId="77777777" w:rsidR="00B70EA6" w:rsidRPr="00B70EA6" w:rsidRDefault="00B70EA6" w:rsidP="00B70EA6">
      <w:pPr>
        <w:pStyle w:val="Heading1"/>
        <w:rPr>
          <w:rFonts w:cs="Times New Roman"/>
          <w:szCs w:val="24"/>
          <w:lang w:val="en-US"/>
        </w:rPr>
      </w:pPr>
      <w:bookmarkStart w:id="2" w:name="_Toc140239754"/>
      <w:r w:rsidRPr="00B70EA6">
        <w:rPr>
          <w:rFonts w:cs="Times New Roman"/>
          <w:szCs w:val="24"/>
          <w:lang w:val="en-US"/>
        </w:rPr>
        <w:t>Critically analysis dividend distribution policy of Tesco Plc</w:t>
      </w:r>
      <w:bookmarkEnd w:id="2"/>
      <w:r w:rsidRPr="00B70EA6">
        <w:rPr>
          <w:rFonts w:cs="Times New Roman"/>
          <w:szCs w:val="24"/>
          <w:lang w:val="en-US"/>
        </w:rPr>
        <w:t xml:space="preserve"> </w:t>
      </w:r>
    </w:p>
    <w:p w14:paraId="2F1AC630" w14:textId="77777777" w:rsidR="00B70EA6" w:rsidRPr="00B70EA6" w:rsidRDefault="00B70EA6" w:rsidP="00B70EA6">
      <w:pPr>
        <w:pStyle w:val="NormalWeb"/>
        <w:spacing w:before="240" w:beforeAutospacing="0" w:after="240" w:afterAutospacing="0" w:line="360" w:lineRule="auto"/>
        <w:jc w:val="both"/>
      </w:pPr>
      <w:r w:rsidRPr="00B70EA6">
        <w:t>Tesco Plc recognised as the second largest retailer multinational corporation in the globe associated with its revenue structure after Walmart. However, the company has a long history of offering dividends to its potential shareholders, and its dividend policy has subjects evolving over the period.</w:t>
      </w:r>
    </w:p>
    <w:p w14:paraId="3131EE43" w14:textId="77777777" w:rsidR="00B70EA6" w:rsidRPr="00B70EA6" w:rsidRDefault="00B70EA6" w:rsidP="00B70EA6">
      <w:pPr>
        <w:pStyle w:val="NormalWeb"/>
        <w:spacing w:before="240" w:beforeAutospacing="0" w:after="240" w:afterAutospacing="0" w:line="360" w:lineRule="auto"/>
        <w:jc w:val="both"/>
      </w:pPr>
      <w:r w:rsidRPr="00B70EA6">
        <w:t xml:space="preserve">The dividend policy of Tesco Plc was relatively conservative in the early periods. As opined by </w:t>
      </w:r>
      <w:r w:rsidRPr="00B70EA6">
        <w:rPr>
          <w:shd w:val="clear" w:color="auto" w:fill="FFFFFF"/>
        </w:rPr>
        <w:t xml:space="preserve">Moura (2021), </w:t>
      </w:r>
      <w:r w:rsidRPr="00B70EA6">
        <w:t>the organisation engages to provide a stable dividend, which is regarded as not associated with their actual earnings. Moreover, this specific policy was introduced to offer shareholders a relevant income level, even during economic downturn periods. In the 1990s, the dividend policy of Tesco Plc emerged more aggressive. The firm commenced to provide a higher dividend valuation, which was paid respectively to its ultimate earnings. Furthermore, this policy was demonstrated to retain and attract investors and also to offer rewards to their shareholders for their collaboration (</w:t>
      </w:r>
      <w:r w:rsidRPr="00B70EA6">
        <w:rPr>
          <w:shd w:val="clear" w:color="auto" w:fill="FFFFFF"/>
        </w:rPr>
        <w:t>Moura, 2021)</w:t>
      </w:r>
      <w:r w:rsidRPr="00B70EA6">
        <w:t>. The dividend policy of Tesco Plc in recent periods has emerged as significant caution. The firm has decreased its dividend pay-out ratio and it has also suspended its dividend structure on numerous occasions. This policy was specifically considered for cash preservation for investment purposes and also to decrease the financial risk of the corporation.</w:t>
      </w:r>
    </w:p>
    <w:p w14:paraId="638E5D79" w14:textId="77777777" w:rsidR="00B70EA6" w:rsidRPr="00B70EA6" w:rsidRDefault="00B70EA6" w:rsidP="00B70EA6">
      <w:pPr>
        <w:pStyle w:val="NormalWeb"/>
        <w:spacing w:before="240" w:beforeAutospacing="0" w:after="240" w:afterAutospacing="0" w:line="360" w:lineRule="auto"/>
        <w:jc w:val="both"/>
      </w:pPr>
      <w:r w:rsidRPr="00B70EA6">
        <w:rPr>
          <w:noProof/>
        </w:rPr>
        <w:drawing>
          <wp:inline distT="0" distB="0" distL="0" distR="0" wp14:anchorId="0A9F0E14" wp14:editId="12EBDB67">
            <wp:extent cx="5730240" cy="1811215"/>
            <wp:effectExtent l="0" t="0" r="3810" b="0"/>
            <wp:docPr id="1" name="Picture 1" descr="Dividend Irrelevance Theory - What Is It, Assumption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vidend Irrelevance Theory - What Is It, Assumptions, Examples"/>
                    <pic:cNvPicPr>
                      <a:picLocks noChangeAspect="1" noChangeArrowheads="1"/>
                    </pic:cNvPicPr>
                  </pic:nvPicPr>
                  <pic:blipFill>
                    <a:blip r:embed="rId5">
                      <a:extLst>
                        <a:ext uri="{28A0092B-C50C-407E-A947-70E740481C1C}">
                          <a14:useLocalDpi xmlns:a14="http://schemas.microsoft.com/office/drawing/2010/main" val="0"/>
                        </a:ext>
                      </a:extLst>
                    </a:blip>
                    <a:srcRect t="24377" b="16541"/>
                    <a:stretch>
                      <a:fillRect/>
                    </a:stretch>
                  </pic:blipFill>
                  <pic:spPr bwMode="auto">
                    <a:xfrm>
                      <a:off x="0" y="0"/>
                      <a:ext cx="5731510" cy="1811616"/>
                    </a:xfrm>
                    <a:prstGeom prst="rect">
                      <a:avLst/>
                    </a:prstGeom>
                    <a:noFill/>
                    <a:ln>
                      <a:noFill/>
                    </a:ln>
                    <a:extLst>
                      <a:ext uri="{53640926-AAD7-44D8-BBD7-CCE9431645EC}">
                        <a14:shadowObscured xmlns:a14="http://schemas.microsoft.com/office/drawing/2010/main"/>
                      </a:ext>
                    </a:extLst>
                  </pic:spPr>
                </pic:pic>
              </a:graphicData>
            </a:graphic>
          </wp:inline>
        </w:drawing>
      </w:r>
    </w:p>
    <w:p w14:paraId="67A4E2B1" w14:textId="77777777" w:rsidR="00B70EA6" w:rsidRPr="00B70EA6" w:rsidRDefault="00B70EA6" w:rsidP="00B70EA6">
      <w:pPr>
        <w:pStyle w:val="NormalWeb"/>
        <w:spacing w:before="240" w:beforeAutospacing="0" w:after="240" w:afterAutospacing="0" w:line="360" w:lineRule="auto"/>
        <w:jc w:val="center"/>
        <w:rPr>
          <w:b/>
        </w:rPr>
      </w:pPr>
      <w:r w:rsidRPr="00B70EA6">
        <w:rPr>
          <w:b/>
        </w:rPr>
        <w:lastRenderedPageBreak/>
        <w:t>Figure 1: Dividend irrelevance theory</w:t>
      </w:r>
    </w:p>
    <w:p w14:paraId="3B99842E" w14:textId="77777777" w:rsidR="00B70EA6" w:rsidRPr="00B70EA6" w:rsidRDefault="00B70EA6" w:rsidP="00B70EA6">
      <w:pPr>
        <w:pStyle w:val="NormalWeb"/>
        <w:spacing w:before="240" w:beforeAutospacing="0" w:after="240" w:afterAutospacing="0" w:line="360" w:lineRule="auto"/>
        <w:jc w:val="center"/>
      </w:pPr>
      <w:r w:rsidRPr="00B70EA6">
        <w:t xml:space="preserve">(Source: </w:t>
      </w:r>
      <w:r w:rsidRPr="00B70EA6">
        <w:rPr>
          <w:shd w:val="clear" w:color="auto" w:fill="FFFFFF"/>
        </w:rPr>
        <w:t xml:space="preserve">Ain and </w:t>
      </w:r>
      <w:proofErr w:type="spellStart"/>
      <w:r w:rsidRPr="00B70EA6">
        <w:rPr>
          <w:shd w:val="clear" w:color="auto" w:fill="FFFFFF"/>
        </w:rPr>
        <w:t>Manping</w:t>
      </w:r>
      <w:proofErr w:type="spellEnd"/>
      <w:r w:rsidRPr="00B70EA6">
        <w:rPr>
          <w:shd w:val="clear" w:color="auto" w:fill="FFFFFF"/>
        </w:rPr>
        <w:t>, 2022)</w:t>
      </w:r>
    </w:p>
    <w:p w14:paraId="0B70B76D" w14:textId="77777777" w:rsidR="00B70EA6" w:rsidRPr="00B70EA6" w:rsidRDefault="00B70EA6" w:rsidP="00B70EA6">
      <w:pPr>
        <w:pStyle w:val="NormalWeb"/>
        <w:spacing w:before="240" w:beforeAutospacing="0" w:after="240" w:afterAutospacing="0" w:line="360" w:lineRule="auto"/>
        <w:jc w:val="both"/>
      </w:pPr>
      <w:r w:rsidRPr="00B70EA6">
        <w:t xml:space="preserve">There exist numerous international finance management theories that can be considered to analyse the dividend distribution policy of Tesco Plc. One theory is subject to the dividend irrelevance theory, which implies that the corporation's valuation is not impacted by its dividend policy implication. As mentioned by </w:t>
      </w:r>
      <w:r w:rsidRPr="00B70EA6">
        <w:rPr>
          <w:shd w:val="clear" w:color="auto" w:fill="FFFFFF"/>
        </w:rPr>
        <w:t xml:space="preserve">Ain and </w:t>
      </w:r>
      <w:proofErr w:type="spellStart"/>
      <w:r w:rsidRPr="00B70EA6">
        <w:rPr>
          <w:shd w:val="clear" w:color="auto" w:fill="FFFFFF"/>
        </w:rPr>
        <w:t>Manping</w:t>
      </w:r>
      <w:proofErr w:type="spellEnd"/>
      <w:r w:rsidRPr="00B70EA6">
        <w:rPr>
          <w:shd w:val="clear" w:color="auto" w:fill="FFFFFF"/>
        </w:rPr>
        <w:t xml:space="preserve"> (2022)</w:t>
      </w:r>
      <w:r w:rsidRPr="00B70EA6">
        <w:t>, this policy is presented on an ideology that investors can develop their own dividend policy by selling or buying shares of the corporation. Relative to this theory, it can be said that the dividend policy of Tesco Plc poses no impact on its valuation level. Another major theory evolving is the dividend clientele theory, which indicates that there prevail various forms of investors who prefer diverse dividend policies (</w:t>
      </w:r>
      <w:proofErr w:type="spellStart"/>
      <w:r w:rsidRPr="00B70EA6">
        <w:rPr>
          <w:shd w:val="clear" w:color="auto" w:fill="FFFFFF"/>
        </w:rPr>
        <w:t>Mafiejor</w:t>
      </w:r>
      <w:proofErr w:type="spellEnd"/>
      <w:r w:rsidRPr="00B70EA6">
        <w:rPr>
          <w:shd w:val="clear" w:color="auto" w:fill="FFFFFF"/>
        </w:rPr>
        <w:t>, 2021)</w:t>
      </w:r>
      <w:r w:rsidRPr="00B70EA6">
        <w:t xml:space="preserve">. For instance, certain investors prefer corporations that reinvest their incomes, whereas others prefer firms that offer higher dividends. Based on this specific theory, it can be said that the dividend policy of Tesco Plc might attract certain investors and deter others. Irrespective of this, the residual dividend theory emphasises that corporations must pay out dividends only after they have fulfilled their investment requirements. As identified by </w:t>
      </w:r>
      <w:proofErr w:type="spellStart"/>
      <w:r w:rsidRPr="00B70EA6">
        <w:rPr>
          <w:shd w:val="clear" w:color="auto" w:fill="FFFFFF"/>
        </w:rPr>
        <w:t>Muriungi</w:t>
      </w:r>
      <w:proofErr w:type="spellEnd"/>
      <w:r w:rsidRPr="00B70EA6">
        <w:rPr>
          <w:shd w:val="clear" w:color="auto" w:fill="FFFFFF"/>
        </w:rPr>
        <w:t xml:space="preserve"> and Mwangi (2020), </w:t>
      </w:r>
      <w:r w:rsidRPr="00B70EA6">
        <w:t xml:space="preserve">this theory relies on an ideology that firms must first fund their incomes in context to enhance their business level. Concerning this, it can be said that the dividend policy of Tesco Plc is relevant as the firm has been funding its income for the purpose to influence its business further. </w:t>
      </w:r>
    </w:p>
    <w:p w14:paraId="7E39747C" w14:textId="77777777" w:rsidR="00B70EA6" w:rsidRPr="00B70EA6" w:rsidRDefault="00B70EA6" w:rsidP="00B70EA6">
      <w:pPr>
        <w:pStyle w:val="Heading1"/>
        <w:rPr>
          <w:rFonts w:cs="Times New Roman"/>
          <w:szCs w:val="24"/>
          <w:lang w:val="en-US"/>
        </w:rPr>
      </w:pPr>
      <w:bookmarkStart w:id="3" w:name="_Toc140239755"/>
      <w:r w:rsidRPr="00B70EA6">
        <w:rPr>
          <w:rFonts w:cs="Times New Roman"/>
          <w:szCs w:val="24"/>
          <w:lang w:val="en-US"/>
        </w:rPr>
        <w:t>Evaluation of the efficient market hypothesis theory relative to Tesco Plc’s operations</w:t>
      </w:r>
      <w:bookmarkEnd w:id="3"/>
      <w:r w:rsidRPr="00B70EA6">
        <w:rPr>
          <w:rFonts w:cs="Times New Roman"/>
          <w:szCs w:val="24"/>
          <w:lang w:val="en-US"/>
        </w:rPr>
        <w:t xml:space="preserve"> </w:t>
      </w:r>
    </w:p>
    <w:p w14:paraId="7D36B978" w14:textId="77777777" w:rsidR="00B70EA6" w:rsidRPr="00B70EA6" w:rsidRDefault="00B70EA6" w:rsidP="00B70EA6">
      <w:pPr>
        <w:pStyle w:val="NormalWeb"/>
        <w:spacing w:before="240" w:beforeAutospacing="0" w:after="240" w:afterAutospacing="0" w:line="360" w:lineRule="auto"/>
        <w:jc w:val="center"/>
      </w:pPr>
      <w:r w:rsidRPr="00B70EA6">
        <w:rPr>
          <w:noProof/>
        </w:rPr>
        <w:drawing>
          <wp:inline distT="0" distB="0" distL="0" distR="0" wp14:anchorId="7D4CB27D" wp14:editId="02686ED5">
            <wp:extent cx="5004879" cy="2172583"/>
            <wp:effectExtent l="0" t="0" r="5715" b="0"/>
            <wp:docPr id="2" name="Picture 2" descr="Market Efficiency - Concept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Market Efficiency - Concepts - YouTube"/>
                    <pic:cNvPicPr>
                      <a:picLocks noChangeAspect="1" noChangeArrowheads="1"/>
                    </pic:cNvPicPr>
                  </pic:nvPicPr>
                  <pic:blipFill>
                    <a:blip r:embed="rId6">
                      <a:extLst>
                        <a:ext uri="{28A0092B-C50C-407E-A947-70E740481C1C}">
                          <a14:useLocalDpi xmlns:a14="http://schemas.microsoft.com/office/drawing/2010/main" val="0"/>
                        </a:ext>
                      </a:extLst>
                    </a:blip>
                    <a:srcRect t="27047" b="15118"/>
                    <a:stretch>
                      <a:fillRect/>
                    </a:stretch>
                  </pic:blipFill>
                  <pic:spPr bwMode="auto">
                    <a:xfrm>
                      <a:off x="0" y="0"/>
                      <a:ext cx="5013718" cy="2176420"/>
                    </a:xfrm>
                    <a:prstGeom prst="rect">
                      <a:avLst/>
                    </a:prstGeom>
                    <a:noFill/>
                    <a:ln>
                      <a:noFill/>
                    </a:ln>
                    <a:extLst>
                      <a:ext uri="{53640926-AAD7-44D8-BBD7-CCE9431645EC}">
                        <a14:shadowObscured xmlns:a14="http://schemas.microsoft.com/office/drawing/2010/main"/>
                      </a:ext>
                    </a:extLst>
                  </pic:spPr>
                </pic:pic>
              </a:graphicData>
            </a:graphic>
          </wp:inline>
        </w:drawing>
      </w:r>
    </w:p>
    <w:p w14:paraId="37763D89" w14:textId="77777777" w:rsidR="00B70EA6" w:rsidRPr="00B70EA6" w:rsidRDefault="00B70EA6" w:rsidP="00B70EA6">
      <w:pPr>
        <w:pStyle w:val="NormalWeb"/>
        <w:spacing w:before="240" w:beforeAutospacing="0" w:after="240" w:afterAutospacing="0" w:line="360" w:lineRule="auto"/>
        <w:jc w:val="center"/>
        <w:rPr>
          <w:b/>
        </w:rPr>
      </w:pPr>
      <w:r w:rsidRPr="00B70EA6">
        <w:rPr>
          <w:b/>
        </w:rPr>
        <w:t>Figure 2: Three different levels of EMH</w:t>
      </w:r>
    </w:p>
    <w:p w14:paraId="4E237DDF" w14:textId="77777777" w:rsidR="00B70EA6" w:rsidRPr="00B70EA6" w:rsidRDefault="00B70EA6" w:rsidP="00B70EA6">
      <w:pPr>
        <w:pStyle w:val="NormalWeb"/>
        <w:spacing w:before="240" w:beforeAutospacing="0" w:after="240" w:afterAutospacing="0" w:line="360" w:lineRule="auto"/>
        <w:jc w:val="center"/>
      </w:pPr>
      <w:r w:rsidRPr="00B70EA6">
        <w:t xml:space="preserve">(Source: </w:t>
      </w:r>
      <w:proofErr w:type="spellStart"/>
      <w:r w:rsidRPr="00B70EA6">
        <w:rPr>
          <w:shd w:val="clear" w:color="auto" w:fill="FFFFFF"/>
        </w:rPr>
        <w:t>Gabaix</w:t>
      </w:r>
      <w:proofErr w:type="spellEnd"/>
      <w:r w:rsidRPr="00B70EA6">
        <w:rPr>
          <w:shd w:val="clear" w:color="auto" w:fill="FFFFFF"/>
        </w:rPr>
        <w:t xml:space="preserve"> and </w:t>
      </w:r>
      <w:proofErr w:type="spellStart"/>
      <w:r w:rsidRPr="00B70EA6">
        <w:rPr>
          <w:shd w:val="clear" w:color="auto" w:fill="FFFFFF"/>
        </w:rPr>
        <w:t>Koijen</w:t>
      </w:r>
      <w:proofErr w:type="spellEnd"/>
      <w:r w:rsidRPr="00B70EA6">
        <w:rPr>
          <w:shd w:val="clear" w:color="auto" w:fill="FFFFFF"/>
        </w:rPr>
        <w:t>, 2021)</w:t>
      </w:r>
    </w:p>
    <w:p w14:paraId="42A0AA54" w14:textId="77777777" w:rsidR="00B70EA6" w:rsidRPr="00B70EA6" w:rsidRDefault="00B70EA6" w:rsidP="00B70EA6">
      <w:pPr>
        <w:pStyle w:val="NormalWeb"/>
        <w:spacing w:before="240" w:beforeAutospacing="0" w:after="240" w:afterAutospacing="0" w:line="360" w:lineRule="auto"/>
        <w:jc w:val="both"/>
      </w:pPr>
      <w:r w:rsidRPr="00B70EA6">
        <w:lastRenderedPageBreak/>
        <w:t>The efficient market hypothesis (EMH) signifies a theory that indicates that the stock process highlights all existing information and hence it is considered impossible to continuously beat the market. Concerning this perception, there remain three different EMH levels as mentioned here.</w:t>
      </w:r>
    </w:p>
    <w:p w14:paraId="28B33BF2" w14:textId="77777777" w:rsidR="00B70EA6" w:rsidRPr="00B70EA6" w:rsidRDefault="00B70EA6" w:rsidP="00B70EA6">
      <w:pPr>
        <w:pStyle w:val="NormalWeb"/>
        <w:spacing w:before="240" w:beforeAutospacing="0" w:after="240" w:afterAutospacing="0" w:line="360" w:lineRule="auto"/>
        <w:jc w:val="both"/>
      </w:pPr>
      <w:r w:rsidRPr="00B70EA6">
        <w:rPr>
          <w:b/>
          <w:bCs/>
          <w:i/>
          <w:iCs/>
        </w:rPr>
        <w:t xml:space="preserve">Weak form EMH: </w:t>
      </w:r>
      <w:r w:rsidRPr="00B70EA6">
        <w:t>This reflects that past valuations cannot be considered to forecast future prices (</w:t>
      </w:r>
      <w:proofErr w:type="spellStart"/>
      <w:r w:rsidRPr="00B70EA6">
        <w:rPr>
          <w:shd w:val="clear" w:color="auto" w:fill="FFFFFF"/>
        </w:rPr>
        <w:t>Ausloos</w:t>
      </w:r>
      <w:proofErr w:type="spellEnd"/>
      <w:r w:rsidRPr="00B70EA6">
        <w:rPr>
          <w:shd w:val="clear" w:color="auto" w:fill="FFFFFF"/>
        </w:rPr>
        <w:t>, 2020)</w:t>
      </w:r>
      <w:r w:rsidRPr="00B70EA6">
        <w:t>.</w:t>
      </w:r>
    </w:p>
    <w:p w14:paraId="7F0F8E2C" w14:textId="77777777" w:rsidR="00B70EA6" w:rsidRPr="00B70EA6" w:rsidRDefault="00B70EA6" w:rsidP="00B70EA6">
      <w:pPr>
        <w:pStyle w:val="NormalWeb"/>
        <w:spacing w:before="240" w:beforeAutospacing="0" w:after="240" w:afterAutospacing="0" w:line="360" w:lineRule="auto"/>
        <w:jc w:val="both"/>
      </w:pPr>
      <w:r w:rsidRPr="00B70EA6">
        <w:rPr>
          <w:b/>
          <w:bCs/>
          <w:i/>
          <w:iCs/>
        </w:rPr>
        <w:t xml:space="preserve">Semi strong form EMH: </w:t>
      </w:r>
      <w:r w:rsidRPr="00B70EA6">
        <w:t>This indicates that every publicly available data is presented in prices comprising the firm's financial statements, past valuations and analyst reports (</w:t>
      </w:r>
      <w:proofErr w:type="spellStart"/>
      <w:r w:rsidRPr="00B70EA6">
        <w:rPr>
          <w:shd w:val="clear" w:color="auto" w:fill="FFFFFF"/>
        </w:rPr>
        <w:t>Gabaix</w:t>
      </w:r>
      <w:proofErr w:type="spellEnd"/>
      <w:r w:rsidRPr="00B70EA6">
        <w:rPr>
          <w:shd w:val="clear" w:color="auto" w:fill="FFFFFF"/>
        </w:rPr>
        <w:t xml:space="preserve"> and </w:t>
      </w:r>
      <w:proofErr w:type="spellStart"/>
      <w:r w:rsidRPr="00B70EA6">
        <w:rPr>
          <w:shd w:val="clear" w:color="auto" w:fill="FFFFFF"/>
        </w:rPr>
        <w:t>Koijen</w:t>
      </w:r>
      <w:proofErr w:type="spellEnd"/>
      <w:r w:rsidRPr="00B70EA6">
        <w:rPr>
          <w:shd w:val="clear" w:color="auto" w:fill="FFFFFF"/>
        </w:rPr>
        <w:t>, 2021)</w:t>
      </w:r>
      <w:r w:rsidRPr="00B70EA6">
        <w:t>.</w:t>
      </w:r>
    </w:p>
    <w:p w14:paraId="12CE3755" w14:textId="77777777" w:rsidR="00B70EA6" w:rsidRPr="00B70EA6" w:rsidRDefault="00B70EA6" w:rsidP="00B70EA6">
      <w:pPr>
        <w:pStyle w:val="NormalWeb"/>
        <w:spacing w:before="240" w:beforeAutospacing="0" w:after="240" w:afterAutospacing="0" w:line="360" w:lineRule="auto"/>
        <w:jc w:val="both"/>
      </w:pPr>
      <w:r w:rsidRPr="00B70EA6">
        <w:rPr>
          <w:b/>
          <w:bCs/>
          <w:i/>
          <w:iCs/>
        </w:rPr>
        <w:t>Strong form EMH:</w:t>
      </w:r>
      <w:r w:rsidRPr="00B70EA6">
        <w:t xml:space="preserve"> this signifies that even every private data is presented in prices comprising insider information.</w:t>
      </w:r>
    </w:p>
    <w:p w14:paraId="0C2D6969" w14:textId="77777777" w:rsidR="00B70EA6" w:rsidRPr="00B70EA6" w:rsidRDefault="00B70EA6" w:rsidP="00B70EA6">
      <w:pPr>
        <w:pStyle w:val="NormalWeb"/>
        <w:spacing w:before="240" w:beforeAutospacing="0" w:after="240" w:afterAutospacing="0" w:line="360" w:lineRule="auto"/>
        <w:jc w:val="both"/>
      </w:pPr>
      <w:r w:rsidRPr="00B70EA6">
        <w:t xml:space="preserve">Relative to the selected multinational corporation, Tesco Plc identifies as one of the largest retailers in the globe having operations in nearly 10 different nations. Moreover, the EMH can be incorporated into Tesco Plc’s operations in several forms. For instance, the weak-form EMH implies that Tesco’s investors consistently cannot beat the market by simply trading on previous price movements. As judged by </w:t>
      </w:r>
      <w:proofErr w:type="spellStart"/>
      <w:r w:rsidRPr="00B70EA6">
        <w:rPr>
          <w:shd w:val="clear" w:color="auto" w:fill="FFFFFF"/>
        </w:rPr>
        <w:t>Soni</w:t>
      </w:r>
      <w:proofErr w:type="spellEnd"/>
      <w:r w:rsidRPr="00B70EA6">
        <w:rPr>
          <w:shd w:val="clear" w:color="auto" w:fill="FFFFFF"/>
        </w:rPr>
        <w:t xml:space="preserve"> and Desai (2019), </w:t>
      </w:r>
      <w:r w:rsidRPr="00B70EA6">
        <w:t>this is because the market intends to already pose prices in any data that can be generated from their past structures. Besides, the semi-strong form EMH emphasises that Tesco Plc investors continuously cannot beat the market through trading simply on available public information. It is so because the market is entitled to have priced any data that remain available publicly. Additionally, the strong form of EMH presents that Tesco's investors consistently cannot beat the market, although by the medium of insider information trading already posing pricing any data of the market that is aware to insiders.</w:t>
      </w:r>
    </w:p>
    <w:p w14:paraId="45319718" w14:textId="77777777" w:rsidR="00B70EA6" w:rsidRPr="00B70EA6" w:rsidRDefault="00B70EA6" w:rsidP="00B70EA6">
      <w:pPr>
        <w:pStyle w:val="NormalWeb"/>
        <w:spacing w:before="240" w:beforeAutospacing="0" w:after="240" w:afterAutospacing="0" w:line="360" w:lineRule="auto"/>
        <w:jc w:val="both"/>
      </w:pPr>
      <w:r w:rsidRPr="00B70EA6">
        <w:t xml:space="preserve">There exists certain evidence for EMH support relative to Tesco Plc's operations. It can be said that the corporation's stock prices that have been accused of accounting fraud are entitled to a significant fall. As distinguished by </w:t>
      </w:r>
      <w:r w:rsidRPr="00B70EA6">
        <w:rPr>
          <w:shd w:val="clear" w:color="auto" w:fill="FFFFFF"/>
        </w:rPr>
        <w:t xml:space="preserve">Evans (2022), </w:t>
      </w:r>
      <w:r w:rsidRPr="00B70EA6">
        <w:t>this implies that the market remains able to price its new data, even though it is explored negatively. Irrespective of this, there also prevails certain evidence that leads to EMH contradictions. It can be referred to that Tesco Plc investors who purchase stocks that have underperformed recently in the market are likely to acquire higher returns over the long term. This implies that there might be certain opportunities for beating the market, although they are subject difficult to explore (</w:t>
      </w:r>
      <w:proofErr w:type="spellStart"/>
      <w:r w:rsidRPr="00B70EA6">
        <w:rPr>
          <w:shd w:val="clear" w:color="auto" w:fill="FFFFFF"/>
        </w:rPr>
        <w:t>Ausloos</w:t>
      </w:r>
      <w:proofErr w:type="spellEnd"/>
      <w:r w:rsidRPr="00B70EA6">
        <w:rPr>
          <w:shd w:val="clear" w:color="auto" w:fill="FFFFFF"/>
        </w:rPr>
        <w:t>, 2020)</w:t>
      </w:r>
      <w:r w:rsidRPr="00B70EA6">
        <w:t xml:space="preserve">. The financial </w:t>
      </w:r>
      <w:r w:rsidRPr="00B70EA6">
        <w:lastRenderedPageBreak/>
        <w:t xml:space="preserve">performance of Tesco Plc is another factor that might impact its stock price level. Hence, it can be said that EMH is a complex theory that is entitled to pose significant debate. </w:t>
      </w:r>
    </w:p>
    <w:p w14:paraId="1A7E452B" w14:textId="77777777" w:rsidR="00B70EA6" w:rsidRPr="00B70EA6" w:rsidRDefault="00B70EA6" w:rsidP="00B70EA6">
      <w:pPr>
        <w:pStyle w:val="Heading1"/>
        <w:rPr>
          <w:rFonts w:cs="Times New Roman"/>
          <w:szCs w:val="24"/>
          <w:lang w:val="en-US"/>
        </w:rPr>
      </w:pPr>
      <w:bookmarkStart w:id="4" w:name="_Toc140239756"/>
      <w:r w:rsidRPr="00B70EA6">
        <w:rPr>
          <w:rFonts w:cs="Times New Roman"/>
          <w:szCs w:val="24"/>
          <w:lang w:val="en-US"/>
        </w:rPr>
        <w:t>Critically discussion of Tesco Plc’s methods of projects appraising</w:t>
      </w:r>
      <w:bookmarkEnd w:id="4"/>
      <w:r w:rsidRPr="00B70EA6">
        <w:rPr>
          <w:rFonts w:cs="Times New Roman"/>
          <w:szCs w:val="24"/>
          <w:lang w:val="en-US"/>
        </w:rPr>
        <w:t xml:space="preserve"> </w:t>
      </w:r>
    </w:p>
    <w:p w14:paraId="7930471A"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noProof/>
          <w:sz w:val="24"/>
          <w:szCs w:val="24"/>
          <w:lang w:eastAsia="en-IN"/>
        </w:rPr>
        <w:drawing>
          <wp:inline distT="0" distB="0" distL="0" distR="0" wp14:anchorId="7B7099CC" wp14:editId="29C91EB3">
            <wp:extent cx="5731510" cy="3484880"/>
            <wp:effectExtent l="0" t="0" r="2540" b="1270"/>
            <wp:docPr id="5" name="Picture 5"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method&#10;&#10;Description automatically generated"/>
                    <pic:cNvPicPr/>
                  </pic:nvPicPr>
                  <pic:blipFill>
                    <a:blip r:embed="rId7"/>
                    <a:stretch>
                      <a:fillRect/>
                    </a:stretch>
                  </pic:blipFill>
                  <pic:spPr>
                    <a:xfrm>
                      <a:off x="0" y="0"/>
                      <a:ext cx="5731510" cy="3484880"/>
                    </a:xfrm>
                    <a:prstGeom prst="rect">
                      <a:avLst/>
                    </a:prstGeom>
                  </pic:spPr>
                </pic:pic>
              </a:graphicData>
            </a:graphic>
          </wp:inline>
        </w:drawing>
      </w:r>
    </w:p>
    <w:p w14:paraId="4C24B166" w14:textId="77777777" w:rsidR="00B70EA6" w:rsidRPr="00B70EA6" w:rsidRDefault="00B70EA6" w:rsidP="00B70EA6">
      <w:pPr>
        <w:spacing w:line="360" w:lineRule="auto"/>
        <w:jc w:val="center"/>
        <w:rPr>
          <w:rFonts w:ascii="Times New Roman" w:hAnsi="Times New Roman" w:cs="Times New Roman"/>
          <w:b/>
          <w:sz w:val="24"/>
          <w:szCs w:val="24"/>
          <w:lang w:val="en-US"/>
        </w:rPr>
      </w:pPr>
      <w:r w:rsidRPr="00B70EA6">
        <w:rPr>
          <w:rFonts w:ascii="Times New Roman" w:hAnsi="Times New Roman" w:cs="Times New Roman"/>
          <w:b/>
          <w:sz w:val="24"/>
          <w:szCs w:val="24"/>
          <w:lang w:val="en-US"/>
        </w:rPr>
        <w:t xml:space="preserve">Figure 3: Various methods of projects appraisals </w:t>
      </w:r>
      <w:proofErr w:type="spellStart"/>
      <w:r w:rsidRPr="00B70EA6">
        <w:rPr>
          <w:rFonts w:ascii="Times New Roman" w:hAnsi="Times New Roman" w:cs="Times New Roman"/>
          <w:b/>
          <w:sz w:val="24"/>
          <w:szCs w:val="24"/>
          <w:lang w:val="en-US"/>
        </w:rPr>
        <w:t>utilises</w:t>
      </w:r>
      <w:proofErr w:type="spellEnd"/>
      <w:r w:rsidRPr="00B70EA6">
        <w:rPr>
          <w:rFonts w:ascii="Times New Roman" w:hAnsi="Times New Roman" w:cs="Times New Roman"/>
          <w:b/>
          <w:sz w:val="24"/>
          <w:szCs w:val="24"/>
          <w:lang w:val="en-US"/>
        </w:rPr>
        <w:t xml:space="preserve"> by Tesco Plc</w:t>
      </w:r>
    </w:p>
    <w:p w14:paraId="36B660C2" w14:textId="77777777" w:rsidR="00B70EA6" w:rsidRPr="00B70EA6" w:rsidRDefault="00B70EA6" w:rsidP="00B70EA6">
      <w:pPr>
        <w:spacing w:line="360" w:lineRule="auto"/>
        <w:jc w:val="center"/>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(Source: </w:t>
      </w:r>
      <w:proofErr w:type="spellStart"/>
      <w:r w:rsidRPr="00B70EA6">
        <w:rPr>
          <w:rFonts w:ascii="Times New Roman" w:hAnsi="Times New Roman" w:cs="Times New Roman"/>
          <w:sz w:val="24"/>
          <w:szCs w:val="24"/>
          <w:shd w:val="clear" w:color="auto" w:fill="FFFFFF"/>
        </w:rPr>
        <w:t>Siziba</w:t>
      </w:r>
      <w:proofErr w:type="spellEnd"/>
      <w:r w:rsidRPr="00B70EA6">
        <w:rPr>
          <w:rFonts w:ascii="Times New Roman" w:hAnsi="Times New Roman" w:cs="Times New Roman"/>
          <w:sz w:val="24"/>
          <w:szCs w:val="24"/>
          <w:shd w:val="clear" w:color="auto" w:fill="FFFFFF"/>
        </w:rPr>
        <w:t xml:space="preserve"> and Hall, 2021)</w:t>
      </w:r>
    </w:p>
    <w:p w14:paraId="0DAACFFE"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Tesco Plc considers numerous project appraisal methods in context to make effective investment decisions as illustrated here.</w:t>
      </w:r>
    </w:p>
    <w:p w14:paraId="6CF9EAC2"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b/>
          <w:i/>
          <w:sz w:val="24"/>
          <w:szCs w:val="24"/>
          <w:lang w:val="en-US"/>
        </w:rPr>
        <w:t>Net present value (NPV):</w:t>
      </w:r>
      <w:r w:rsidRPr="00B70EA6">
        <w:rPr>
          <w:rFonts w:ascii="Times New Roman" w:hAnsi="Times New Roman" w:cs="Times New Roman"/>
          <w:sz w:val="24"/>
          <w:szCs w:val="24"/>
          <w:lang w:val="en-US"/>
        </w:rPr>
        <w:t xml:space="preserve"> With this approach, the initial investment is compared to the present value of all projected future cash flows. The project is financially viable if the NPV is positive.</w:t>
      </w:r>
    </w:p>
    <w:p w14:paraId="4AB00A1D"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b/>
          <w:i/>
          <w:sz w:val="24"/>
          <w:szCs w:val="24"/>
          <w:lang w:val="en-US"/>
        </w:rPr>
        <w:t>Internal rate of return (IRR):</w:t>
      </w:r>
      <w:r w:rsidRPr="00B70EA6">
        <w:rPr>
          <w:rFonts w:ascii="Times New Roman" w:hAnsi="Times New Roman" w:cs="Times New Roman"/>
          <w:sz w:val="24"/>
          <w:szCs w:val="24"/>
          <w:lang w:val="en-US"/>
        </w:rPr>
        <w:t xml:space="preserve"> The discount rate needed to reduce a project's NPV to zero is determined using this method. The anticipated rate of return for a project is measured by its IRR.</w:t>
      </w:r>
    </w:p>
    <w:p w14:paraId="5E80DB1E"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b/>
          <w:i/>
          <w:sz w:val="24"/>
          <w:szCs w:val="24"/>
          <w:lang w:val="en-US"/>
        </w:rPr>
        <w:t>Payback period (PP):</w:t>
      </w:r>
      <w:r w:rsidRPr="00B70EA6">
        <w:rPr>
          <w:rFonts w:ascii="Times New Roman" w:hAnsi="Times New Roman" w:cs="Times New Roman"/>
          <w:sz w:val="24"/>
          <w:szCs w:val="24"/>
          <w:lang w:val="en-US"/>
        </w:rPr>
        <w:t xml:space="preserve"> The length of time the project takes to generate enough cash flow to recoup its initial expenditure is determined using this method. As considered by </w:t>
      </w:r>
      <w:proofErr w:type="spellStart"/>
      <w:r w:rsidRPr="00B70EA6">
        <w:rPr>
          <w:rFonts w:ascii="Times New Roman" w:hAnsi="Times New Roman" w:cs="Times New Roman"/>
          <w:sz w:val="24"/>
          <w:szCs w:val="24"/>
          <w:shd w:val="clear" w:color="auto" w:fill="FFFFFF"/>
        </w:rPr>
        <w:t>Siziba</w:t>
      </w:r>
      <w:proofErr w:type="spellEnd"/>
      <w:r w:rsidRPr="00B70EA6">
        <w:rPr>
          <w:rFonts w:ascii="Times New Roman" w:hAnsi="Times New Roman" w:cs="Times New Roman"/>
          <w:sz w:val="24"/>
          <w:szCs w:val="24"/>
          <w:shd w:val="clear" w:color="auto" w:fill="FFFFFF"/>
        </w:rPr>
        <w:t xml:space="preserve"> and Hall (2021), </w:t>
      </w:r>
      <w:r w:rsidRPr="00B70EA6">
        <w:rPr>
          <w:rFonts w:ascii="Times New Roman" w:hAnsi="Times New Roman" w:cs="Times New Roman"/>
          <w:sz w:val="24"/>
          <w:szCs w:val="24"/>
          <w:lang w:val="en-US"/>
        </w:rPr>
        <w:t>a project has a greater chance of being profitable if the payback period is shorter.</w:t>
      </w:r>
    </w:p>
    <w:p w14:paraId="1062ECE9"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b/>
          <w:i/>
          <w:sz w:val="24"/>
          <w:szCs w:val="24"/>
          <w:lang w:val="en-US"/>
        </w:rPr>
        <w:lastRenderedPageBreak/>
        <w:t>Accounting rate of return (ARR):</w:t>
      </w:r>
      <w:r w:rsidRPr="00B70EA6">
        <w:rPr>
          <w:rFonts w:ascii="Times New Roman" w:hAnsi="Times New Roman" w:cs="Times New Roman"/>
          <w:sz w:val="24"/>
          <w:szCs w:val="24"/>
          <w:lang w:val="en-US"/>
        </w:rPr>
        <w:t xml:space="preserve"> Using this technique, the average annual return from a project is calculated as a share of the initial investment. A project's profitability is indicated by a higher ARR.</w:t>
      </w:r>
    </w:p>
    <w:p w14:paraId="3E276669"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International finance management theories are consistent with Tesco Plc's usage of these investment appraisal approaches. As referred by </w:t>
      </w:r>
      <w:proofErr w:type="spellStart"/>
      <w:r w:rsidRPr="00B70EA6">
        <w:rPr>
          <w:rFonts w:ascii="Times New Roman" w:hAnsi="Times New Roman" w:cs="Times New Roman"/>
          <w:sz w:val="24"/>
          <w:szCs w:val="24"/>
          <w:shd w:val="clear" w:color="auto" w:fill="FFFFFF"/>
        </w:rPr>
        <w:t>Naim</w:t>
      </w:r>
      <w:proofErr w:type="spellEnd"/>
      <w:r w:rsidRPr="00B70EA6">
        <w:rPr>
          <w:rFonts w:ascii="Times New Roman" w:hAnsi="Times New Roman" w:cs="Times New Roman"/>
          <w:sz w:val="24"/>
          <w:szCs w:val="24"/>
          <w:shd w:val="clear" w:color="auto" w:fill="FFFFFF"/>
        </w:rPr>
        <w:t xml:space="preserve"> (2022), </w:t>
      </w:r>
      <w:r w:rsidRPr="00B70EA6">
        <w:rPr>
          <w:rFonts w:ascii="Times New Roman" w:hAnsi="Times New Roman" w:cs="Times New Roman"/>
          <w:sz w:val="24"/>
          <w:szCs w:val="24"/>
          <w:lang w:val="en-US"/>
        </w:rPr>
        <w:t>discounted cash flow methods, such as IRR and NPV, are two of the project appraisal techniques that are thought to be the most relevant for Tesco Plc. Non-discounted cash flow methods including ARR and PP are less precise but are simpler to compute.</w:t>
      </w:r>
    </w:p>
    <w:p w14:paraId="089093BA" w14:textId="46B36B2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It is regarded as a good ideology that Tesco Plc uses several techniques for project appraisal. </w:t>
      </w:r>
      <w:r w:rsidR="0052431B" w:rsidRPr="00B70EA6">
        <w:rPr>
          <w:rFonts w:ascii="Times New Roman" w:hAnsi="Times New Roman" w:cs="Times New Roman"/>
          <w:sz w:val="24"/>
          <w:szCs w:val="24"/>
          <w:lang w:val="en-US"/>
        </w:rPr>
        <w:t>Therefore</w:t>
      </w:r>
      <w:r w:rsidRPr="00B70EA6">
        <w:rPr>
          <w:rFonts w:ascii="Times New Roman" w:hAnsi="Times New Roman" w:cs="Times New Roman"/>
          <w:sz w:val="24"/>
          <w:szCs w:val="24"/>
          <w:lang w:val="en-US"/>
        </w:rPr>
        <w:t>, the business intends to evaluate initiatives from several angles and come to more informed judgments. Moreover, it is significant to mention that no individual project appraisal method is perfect (</w:t>
      </w:r>
      <w:proofErr w:type="spellStart"/>
      <w:r w:rsidRPr="00B70EA6">
        <w:rPr>
          <w:rFonts w:ascii="Times New Roman" w:hAnsi="Times New Roman" w:cs="Times New Roman"/>
          <w:sz w:val="24"/>
          <w:szCs w:val="24"/>
          <w:shd w:val="clear" w:color="auto" w:fill="FFFFFF"/>
        </w:rPr>
        <w:t>Magni</w:t>
      </w:r>
      <w:proofErr w:type="spellEnd"/>
      <w:r w:rsidRPr="00B70EA6">
        <w:rPr>
          <w:rFonts w:ascii="Times New Roman" w:hAnsi="Times New Roman" w:cs="Times New Roman"/>
          <w:sz w:val="24"/>
          <w:szCs w:val="24"/>
          <w:shd w:val="clear" w:color="auto" w:fill="FFFFFF"/>
        </w:rPr>
        <w:t>, 2020)</w:t>
      </w:r>
      <w:r w:rsidRPr="00B70EA6">
        <w:rPr>
          <w:rFonts w:ascii="Times New Roman" w:hAnsi="Times New Roman" w:cs="Times New Roman"/>
          <w:sz w:val="24"/>
          <w:szCs w:val="24"/>
          <w:lang w:val="en-US"/>
        </w:rPr>
        <w:t xml:space="preserve">. The most suitable approach for a given project specifically relies on the </w:t>
      </w:r>
      <w:proofErr w:type="gramStart"/>
      <w:r w:rsidRPr="00B70EA6">
        <w:rPr>
          <w:rFonts w:ascii="Times New Roman" w:hAnsi="Times New Roman" w:cs="Times New Roman"/>
          <w:sz w:val="24"/>
          <w:szCs w:val="24"/>
          <w:lang w:val="en-US"/>
        </w:rPr>
        <w:t>particular scenarios</w:t>
      </w:r>
      <w:proofErr w:type="gramEnd"/>
      <w:r w:rsidRPr="00B70EA6">
        <w:rPr>
          <w:rFonts w:ascii="Times New Roman" w:hAnsi="Times New Roman" w:cs="Times New Roman"/>
          <w:sz w:val="24"/>
          <w:szCs w:val="24"/>
          <w:lang w:val="en-US"/>
        </w:rPr>
        <w:t xml:space="preserve"> because each method has advantages and disadvantages of its own.</w:t>
      </w:r>
    </w:p>
    <w:p w14:paraId="2D800849"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 xml:space="preserve">In addition to the approaches previously described, Tesco Plc also </w:t>
      </w:r>
      <w:proofErr w:type="gramStart"/>
      <w:r w:rsidRPr="00B70EA6">
        <w:rPr>
          <w:rFonts w:ascii="Times New Roman" w:hAnsi="Times New Roman" w:cs="Times New Roman"/>
          <w:sz w:val="24"/>
          <w:szCs w:val="24"/>
          <w:lang w:val="en-US"/>
        </w:rPr>
        <w:t>takes into account</w:t>
      </w:r>
      <w:proofErr w:type="gramEnd"/>
      <w:r w:rsidRPr="00B70EA6">
        <w:rPr>
          <w:rFonts w:ascii="Times New Roman" w:hAnsi="Times New Roman" w:cs="Times New Roman"/>
          <w:sz w:val="24"/>
          <w:szCs w:val="24"/>
          <w:lang w:val="en-US"/>
        </w:rPr>
        <w:t xml:space="preserve"> additional elements when evaluating projects. As highlighted by </w:t>
      </w:r>
      <w:proofErr w:type="spellStart"/>
      <w:r w:rsidRPr="00B70EA6">
        <w:rPr>
          <w:rFonts w:ascii="Times New Roman" w:hAnsi="Times New Roman" w:cs="Times New Roman"/>
          <w:sz w:val="24"/>
          <w:szCs w:val="24"/>
          <w:shd w:val="clear" w:color="auto" w:fill="FFFFFF"/>
        </w:rPr>
        <w:t>Aprayuda</w:t>
      </w:r>
      <w:proofErr w:type="spellEnd"/>
      <w:r w:rsidRPr="00B70EA6">
        <w:rPr>
          <w:rFonts w:ascii="Times New Roman" w:hAnsi="Times New Roman" w:cs="Times New Roman"/>
          <w:sz w:val="24"/>
          <w:szCs w:val="24"/>
          <w:shd w:val="clear" w:color="auto" w:fill="FFFFFF"/>
        </w:rPr>
        <w:t xml:space="preserve"> </w:t>
      </w:r>
      <w:r w:rsidRPr="00B70EA6">
        <w:rPr>
          <w:rFonts w:ascii="Times New Roman" w:hAnsi="Times New Roman" w:cs="Times New Roman"/>
          <w:i/>
          <w:sz w:val="24"/>
          <w:szCs w:val="24"/>
          <w:shd w:val="clear" w:color="auto" w:fill="FFFFFF"/>
        </w:rPr>
        <w:t>et al.</w:t>
      </w:r>
      <w:r w:rsidRPr="00B70EA6">
        <w:rPr>
          <w:rFonts w:ascii="Times New Roman" w:hAnsi="Times New Roman" w:cs="Times New Roman"/>
          <w:sz w:val="24"/>
          <w:szCs w:val="24"/>
          <w:shd w:val="clear" w:color="auto" w:fill="FFFFFF"/>
        </w:rPr>
        <w:t xml:space="preserve"> (2021), </w:t>
      </w:r>
      <w:r w:rsidRPr="00B70EA6">
        <w:rPr>
          <w:rFonts w:ascii="Times New Roman" w:hAnsi="Times New Roman" w:cs="Times New Roman"/>
          <w:sz w:val="24"/>
          <w:szCs w:val="24"/>
          <w:lang w:val="en-US"/>
        </w:rPr>
        <w:t>these include the strategic alignment of the project with the company's overarching goals, the project's level of risk, and the availability of resources. The business also reviews all projects when they are finished in term to compare their performance to the initial projections (</w:t>
      </w:r>
      <w:proofErr w:type="spellStart"/>
      <w:r w:rsidRPr="00B70EA6">
        <w:rPr>
          <w:rFonts w:ascii="Times New Roman" w:hAnsi="Times New Roman" w:cs="Times New Roman"/>
          <w:sz w:val="24"/>
          <w:szCs w:val="24"/>
          <w:shd w:val="clear" w:color="auto" w:fill="FFFFFF"/>
        </w:rPr>
        <w:t>Magni</w:t>
      </w:r>
      <w:proofErr w:type="spellEnd"/>
      <w:r w:rsidRPr="00B70EA6">
        <w:rPr>
          <w:rFonts w:ascii="Times New Roman" w:hAnsi="Times New Roman" w:cs="Times New Roman"/>
          <w:sz w:val="24"/>
          <w:szCs w:val="24"/>
          <w:shd w:val="clear" w:color="auto" w:fill="FFFFFF"/>
        </w:rPr>
        <w:t>, 2020)</w:t>
      </w:r>
      <w:r w:rsidRPr="00B70EA6">
        <w:rPr>
          <w:rFonts w:ascii="Times New Roman" w:hAnsi="Times New Roman" w:cs="Times New Roman"/>
          <w:sz w:val="24"/>
          <w:szCs w:val="24"/>
          <w:lang w:val="en-US"/>
        </w:rPr>
        <w:t>.</w:t>
      </w:r>
    </w:p>
    <w:p w14:paraId="23CA9776" w14:textId="77777777" w:rsidR="00B70EA6" w:rsidRPr="00B70EA6" w:rsidRDefault="00B70EA6" w:rsidP="00B70EA6">
      <w:pPr>
        <w:spacing w:line="360" w:lineRule="auto"/>
        <w:jc w:val="both"/>
        <w:rPr>
          <w:rFonts w:ascii="Times New Roman" w:hAnsi="Times New Roman" w:cs="Times New Roman"/>
          <w:sz w:val="24"/>
          <w:szCs w:val="24"/>
          <w:lang w:val="en-US"/>
        </w:rPr>
      </w:pPr>
      <w:r w:rsidRPr="00B70EA6">
        <w:rPr>
          <w:rFonts w:ascii="Times New Roman" w:hAnsi="Times New Roman" w:cs="Times New Roman"/>
          <w:sz w:val="24"/>
          <w:szCs w:val="24"/>
          <w:lang w:val="en-US"/>
        </w:rPr>
        <w:t>Hence, the project appraisal techniques of Tesco Plc are reliable and in line with ideas of international finance management theories The Corporation employs a range of techniques to evaluate projects from various angles, and it also takes other aspects, including risk and strategic fit, into account when making adequate investment relative judgments.</w:t>
      </w:r>
    </w:p>
    <w:p w14:paraId="2E215386" w14:textId="77777777" w:rsidR="00B70EA6" w:rsidRDefault="00B70EA6" w:rsidP="00B70EA6">
      <w:pPr>
        <w:pStyle w:val="Heading1"/>
        <w:rPr>
          <w:rFonts w:cs="Times New Roman"/>
          <w:szCs w:val="24"/>
          <w:lang w:val="en-US"/>
        </w:rPr>
      </w:pPr>
      <w:bookmarkStart w:id="5" w:name="_Toc140239757"/>
      <w:r w:rsidRPr="00B70EA6">
        <w:rPr>
          <w:rFonts w:cs="Times New Roman"/>
          <w:szCs w:val="24"/>
          <w:lang w:val="en-US"/>
        </w:rPr>
        <w:t>Conclusion</w:t>
      </w:r>
      <w:bookmarkEnd w:id="5"/>
      <w:r w:rsidRPr="00B70EA6">
        <w:rPr>
          <w:rFonts w:cs="Times New Roman"/>
          <w:szCs w:val="24"/>
          <w:lang w:val="en-US"/>
        </w:rPr>
        <w:t xml:space="preserve"> </w:t>
      </w:r>
    </w:p>
    <w:p w14:paraId="4F8E045C" w14:textId="02E5C523" w:rsidR="00B70EA6" w:rsidRPr="00B70EA6" w:rsidRDefault="001E7B6C" w:rsidP="001E7B6C">
      <w:pPr>
        <w:spacing w:line="360" w:lineRule="auto"/>
        <w:jc w:val="both"/>
        <w:rPr>
          <w:rFonts w:ascii="Times New Roman" w:hAnsi="Times New Roman" w:cs="Times New Roman"/>
          <w:sz w:val="24"/>
          <w:szCs w:val="24"/>
          <w:lang w:val="en-US"/>
        </w:rPr>
      </w:pPr>
      <w:r w:rsidRPr="001E7B6C">
        <w:rPr>
          <w:rFonts w:ascii="Times New Roman" w:hAnsi="Times New Roman" w:cs="Times New Roman"/>
          <w:sz w:val="24"/>
          <w:szCs w:val="24"/>
          <w:lang w:val="en-US"/>
        </w:rPr>
        <w:t>Tesco PLC's ability to successfully navigate the complexity of global financial markets depends on its use of international financial management.</w:t>
      </w:r>
      <w:r>
        <w:rPr>
          <w:rFonts w:ascii="Times New Roman" w:hAnsi="Times New Roman" w:cs="Times New Roman"/>
          <w:sz w:val="24"/>
          <w:szCs w:val="24"/>
          <w:lang w:val="en-US"/>
        </w:rPr>
        <w:t xml:space="preserve"> I</w:t>
      </w:r>
      <w:r w:rsidR="00B70EA6" w:rsidRPr="00B70EA6">
        <w:rPr>
          <w:rFonts w:ascii="Times New Roman" w:hAnsi="Times New Roman" w:cs="Times New Roman"/>
          <w:sz w:val="24"/>
          <w:szCs w:val="24"/>
          <w:lang w:val="en-US"/>
        </w:rPr>
        <w:t xml:space="preserve">t can be concluded that the dividend policy of Tesco Plc has changed throughout the period and has been the focus of various theories. Tesco Plc's activities were compared to the EMH, and it was determined that there is evidence both supporting and refuting this idea. </w:t>
      </w:r>
      <w:r w:rsidRPr="001E7B6C">
        <w:rPr>
          <w:rFonts w:ascii="Times New Roman" w:hAnsi="Times New Roman" w:cs="Times New Roman"/>
          <w:sz w:val="24"/>
          <w:szCs w:val="24"/>
          <w:lang w:val="en-US"/>
        </w:rPr>
        <w:t xml:space="preserve">Tesco is committed to </w:t>
      </w:r>
      <w:r w:rsidRPr="001E7B6C">
        <w:rPr>
          <w:rFonts w:ascii="Times New Roman" w:hAnsi="Times New Roman" w:cs="Times New Roman"/>
          <w:sz w:val="24"/>
          <w:szCs w:val="24"/>
          <w:lang w:val="en-US"/>
        </w:rPr>
        <w:t>maximizing</w:t>
      </w:r>
      <w:r w:rsidRPr="001E7B6C">
        <w:rPr>
          <w:rFonts w:ascii="Times New Roman" w:hAnsi="Times New Roman" w:cs="Times New Roman"/>
          <w:sz w:val="24"/>
          <w:szCs w:val="24"/>
          <w:lang w:val="en-US"/>
        </w:rPr>
        <w:t xml:space="preserve"> value and making wise financial decisions in </w:t>
      </w:r>
      <w:r w:rsidR="0052431B" w:rsidRPr="001E7B6C">
        <w:rPr>
          <w:rFonts w:ascii="Times New Roman" w:hAnsi="Times New Roman" w:cs="Times New Roman"/>
          <w:sz w:val="24"/>
          <w:szCs w:val="24"/>
          <w:lang w:val="en-US"/>
        </w:rPr>
        <w:t>all</w:t>
      </w:r>
      <w:r w:rsidRPr="001E7B6C">
        <w:rPr>
          <w:rFonts w:ascii="Times New Roman" w:hAnsi="Times New Roman" w:cs="Times New Roman"/>
          <w:sz w:val="24"/>
          <w:szCs w:val="24"/>
          <w:lang w:val="en-US"/>
        </w:rPr>
        <w:t xml:space="preserve"> its international operations, as shown by the examination of its dividend policy, the use of the Efficient Market Hypothesis, and the use of project appraisal techniques.</w:t>
      </w:r>
    </w:p>
    <w:p w14:paraId="164A1E9B" w14:textId="77777777" w:rsidR="00B70EA6" w:rsidRPr="00B70EA6" w:rsidRDefault="00B70EA6" w:rsidP="00B70EA6">
      <w:pPr>
        <w:pStyle w:val="Heading1"/>
        <w:rPr>
          <w:rFonts w:cs="Times New Roman"/>
          <w:szCs w:val="24"/>
          <w:lang w:val="en-US"/>
        </w:rPr>
      </w:pPr>
      <w:bookmarkStart w:id="6" w:name="_Toc140239758"/>
      <w:r w:rsidRPr="00B70EA6">
        <w:rPr>
          <w:rFonts w:cs="Times New Roman"/>
          <w:szCs w:val="24"/>
          <w:lang w:val="en-US"/>
        </w:rPr>
        <w:lastRenderedPageBreak/>
        <w:t>Bibliography</w:t>
      </w:r>
      <w:bookmarkEnd w:id="6"/>
      <w:r w:rsidRPr="00B70EA6">
        <w:rPr>
          <w:rFonts w:cs="Times New Roman"/>
          <w:szCs w:val="24"/>
          <w:lang w:val="en-US"/>
        </w:rPr>
        <w:t xml:space="preserve"> </w:t>
      </w:r>
    </w:p>
    <w:p w14:paraId="3484EA57"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r w:rsidRPr="00B70EA6">
        <w:rPr>
          <w:rFonts w:ascii="Times New Roman" w:hAnsi="Times New Roman" w:cs="Times New Roman"/>
          <w:sz w:val="24"/>
          <w:szCs w:val="24"/>
          <w:shd w:val="clear" w:color="auto" w:fill="FFFFFF"/>
        </w:rPr>
        <w:t xml:space="preserve">Ain, Q.U. and </w:t>
      </w:r>
      <w:proofErr w:type="spellStart"/>
      <w:r w:rsidRPr="00B70EA6">
        <w:rPr>
          <w:rFonts w:ascii="Times New Roman" w:hAnsi="Times New Roman" w:cs="Times New Roman"/>
          <w:sz w:val="24"/>
          <w:szCs w:val="24"/>
          <w:shd w:val="clear" w:color="auto" w:fill="FFFFFF"/>
        </w:rPr>
        <w:t>Manping</w:t>
      </w:r>
      <w:proofErr w:type="spellEnd"/>
      <w:r w:rsidRPr="00B70EA6">
        <w:rPr>
          <w:rFonts w:ascii="Times New Roman" w:hAnsi="Times New Roman" w:cs="Times New Roman"/>
          <w:sz w:val="24"/>
          <w:szCs w:val="24"/>
          <w:shd w:val="clear" w:color="auto" w:fill="FFFFFF"/>
        </w:rPr>
        <w:t>, T., (2022). Determinants of Dividend Policy of Non-Financial Publicly Traded Firms: A Review. </w:t>
      </w:r>
      <w:r w:rsidRPr="00B70EA6">
        <w:rPr>
          <w:rFonts w:ascii="Times New Roman" w:hAnsi="Times New Roman" w:cs="Times New Roman"/>
          <w:i/>
          <w:iCs/>
          <w:sz w:val="24"/>
          <w:szCs w:val="24"/>
          <w:shd w:val="clear" w:color="auto" w:fill="FFFFFF"/>
        </w:rPr>
        <w:t>Journal of Advanced Research in Economics and Administrative Sciences</w:t>
      </w:r>
      <w:r w:rsidRPr="00B70EA6">
        <w:rPr>
          <w:rFonts w:ascii="Times New Roman" w:hAnsi="Times New Roman" w:cs="Times New Roman"/>
          <w:sz w:val="24"/>
          <w:szCs w:val="24"/>
          <w:shd w:val="clear" w:color="auto" w:fill="FFFFFF"/>
        </w:rPr>
        <w:t>, </w:t>
      </w:r>
      <w:r w:rsidRPr="00B70EA6">
        <w:rPr>
          <w:rFonts w:ascii="Times New Roman" w:hAnsi="Times New Roman" w:cs="Times New Roman"/>
          <w:i/>
          <w:iCs/>
          <w:sz w:val="24"/>
          <w:szCs w:val="24"/>
          <w:shd w:val="clear" w:color="auto" w:fill="FFFFFF"/>
        </w:rPr>
        <w:t>3</w:t>
      </w:r>
      <w:r w:rsidRPr="00B70EA6">
        <w:rPr>
          <w:rFonts w:ascii="Times New Roman" w:hAnsi="Times New Roman" w:cs="Times New Roman"/>
          <w:sz w:val="24"/>
          <w:szCs w:val="24"/>
          <w:shd w:val="clear" w:color="auto" w:fill="FFFFFF"/>
        </w:rPr>
        <w:t>(2), pp.95-112.</w:t>
      </w:r>
    </w:p>
    <w:p w14:paraId="6A1ED0C3"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Aprayuda</w:t>
      </w:r>
      <w:proofErr w:type="spellEnd"/>
      <w:r w:rsidRPr="00B70EA6">
        <w:rPr>
          <w:rFonts w:ascii="Times New Roman" w:hAnsi="Times New Roman" w:cs="Times New Roman"/>
          <w:sz w:val="24"/>
          <w:szCs w:val="24"/>
          <w:shd w:val="clear" w:color="auto" w:fill="FFFFFF"/>
        </w:rPr>
        <w:t xml:space="preserve">, R., </w:t>
      </w:r>
      <w:proofErr w:type="spellStart"/>
      <w:r w:rsidRPr="00B70EA6">
        <w:rPr>
          <w:rFonts w:ascii="Times New Roman" w:hAnsi="Times New Roman" w:cs="Times New Roman"/>
          <w:sz w:val="24"/>
          <w:szCs w:val="24"/>
          <w:shd w:val="clear" w:color="auto" w:fill="FFFFFF"/>
        </w:rPr>
        <w:t>Misra</w:t>
      </w:r>
      <w:proofErr w:type="spellEnd"/>
      <w:r w:rsidRPr="00B70EA6">
        <w:rPr>
          <w:rFonts w:ascii="Times New Roman" w:hAnsi="Times New Roman" w:cs="Times New Roman"/>
          <w:sz w:val="24"/>
          <w:szCs w:val="24"/>
          <w:shd w:val="clear" w:color="auto" w:fill="FFFFFF"/>
        </w:rPr>
        <w:t>, F. and Kartika, R., (2021). Does the order of information affect investors' investment decisions? Experimental investigation. </w:t>
      </w:r>
      <w:r w:rsidRPr="00B70EA6">
        <w:rPr>
          <w:rFonts w:ascii="Times New Roman" w:hAnsi="Times New Roman" w:cs="Times New Roman"/>
          <w:i/>
          <w:iCs/>
          <w:sz w:val="24"/>
          <w:szCs w:val="24"/>
          <w:shd w:val="clear" w:color="auto" w:fill="FFFFFF"/>
        </w:rPr>
        <w:t>Journal of Accounting and Investment</w:t>
      </w:r>
      <w:r w:rsidRPr="00B70EA6">
        <w:rPr>
          <w:rFonts w:ascii="Times New Roman" w:hAnsi="Times New Roman" w:cs="Times New Roman"/>
          <w:sz w:val="24"/>
          <w:szCs w:val="24"/>
          <w:shd w:val="clear" w:color="auto" w:fill="FFFFFF"/>
        </w:rPr>
        <w:t>, </w:t>
      </w:r>
      <w:r w:rsidRPr="00B70EA6">
        <w:rPr>
          <w:rFonts w:ascii="Times New Roman" w:hAnsi="Times New Roman" w:cs="Times New Roman"/>
          <w:i/>
          <w:iCs/>
          <w:sz w:val="24"/>
          <w:szCs w:val="24"/>
          <w:shd w:val="clear" w:color="auto" w:fill="FFFFFF"/>
        </w:rPr>
        <w:t>22</w:t>
      </w:r>
      <w:r w:rsidRPr="00B70EA6">
        <w:rPr>
          <w:rFonts w:ascii="Times New Roman" w:hAnsi="Times New Roman" w:cs="Times New Roman"/>
          <w:sz w:val="24"/>
          <w:szCs w:val="24"/>
          <w:shd w:val="clear" w:color="auto" w:fill="FFFFFF"/>
        </w:rPr>
        <w:t>(1), pp.150-172.</w:t>
      </w:r>
    </w:p>
    <w:p w14:paraId="3B3BBBC8"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Ausloos</w:t>
      </w:r>
      <w:proofErr w:type="spellEnd"/>
      <w:r w:rsidRPr="00B70EA6">
        <w:rPr>
          <w:rFonts w:ascii="Times New Roman" w:hAnsi="Times New Roman" w:cs="Times New Roman"/>
          <w:sz w:val="24"/>
          <w:szCs w:val="24"/>
          <w:shd w:val="clear" w:color="auto" w:fill="FFFFFF"/>
        </w:rPr>
        <w:t>, M., (2020). Valuation Models Applied to Value-Based Management—Application to the Case of UK Companies with Problems. </w:t>
      </w:r>
      <w:r w:rsidRPr="00B70EA6">
        <w:rPr>
          <w:rFonts w:ascii="Times New Roman" w:hAnsi="Times New Roman" w:cs="Times New Roman"/>
          <w:i/>
          <w:iCs/>
          <w:sz w:val="24"/>
          <w:szCs w:val="24"/>
          <w:shd w:val="clear" w:color="auto" w:fill="FFFFFF"/>
        </w:rPr>
        <w:t>Forecasting</w:t>
      </w:r>
      <w:r w:rsidRPr="00B70EA6">
        <w:rPr>
          <w:rFonts w:ascii="Times New Roman" w:hAnsi="Times New Roman" w:cs="Times New Roman"/>
          <w:sz w:val="24"/>
          <w:szCs w:val="24"/>
          <w:shd w:val="clear" w:color="auto" w:fill="FFFFFF"/>
        </w:rPr>
        <w:t>, </w:t>
      </w:r>
      <w:r w:rsidRPr="00B70EA6">
        <w:rPr>
          <w:rFonts w:ascii="Times New Roman" w:hAnsi="Times New Roman" w:cs="Times New Roman"/>
          <w:i/>
          <w:iCs/>
          <w:sz w:val="24"/>
          <w:szCs w:val="24"/>
          <w:shd w:val="clear" w:color="auto" w:fill="FFFFFF"/>
        </w:rPr>
        <w:t>2</w:t>
      </w:r>
      <w:r w:rsidRPr="00B70EA6">
        <w:rPr>
          <w:rFonts w:ascii="Times New Roman" w:hAnsi="Times New Roman" w:cs="Times New Roman"/>
          <w:sz w:val="24"/>
          <w:szCs w:val="24"/>
          <w:shd w:val="clear" w:color="auto" w:fill="FFFFFF"/>
        </w:rPr>
        <w:t>(4), pp.549-565.</w:t>
      </w:r>
    </w:p>
    <w:p w14:paraId="7D9FB38E"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r w:rsidRPr="00B70EA6">
        <w:rPr>
          <w:rFonts w:ascii="Times New Roman" w:hAnsi="Times New Roman" w:cs="Times New Roman"/>
          <w:sz w:val="24"/>
          <w:szCs w:val="24"/>
          <w:shd w:val="clear" w:color="auto" w:fill="FFFFFF"/>
        </w:rPr>
        <w:t>Evans, L., (2022). </w:t>
      </w:r>
      <w:r w:rsidRPr="00B70EA6">
        <w:rPr>
          <w:rFonts w:ascii="Times New Roman" w:hAnsi="Times New Roman" w:cs="Times New Roman"/>
          <w:i/>
          <w:iCs/>
          <w:sz w:val="24"/>
          <w:szCs w:val="24"/>
          <w:shd w:val="clear" w:color="auto" w:fill="FFFFFF"/>
        </w:rPr>
        <w:t>A Smart Data Ecosystem for the Monitoring of Financial Market Irregularities</w:t>
      </w:r>
      <w:r w:rsidRPr="00B70EA6">
        <w:rPr>
          <w:rFonts w:ascii="Times New Roman" w:hAnsi="Times New Roman" w:cs="Times New Roman"/>
          <w:sz w:val="24"/>
          <w:szCs w:val="24"/>
          <w:shd w:val="clear" w:color="auto" w:fill="FFFFFF"/>
        </w:rPr>
        <w:t> (Doctoral dissertation, Manchester Metropolitan University).</w:t>
      </w:r>
    </w:p>
    <w:p w14:paraId="72B84EDC"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Gabaix</w:t>
      </w:r>
      <w:proofErr w:type="spellEnd"/>
      <w:r w:rsidRPr="00B70EA6">
        <w:rPr>
          <w:rFonts w:ascii="Times New Roman" w:hAnsi="Times New Roman" w:cs="Times New Roman"/>
          <w:sz w:val="24"/>
          <w:szCs w:val="24"/>
          <w:shd w:val="clear" w:color="auto" w:fill="FFFFFF"/>
        </w:rPr>
        <w:t xml:space="preserve">, X. and </w:t>
      </w:r>
      <w:proofErr w:type="spellStart"/>
      <w:r w:rsidRPr="00B70EA6">
        <w:rPr>
          <w:rFonts w:ascii="Times New Roman" w:hAnsi="Times New Roman" w:cs="Times New Roman"/>
          <w:sz w:val="24"/>
          <w:szCs w:val="24"/>
          <w:shd w:val="clear" w:color="auto" w:fill="FFFFFF"/>
        </w:rPr>
        <w:t>Koijen</w:t>
      </w:r>
      <w:proofErr w:type="spellEnd"/>
      <w:r w:rsidRPr="00B70EA6">
        <w:rPr>
          <w:rFonts w:ascii="Times New Roman" w:hAnsi="Times New Roman" w:cs="Times New Roman"/>
          <w:sz w:val="24"/>
          <w:szCs w:val="24"/>
          <w:shd w:val="clear" w:color="auto" w:fill="FFFFFF"/>
        </w:rPr>
        <w:t>, R.S., (2021). </w:t>
      </w:r>
      <w:r w:rsidRPr="00B70EA6">
        <w:rPr>
          <w:rFonts w:ascii="Times New Roman" w:hAnsi="Times New Roman" w:cs="Times New Roman"/>
          <w:i/>
          <w:iCs/>
          <w:sz w:val="24"/>
          <w:szCs w:val="24"/>
          <w:shd w:val="clear" w:color="auto" w:fill="FFFFFF"/>
        </w:rPr>
        <w:t>In search of the origins of financial fluctuations: The inelastic markets hypothesis</w:t>
      </w:r>
      <w:r w:rsidRPr="00B70EA6">
        <w:rPr>
          <w:rFonts w:ascii="Times New Roman" w:hAnsi="Times New Roman" w:cs="Times New Roman"/>
          <w:sz w:val="24"/>
          <w:szCs w:val="24"/>
          <w:shd w:val="clear" w:color="auto" w:fill="FFFFFF"/>
        </w:rPr>
        <w:t> (No. w28967). National Bureau of Economic Research.</w:t>
      </w:r>
    </w:p>
    <w:p w14:paraId="23B64CED"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Mafiejor</w:t>
      </w:r>
      <w:proofErr w:type="spellEnd"/>
      <w:r w:rsidRPr="00B70EA6">
        <w:rPr>
          <w:rFonts w:ascii="Times New Roman" w:hAnsi="Times New Roman" w:cs="Times New Roman"/>
          <w:sz w:val="24"/>
          <w:szCs w:val="24"/>
          <w:shd w:val="clear" w:color="auto" w:fill="FFFFFF"/>
        </w:rPr>
        <w:t>, M.B., (2021). Analysis Of Dividend Policies, Theories, And Models.</w:t>
      </w:r>
    </w:p>
    <w:p w14:paraId="23B1F571" w14:textId="77777777" w:rsidR="00B70EA6" w:rsidRPr="00B70EA6" w:rsidRDefault="00B70EA6" w:rsidP="00B70EA6">
      <w:pPr>
        <w:spacing w:line="360" w:lineRule="auto"/>
        <w:jc w:val="both"/>
        <w:rPr>
          <w:rFonts w:ascii="Times New Roman" w:hAnsi="Times New Roman" w:cs="Times New Roman"/>
          <w:sz w:val="24"/>
          <w:szCs w:val="24"/>
          <w:lang w:val="en-US"/>
        </w:rPr>
      </w:pPr>
      <w:proofErr w:type="spellStart"/>
      <w:r w:rsidRPr="00B70EA6">
        <w:rPr>
          <w:rFonts w:ascii="Times New Roman" w:hAnsi="Times New Roman" w:cs="Times New Roman"/>
          <w:sz w:val="24"/>
          <w:szCs w:val="24"/>
          <w:shd w:val="clear" w:color="auto" w:fill="FFFFFF"/>
        </w:rPr>
        <w:t>Magni</w:t>
      </w:r>
      <w:proofErr w:type="spellEnd"/>
      <w:r w:rsidRPr="00B70EA6">
        <w:rPr>
          <w:rFonts w:ascii="Times New Roman" w:hAnsi="Times New Roman" w:cs="Times New Roman"/>
          <w:sz w:val="24"/>
          <w:szCs w:val="24"/>
          <w:shd w:val="clear" w:color="auto" w:fill="FFFFFF"/>
        </w:rPr>
        <w:t>, C.A., (2020). </w:t>
      </w:r>
      <w:r w:rsidRPr="00B70EA6">
        <w:rPr>
          <w:rFonts w:ascii="Times New Roman" w:hAnsi="Times New Roman" w:cs="Times New Roman"/>
          <w:i/>
          <w:iCs/>
          <w:sz w:val="24"/>
          <w:szCs w:val="24"/>
          <w:shd w:val="clear" w:color="auto" w:fill="FFFFFF"/>
        </w:rPr>
        <w:t>Investment decisions and the logic of valuation</w:t>
      </w:r>
      <w:r w:rsidRPr="00B70EA6">
        <w:rPr>
          <w:rFonts w:ascii="Times New Roman" w:hAnsi="Times New Roman" w:cs="Times New Roman"/>
          <w:sz w:val="24"/>
          <w:szCs w:val="24"/>
          <w:shd w:val="clear" w:color="auto" w:fill="FFFFFF"/>
        </w:rPr>
        <w:t> (Vol. 689). Springer International Publishing.</w:t>
      </w:r>
    </w:p>
    <w:p w14:paraId="7D21C59E"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r w:rsidRPr="00B70EA6">
        <w:rPr>
          <w:rFonts w:ascii="Times New Roman" w:hAnsi="Times New Roman" w:cs="Times New Roman"/>
          <w:sz w:val="24"/>
          <w:szCs w:val="24"/>
          <w:shd w:val="clear" w:color="auto" w:fill="FFFFFF"/>
        </w:rPr>
        <w:t>Moura, M.B.L.D., (2021). </w:t>
      </w:r>
      <w:r w:rsidRPr="00B70EA6">
        <w:rPr>
          <w:rFonts w:ascii="Times New Roman" w:hAnsi="Times New Roman" w:cs="Times New Roman"/>
          <w:i/>
          <w:iCs/>
          <w:sz w:val="24"/>
          <w:szCs w:val="24"/>
          <w:shd w:val="clear" w:color="auto" w:fill="FFFFFF"/>
        </w:rPr>
        <w:t>Equity Research in Food &amp; Retail Industry-TESCO PLC</w:t>
      </w:r>
      <w:r w:rsidRPr="00B70EA6">
        <w:rPr>
          <w:rFonts w:ascii="Times New Roman" w:hAnsi="Times New Roman" w:cs="Times New Roman"/>
          <w:sz w:val="24"/>
          <w:szCs w:val="24"/>
          <w:shd w:val="clear" w:color="auto" w:fill="FFFFFF"/>
        </w:rPr>
        <w:t xml:space="preserve"> (Doctoral dissertation, Instituto Superior de Economia e </w:t>
      </w:r>
      <w:proofErr w:type="spellStart"/>
      <w:r w:rsidRPr="00B70EA6">
        <w:rPr>
          <w:rFonts w:ascii="Times New Roman" w:hAnsi="Times New Roman" w:cs="Times New Roman"/>
          <w:sz w:val="24"/>
          <w:szCs w:val="24"/>
          <w:shd w:val="clear" w:color="auto" w:fill="FFFFFF"/>
        </w:rPr>
        <w:t>Gestão</w:t>
      </w:r>
      <w:proofErr w:type="spellEnd"/>
      <w:r w:rsidRPr="00B70EA6">
        <w:rPr>
          <w:rFonts w:ascii="Times New Roman" w:hAnsi="Times New Roman" w:cs="Times New Roman"/>
          <w:sz w:val="24"/>
          <w:szCs w:val="24"/>
          <w:shd w:val="clear" w:color="auto" w:fill="FFFFFF"/>
        </w:rPr>
        <w:t>).</w:t>
      </w:r>
    </w:p>
    <w:p w14:paraId="13A728E0"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Muriungi</w:t>
      </w:r>
      <w:proofErr w:type="spellEnd"/>
      <w:r w:rsidRPr="00B70EA6">
        <w:rPr>
          <w:rFonts w:ascii="Times New Roman" w:hAnsi="Times New Roman" w:cs="Times New Roman"/>
          <w:sz w:val="24"/>
          <w:szCs w:val="24"/>
          <w:shd w:val="clear" w:color="auto" w:fill="FFFFFF"/>
        </w:rPr>
        <w:t>, A. and Mwangi, M., (2020). Dividend theory and empirical evidence: a theoretical perspective.</w:t>
      </w:r>
    </w:p>
    <w:p w14:paraId="0ED7D133"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Naim</w:t>
      </w:r>
      <w:proofErr w:type="spellEnd"/>
      <w:r w:rsidRPr="00B70EA6">
        <w:rPr>
          <w:rFonts w:ascii="Times New Roman" w:hAnsi="Times New Roman" w:cs="Times New Roman"/>
          <w:sz w:val="24"/>
          <w:szCs w:val="24"/>
          <w:shd w:val="clear" w:color="auto" w:fill="FFFFFF"/>
        </w:rPr>
        <w:t>, A., (2022). Role of Accounting And Finance in Performance Appraisal. </w:t>
      </w:r>
      <w:r w:rsidRPr="00B70EA6">
        <w:rPr>
          <w:rFonts w:ascii="Times New Roman" w:hAnsi="Times New Roman" w:cs="Times New Roman"/>
          <w:i/>
          <w:iCs/>
          <w:sz w:val="24"/>
          <w:szCs w:val="24"/>
          <w:shd w:val="clear" w:color="auto" w:fill="FFFFFF"/>
        </w:rPr>
        <w:t>American Journal of Sociology, Economics and Tourism</w:t>
      </w:r>
      <w:r w:rsidRPr="00B70EA6">
        <w:rPr>
          <w:rFonts w:ascii="Times New Roman" w:hAnsi="Times New Roman" w:cs="Times New Roman"/>
          <w:sz w:val="24"/>
          <w:szCs w:val="24"/>
          <w:shd w:val="clear" w:color="auto" w:fill="FFFFFF"/>
        </w:rPr>
        <w:t>, </w:t>
      </w:r>
      <w:r w:rsidRPr="00B70EA6">
        <w:rPr>
          <w:rFonts w:ascii="Times New Roman" w:hAnsi="Times New Roman" w:cs="Times New Roman"/>
          <w:i/>
          <w:iCs/>
          <w:sz w:val="24"/>
          <w:szCs w:val="24"/>
          <w:shd w:val="clear" w:color="auto" w:fill="FFFFFF"/>
        </w:rPr>
        <w:t>1</w:t>
      </w:r>
      <w:r w:rsidRPr="00B70EA6">
        <w:rPr>
          <w:rFonts w:ascii="Times New Roman" w:hAnsi="Times New Roman" w:cs="Times New Roman"/>
          <w:sz w:val="24"/>
          <w:szCs w:val="24"/>
          <w:shd w:val="clear" w:color="auto" w:fill="FFFFFF"/>
        </w:rPr>
        <w:t>, pp.1-17.</w:t>
      </w:r>
    </w:p>
    <w:p w14:paraId="0881515F"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Siziba</w:t>
      </w:r>
      <w:proofErr w:type="spellEnd"/>
      <w:r w:rsidRPr="00B70EA6">
        <w:rPr>
          <w:rFonts w:ascii="Times New Roman" w:hAnsi="Times New Roman" w:cs="Times New Roman"/>
          <w:sz w:val="24"/>
          <w:szCs w:val="24"/>
          <w:shd w:val="clear" w:color="auto" w:fill="FFFFFF"/>
        </w:rPr>
        <w:t>, S. and Hall, J.H., (2021). The evolution of the application of capital budgeting techniques in enterprises. </w:t>
      </w:r>
      <w:r w:rsidRPr="00B70EA6">
        <w:rPr>
          <w:rFonts w:ascii="Times New Roman" w:hAnsi="Times New Roman" w:cs="Times New Roman"/>
          <w:i/>
          <w:iCs/>
          <w:sz w:val="24"/>
          <w:szCs w:val="24"/>
          <w:shd w:val="clear" w:color="auto" w:fill="FFFFFF"/>
        </w:rPr>
        <w:t>Global finance journal</w:t>
      </w:r>
      <w:r w:rsidRPr="00B70EA6">
        <w:rPr>
          <w:rFonts w:ascii="Times New Roman" w:hAnsi="Times New Roman" w:cs="Times New Roman"/>
          <w:sz w:val="24"/>
          <w:szCs w:val="24"/>
          <w:shd w:val="clear" w:color="auto" w:fill="FFFFFF"/>
        </w:rPr>
        <w:t>, </w:t>
      </w:r>
      <w:r w:rsidRPr="00B70EA6">
        <w:rPr>
          <w:rFonts w:ascii="Times New Roman" w:hAnsi="Times New Roman" w:cs="Times New Roman"/>
          <w:i/>
          <w:iCs/>
          <w:sz w:val="24"/>
          <w:szCs w:val="24"/>
          <w:shd w:val="clear" w:color="auto" w:fill="FFFFFF"/>
        </w:rPr>
        <w:t>47</w:t>
      </w:r>
      <w:r w:rsidRPr="00B70EA6">
        <w:rPr>
          <w:rFonts w:ascii="Times New Roman" w:hAnsi="Times New Roman" w:cs="Times New Roman"/>
          <w:sz w:val="24"/>
          <w:szCs w:val="24"/>
          <w:shd w:val="clear" w:color="auto" w:fill="FFFFFF"/>
        </w:rPr>
        <w:t>, p.100504.</w:t>
      </w:r>
    </w:p>
    <w:p w14:paraId="641B53B2" w14:textId="77777777" w:rsidR="00B70EA6" w:rsidRPr="00B70EA6" w:rsidRDefault="00B70EA6" w:rsidP="00B70EA6">
      <w:pPr>
        <w:spacing w:line="360" w:lineRule="auto"/>
        <w:jc w:val="both"/>
        <w:rPr>
          <w:rFonts w:ascii="Times New Roman" w:hAnsi="Times New Roman" w:cs="Times New Roman"/>
          <w:sz w:val="24"/>
          <w:szCs w:val="24"/>
          <w:shd w:val="clear" w:color="auto" w:fill="FFFFFF"/>
        </w:rPr>
      </w:pPr>
      <w:proofErr w:type="spellStart"/>
      <w:r w:rsidRPr="00B70EA6">
        <w:rPr>
          <w:rFonts w:ascii="Times New Roman" w:hAnsi="Times New Roman" w:cs="Times New Roman"/>
          <w:sz w:val="24"/>
          <w:szCs w:val="24"/>
          <w:shd w:val="clear" w:color="auto" w:fill="FFFFFF"/>
        </w:rPr>
        <w:t>Soni</w:t>
      </w:r>
      <w:proofErr w:type="spellEnd"/>
      <w:r w:rsidRPr="00B70EA6">
        <w:rPr>
          <w:rFonts w:ascii="Times New Roman" w:hAnsi="Times New Roman" w:cs="Times New Roman"/>
          <w:sz w:val="24"/>
          <w:szCs w:val="24"/>
          <w:shd w:val="clear" w:color="auto" w:fill="FFFFFF"/>
        </w:rPr>
        <w:t xml:space="preserve">, K. and Desai, M., (2019). A study on different </w:t>
      </w:r>
      <w:proofErr w:type="spellStart"/>
      <w:r w:rsidRPr="00B70EA6">
        <w:rPr>
          <w:rFonts w:ascii="Times New Roman" w:hAnsi="Times New Roman" w:cs="Times New Roman"/>
          <w:sz w:val="24"/>
          <w:szCs w:val="24"/>
          <w:shd w:val="clear" w:color="auto" w:fill="FFFFFF"/>
        </w:rPr>
        <w:t>behavioral</w:t>
      </w:r>
      <w:proofErr w:type="spellEnd"/>
      <w:r w:rsidRPr="00B70EA6">
        <w:rPr>
          <w:rFonts w:ascii="Times New Roman" w:hAnsi="Times New Roman" w:cs="Times New Roman"/>
          <w:sz w:val="24"/>
          <w:szCs w:val="24"/>
          <w:shd w:val="clear" w:color="auto" w:fill="FFFFFF"/>
        </w:rPr>
        <w:t xml:space="preserve"> biases and their impact on Investor's Decision Making.</w:t>
      </w:r>
    </w:p>
    <w:p w14:paraId="0766B79F" w14:textId="77777777" w:rsidR="00B70EA6" w:rsidRPr="00B70EA6" w:rsidRDefault="00B70EA6" w:rsidP="00B70EA6">
      <w:pPr>
        <w:spacing w:line="360" w:lineRule="auto"/>
        <w:jc w:val="both"/>
        <w:rPr>
          <w:rFonts w:ascii="Times New Roman" w:hAnsi="Times New Roman" w:cs="Times New Roman"/>
          <w:b/>
          <w:sz w:val="24"/>
          <w:szCs w:val="24"/>
          <w:lang w:val="en-US"/>
        </w:rPr>
      </w:pPr>
    </w:p>
    <w:p w14:paraId="7A50FCF7" w14:textId="79E479FF" w:rsidR="00591B0B" w:rsidRPr="00B70EA6" w:rsidRDefault="00591B0B">
      <w:pPr>
        <w:rPr>
          <w:rFonts w:ascii="Times New Roman" w:hAnsi="Times New Roman" w:cs="Times New Roman"/>
          <w:sz w:val="24"/>
          <w:szCs w:val="24"/>
        </w:rPr>
      </w:pPr>
    </w:p>
    <w:sectPr w:rsidR="00591B0B" w:rsidRPr="00B70EA6" w:rsidSect="002577F2">
      <w:footerReference w:type="default" r:id="rId8"/>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718336"/>
      <w:docPartObj>
        <w:docPartGallery w:val="Page Numbers (Bottom of Page)"/>
        <w:docPartUnique/>
      </w:docPartObj>
    </w:sdtPr>
    <w:sdtEndPr>
      <w:rPr>
        <w:noProof/>
      </w:rPr>
    </w:sdtEndPr>
    <w:sdtContent>
      <w:p w14:paraId="23AB7F89" w14:textId="77777777" w:rsidR="00000000" w:rsidRDefault="0000000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54881B1"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F6D"/>
    <w:rsid w:val="001E7B6C"/>
    <w:rsid w:val="00324777"/>
    <w:rsid w:val="00517F6D"/>
    <w:rsid w:val="0052431B"/>
    <w:rsid w:val="00591B0B"/>
    <w:rsid w:val="00A76643"/>
    <w:rsid w:val="00B70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25045E"/>
  <w15:chartTrackingRefBased/>
  <w15:docId w15:val="{478C6008-A440-EE49-B956-94A0055AE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EA6"/>
    <w:pPr>
      <w:spacing w:after="160" w:line="259" w:lineRule="auto"/>
    </w:pPr>
    <w:rPr>
      <w:kern w:val="0"/>
      <w:sz w:val="22"/>
      <w:szCs w:val="22"/>
      <w:lang w:val="en-IN"/>
      <w14:ligatures w14:val="none"/>
    </w:rPr>
  </w:style>
  <w:style w:type="paragraph" w:styleId="Heading1">
    <w:name w:val="heading 1"/>
    <w:basedOn w:val="Normal"/>
    <w:next w:val="Normal"/>
    <w:link w:val="Heading1Char"/>
    <w:uiPriority w:val="9"/>
    <w:qFormat/>
    <w:rsid w:val="00B70EA6"/>
    <w:pPr>
      <w:keepNext/>
      <w:keepLines/>
      <w:spacing w:before="240" w:after="0"/>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EA6"/>
    <w:rPr>
      <w:rFonts w:ascii="Times New Roman" w:eastAsiaTheme="majorEastAsia" w:hAnsi="Times New Roman" w:cstheme="majorBidi"/>
      <w:b/>
      <w:kern w:val="0"/>
      <w:szCs w:val="32"/>
      <w:lang w:val="en-IN"/>
      <w14:ligatures w14:val="none"/>
    </w:rPr>
  </w:style>
  <w:style w:type="paragraph" w:styleId="NormalWeb">
    <w:name w:val="Normal (Web)"/>
    <w:basedOn w:val="Normal"/>
    <w:uiPriority w:val="99"/>
    <w:semiHidden/>
    <w:unhideWhenUsed/>
    <w:rsid w:val="00B70EA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B70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EA6"/>
    <w:rPr>
      <w:kern w:val="0"/>
      <w:sz w:val="22"/>
      <w:szCs w:val="22"/>
      <w:lang w:val="en-IN"/>
      <w14:ligatures w14:val="none"/>
    </w:rPr>
  </w:style>
  <w:style w:type="paragraph" w:styleId="TOCHeading">
    <w:name w:val="TOC Heading"/>
    <w:basedOn w:val="Heading1"/>
    <w:next w:val="Normal"/>
    <w:uiPriority w:val="39"/>
    <w:unhideWhenUsed/>
    <w:qFormat/>
    <w:rsid w:val="00B70EA6"/>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70EA6"/>
    <w:pPr>
      <w:spacing w:after="100"/>
    </w:pPr>
  </w:style>
  <w:style w:type="character" w:styleId="Hyperlink">
    <w:name w:val="Hyperlink"/>
    <w:basedOn w:val="DefaultParagraphFont"/>
    <w:uiPriority w:val="99"/>
    <w:unhideWhenUsed/>
    <w:rsid w:val="00B70EA6"/>
    <w:rPr>
      <w:color w:val="0563C1" w:themeColor="hyperlink"/>
      <w:u w:val="single"/>
    </w:rPr>
  </w:style>
  <w:style w:type="paragraph" w:customStyle="1" w:styleId="Normal1">
    <w:name w:val="Normal1"/>
    <w:rsid w:val="001E7B6C"/>
    <w:pPr>
      <w:spacing w:line="276" w:lineRule="auto"/>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1966</Words>
  <Characters>11209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2</cp:revision>
  <dcterms:created xsi:type="dcterms:W3CDTF">2023-08-20T20:37:00Z</dcterms:created>
  <dcterms:modified xsi:type="dcterms:W3CDTF">2023-08-20T20:37:00Z</dcterms:modified>
</cp:coreProperties>
</file>