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8210B" w14:textId="43BEEF99" w:rsidR="00C144AD" w:rsidRPr="00C144AD" w:rsidRDefault="00DA645E" w:rsidP="00F644F7">
      <w:pPr>
        <w:spacing w:before="200" w:line="360" w:lineRule="auto"/>
        <w:ind w:left="1080"/>
        <w:contextualSpacing/>
        <w:divId w:val="1153793951"/>
        <w:rPr>
          <w:rFonts w:ascii="Times New Roman" w:eastAsiaTheme="minorHAnsi" w:hAnsi="Times New Roman"/>
          <w:kern w:val="0"/>
          <w:sz w:val="24"/>
          <w:lang w:val="en-US" w:eastAsia="en-US"/>
          <w14:ligatures w14:val="none"/>
        </w:rPr>
      </w:pPr>
      <w:r>
        <w:rPr>
          <w:rFonts w:ascii="Arial" w:hAnsi="Arial" w:cs="Arial"/>
          <w:b/>
          <w:bCs/>
          <w:color w:val="404040" w:themeColor="text1" w:themeTint="BF"/>
          <w:kern w:val="24"/>
          <w:sz w:val="32"/>
          <w:szCs w:val="32"/>
          <w:lang w:val="en-US"/>
          <w14:ligatures w14:val="none"/>
        </w:rPr>
        <w:t xml:space="preserve">    </w:t>
      </w:r>
    </w:p>
    <w:p w14:paraId="403F3AB5" w14:textId="16FB5A2B" w:rsidR="00F644F7" w:rsidRPr="00E65E97" w:rsidRDefault="00F644F7" w:rsidP="00F644F7">
      <w:pPr>
        <w:pStyle w:val="Title"/>
        <w:spacing w:line="360" w:lineRule="auto"/>
        <w:rPr>
          <w:rFonts w:ascii="Arial" w:eastAsia="Arial" w:hAnsi="Arial" w:cs="Arial"/>
          <w:bCs/>
          <w:sz w:val="22"/>
          <w:szCs w:val="22"/>
        </w:rPr>
      </w:pPr>
      <w:r w:rsidRPr="00E65E97">
        <w:rPr>
          <w:rFonts w:ascii="Arial" w:eastAsia="Arial" w:hAnsi="Arial" w:cs="Arial"/>
          <w:bCs/>
          <w:sz w:val="22"/>
          <w:szCs w:val="22"/>
        </w:rPr>
        <w:t xml:space="preserve">Writing Module:  </w:t>
      </w:r>
      <w:r>
        <w:rPr>
          <w:rFonts w:ascii="Arial" w:eastAsia="Arial" w:hAnsi="Arial" w:cs="Arial"/>
          <w:bCs/>
          <w:sz w:val="22"/>
          <w:szCs w:val="22"/>
        </w:rPr>
        <w:t>Managing People</w:t>
      </w:r>
    </w:p>
    <w:p w14:paraId="54BBFACF" w14:textId="77777777" w:rsidR="00F644F7" w:rsidRPr="00E65E97" w:rsidRDefault="00F644F7" w:rsidP="00F644F7">
      <w:pPr>
        <w:spacing w:line="360" w:lineRule="auto"/>
        <w:rPr>
          <w:rFonts w:ascii="Arial" w:eastAsia="Arial" w:hAnsi="Arial" w:cs="Arial"/>
          <w:color w:val="000000" w:themeColor="text1"/>
        </w:rPr>
      </w:pPr>
    </w:p>
    <w:p w14:paraId="4A91B4DC" w14:textId="77777777" w:rsidR="00F644F7" w:rsidRPr="00E65E97" w:rsidRDefault="00F644F7" w:rsidP="00F644F7">
      <w:pPr>
        <w:spacing w:line="360" w:lineRule="auto"/>
        <w:rPr>
          <w:rFonts w:ascii="Arial" w:hAnsi="Arial" w:cs="Arial"/>
        </w:rPr>
      </w:pPr>
      <w:r w:rsidRPr="00E65E97">
        <w:rPr>
          <w:rFonts w:ascii="Arial" w:eastAsia="Arial" w:hAnsi="Arial" w:cs="Arial"/>
          <w:color w:val="000000" w:themeColor="text1"/>
        </w:rPr>
        <w:t>Student Name: Renaldo Jose Juman</w:t>
      </w:r>
      <w:r w:rsidRPr="00E65E97">
        <w:rPr>
          <w:rFonts w:ascii="Arial" w:hAnsi="Arial" w:cs="Arial"/>
        </w:rPr>
        <w:t xml:space="preserve"> </w:t>
      </w:r>
    </w:p>
    <w:p w14:paraId="52D437B5" w14:textId="77777777" w:rsidR="00F644F7" w:rsidRPr="00E65E97" w:rsidRDefault="00F644F7" w:rsidP="00F644F7">
      <w:pPr>
        <w:spacing w:line="360" w:lineRule="auto"/>
        <w:rPr>
          <w:rFonts w:ascii="Arial" w:eastAsia="Arial" w:hAnsi="Arial" w:cs="Arial"/>
          <w:color w:val="000000" w:themeColor="text1"/>
        </w:rPr>
      </w:pPr>
    </w:p>
    <w:p w14:paraId="326A0826" w14:textId="77777777" w:rsidR="00F644F7" w:rsidRPr="00E65E97" w:rsidRDefault="00F644F7" w:rsidP="00F644F7">
      <w:pPr>
        <w:spacing w:line="360" w:lineRule="auto"/>
        <w:rPr>
          <w:rFonts w:ascii="Arial" w:eastAsia="Arial" w:hAnsi="Arial" w:cs="Arial"/>
          <w:color w:val="000000" w:themeColor="text1"/>
        </w:rPr>
      </w:pPr>
      <w:r w:rsidRPr="00E65E97">
        <w:rPr>
          <w:rFonts w:ascii="Arial" w:eastAsia="Arial" w:hAnsi="Arial" w:cs="Arial"/>
          <w:color w:val="000000" w:themeColor="text1"/>
        </w:rPr>
        <w:t>Student ID: 2114362</w:t>
      </w:r>
    </w:p>
    <w:p w14:paraId="28C77B23" w14:textId="77777777" w:rsidR="00F644F7" w:rsidRPr="00E65E97" w:rsidRDefault="00F644F7" w:rsidP="00F644F7">
      <w:pPr>
        <w:spacing w:line="360" w:lineRule="auto"/>
        <w:rPr>
          <w:rFonts w:ascii="Arial" w:eastAsia="Arial" w:hAnsi="Arial" w:cs="Arial"/>
          <w:color w:val="000000" w:themeColor="text1"/>
        </w:rPr>
      </w:pPr>
    </w:p>
    <w:p w14:paraId="07CBC5AF" w14:textId="3E7B3744" w:rsidR="00F644F7" w:rsidRPr="00E65E97" w:rsidRDefault="00F644F7" w:rsidP="00F644F7">
      <w:pPr>
        <w:spacing w:line="360" w:lineRule="auto"/>
        <w:rPr>
          <w:rFonts w:ascii="Arial" w:eastAsia="Arial" w:hAnsi="Arial" w:cs="Arial"/>
          <w:color w:val="000000" w:themeColor="text1"/>
        </w:rPr>
      </w:pPr>
      <w:r w:rsidRPr="00E65E97">
        <w:rPr>
          <w:rFonts w:ascii="Arial" w:eastAsia="Arial" w:hAnsi="Arial" w:cs="Arial"/>
          <w:color w:val="000000" w:themeColor="text1"/>
        </w:rPr>
        <w:t>Module Code: LCBB</w:t>
      </w:r>
      <w:r>
        <w:rPr>
          <w:rFonts w:ascii="Arial" w:eastAsia="Arial" w:hAnsi="Arial" w:cs="Arial"/>
          <w:color w:val="000000" w:themeColor="text1"/>
        </w:rPr>
        <w:t xml:space="preserve"> 5004</w:t>
      </w:r>
    </w:p>
    <w:p w14:paraId="2F6B877E" w14:textId="77777777" w:rsidR="00F644F7" w:rsidRPr="00E65E97" w:rsidRDefault="00F644F7" w:rsidP="00F644F7">
      <w:pPr>
        <w:spacing w:line="360" w:lineRule="auto"/>
        <w:rPr>
          <w:rFonts w:ascii="Arial" w:eastAsia="Arial" w:hAnsi="Arial" w:cs="Arial"/>
          <w:color w:val="000000" w:themeColor="text1"/>
        </w:rPr>
      </w:pPr>
    </w:p>
    <w:p w14:paraId="4B39BA19" w14:textId="0DF63339" w:rsidR="00F644F7" w:rsidRPr="00E65E97" w:rsidRDefault="00F644F7" w:rsidP="00F644F7">
      <w:pPr>
        <w:spacing w:line="360" w:lineRule="auto"/>
        <w:rPr>
          <w:rFonts w:ascii="Arial" w:eastAsia="Arial" w:hAnsi="Arial" w:cs="Arial"/>
          <w:color w:val="000000" w:themeColor="text1"/>
        </w:rPr>
      </w:pPr>
      <w:r w:rsidRPr="00E65E97">
        <w:rPr>
          <w:rFonts w:ascii="Arial" w:eastAsia="Arial" w:hAnsi="Arial" w:cs="Arial"/>
          <w:color w:val="000000" w:themeColor="text1"/>
        </w:rPr>
        <w:t xml:space="preserve">Tutor: </w:t>
      </w:r>
      <w:r>
        <w:rPr>
          <w:rFonts w:ascii="Arial" w:eastAsia="Arial" w:hAnsi="Arial" w:cs="Arial"/>
          <w:color w:val="000000" w:themeColor="text1"/>
        </w:rPr>
        <w:t>Prof. Dennis Pepple</w:t>
      </w:r>
      <w:r w:rsidRPr="00E65E97">
        <w:rPr>
          <w:rFonts w:ascii="Arial" w:eastAsia="Arial" w:hAnsi="Arial" w:cs="Arial"/>
          <w:color w:val="000000" w:themeColor="text1"/>
        </w:rPr>
        <w:t xml:space="preserve">         </w:t>
      </w:r>
    </w:p>
    <w:p w14:paraId="00A53C4F" w14:textId="77777777" w:rsidR="00F644F7" w:rsidRPr="00E65E97" w:rsidRDefault="00F644F7" w:rsidP="00F644F7">
      <w:pPr>
        <w:spacing w:line="360" w:lineRule="auto"/>
        <w:rPr>
          <w:rFonts w:ascii="Arial" w:eastAsia="Arial" w:hAnsi="Arial" w:cs="Arial"/>
          <w:color w:val="000000" w:themeColor="text1"/>
        </w:rPr>
      </w:pPr>
    </w:p>
    <w:p w14:paraId="5E075367" w14:textId="5B8B9897" w:rsidR="00F644F7" w:rsidRPr="00E65E97" w:rsidRDefault="00F644F7" w:rsidP="00F644F7">
      <w:pPr>
        <w:spacing w:line="360" w:lineRule="auto"/>
        <w:rPr>
          <w:rFonts w:ascii="Arial" w:eastAsia="Arial" w:hAnsi="Arial" w:cs="Arial"/>
          <w:color w:val="000000" w:themeColor="text1"/>
        </w:rPr>
      </w:pPr>
      <w:r w:rsidRPr="00E65E97">
        <w:rPr>
          <w:rFonts w:ascii="Arial" w:eastAsia="Arial" w:hAnsi="Arial" w:cs="Arial"/>
          <w:color w:val="000000" w:themeColor="text1"/>
        </w:rPr>
        <w:t>Assignment Title:</w:t>
      </w:r>
      <w:r>
        <w:rPr>
          <w:rFonts w:ascii="Arial" w:eastAsia="Arial" w:hAnsi="Arial" w:cs="Arial"/>
          <w:color w:val="000000" w:themeColor="text1"/>
        </w:rPr>
        <w:t xml:space="preserve"> </w:t>
      </w:r>
      <w:r>
        <w:rPr>
          <w:rFonts w:ascii="Arial" w:eastAsia="Arial" w:hAnsi="Arial" w:cs="Arial"/>
          <w:bCs/>
        </w:rPr>
        <w:t>Flexible Working Strategies</w:t>
      </w:r>
    </w:p>
    <w:p w14:paraId="657CA173" w14:textId="7A782309" w:rsidR="00D74A14" w:rsidRDefault="00D74A14" w:rsidP="00C144AD">
      <w:pPr>
        <w:spacing w:line="480" w:lineRule="auto"/>
        <w:jc w:val="center"/>
        <w:rPr>
          <w:rFonts w:ascii="Times New Roman" w:eastAsiaTheme="minorHAnsi" w:hAnsi="Times New Roman"/>
          <w:kern w:val="0"/>
          <w:sz w:val="24"/>
          <w:lang w:val="en-US" w:eastAsia="en-US"/>
          <w14:ligatures w14:val="none"/>
        </w:rPr>
      </w:pPr>
    </w:p>
    <w:p w14:paraId="1DC62960" w14:textId="77777777" w:rsidR="00F644F7" w:rsidRPr="002C25CA" w:rsidRDefault="00D74A14" w:rsidP="002C25CA">
      <w:pPr>
        <w:rPr>
          <w:rFonts w:eastAsiaTheme="minorHAnsi"/>
          <w:lang w:val="en-US" w:eastAsia="en-US"/>
        </w:rPr>
      </w:pPr>
      <w:r w:rsidRPr="002C25CA">
        <w:rPr>
          <w:rFonts w:eastAsiaTheme="minorHAnsi"/>
          <w:lang w:val="en-US" w:eastAsia="en-US"/>
        </w:rPr>
        <w:br w:type="page"/>
      </w:r>
      <w:r w:rsidR="00FC2F41" w:rsidRPr="002C25CA">
        <w:rPr>
          <w:rFonts w:eastAsiaTheme="minorHAnsi"/>
          <w:lang w:val="en-US" w:eastAsia="en-US"/>
        </w:rPr>
        <w:lastRenderedPageBreak/>
        <w:br/>
      </w:r>
    </w:p>
    <w:sdt>
      <w:sdtPr>
        <w:rPr>
          <w:rFonts w:asciiTheme="minorHAnsi" w:eastAsiaTheme="minorEastAsia" w:hAnsiTheme="minorHAnsi" w:cstheme="minorBidi"/>
          <w:b w:val="0"/>
          <w:bCs w:val="0"/>
          <w:color w:val="auto"/>
          <w:kern w:val="2"/>
          <w:sz w:val="22"/>
          <w:szCs w:val="22"/>
          <w:lang w:val="en-GB" w:eastAsia="en-GB"/>
          <w14:ligatures w14:val="standardContextual"/>
        </w:rPr>
        <w:id w:val="-1945844388"/>
        <w:docPartObj>
          <w:docPartGallery w:val="Table of Contents"/>
          <w:docPartUnique/>
        </w:docPartObj>
      </w:sdtPr>
      <w:sdtEndPr>
        <w:rPr>
          <w:noProof/>
        </w:rPr>
      </w:sdtEndPr>
      <w:sdtContent>
        <w:p w14:paraId="562E193F" w14:textId="4799BADD" w:rsidR="00F644F7" w:rsidRPr="007535A9" w:rsidRDefault="00F644F7" w:rsidP="007535A9">
          <w:pPr>
            <w:pStyle w:val="TOCHeading"/>
            <w:spacing w:line="360" w:lineRule="auto"/>
            <w:rPr>
              <w:rFonts w:ascii="Arial" w:hAnsi="Arial" w:cs="Arial"/>
              <w:sz w:val="22"/>
              <w:szCs w:val="22"/>
            </w:rPr>
          </w:pPr>
          <w:r w:rsidRPr="007535A9">
            <w:rPr>
              <w:rFonts w:ascii="Arial" w:hAnsi="Arial" w:cs="Arial"/>
              <w:sz w:val="22"/>
              <w:szCs w:val="22"/>
            </w:rPr>
            <w:t>T</w:t>
          </w:r>
          <w:r w:rsidR="0005577A" w:rsidRPr="007535A9">
            <w:rPr>
              <w:rFonts w:ascii="Arial" w:hAnsi="Arial" w:cs="Arial"/>
              <w:sz w:val="22"/>
              <w:szCs w:val="22"/>
            </w:rPr>
            <w:t>able Of Contents</w:t>
          </w:r>
          <w:r w:rsidRPr="007535A9">
            <w:rPr>
              <w:rFonts w:ascii="Arial" w:hAnsi="Arial" w:cs="Arial"/>
              <w:sz w:val="22"/>
              <w:szCs w:val="22"/>
            </w:rPr>
            <w:t xml:space="preserve"> </w:t>
          </w:r>
        </w:p>
        <w:p w14:paraId="33BC8071" w14:textId="33991EE0" w:rsidR="007535A9" w:rsidRPr="007535A9" w:rsidRDefault="00F644F7" w:rsidP="007535A9">
          <w:pPr>
            <w:pStyle w:val="TOC1"/>
            <w:tabs>
              <w:tab w:val="right" w:leader="dot" w:pos="9016"/>
            </w:tabs>
            <w:spacing w:line="360" w:lineRule="auto"/>
            <w:rPr>
              <w:rFonts w:ascii="Arial" w:hAnsi="Arial" w:cs="Arial"/>
              <w:b w:val="0"/>
              <w:bCs w:val="0"/>
              <w:i w:val="0"/>
              <w:iCs w:val="0"/>
              <w:noProof/>
              <w:sz w:val="22"/>
              <w:szCs w:val="22"/>
            </w:rPr>
          </w:pPr>
          <w:r w:rsidRPr="007535A9">
            <w:rPr>
              <w:rFonts w:ascii="Arial" w:hAnsi="Arial" w:cs="Arial"/>
              <w:b w:val="0"/>
              <w:bCs w:val="0"/>
              <w:sz w:val="22"/>
              <w:szCs w:val="22"/>
            </w:rPr>
            <w:fldChar w:fldCharType="begin"/>
          </w:r>
          <w:r w:rsidRPr="007535A9">
            <w:rPr>
              <w:rFonts w:ascii="Arial" w:hAnsi="Arial" w:cs="Arial"/>
              <w:sz w:val="22"/>
              <w:szCs w:val="22"/>
            </w:rPr>
            <w:instrText xml:space="preserve"> TOC \o "1-3" \h \z \u </w:instrText>
          </w:r>
          <w:r w:rsidRPr="007535A9">
            <w:rPr>
              <w:rFonts w:ascii="Arial" w:hAnsi="Arial" w:cs="Arial"/>
              <w:b w:val="0"/>
              <w:bCs w:val="0"/>
              <w:sz w:val="22"/>
              <w:szCs w:val="22"/>
            </w:rPr>
            <w:fldChar w:fldCharType="separate"/>
          </w:r>
          <w:hyperlink w:anchor="_Toc150431950" w:history="1">
            <w:r w:rsidR="007535A9" w:rsidRPr="007535A9">
              <w:rPr>
                <w:rStyle w:val="Hyperlink"/>
                <w:rFonts w:ascii="Arial" w:eastAsiaTheme="minorHAnsi" w:hAnsi="Arial" w:cs="Arial"/>
                <w:noProof/>
                <w:sz w:val="22"/>
                <w:szCs w:val="22"/>
                <w:lang w:val="" w:eastAsia="en-US"/>
              </w:rPr>
              <w:t>Introduction</w:t>
            </w:r>
            <w:r w:rsidR="007535A9" w:rsidRPr="007535A9">
              <w:rPr>
                <w:rFonts w:ascii="Arial" w:hAnsi="Arial" w:cs="Arial"/>
                <w:noProof/>
                <w:webHidden/>
                <w:sz w:val="22"/>
                <w:szCs w:val="22"/>
              </w:rPr>
              <w:tab/>
            </w:r>
            <w:r w:rsidR="007535A9" w:rsidRPr="007535A9">
              <w:rPr>
                <w:rFonts w:ascii="Arial" w:hAnsi="Arial" w:cs="Arial"/>
                <w:noProof/>
                <w:webHidden/>
                <w:sz w:val="22"/>
                <w:szCs w:val="22"/>
              </w:rPr>
              <w:fldChar w:fldCharType="begin"/>
            </w:r>
            <w:r w:rsidR="007535A9" w:rsidRPr="007535A9">
              <w:rPr>
                <w:rFonts w:ascii="Arial" w:hAnsi="Arial" w:cs="Arial"/>
                <w:noProof/>
                <w:webHidden/>
                <w:sz w:val="22"/>
                <w:szCs w:val="22"/>
              </w:rPr>
              <w:instrText xml:space="preserve"> PAGEREF _Toc150431950 \h </w:instrText>
            </w:r>
            <w:r w:rsidR="007535A9" w:rsidRPr="007535A9">
              <w:rPr>
                <w:rFonts w:ascii="Arial" w:hAnsi="Arial" w:cs="Arial"/>
                <w:noProof/>
                <w:webHidden/>
                <w:sz w:val="22"/>
                <w:szCs w:val="22"/>
              </w:rPr>
            </w:r>
            <w:r w:rsidR="007535A9" w:rsidRPr="007535A9">
              <w:rPr>
                <w:rFonts w:ascii="Arial" w:hAnsi="Arial" w:cs="Arial"/>
                <w:noProof/>
                <w:webHidden/>
                <w:sz w:val="22"/>
                <w:szCs w:val="22"/>
              </w:rPr>
              <w:fldChar w:fldCharType="separate"/>
            </w:r>
            <w:r w:rsidR="007535A9" w:rsidRPr="007535A9">
              <w:rPr>
                <w:rFonts w:ascii="Arial" w:hAnsi="Arial" w:cs="Arial"/>
                <w:noProof/>
                <w:webHidden/>
                <w:sz w:val="22"/>
                <w:szCs w:val="22"/>
              </w:rPr>
              <w:t>3</w:t>
            </w:r>
            <w:r w:rsidR="007535A9" w:rsidRPr="007535A9">
              <w:rPr>
                <w:rFonts w:ascii="Arial" w:hAnsi="Arial" w:cs="Arial"/>
                <w:noProof/>
                <w:webHidden/>
                <w:sz w:val="22"/>
                <w:szCs w:val="22"/>
              </w:rPr>
              <w:fldChar w:fldCharType="end"/>
            </w:r>
          </w:hyperlink>
        </w:p>
        <w:p w14:paraId="61984A03" w14:textId="0A50FFDB"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1" w:history="1">
            <w:r w:rsidRPr="007535A9">
              <w:rPr>
                <w:rStyle w:val="Hyperlink"/>
                <w:rFonts w:ascii="Arial" w:eastAsiaTheme="minorHAnsi" w:hAnsi="Arial" w:cs="Arial"/>
                <w:noProof/>
                <w:sz w:val="22"/>
                <w:szCs w:val="22"/>
                <w:lang w:val="" w:eastAsia="en-US"/>
              </w:rPr>
              <w:t>Benefits Of Implementing Flexible Working Strategies</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_Toc150431951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4</w:t>
            </w:r>
            <w:r w:rsidRPr="007535A9">
              <w:rPr>
                <w:rFonts w:ascii="Arial" w:hAnsi="Arial" w:cs="Arial"/>
                <w:noProof/>
                <w:webHidden/>
                <w:sz w:val="22"/>
                <w:szCs w:val="22"/>
              </w:rPr>
              <w:fldChar w:fldCharType="end"/>
            </w:r>
          </w:hyperlink>
        </w:p>
        <w:p w14:paraId="2A5C4290" w14:textId="7F9BAEE1"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2" w:history="1">
            <w:r w:rsidRPr="007535A9">
              <w:rPr>
                <w:rStyle w:val="Hyperlink"/>
                <w:rFonts w:ascii="Arial" w:eastAsiaTheme="minorHAnsi" w:hAnsi="Arial" w:cs="Arial"/>
                <w:noProof/>
                <w:sz w:val="22"/>
                <w:szCs w:val="22"/>
                <w:lang w:val="" w:eastAsia="en-US"/>
              </w:rPr>
              <w:t>Considerations Before Implementing Flexible Working</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_Toc150431952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6</w:t>
            </w:r>
            <w:r w:rsidRPr="007535A9">
              <w:rPr>
                <w:rFonts w:ascii="Arial" w:hAnsi="Arial" w:cs="Arial"/>
                <w:noProof/>
                <w:webHidden/>
                <w:sz w:val="22"/>
                <w:szCs w:val="22"/>
              </w:rPr>
              <w:fldChar w:fldCharType="end"/>
            </w:r>
          </w:hyperlink>
        </w:p>
        <w:p w14:paraId="30725040" w14:textId="7A29ACBA"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3" w:history="1">
            <w:r w:rsidRPr="007535A9">
              <w:rPr>
                <w:rStyle w:val="Hyperlink"/>
                <w:rFonts w:ascii="Arial" w:eastAsiaTheme="minorHAnsi" w:hAnsi="Arial" w:cs="Arial"/>
                <w:noProof/>
                <w:sz w:val="22"/>
                <w:szCs w:val="22"/>
                <w:lang w:val="" w:eastAsia="en-US"/>
              </w:rPr>
              <w:t>Pay Structure Reconfiguration</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_Toc150431953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8</w:t>
            </w:r>
            <w:r w:rsidRPr="007535A9">
              <w:rPr>
                <w:rFonts w:ascii="Arial" w:hAnsi="Arial" w:cs="Arial"/>
                <w:noProof/>
                <w:webHidden/>
                <w:sz w:val="22"/>
                <w:szCs w:val="22"/>
              </w:rPr>
              <w:fldChar w:fldCharType="end"/>
            </w:r>
          </w:hyperlink>
        </w:p>
        <w:p w14:paraId="2C7D7B19" w14:textId="5C65FF5B"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4" w:history="1">
            <w:r w:rsidRPr="007535A9">
              <w:rPr>
                <w:rStyle w:val="Hyperlink"/>
                <w:rFonts w:ascii="Arial" w:eastAsiaTheme="minorHAnsi" w:hAnsi="Arial" w:cs="Arial"/>
                <w:noProof/>
                <w:sz w:val="22"/>
                <w:szCs w:val="22"/>
                <w:lang w:val="" w:eastAsia="en-US"/>
              </w:rPr>
              <w:t>Reinforcement Theory</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_Toc150431954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9</w:t>
            </w:r>
            <w:r w:rsidRPr="007535A9">
              <w:rPr>
                <w:rFonts w:ascii="Arial" w:hAnsi="Arial" w:cs="Arial"/>
                <w:noProof/>
                <w:webHidden/>
                <w:sz w:val="22"/>
                <w:szCs w:val="22"/>
              </w:rPr>
              <w:fldChar w:fldCharType="end"/>
            </w:r>
          </w:hyperlink>
        </w:p>
        <w:p w14:paraId="64E82B5F" w14:textId="1F3FC836"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5" w:history="1">
            <w:r w:rsidRPr="007535A9">
              <w:rPr>
                <w:rStyle w:val="Hyperlink"/>
                <w:rFonts w:ascii="Arial" w:eastAsiaTheme="minorHAnsi" w:hAnsi="Arial" w:cs="Arial"/>
                <w:noProof/>
                <w:sz w:val="22"/>
                <w:szCs w:val="22"/>
                <w:lang w:val="" w:eastAsia="en-US"/>
              </w:rPr>
              <w:t>Strategies For Employee Engagement</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_Toc150431955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10</w:t>
            </w:r>
            <w:r w:rsidRPr="007535A9">
              <w:rPr>
                <w:rFonts w:ascii="Arial" w:hAnsi="Arial" w:cs="Arial"/>
                <w:noProof/>
                <w:webHidden/>
                <w:sz w:val="22"/>
                <w:szCs w:val="22"/>
              </w:rPr>
              <w:fldChar w:fldCharType="end"/>
            </w:r>
          </w:hyperlink>
        </w:p>
        <w:p w14:paraId="39D4CBAE" w14:textId="7AF6A052"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6" w:history="1">
            <w:r w:rsidRPr="007535A9">
              <w:rPr>
                <w:rStyle w:val="Hyperlink"/>
                <w:rFonts w:ascii="Arial" w:eastAsiaTheme="minorHAnsi" w:hAnsi="Arial" w:cs="Arial"/>
                <w:noProof/>
                <w:sz w:val="22"/>
                <w:szCs w:val="22"/>
                <w:lang w:val="" w:eastAsia="en-US"/>
              </w:rPr>
              <w:t>Conclusion</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_Toc150431956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11</w:t>
            </w:r>
            <w:r w:rsidRPr="007535A9">
              <w:rPr>
                <w:rFonts w:ascii="Arial" w:hAnsi="Arial" w:cs="Arial"/>
                <w:noProof/>
                <w:webHidden/>
                <w:sz w:val="22"/>
                <w:szCs w:val="22"/>
              </w:rPr>
              <w:fldChar w:fldCharType="end"/>
            </w:r>
          </w:hyperlink>
        </w:p>
        <w:p w14:paraId="3396A8D4" w14:textId="3DD8CA37" w:rsidR="007535A9" w:rsidRPr="007535A9" w:rsidRDefault="007535A9" w:rsidP="007535A9">
          <w:pPr>
            <w:pStyle w:val="TOC1"/>
            <w:tabs>
              <w:tab w:val="right" w:leader="dot" w:pos="9016"/>
            </w:tabs>
            <w:spacing w:line="360" w:lineRule="auto"/>
            <w:rPr>
              <w:rFonts w:ascii="Arial" w:hAnsi="Arial" w:cs="Arial"/>
              <w:b w:val="0"/>
              <w:bCs w:val="0"/>
              <w:i w:val="0"/>
              <w:iCs w:val="0"/>
              <w:noProof/>
              <w:sz w:val="22"/>
              <w:szCs w:val="22"/>
            </w:rPr>
          </w:pPr>
          <w:hyperlink w:anchor="_Toc150431957" w:history="1">
            <w:r w:rsidRPr="007535A9">
              <w:rPr>
                <w:rStyle w:val="Hyperlink"/>
                <w:rFonts w:ascii="Arial" w:eastAsiaTheme="minorHAnsi" w:hAnsi="Arial" w:cs="Arial"/>
                <w:noProof/>
                <w:sz w:val="22"/>
                <w:szCs w:val="22"/>
                <w:lang w:val="" w:eastAsia="en-US"/>
              </w:rPr>
              <w:t>References</w:t>
            </w:r>
            <w:r w:rsidRPr="007535A9">
              <w:rPr>
                <w:rFonts w:ascii="Arial" w:hAnsi="Arial" w:cs="Arial"/>
                <w:noProof/>
                <w:webHidden/>
                <w:sz w:val="22"/>
                <w:szCs w:val="22"/>
              </w:rPr>
              <w:tab/>
            </w:r>
            <w:r w:rsidRPr="007535A9">
              <w:rPr>
                <w:rFonts w:ascii="Arial" w:hAnsi="Arial" w:cs="Arial"/>
                <w:noProof/>
                <w:webHidden/>
                <w:sz w:val="22"/>
                <w:szCs w:val="22"/>
              </w:rPr>
              <w:fldChar w:fldCharType="begin"/>
            </w:r>
            <w:r w:rsidRPr="007535A9">
              <w:rPr>
                <w:rFonts w:ascii="Arial" w:hAnsi="Arial" w:cs="Arial"/>
                <w:noProof/>
                <w:webHidden/>
                <w:sz w:val="22"/>
                <w:szCs w:val="22"/>
              </w:rPr>
              <w:instrText xml:space="preserve"> PAGEREF _Toc150431957 \h </w:instrText>
            </w:r>
            <w:r w:rsidRPr="007535A9">
              <w:rPr>
                <w:rFonts w:ascii="Arial" w:hAnsi="Arial" w:cs="Arial"/>
                <w:noProof/>
                <w:webHidden/>
                <w:sz w:val="22"/>
                <w:szCs w:val="22"/>
              </w:rPr>
            </w:r>
            <w:r w:rsidRPr="007535A9">
              <w:rPr>
                <w:rFonts w:ascii="Arial" w:hAnsi="Arial" w:cs="Arial"/>
                <w:noProof/>
                <w:webHidden/>
                <w:sz w:val="22"/>
                <w:szCs w:val="22"/>
              </w:rPr>
              <w:fldChar w:fldCharType="separate"/>
            </w:r>
            <w:r w:rsidRPr="007535A9">
              <w:rPr>
                <w:rFonts w:ascii="Arial" w:hAnsi="Arial" w:cs="Arial"/>
                <w:noProof/>
                <w:webHidden/>
                <w:sz w:val="22"/>
                <w:szCs w:val="22"/>
              </w:rPr>
              <w:t>12</w:t>
            </w:r>
            <w:r w:rsidRPr="007535A9">
              <w:rPr>
                <w:rFonts w:ascii="Arial" w:hAnsi="Arial" w:cs="Arial"/>
                <w:noProof/>
                <w:webHidden/>
                <w:sz w:val="22"/>
                <w:szCs w:val="22"/>
              </w:rPr>
              <w:fldChar w:fldCharType="end"/>
            </w:r>
          </w:hyperlink>
        </w:p>
        <w:p w14:paraId="418B69C4" w14:textId="35D7A5F5" w:rsidR="00F644F7" w:rsidRDefault="00F644F7" w:rsidP="007535A9">
          <w:pPr>
            <w:spacing w:line="360" w:lineRule="auto"/>
          </w:pPr>
          <w:r w:rsidRPr="007535A9">
            <w:rPr>
              <w:rFonts w:ascii="Arial" w:hAnsi="Arial" w:cs="Arial"/>
              <w:b/>
              <w:bCs/>
              <w:noProof/>
            </w:rPr>
            <w:fldChar w:fldCharType="end"/>
          </w:r>
        </w:p>
      </w:sdtContent>
    </w:sdt>
    <w:p w14:paraId="60C8B2BD" w14:textId="5AC39F61" w:rsidR="00FC2F41" w:rsidRPr="002C25CA" w:rsidRDefault="00FC2F41" w:rsidP="002C25CA">
      <w:pPr>
        <w:rPr>
          <w:rFonts w:eastAsiaTheme="minorHAnsi"/>
          <w:lang w:val="en-US" w:eastAsia="en-US"/>
        </w:rPr>
      </w:pPr>
    </w:p>
    <w:p w14:paraId="158CA877" w14:textId="0E0E9722" w:rsidR="00C144AD" w:rsidRPr="00C144AD" w:rsidRDefault="00D74A14" w:rsidP="006A4196">
      <w:pPr>
        <w:pStyle w:val="Subtitle"/>
        <w:rPr>
          <w:rFonts w:eastAsiaTheme="minorHAnsi"/>
          <w:lang w:val="en-US" w:eastAsia="en-US"/>
        </w:rPr>
      </w:pPr>
      <w:r>
        <w:rPr>
          <w:rFonts w:eastAsiaTheme="minorHAnsi"/>
          <w:lang w:val="en-US" w:eastAsia="en-US"/>
        </w:rPr>
        <w:br w:type="page"/>
      </w:r>
      <w:r w:rsidR="00D5509B">
        <w:rPr>
          <w:rFonts w:eastAsiaTheme="minorHAnsi"/>
          <w:lang w:val="en-US" w:eastAsia="en-US"/>
        </w:rPr>
        <w:lastRenderedPageBreak/>
        <w:t xml:space="preserve">                               </w:t>
      </w:r>
      <w:r w:rsidR="00D5509B" w:rsidRPr="00676293">
        <w:rPr>
          <w:rFonts w:ascii="Arial" w:eastAsiaTheme="minorHAnsi" w:hAnsi="Arial" w:cs="Arial"/>
          <w:lang w:val="en-US" w:eastAsia="en-US"/>
        </w:rPr>
        <w:t xml:space="preserve"> </w:t>
      </w:r>
      <w:r w:rsidR="00C144AD" w:rsidRPr="00C144AD">
        <w:rPr>
          <w:rFonts w:ascii="Arial" w:eastAsiaTheme="minorHAnsi" w:hAnsi="Arial" w:cs="Arial"/>
          <w:lang w:val="" w:eastAsia="en-US"/>
        </w:rPr>
        <w:t>FLEXIBLE WORKING STRATEGIES</w:t>
      </w:r>
    </w:p>
    <w:p w14:paraId="62B0F5A9" w14:textId="77777777" w:rsidR="00D5509B" w:rsidRDefault="00D5509B" w:rsidP="00C144AD">
      <w:pPr>
        <w:spacing w:line="480" w:lineRule="auto"/>
        <w:rPr>
          <w:rFonts w:ascii="Times New Roman" w:eastAsiaTheme="minorHAnsi" w:hAnsi="Times New Roman"/>
          <w:kern w:val="0"/>
          <w:sz w:val="24"/>
          <w:lang w:val="" w:eastAsia="en-US"/>
          <w14:ligatures w14:val="none"/>
        </w:rPr>
      </w:pPr>
    </w:p>
    <w:p w14:paraId="50278C83" w14:textId="07D14561" w:rsidR="00C144AD" w:rsidRDefault="00C144AD" w:rsidP="00B8487F">
      <w:pPr>
        <w:pStyle w:val="Heading1"/>
        <w:spacing w:line="360" w:lineRule="auto"/>
        <w:rPr>
          <w:rFonts w:ascii="Arial" w:eastAsiaTheme="minorHAnsi" w:hAnsi="Arial" w:cs="Arial"/>
          <w:sz w:val="22"/>
          <w:szCs w:val="22"/>
          <w:lang w:val="" w:eastAsia="en-US"/>
        </w:rPr>
      </w:pPr>
      <w:bookmarkStart w:id="0" w:name="_Toc150431950"/>
      <w:r w:rsidRPr="00B8487F">
        <w:rPr>
          <w:rFonts w:ascii="Arial" w:eastAsiaTheme="minorHAnsi" w:hAnsi="Arial" w:cs="Arial"/>
          <w:sz w:val="22"/>
          <w:szCs w:val="22"/>
          <w:lang w:val="" w:eastAsia="en-US"/>
        </w:rPr>
        <w:t>I</w:t>
      </w:r>
      <w:r w:rsidR="0005577A">
        <w:rPr>
          <w:rFonts w:ascii="Arial" w:eastAsiaTheme="minorHAnsi" w:hAnsi="Arial" w:cs="Arial"/>
          <w:sz w:val="22"/>
          <w:szCs w:val="22"/>
          <w:lang w:val="" w:eastAsia="en-US"/>
        </w:rPr>
        <w:t>ntroduction</w:t>
      </w:r>
      <w:bookmarkEnd w:id="0"/>
    </w:p>
    <w:p w14:paraId="7B25C777" w14:textId="77777777" w:rsidR="00F644F7" w:rsidRPr="00F644F7" w:rsidRDefault="00F644F7" w:rsidP="00F644F7">
      <w:pPr>
        <w:rPr>
          <w:lang w:val="" w:eastAsia="en-US"/>
        </w:rPr>
      </w:pPr>
    </w:p>
    <w:p w14:paraId="1846570A" w14:textId="77777777" w:rsidR="00C144AD" w:rsidRPr="00576662" w:rsidRDefault="00C144AD" w:rsidP="00576662">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In recent years, there has been a significant shift away from the conventional understanding of what defines work. Organisations have been compelled to swiftly adapt to new techniques of operation due to technological breakthroughs, evolving employee expectations, and unusual situations such as the COVID-19 pandemic. The adoption of hybrid or flexible work practises is one adjustment that has received a lot of attention. A hybrid/flexible working approach relates to an organisational approach that allows workers to engage in job-related activities from both physical office spaces and remote locations, hence allowing them greater flexibility and the ability to achieve an optimal balance between their professional and personal lives (Azizi et al., 2021). As the new Human Resource Manager at Fitlyfe, an organisation that specialises in personalised fitness and nutrition services, I am tasked with creating a report that outlines the benefits of implementing flexible working strategies, what factors to consider before implementation and the potential pay structure reconfiguration when implementing this strategy. The report also assesses employee engagement approaches when adopting a flexible working strategy.</w:t>
      </w:r>
    </w:p>
    <w:p w14:paraId="6CC30478"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66A47A9A"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5BE3026B"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7A41DFC7"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533E3171"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3478CB99"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1A9F22F4"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10C6AC49" w14:textId="77777777" w:rsidR="0091220F" w:rsidRPr="00576662" w:rsidRDefault="0091220F" w:rsidP="00576662">
      <w:pPr>
        <w:spacing w:line="360" w:lineRule="auto"/>
        <w:ind w:firstLine="720"/>
        <w:rPr>
          <w:rFonts w:ascii="Arial" w:eastAsiaTheme="minorHAnsi" w:hAnsi="Arial" w:cs="Arial"/>
          <w:kern w:val="0"/>
          <w:lang w:val="" w:eastAsia="en-US"/>
          <w14:ligatures w14:val="none"/>
        </w:rPr>
      </w:pPr>
    </w:p>
    <w:p w14:paraId="2128347E" w14:textId="77777777" w:rsidR="0091220F" w:rsidRDefault="0091220F" w:rsidP="00576662">
      <w:pPr>
        <w:spacing w:line="360" w:lineRule="auto"/>
        <w:ind w:firstLine="720"/>
        <w:rPr>
          <w:rFonts w:ascii="Arial" w:eastAsiaTheme="minorHAnsi" w:hAnsi="Arial" w:cs="Arial"/>
          <w:kern w:val="0"/>
          <w:lang w:val="" w:eastAsia="en-US"/>
          <w14:ligatures w14:val="none"/>
        </w:rPr>
      </w:pPr>
    </w:p>
    <w:p w14:paraId="1D189D81"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5EB5E1F0"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41E4E43C"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05CFCBF8"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53078835"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41C6DDBC"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673599E3" w14:textId="77777777" w:rsidR="004B6E13" w:rsidRDefault="004B6E13" w:rsidP="00576662">
      <w:pPr>
        <w:spacing w:line="360" w:lineRule="auto"/>
        <w:ind w:firstLine="720"/>
        <w:rPr>
          <w:rFonts w:ascii="Arial" w:eastAsiaTheme="minorHAnsi" w:hAnsi="Arial" w:cs="Arial"/>
          <w:kern w:val="0"/>
          <w:lang w:val="" w:eastAsia="en-US"/>
          <w14:ligatures w14:val="none"/>
        </w:rPr>
      </w:pPr>
    </w:p>
    <w:p w14:paraId="36059C01" w14:textId="77777777" w:rsidR="004B6E13" w:rsidRPr="00C144AD" w:rsidRDefault="004B6E13" w:rsidP="00576662">
      <w:pPr>
        <w:spacing w:line="360" w:lineRule="auto"/>
        <w:ind w:firstLine="720"/>
        <w:rPr>
          <w:rFonts w:ascii="Arial" w:eastAsiaTheme="minorHAnsi" w:hAnsi="Arial" w:cs="Arial"/>
          <w:kern w:val="0"/>
          <w:lang w:val="" w:eastAsia="en-US"/>
          <w14:ligatures w14:val="none"/>
        </w:rPr>
      </w:pPr>
    </w:p>
    <w:p w14:paraId="5D85D154" w14:textId="35B8B0EE" w:rsidR="00C144AD" w:rsidRPr="00576662" w:rsidRDefault="00C144AD" w:rsidP="00576662">
      <w:pPr>
        <w:pStyle w:val="Heading1"/>
        <w:spacing w:line="360" w:lineRule="auto"/>
        <w:rPr>
          <w:rFonts w:ascii="Arial" w:eastAsiaTheme="minorHAnsi" w:hAnsi="Arial" w:cs="Arial"/>
          <w:sz w:val="22"/>
          <w:szCs w:val="22"/>
          <w:lang w:val="" w:eastAsia="en-US"/>
        </w:rPr>
      </w:pPr>
      <w:bookmarkStart w:id="1" w:name="_Toc150431951"/>
      <w:r w:rsidRPr="00576662">
        <w:rPr>
          <w:rFonts w:ascii="Arial" w:eastAsiaTheme="minorHAnsi" w:hAnsi="Arial" w:cs="Arial"/>
          <w:sz w:val="22"/>
          <w:szCs w:val="22"/>
          <w:lang w:val="" w:eastAsia="en-US"/>
        </w:rPr>
        <w:lastRenderedPageBreak/>
        <w:t>B</w:t>
      </w:r>
      <w:r w:rsidR="0005577A">
        <w:rPr>
          <w:rFonts w:ascii="Arial" w:eastAsiaTheme="minorHAnsi" w:hAnsi="Arial" w:cs="Arial"/>
          <w:sz w:val="22"/>
          <w:szCs w:val="22"/>
          <w:lang w:val="" w:eastAsia="en-US"/>
        </w:rPr>
        <w:t xml:space="preserve">enefits </w:t>
      </w:r>
      <w:r w:rsidRPr="00576662">
        <w:rPr>
          <w:rFonts w:ascii="Arial" w:eastAsiaTheme="minorHAnsi" w:hAnsi="Arial" w:cs="Arial"/>
          <w:sz w:val="22"/>
          <w:szCs w:val="22"/>
          <w:lang w:val="" w:eastAsia="en-US"/>
        </w:rPr>
        <w:t>O</w:t>
      </w:r>
      <w:r w:rsidR="0005577A">
        <w:rPr>
          <w:rFonts w:ascii="Arial" w:eastAsiaTheme="minorHAnsi" w:hAnsi="Arial" w:cs="Arial"/>
          <w:sz w:val="22"/>
          <w:szCs w:val="22"/>
          <w:lang w:val="" w:eastAsia="en-US"/>
        </w:rPr>
        <w:t>f</w:t>
      </w:r>
      <w:r w:rsidRPr="00576662">
        <w:rPr>
          <w:rFonts w:ascii="Arial" w:eastAsiaTheme="minorHAnsi" w:hAnsi="Arial" w:cs="Arial"/>
          <w:sz w:val="22"/>
          <w:szCs w:val="22"/>
          <w:lang w:val="" w:eastAsia="en-US"/>
        </w:rPr>
        <w:t xml:space="preserve"> I</w:t>
      </w:r>
      <w:r w:rsidR="0005577A">
        <w:rPr>
          <w:rFonts w:ascii="Arial" w:eastAsiaTheme="minorHAnsi" w:hAnsi="Arial" w:cs="Arial"/>
          <w:sz w:val="22"/>
          <w:szCs w:val="22"/>
          <w:lang w:val="" w:eastAsia="en-US"/>
        </w:rPr>
        <w:t xml:space="preserve">mplementing </w:t>
      </w:r>
      <w:r w:rsidRPr="00576662">
        <w:rPr>
          <w:rFonts w:ascii="Arial" w:eastAsiaTheme="minorHAnsi" w:hAnsi="Arial" w:cs="Arial"/>
          <w:sz w:val="22"/>
          <w:szCs w:val="22"/>
          <w:lang w:val="" w:eastAsia="en-US"/>
        </w:rPr>
        <w:t>F</w:t>
      </w:r>
      <w:r w:rsidR="0005577A">
        <w:rPr>
          <w:rFonts w:ascii="Arial" w:eastAsiaTheme="minorHAnsi" w:hAnsi="Arial" w:cs="Arial"/>
          <w:sz w:val="22"/>
          <w:szCs w:val="22"/>
          <w:lang w:val="" w:eastAsia="en-US"/>
        </w:rPr>
        <w:t xml:space="preserve">lexible </w:t>
      </w:r>
      <w:r w:rsidRPr="00576662">
        <w:rPr>
          <w:rFonts w:ascii="Arial" w:eastAsiaTheme="minorHAnsi" w:hAnsi="Arial" w:cs="Arial"/>
          <w:sz w:val="22"/>
          <w:szCs w:val="22"/>
          <w:lang w:val="" w:eastAsia="en-US"/>
        </w:rPr>
        <w:t>W</w:t>
      </w:r>
      <w:r w:rsidR="0005577A">
        <w:rPr>
          <w:rFonts w:ascii="Arial" w:eastAsiaTheme="minorHAnsi" w:hAnsi="Arial" w:cs="Arial"/>
          <w:sz w:val="22"/>
          <w:szCs w:val="22"/>
          <w:lang w:val="" w:eastAsia="en-US"/>
        </w:rPr>
        <w:t xml:space="preserve">orking </w:t>
      </w:r>
      <w:r w:rsidRPr="00576662">
        <w:rPr>
          <w:rFonts w:ascii="Arial" w:eastAsiaTheme="minorHAnsi" w:hAnsi="Arial" w:cs="Arial"/>
          <w:sz w:val="22"/>
          <w:szCs w:val="22"/>
          <w:lang w:val="" w:eastAsia="en-US"/>
        </w:rPr>
        <w:t>S</w:t>
      </w:r>
      <w:r w:rsidR="0005577A">
        <w:rPr>
          <w:rFonts w:ascii="Arial" w:eastAsiaTheme="minorHAnsi" w:hAnsi="Arial" w:cs="Arial"/>
          <w:sz w:val="22"/>
          <w:szCs w:val="22"/>
          <w:lang w:val="" w:eastAsia="en-US"/>
        </w:rPr>
        <w:t>trategies</w:t>
      </w:r>
      <w:bookmarkEnd w:id="1"/>
    </w:p>
    <w:p w14:paraId="6391CF50" w14:textId="77777777" w:rsidR="003D77CA" w:rsidRPr="00576662" w:rsidRDefault="003D77CA" w:rsidP="00576662">
      <w:pPr>
        <w:spacing w:line="360" w:lineRule="auto"/>
        <w:rPr>
          <w:rFonts w:ascii="Arial" w:hAnsi="Arial" w:cs="Arial"/>
          <w:lang w:val="" w:eastAsia="en-US"/>
        </w:rPr>
      </w:pPr>
    </w:p>
    <w:p w14:paraId="71BC7448" w14:textId="77777777" w:rsidR="00C144AD" w:rsidRPr="00C144AD" w:rsidRDefault="00C144AD" w:rsidP="00576662">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post-pandemic business environment has seen a substantial shift in how organisations operate, with hybrid and flexible working emerging as preferred practises in numerous sectors. Embracing flexible working practises at Fitlyfe is an intentional move that could present multiple benefits to the organisation, in addition to an adaptation to post-pandemic trends. One of the primary benefits associated with the implementation of flexible working strategies is the improvement of work-life balance (Irawan and Sari, 2021). In an organisation such as Fitlyfe, where personal trainers and nutritionists collaborate directly with customers to develop tailored programmes, the provision of flexible working hours allows personnel to efficiently manage personal responsibilities while maintaining an optimal work-life balance (Kumar, Sarkar, and Chahar, 2021). Fitlyfe workers can customise their work schedules to meet their unique requirements and preferences, including taking care of close relatives, pursuing individual interests, or adopting a healthier lifestyle. Greater balance will have a positive impact on lowering stress levels and enhancing overall workplace satisfaction, resulting in improved staff retention (Choi, 2019). An optimised balance between work and personal life will also contribute to less burnout and higher mental well-being, eventually resulting in an increasingly motivated, engaged, and productive workforce.</w:t>
      </w:r>
    </w:p>
    <w:p w14:paraId="65C5D628" w14:textId="77777777" w:rsidR="00C144AD" w:rsidRPr="00C144AD" w:rsidRDefault="00C144AD" w:rsidP="00576662">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implementation of flexible work arrangements is indicative of an organisational culture that respects and trusts its employees, leading to an improvement in employee morale. Fitlyfe's trainers and nutritionists are more inclined to experience a sense of worth and appreciation when they have the opportunity to customise their work schedules in order to fit their unique needs. Providing personal trainers and nutritionists with an opportunity to manage their work schedules might increase their level of job satisfaction. Employees who are able to maintain a healthy balance between their professional duties and their personal obligations and preferences are more inclined to develop a connection to the organisation they work for (Chung and van der Lippe, 2020, p 372). The improvement of job satisfaction levels is anticipated to result in a workforce that feels more motivated and involved, ultimately enhancing the level of service delivered to clients. In addition, this results in lower rates of employee turnover, which in turn saves the organisation substantial costs associated with recruiting and training.</w:t>
      </w:r>
    </w:p>
    <w:p w14:paraId="71B59ADD" w14:textId="77777777" w:rsidR="00C144AD" w:rsidRPr="00C144AD" w:rsidRDefault="00C144AD" w:rsidP="00576662">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 xml:space="preserve">The introduction of a flexible work approach at Fitlyfe is expected to result in enhanced productivity and sustained cost savings. When workers are granted autonomy in determining their work schedules, they are able to choose timelines that correspond with their optimal periods of productivity. Such flexibility has the potential to enhance focus and productivity, eventually resulting in benefits for both Fitlyfe and its clientele. Further, when </w:t>
      </w:r>
      <w:r w:rsidRPr="00C144AD">
        <w:rPr>
          <w:rFonts w:ascii="Arial" w:eastAsiaTheme="minorHAnsi" w:hAnsi="Arial" w:cs="Arial"/>
          <w:kern w:val="0"/>
          <w:lang w:val="" w:eastAsia="en-US"/>
          <w14:ligatures w14:val="none"/>
        </w:rPr>
        <w:lastRenderedPageBreak/>
        <w:t>workers have the option to adjust their working hours to their preferences, they are less likely to suffer work-related stress, resulting in greater quality services delivered to clients (Kumar, Sarkar, and Chahar, 2021). On the other hand, by requiring fewer employees to be in the office at specified hours, the organisation may minimise the amount of workspace necessary, lowering overhead expenses. Remote employees may also utilise their personal equipment, preventing the need for expensive office supplies and maintenance (Choi, 2019). The cost savings could then be dedicated towards the improvement of staff development initiatives and the optimisation of the organization's product and service offerings.</w:t>
      </w:r>
    </w:p>
    <w:p w14:paraId="5F03046C" w14:textId="77777777" w:rsidR="00C144AD" w:rsidRPr="00576662" w:rsidRDefault="00C144AD" w:rsidP="00576662">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fitness and nutrition industry is dynamic, characterised by the constant shift in consumer needs and prevailing trends. Fitlyfe will have the capacity to effectively respond to industry volatility due to the use of flexible working practises. When workers are allowed the flexibility to adapt their work schedules or work from home, they are better able to rapidly and effectively respond to the demands of customers. Fitlyfe's flexibility may provide a competitive advantage in a fast-paced sector. Furthermore, flexible working practises enabling organisations like Fitlyfe to respond swiftly to unforeseen circumstances. The ability for employees to seamlessly switch between remote and in-person work facilitates a sense of service continuity, particularly during crisis moments.</w:t>
      </w:r>
    </w:p>
    <w:p w14:paraId="2C2BD530"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5BCA49B8"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5DB588C8"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690B864D"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0C8272E3"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18FA2B73"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4B950E86"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2F41EE8F"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63A062B6"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311DCA35" w14:textId="77777777" w:rsidR="0091220F" w:rsidRDefault="0091220F" w:rsidP="00C144AD">
      <w:pPr>
        <w:spacing w:line="480" w:lineRule="auto"/>
        <w:ind w:firstLine="720"/>
        <w:rPr>
          <w:rFonts w:ascii="Times New Roman" w:eastAsiaTheme="minorHAnsi" w:hAnsi="Times New Roman"/>
          <w:kern w:val="0"/>
          <w:sz w:val="24"/>
          <w:lang w:val="" w:eastAsia="en-US"/>
          <w14:ligatures w14:val="none"/>
        </w:rPr>
      </w:pPr>
    </w:p>
    <w:p w14:paraId="4A0582E6" w14:textId="77777777" w:rsidR="00576662" w:rsidRDefault="00576662" w:rsidP="00C144AD">
      <w:pPr>
        <w:spacing w:line="480" w:lineRule="auto"/>
        <w:ind w:firstLine="720"/>
        <w:rPr>
          <w:rFonts w:ascii="Times New Roman" w:eastAsiaTheme="minorHAnsi" w:hAnsi="Times New Roman"/>
          <w:kern w:val="0"/>
          <w:sz w:val="24"/>
          <w:lang w:val="" w:eastAsia="en-US"/>
          <w14:ligatures w14:val="none"/>
        </w:rPr>
      </w:pPr>
    </w:p>
    <w:p w14:paraId="2E2998AB" w14:textId="77777777" w:rsidR="00576662" w:rsidRDefault="00576662" w:rsidP="00C144AD">
      <w:pPr>
        <w:spacing w:line="480" w:lineRule="auto"/>
        <w:ind w:firstLine="720"/>
        <w:rPr>
          <w:rFonts w:ascii="Times New Roman" w:eastAsiaTheme="minorHAnsi" w:hAnsi="Times New Roman"/>
          <w:kern w:val="0"/>
          <w:sz w:val="24"/>
          <w:lang w:val="" w:eastAsia="en-US"/>
          <w14:ligatures w14:val="none"/>
        </w:rPr>
      </w:pPr>
    </w:p>
    <w:p w14:paraId="06840443" w14:textId="77777777" w:rsidR="00576662" w:rsidRPr="00C144AD" w:rsidRDefault="00576662" w:rsidP="00C144AD">
      <w:pPr>
        <w:spacing w:line="480" w:lineRule="auto"/>
        <w:ind w:firstLine="720"/>
        <w:rPr>
          <w:rFonts w:ascii="Times New Roman" w:eastAsiaTheme="minorHAnsi" w:hAnsi="Times New Roman"/>
          <w:kern w:val="0"/>
          <w:sz w:val="24"/>
          <w:lang w:val="" w:eastAsia="en-US"/>
          <w14:ligatures w14:val="none"/>
        </w:rPr>
      </w:pPr>
    </w:p>
    <w:p w14:paraId="11CD91E8" w14:textId="0D475ABB" w:rsidR="00C144AD" w:rsidRDefault="00C144AD" w:rsidP="00B26817">
      <w:pPr>
        <w:pStyle w:val="Heading1"/>
        <w:spacing w:line="360" w:lineRule="auto"/>
        <w:rPr>
          <w:rFonts w:ascii="Arial" w:eastAsiaTheme="minorHAnsi" w:hAnsi="Arial" w:cs="Arial"/>
          <w:sz w:val="22"/>
          <w:szCs w:val="22"/>
          <w:lang w:val="" w:eastAsia="en-US"/>
        </w:rPr>
      </w:pPr>
      <w:bookmarkStart w:id="2" w:name="_Toc150431952"/>
      <w:r w:rsidRPr="00B26817">
        <w:rPr>
          <w:rFonts w:ascii="Arial" w:eastAsiaTheme="minorHAnsi" w:hAnsi="Arial" w:cs="Arial"/>
          <w:sz w:val="22"/>
          <w:szCs w:val="22"/>
          <w:lang w:val="" w:eastAsia="en-US"/>
        </w:rPr>
        <w:lastRenderedPageBreak/>
        <w:t>C</w:t>
      </w:r>
      <w:r w:rsidR="0005577A">
        <w:rPr>
          <w:rFonts w:ascii="Arial" w:eastAsiaTheme="minorHAnsi" w:hAnsi="Arial" w:cs="Arial"/>
          <w:sz w:val="22"/>
          <w:szCs w:val="22"/>
          <w:lang w:val="" w:eastAsia="en-US"/>
        </w:rPr>
        <w:t xml:space="preserve">onsiderations </w:t>
      </w:r>
      <w:r w:rsidRPr="00B26817">
        <w:rPr>
          <w:rFonts w:ascii="Arial" w:eastAsiaTheme="minorHAnsi" w:hAnsi="Arial" w:cs="Arial"/>
          <w:sz w:val="22"/>
          <w:szCs w:val="22"/>
          <w:lang w:val="" w:eastAsia="en-US"/>
        </w:rPr>
        <w:t>B</w:t>
      </w:r>
      <w:r w:rsidR="0005577A">
        <w:rPr>
          <w:rFonts w:ascii="Arial" w:eastAsiaTheme="minorHAnsi" w:hAnsi="Arial" w:cs="Arial"/>
          <w:sz w:val="22"/>
          <w:szCs w:val="22"/>
          <w:lang w:val="" w:eastAsia="en-US"/>
        </w:rPr>
        <w:t>efore</w:t>
      </w:r>
      <w:r w:rsidRPr="00B26817">
        <w:rPr>
          <w:rFonts w:ascii="Arial" w:eastAsiaTheme="minorHAnsi" w:hAnsi="Arial" w:cs="Arial"/>
          <w:sz w:val="22"/>
          <w:szCs w:val="22"/>
          <w:lang w:val="" w:eastAsia="en-US"/>
        </w:rPr>
        <w:t xml:space="preserve"> I</w:t>
      </w:r>
      <w:r w:rsidR="0005577A">
        <w:rPr>
          <w:rFonts w:ascii="Arial" w:eastAsiaTheme="minorHAnsi" w:hAnsi="Arial" w:cs="Arial"/>
          <w:sz w:val="22"/>
          <w:szCs w:val="22"/>
          <w:lang w:val="" w:eastAsia="en-US"/>
        </w:rPr>
        <w:t>mplementing</w:t>
      </w:r>
      <w:r w:rsidRPr="00B26817">
        <w:rPr>
          <w:rFonts w:ascii="Arial" w:eastAsiaTheme="minorHAnsi" w:hAnsi="Arial" w:cs="Arial"/>
          <w:sz w:val="22"/>
          <w:szCs w:val="22"/>
          <w:lang w:val="" w:eastAsia="en-US"/>
        </w:rPr>
        <w:t xml:space="preserve"> F</w:t>
      </w:r>
      <w:r w:rsidR="0005577A">
        <w:rPr>
          <w:rFonts w:ascii="Arial" w:eastAsiaTheme="minorHAnsi" w:hAnsi="Arial" w:cs="Arial"/>
          <w:sz w:val="22"/>
          <w:szCs w:val="22"/>
          <w:lang w:val="" w:eastAsia="en-US"/>
        </w:rPr>
        <w:t xml:space="preserve">lexible </w:t>
      </w:r>
      <w:r w:rsidRPr="00B26817">
        <w:rPr>
          <w:rFonts w:ascii="Arial" w:eastAsiaTheme="minorHAnsi" w:hAnsi="Arial" w:cs="Arial"/>
          <w:sz w:val="22"/>
          <w:szCs w:val="22"/>
          <w:lang w:val="" w:eastAsia="en-US"/>
        </w:rPr>
        <w:t>W</w:t>
      </w:r>
      <w:r w:rsidR="0005577A">
        <w:rPr>
          <w:rFonts w:ascii="Arial" w:eastAsiaTheme="minorHAnsi" w:hAnsi="Arial" w:cs="Arial"/>
          <w:sz w:val="22"/>
          <w:szCs w:val="22"/>
          <w:lang w:val="" w:eastAsia="en-US"/>
        </w:rPr>
        <w:t>orking</w:t>
      </w:r>
      <w:bookmarkEnd w:id="2"/>
    </w:p>
    <w:p w14:paraId="3816C9B2" w14:textId="77777777" w:rsidR="00FB3AD9" w:rsidRPr="00FB3AD9" w:rsidRDefault="00FB3AD9" w:rsidP="00FB3AD9">
      <w:pPr>
        <w:rPr>
          <w:lang w:val="" w:eastAsia="en-US"/>
        </w:rPr>
      </w:pPr>
    </w:p>
    <w:p w14:paraId="16632FA0" w14:textId="77777777" w:rsidR="00C144AD" w:rsidRPr="00C144AD" w:rsidRDefault="00C144AD" w:rsidP="00DD46D8">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implementation of flexible working practises at Fitlyfe necessitates a thorough examination of multiple concerns. The Human Resources (HR) department plays a crucial role in this process by effectively aligning flexible working arrangements with the organisational objectives, conducting job role evaluations, ensuring client satisfaction, providing essential technological resources, prioritising employee wellbeing, defining performance metrics, adhering to legal guidelines, facilitating communication, and collecting feedback. Prior to introducing flexible working, the HR department at Fitlyfe must verify that such options are in line with the firm's broader objectives and organisational culture. Fitlyfe must determine whether or not the provision of individualised services to customers would be improved by the adoption of flexible working arrangements (Nash and Churchill, 2020). In addition, the organisation has to determine the kind of corporate culture it would like to cultivate, taking into account the effect that working remotely has on the level of team cooperation, staff engagement, and overall service quality.</w:t>
      </w:r>
    </w:p>
    <w:p w14:paraId="7626C565" w14:textId="77777777" w:rsidR="00C144AD" w:rsidRPr="00C144AD" w:rsidRDefault="00C144AD" w:rsidP="00DD46D8">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Fitlyfe provides individualised nutritional and fitness solutions that could require the actual presence of trainers and nutritionists during certain time periods. The HR division should conduct a comprehensive evaluation of each job function in order to ascertain the viability of implementing flexible working arrangements across various roles. For example, it could be considered that administrative positions have a higher degree of flexibility to remote work arrangements, while occupations involving direct interaction with clients need a more controlled physical presence (Nash and Churchill, 2020). Moreover, the success of Fitlyfe is based upon the provision of top-notch personalised services to its clientele. The HR department should engage in collaboration with client service teams in order to get a comprehensive understanding of customer expectations and evaluate the potential impact of flexible working arrangements on customer service. It is essential to formulate a well-defined strategy in order to guarantee the uninterrupted fulfilment of client needs.</w:t>
      </w:r>
    </w:p>
    <w:p w14:paraId="486F9D57" w14:textId="77777777" w:rsidR="00C144AD" w:rsidRPr="00C144AD" w:rsidRDefault="00C144AD" w:rsidP="00DD46D8">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A robust technological infrastructure is essential in facilitating the implementation of remote work. The HR department should evaluate the accessibility and dependability of essential tools and systems, such as reliable internet access, communication software, and data protection measures. The allocation of financial resources may be necessary in order to enhance or provide staff with the requisite technological tools. Further, human resources should collect feedback from workers in order to get insight into their preferences for flexible work arrangements. The organisation must consider the specific circumstances and well-being of its employees, including issues about telecommunications, balancing work and family life, and their psychological health (Shifrin and Michel, 2021, p 18). Employee well-being should be recognised as a key concern in any arrangement of flexible scheduling.</w:t>
      </w:r>
    </w:p>
    <w:p w14:paraId="7CF3F0C9" w14:textId="77777777" w:rsidR="00C144AD" w:rsidRDefault="00C144AD" w:rsidP="00DD46D8">
      <w:pPr>
        <w:spacing w:line="360" w:lineRule="auto"/>
        <w:ind w:firstLine="720"/>
        <w:rPr>
          <w:rFonts w:ascii="Times New Roman" w:eastAsiaTheme="minorHAnsi" w:hAnsi="Times New Roman"/>
          <w:kern w:val="0"/>
          <w:sz w:val="24"/>
          <w:lang w:val="" w:eastAsia="en-US"/>
          <w14:ligatures w14:val="none"/>
        </w:rPr>
      </w:pPr>
      <w:r w:rsidRPr="00C144AD">
        <w:rPr>
          <w:rFonts w:ascii="Arial" w:eastAsiaTheme="minorHAnsi" w:hAnsi="Arial" w:cs="Arial"/>
          <w:kern w:val="0"/>
          <w:lang w:val="" w:eastAsia="en-US"/>
          <w14:ligatures w14:val="none"/>
        </w:rPr>
        <w:lastRenderedPageBreak/>
        <w:t xml:space="preserve">The successful deployment of flexible working is dependent upon the use of effective communication. The HR department should develop an exhaustive communication strategy in order to effectively disseminate information to workers on current arrangements, rules, and available support services. Furthermore, it may be essential to implementing training programmes in order to adequately equip personnel with the requisite skill set for effectively engaging in remote work. Additionally, Fitlyfe is obligated to comply with legal and regulatory obligations pertaining to flexible working arrangements, including labour legislation, data privacy rules, and tax laws. The HR department should have a good working relationship with legal advisers in order to create guidelines and contracts that are in accordance with the specified standards. </w:t>
      </w:r>
    </w:p>
    <w:p w14:paraId="6A3198AC"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1AE15021"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3198CC6E"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4F3727A6"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15926192"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7C7800FD"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5BF49E2F"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1281E9FC"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4453A9DB"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44D17079"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47DAD6C1"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51691971" w14:textId="77777777" w:rsidR="009F58CF" w:rsidRDefault="009F58CF" w:rsidP="00C144AD">
      <w:pPr>
        <w:spacing w:line="480" w:lineRule="auto"/>
        <w:ind w:firstLine="720"/>
        <w:rPr>
          <w:rFonts w:ascii="Times New Roman" w:eastAsiaTheme="minorHAnsi" w:hAnsi="Times New Roman"/>
          <w:kern w:val="0"/>
          <w:sz w:val="24"/>
          <w:lang w:val="" w:eastAsia="en-US"/>
          <w14:ligatures w14:val="none"/>
        </w:rPr>
      </w:pPr>
    </w:p>
    <w:p w14:paraId="7937EA64" w14:textId="77777777" w:rsidR="00B72993" w:rsidRDefault="00B72993" w:rsidP="00C144AD">
      <w:pPr>
        <w:spacing w:line="480" w:lineRule="auto"/>
        <w:ind w:firstLine="720"/>
        <w:rPr>
          <w:rFonts w:ascii="Times New Roman" w:eastAsiaTheme="minorHAnsi" w:hAnsi="Times New Roman"/>
          <w:kern w:val="0"/>
          <w:sz w:val="24"/>
          <w:lang w:val="" w:eastAsia="en-US"/>
          <w14:ligatures w14:val="none"/>
        </w:rPr>
      </w:pPr>
    </w:p>
    <w:p w14:paraId="5E5693B9" w14:textId="77777777" w:rsidR="00CC4D31" w:rsidRDefault="00CC4D31" w:rsidP="00C144AD">
      <w:pPr>
        <w:spacing w:line="480" w:lineRule="auto"/>
        <w:ind w:firstLine="720"/>
        <w:rPr>
          <w:rFonts w:ascii="Times New Roman" w:eastAsiaTheme="minorHAnsi" w:hAnsi="Times New Roman"/>
          <w:kern w:val="0"/>
          <w:sz w:val="24"/>
          <w:lang w:val="" w:eastAsia="en-US"/>
          <w14:ligatures w14:val="none"/>
        </w:rPr>
      </w:pPr>
    </w:p>
    <w:p w14:paraId="299F9EB4" w14:textId="77777777" w:rsidR="00CC4D31" w:rsidRDefault="00CC4D31" w:rsidP="00C144AD">
      <w:pPr>
        <w:spacing w:line="480" w:lineRule="auto"/>
        <w:ind w:firstLine="720"/>
        <w:rPr>
          <w:rFonts w:ascii="Times New Roman" w:eastAsiaTheme="minorHAnsi" w:hAnsi="Times New Roman"/>
          <w:kern w:val="0"/>
          <w:sz w:val="24"/>
          <w:lang w:val="" w:eastAsia="en-US"/>
          <w14:ligatures w14:val="none"/>
        </w:rPr>
      </w:pPr>
    </w:p>
    <w:p w14:paraId="47827901" w14:textId="77777777" w:rsidR="00CC4D31" w:rsidRDefault="00CC4D31" w:rsidP="00C144AD">
      <w:pPr>
        <w:spacing w:line="480" w:lineRule="auto"/>
        <w:ind w:firstLine="720"/>
        <w:rPr>
          <w:rFonts w:ascii="Times New Roman" w:eastAsiaTheme="minorHAnsi" w:hAnsi="Times New Roman"/>
          <w:kern w:val="0"/>
          <w:sz w:val="24"/>
          <w:lang w:val="" w:eastAsia="en-US"/>
          <w14:ligatures w14:val="none"/>
        </w:rPr>
      </w:pPr>
    </w:p>
    <w:p w14:paraId="2E26B7F6" w14:textId="77777777" w:rsidR="00FB3AD9" w:rsidRPr="00C144AD" w:rsidRDefault="00FB3AD9" w:rsidP="00C144AD">
      <w:pPr>
        <w:spacing w:line="480" w:lineRule="auto"/>
        <w:ind w:firstLine="720"/>
        <w:rPr>
          <w:rFonts w:ascii="Times New Roman" w:eastAsiaTheme="minorHAnsi" w:hAnsi="Times New Roman"/>
          <w:kern w:val="0"/>
          <w:sz w:val="24"/>
          <w:lang w:val="" w:eastAsia="en-US"/>
          <w14:ligatures w14:val="none"/>
        </w:rPr>
      </w:pPr>
    </w:p>
    <w:p w14:paraId="35695B96" w14:textId="5A2739F0" w:rsidR="00C144AD" w:rsidRDefault="00C144AD" w:rsidP="00E3637E">
      <w:pPr>
        <w:pStyle w:val="Heading1"/>
        <w:spacing w:line="360" w:lineRule="auto"/>
        <w:rPr>
          <w:rFonts w:ascii="Arial" w:eastAsiaTheme="minorHAnsi" w:hAnsi="Arial" w:cs="Arial"/>
          <w:sz w:val="22"/>
          <w:szCs w:val="22"/>
          <w:lang w:val="" w:eastAsia="en-US"/>
        </w:rPr>
      </w:pPr>
      <w:bookmarkStart w:id="3" w:name="_Toc150431953"/>
      <w:r w:rsidRPr="00E3637E">
        <w:rPr>
          <w:rFonts w:ascii="Arial" w:eastAsiaTheme="minorHAnsi" w:hAnsi="Arial" w:cs="Arial"/>
          <w:sz w:val="22"/>
          <w:szCs w:val="22"/>
          <w:lang w:val="" w:eastAsia="en-US"/>
        </w:rPr>
        <w:lastRenderedPageBreak/>
        <w:t>P</w:t>
      </w:r>
      <w:r w:rsidR="0005577A">
        <w:rPr>
          <w:rFonts w:ascii="Arial" w:eastAsiaTheme="minorHAnsi" w:hAnsi="Arial" w:cs="Arial"/>
          <w:sz w:val="22"/>
          <w:szCs w:val="22"/>
          <w:lang w:val="" w:eastAsia="en-US"/>
        </w:rPr>
        <w:t>ay</w:t>
      </w:r>
      <w:r w:rsidRPr="00E3637E">
        <w:rPr>
          <w:rFonts w:ascii="Arial" w:eastAsiaTheme="minorHAnsi" w:hAnsi="Arial" w:cs="Arial"/>
          <w:sz w:val="22"/>
          <w:szCs w:val="22"/>
          <w:lang w:val="" w:eastAsia="en-US"/>
        </w:rPr>
        <w:t xml:space="preserve"> S</w:t>
      </w:r>
      <w:r w:rsidR="0005577A">
        <w:rPr>
          <w:rFonts w:ascii="Arial" w:eastAsiaTheme="minorHAnsi" w:hAnsi="Arial" w:cs="Arial"/>
          <w:sz w:val="22"/>
          <w:szCs w:val="22"/>
          <w:lang w:val="" w:eastAsia="en-US"/>
        </w:rPr>
        <w:t xml:space="preserve">tructure </w:t>
      </w:r>
      <w:r w:rsidRPr="00E3637E">
        <w:rPr>
          <w:rFonts w:ascii="Arial" w:eastAsiaTheme="minorHAnsi" w:hAnsi="Arial" w:cs="Arial"/>
          <w:sz w:val="22"/>
          <w:szCs w:val="22"/>
          <w:lang w:val="" w:eastAsia="en-US"/>
        </w:rPr>
        <w:t>R</w:t>
      </w:r>
      <w:r w:rsidR="0005577A">
        <w:rPr>
          <w:rFonts w:ascii="Arial" w:eastAsiaTheme="minorHAnsi" w:hAnsi="Arial" w:cs="Arial"/>
          <w:sz w:val="22"/>
          <w:szCs w:val="22"/>
          <w:lang w:val="" w:eastAsia="en-US"/>
        </w:rPr>
        <w:t>econfiguration</w:t>
      </w:r>
      <w:bookmarkEnd w:id="3"/>
    </w:p>
    <w:p w14:paraId="25A673B5" w14:textId="77777777" w:rsidR="00FB3AD9" w:rsidRPr="00FB3AD9" w:rsidRDefault="00FB3AD9" w:rsidP="00FB3AD9">
      <w:pPr>
        <w:rPr>
          <w:lang w:val="" w:eastAsia="en-US"/>
        </w:rPr>
      </w:pPr>
    </w:p>
    <w:p w14:paraId="25EB5A0B" w14:textId="77777777" w:rsidR="00C144AD" w:rsidRPr="00C144AD" w:rsidRDefault="00C144AD" w:rsidP="00F27481">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Ensuring fairness and equity is a crucial factor to take into account when redesigning compensation structures to accommodate flexible working arrangements. Employees who have different hours of service have to be compensated fairly for their contributions and obligations. Fitlyfe should adopt a transparent approach that assesses performance by focusing on outcomes instead of the number of hours invested. Performance metrics such as customer satisfaction, progress made by clients, and compliance with corporate standards may be seen as more accurate indications of an employee's value.</w:t>
      </w:r>
    </w:p>
    <w:p w14:paraId="50EA1596" w14:textId="77777777" w:rsidR="00C144AD" w:rsidRPr="00F27481" w:rsidRDefault="00C144AD" w:rsidP="00F27481">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implementation of variable pay components has the potential to establish an alignment between remuneration and the utilisation of flexible working arrangements. Fitlyfe can integrate several forms of financial incentives, such as performance incentives, commissions, or project-oriented rewards. This strategy incentivizes fitness professionals and nutritionists to prioritise outcomes and client achievements, thereby driving them to optimise their productivity within their designated work hours (Min et al., 2019, p 404). Fitlyfe may also supplement flexible work options with flexible bonuses, such as tailored wellness and health packages, educational assistance, and opportunities for professional growth. Employees' ability to personalise their remuneration packages to meet their unique needs is enhanced as a result of the provision of these benefits, which in turn contributes to higher levels of work satisfaction and increased commitment to the organisation. In addition, an employee's compensation may be based on their proficiency in leveraging technological tools that facilitate remote cooperation and efficient client administration, irrespective of their physical location.</w:t>
      </w:r>
    </w:p>
    <w:p w14:paraId="6B1D3272"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5F0124DB"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12A4A325" w14:textId="77777777" w:rsidR="00624282" w:rsidRDefault="00624282" w:rsidP="00C144AD">
      <w:pPr>
        <w:spacing w:line="480" w:lineRule="auto"/>
        <w:ind w:firstLine="720"/>
        <w:rPr>
          <w:rFonts w:ascii="Times New Roman" w:eastAsiaTheme="minorHAnsi" w:hAnsi="Times New Roman"/>
          <w:kern w:val="0"/>
          <w:sz w:val="24"/>
          <w:lang w:val="" w:eastAsia="en-US"/>
          <w14:ligatures w14:val="none"/>
        </w:rPr>
      </w:pPr>
    </w:p>
    <w:p w14:paraId="3EB87C7F" w14:textId="77777777" w:rsidR="00F27481" w:rsidRDefault="00F27481" w:rsidP="00C144AD">
      <w:pPr>
        <w:spacing w:line="480" w:lineRule="auto"/>
        <w:ind w:firstLine="720"/>
        <w:rPr>
          <w:rFonts w:ascii="Times New Roman" w:eastAsiaTheme="minorHAnsi" w:hAnsi="Times New Roman"/>
          <w:kern w:val="0"/>
          <w:sz w:val="24"/>
          <w:lang w:val="" w:eastAsia="en-US"/>
          <w14:ligatures w14:val="none"/>
        </w:rPr>
      </w:pPr>
    </w:p>
    <w:p w14:paraId="25F1943F" w14:textId="77777777" w:rsidR="00F27481" w:rsidRDefault="00F27481" w:rsidP="00C144AD">
      <w:pPr>
        <w:spacing w:line="480" w:lineRule="auto"/>
        <w:ind w:firstLine="720"/>
        <w:rPr>
          <w:rFonts w:ascii="Times New Roman" w:eastAsiaTheme="minorHAnsi" w:hAnsi="Times New Roman"/>
          <w:kern w:val="0"/>
          <w:sz w:val="24"/>
          <w:lang w:val="" w:eastAsia="en-US"/>
          <w14:ligatures w14:val="none"/>
        </w:rPr>
      </w:pPr>
    </w:p>
    <w:p w14:paraId="4FADC415" w14:textId="77777777" w:rsidR="00F27481" w:rsidRDefault="00F27481" w:rsidP="00C144AD">
      <w:pPr>
        <w:spacing w:line="480" w:lineRule="auto"/>
        <w:ind w:firstLine="720"/>
        <w:rPr>
          <w:rFonts w:ascii="Times New Roman" w:eastAsiaTheme="minorHAnsi" w:hAnsi="Times New Roman"/>
          <w:kern w:val="0"/>
          <w:sz w:val="24"/>
          <w:lang w:val="" w:eastAsia="en-US"/>
          <w14:ligatures w14:val="none"/>
        </w:rPr>
      </w:pPr>
    </w:p>
    <w:p w14:paraId="6497F804" w14:textId="77777777" w:rsidR="00F27481" w:rsidRDefault="00F27481" w:rsidP="00C144AD">
      <w:pPr>
        <w:spacing w:line="480" w:lineRule="auto"/>
        <w:ind w:firstLine="720"/>
        <w:rPr>
          <w:rFonts w:ascii="Times New Roman" w:eastAsiaTheme="minorHAnsi" w:hAnsi="Times New Roman"/>
          <w:kern w:val="0"/>
          <w:sz w:val="24"/>
          <w:lang w:val="" w:eastAsia="en-US"/>
          <w14:ligatures w14:val="none"/>
        </w:rPr>
      </w:pPr>
    </w:p>
    <w:p w14:paraId="240EE711" w14:textId="77777777" w:rsidR="00F27481" w:rsidRDefault="00F27481" w:rsidP="00C144AD">
      <w:pPr>
        <w:spacing w:line="480" w:lineRule="auto"/>
        <w:ind w:firstLine="720"/>
        <w:rPr>
          <w:rFonts w:ascii="Times New Roman" w:eastAsiaTheme="minorHAnsi" w:hAnsi="Times New Roman"/>
          <w:kern w:val="0"/>
          <w:sz w:val="24"/>
          <w:lang w:val="" w:eastAsia="en-US"/>
          <w14:ligatures w14:val="none"/>
        </w:rPr>
      </w:pPr>
    </w:p>
    <w:p w14:paraId="753D9B07" w14:textId="77777777" w:rsidR="000637F6" w:rsidRDefault="000637F6" w:rsidP="000637F6">
      <w:pPr>
        <w:rPr>
          <w:rFonts w:ascii="Times New Roman" w:eastAsiaTheme="minorHAnsi" w:hAnsi="Times New Roman"/>
          <w:kern w:val="0"/>
          <w:sz w:val="24"/>
          <w:lang w:val="" w:eastAsia="en-US"/>
          <w14:ligatures w14:val="none"/>
        </w:rPr>
      </w:pPr>
    </w:p>
    <w:p w14:paraId="31F74748" w14:textId="77777777" w:rsidR="000637F6" w:rsidRDefault="000637F6" w:rsidP="000637F6">
      <w:pPr>
        <w:rPr>
          <w:rFonts w:ascii="Times New Roman" w:eastAsiaTheme="minorHAnsi" w:hAnsi="Times New Roman"/>
          <w:kern w:val="0"/>
          <w:sz w:val="24"/>
          <w:lang w:val="" w:eastAsia="en-US"/>
          <w14:ligatures w14:val="none"/>
        </w:rPr>
      </w:pPr>
    </w:p>
    <w:p w14:paraId="6C32D509" w14:textId="77777777" w:rsidR="000637F6" w:rsidRDefault="000637F6" w:rsidP="000637F6">
      <w:pPr>
        <w:rPr>
          <w:rFonts w:ascii="Times New Roman" w:eastAsiaTheme="minorHAnsi" w:hAnsi="Times New Roman"/>
          <w:kern w:val="0"/>
          <w:sz w:val="24"/>
          <w:lang w:val="" w:eastAsia="en-US"/>
          <w14:ligatures w14:val="none"/>
        </w:rPr>
      </w:pPr>
    </w:p>
    <w:p w14:paraId="0743E0AF" w14:textId="77777777" w:rsidR="000637F6" w:rsidRPr="000637F6" w:rsidRDefault="000637F6" w:rsidP="000637F6">
      <w:pPr>
        <w:pStyle w:val="Heading1"/>
        <w:spacing w:line="360" w:lineRule="auto"/>
        <w:rPr>
          <w:rFonts w:ascii="Arial" w:eastAsiaTheme="minorHAnsi" w:hAnsi="Arial" w:cs="Arial"/>
          <w:sz w:val="22"/>
          <w:szCs w:val="22"/>
          <w:lang w:val="" w:eastAsia="en-US"/>
        </w:rPr>
      </w:pPr>
      <w:bookmarkStart w:id="4" w:name="_Toc150431954"/>
      <w:r w:rsidRPr="000637F6">
        <w:rPr>
          <w:rFonts w:ascii="Arial" w:eastAsiaTheme="minorHAnsi" w:hAnsi="Arial" w:cs="Arial"/>
          <w:sz w:val="22"/>
          <w:szCs w:val="22"/>
          <w:lang w:val="" w:eastAsia="en-US"/>
        </w:rPr>
        <w:lastRenderedPageBreak/>
        <w:t>Reinforcement Theory</w:t>
      </w:r>
      <w:bookmarkEnd w:id="4"/>
    </w:p>
    <w:p w14:paraId="365C7787" w14:textId="77777777" w:rsidR="000637F6" w:rsidRDefault="000637F6" w:rsidP="000637F6">
      <w:pPr>
        <w:rPr>
          <w:rFonts w:ascii="Times New Roman" w:eastAsiaTheme="minorHAnsi" w:hAnsi="Times New Roman"/>
          <w:kern w:val="0"/>
          <w:sz w:val="24"/>
          <w:lang w:val="" w:eastAsia="en-US"/>
          <w14:ligatures w14:val="none"/>
        </w:rPr>
      </w:pPr>
    </w:p>
    <w:p w14:paraId="09DCF4C3" w14:textId="12E8ABC3" w:rsidR="000637F6" w:rsidRPr="000637F6" w:rsidRDefault="000637F6" w:rsidP="000637F6">
      <w:pPr>
        <w:spacing w:line="360" w:lineRule="auto"/>
        <w:rPr>
          <w:rFonts w:ascii="Arial" w:hAnsi="Arial" w:cs="Arial"/>
        </w:rPr>
      </w:pPr>
      <w:r w:rsidRPr="000637F6">
        <w:rPr>
          <w:rFonts w:ascii="Arial" w:hAnsi="Arial" w:cs="Arial"/>
        </w:rPr>
        <w:t xml:space="preserve">           The implementation of a pay structure reconfiguration may be guided by various theories, such as the equity theory and the reinforcement theory. According to Equity Theory, individuals evaluate the fairness of their outcomes by comparing them to the efforts and outcomes of others (Kollmann et al., 2019, p 106). The HR manager at Fitlyfe may use the equity theory to evaluate and synchronise workers' fairness perceptions about the reconfigured pay structure. Through the implementation of open and clear channels of communication, along with the active engagement of workers in the decision-making process, the HR manager can successfully address issues and ensure that the restructured pay system is accepted as fair and just. On the other hand, reinforcement theory places emphasis on the modification of behaviour through the use of positive and negative reinforcement (Kumari et al., 2021, p 412). The HR manager at Fitlyfe may use this theory to their benefit by rewarding positive attitudes and actions in response to the organisation's new payment structure. Positive reinforcement, including various forms of recognition, praise, and prizes, can reinforce the desirable behaviours demonstrated by workers who effectively adjust to organisational changes.</w:t>
      </w:r>
    </w:p>
    <w:p w14:paraId="3B5B2BD8" w14:textId="77777777" w:rsidR="000637F6" w:rsidRDefault="000637F6" w:rsidP="000375DC">
      <w:pPr>
        <w:pStyle w:val="Heading1"/>
        <w:spacing w:line="360" w:lineRule="auto"/>
        <w:rPr>
          <w:rFonts w:ascii="Arial" w:eastAsiaTheme="minorHAnsi" w:hAnsi="Arial" w:cs="Arial"/>
          <w:sz w:val="22"/>
          <w:szCs w:val="22"/>
          <w:lang w:val="" w:eastAsia="en-US"/>
        </w:rPr>
      </w:pPr>
    </w:p>
    <w:p w14:paraId="2D861641" w14:textId="77777777" w:rsidR="000637F6" w:rsidRDefault="000637F6" w:rsidP="000375DC">
      <w:pPr>
        <w:pStyle w:val="Heading1"/>
        <w:spacing w:line="360" w:lineRule="auto"/>
        <w:rPr>
          <w:rFonts w:ascii="Arial" w:eastAsiaTheme="minorHAnsi" w:hAnsi="Arial" w:cs="Arial"/>
          <w:sz w:val="22"/>
          <w:szCs w:val="22"/>
          <w:lang w:val="" w:eastAsia="en-US"/>
        </w:rPr>
      </w:pPr>
    </w:p>
    <w:p w14:paraId="715F6A89" w14:textId="77777777" w:rsidR="000637F6" w:rsidRDefault="000637F6" w:rsidP="000375DC">
      <w:pPr>
        <w:pStyle w:val="Heading1"/>
        <w:spacing w:line="360" w:lineRule="auto"/>
        <w:rPr>
          <w:rFonts w:ascii="Arial" w:eastAsiaTheme="minorHAnsi" w:hAnsi="Arial" w:cs="Arial"/>
          <w:sz w:val="22"/>
          <w:szCs w:val="22"/>
          <w:lang w:val="" w:eastAsia="en-US"/>
        </w:rPr>
      </w:pPr>
    </w:p>
    <w:p w14:paraId="7BCA24DF" w14:textId="77777777" w:rsidR="000637F6" w:rsidRDefault="000637F6" w:rsidP="000375DC">
      <w:pPr>
        <w:pStyle w:val="Heading1"/>
        <w:spacing w:line="360" w:lineRule="auto"/>
        <w:rPr>
          <w:rFonts w:ascii="Arial" w:eastAsiaTheme="minorHAnsi" w:hAnsi="Arial" w:cs="Arial"/>
          <w:sz w:val="22"/>
          <w:szCs w:val="22"/>
          <w:lang w:val="" w:eastAsia="en-US"/>
        </w:rPr>
      </w:pPr>
    </w:p>
    <w:p w14:paraId="2A7CE2F3" w14:textId="77777777" w:rsidR="000637F6" w:rsidRDefault="000637F6" w:rsidP="000375DC">
      <w:pPr>
        <w:pStyle w:val="Heading1"/>
        <w:spacing w:line="360" w:lineRule="auto"/>
        <w:rPr>
          <w:rFonts w:ascii="Arial" w:eastAsiaTheme="minorHAnsi" w:hAnsi="Arial" w:cs="Arial"/>
          <w:sz w:val="22"/>
          <w:szCs w:val="22"/>
          <w:lang w:val="" w:eastAsia="en-US"/>
        </w:rPr>
      </w:pPr>
    </w:p>
    <w:p w14:paraId="7955524D" w14:textId="77777777" w:rsidR="000637F6" w:rsidRDefault="000637F6" w:rsidP="000375DC">
      <w:pPr>
        <w:pStyle w:val="Heading1"/>
        <w:spacing w:line="360" w:lineRule="auto"/>
        <w:rPr>
          <w:rFonts w:ascii="Arial" w:eastAsiaTheme="minorHAnsi" w:hAnsi="Arial" w:cs="Arial"/>
          <w:sz w:val="22"/>
          <w:szCs w:val="22"/>
          <w:lang w:val="" w:eastAsia="en-US"/>
        </w:rPr>
      </w:pPr>
    </w:p>
    <w:p w14:paraId="03CDD8E2" w14:textId="77777777" w:rsidR="000637F6" w:rsidRDefault="000637F6" w:rsidP="000375DC">
      <w:pPr>
        <w:pStyle w:val="Heading1"/>
        <w:spacing w:line="360" w:lineRule="auto"/>
        <w:rPr>
          <w:rFonts w:ascii="Arial" w:eastAsiaTheme="minorHAnsi" w:hAnsi="Arial" w:cs="Arial"/>
          <w:sz w:val="22"/>
          <w:szCs w:val="22"/>
          <w:lang w:val="" w:eastAsia="en-US"/>
        </w:rPr>
      </w:pPr>
    </w:p>
    <w:p w14:paraId="7F62BEB0" w14:textId="77777777" w:rsidR="000637F6" w:rsidRDefault="000637F6" w:rsidP="000375DC">
      <w:pPr>
        <w:pStyle w:val="Heading1"/>
        <w:spacing w:line="360" w:lineRule="auto"/>
        <w:rPr>
          <w:rFonts w:ascii="Arial" w:eastAsiaTheme="minorHAnsi" w:hAnsi="Arial" w:cs="Arial"/>
          <w:sz w:val="22"/>
          <w:szCs w:val="22"/>
          <w:lang w:val="" w:eastAsia="en-US"/>
        </w:rPr>
      </w:pPr>
    </w:p>
    <w:p w14:paraId="7C3F7253" w14:textId="77777777" w:rsidR="000637F6" w:rsidRDefault="000637F6" w:rsidP="000375DC">
      <w:pPr>
        <w:pStyle w:val="Heading1"/>
        <w:spacing w:line="360" w:lineRule="auto"/>
        <w:rPr>
          <w:rFonts w:ascii="Arial" w:eastAsiaTheme="minorHAnsi" w:hAnsi="Arial" w:cs="Arial"/>
          <w:sz w:val="22"/>
          <w:szCs w:val="22"/>
          <w:lang w:val="" w:eastAsia="en-US"/>
        </w:rPr>
      </w:pPr>
    </w:p>
    <w:p w14:paraId="1D7F6FD2" w14:textId="77777777" w:rsidR="006601F5" w:rsidRDefault="006601F5" w:rsidP="000375DC">
      <w:pPr>
        <w:pStyle w:val="Heading1"/>
        <w:spacing w:line="360" w:lineRule="auto"/>
        <w:rPr>
          <w:rFonts w:ascii="Arial" w:eastAsiaTheme="minorHAnsi" w:hAnsi="Arial" w:cs="Arial"/>
          <w:sz w:val="22"/>
          <w:szCs w:val="22"/>
          <w:lang w:val="" w:eastAsia="en-US"/>
        </w:rPr>
      </w:pPr>
    </w:p>
    <w:p w14:paraId="2367E4BC" w14:textId="77777777" w:rsidR="00FB3AD9" w:rsidRDefault="00FB3AD9" w:rsidP="000375DC">
      <w:pPr>
        <w:spacing w:line="360" w:lineRule="auto"/>
        <w:ind w:firstLine="720"/>
        <w:rPr>
          <w:lang w:val="" w:eastAsia="en-US"/>
        </w:rPr>
      </w:pPr>
    </w:p>
    <w:p w14:paraId="1ECFE194" w14:textId="77777777" w:rsidR="006601F5" w:rsidRDefault="006601F5" w:rsidP="000375DC">
      <w:pPr>
        <w:spacing w:line="360" w:lineRule="auto"/>
        <w:ind w:firstLine="720"/>
        <w:rPr>
          <w:rFonts w:ascii="Arial" w:eastAsiaTheme="minorHAnsi" w:hAnsi="Arial" w:cs="Arial"/>
          <w:kern w:val="0"/>
          <w:lang w:val="" w:eastAsia="en-US"/>
          <w14:ligatures w14:val="none"/>
        </w:rPr>
      </w:pPr>
    </w:p>
    <w:p w14:paraId="2FA7493D" w14:textId="77777777" w:rsidR="006601F5" w:rsidRDefault="006601F5" w:rsidP="000375DC">
      <w:pPr>
        <w:spacing w:line="360" w:lineRule="auto"/>
        <w:ind w:firstLine="720"/>
        <w:rPr>
          <w:rFonts w:ascii="Arial" w:eastAsiaTheme="minorHAnsi" w:hAnsi="Arial" w:cs="Arial"/>
          <w:kern w:val="0"/>
          <w:lang w:val="" w:eastAsia="en-US"/>
          <w14:ligatures w14:val="none"/>
        </w:rPr>
      </w:pPr>
    </w:p>
    <w:p w14:paraId="13B439F3" w14:textId="77777777" w:rsidR="006601F5" w:rsidRDefault="006601F5" w:rsidP="006601F5">
      <w:pPr>
        <w:pStyle w:val="Heading1"/>
        <w:spacing w:line="360" w:lineRule="auto"/>
        <w:rPr>
          <w:rFonts w:ascii="Arial" w:eastAsiaTheme="minorHAnsi" w:hAnsi="Arial" w:cs="Arial"/>
          <w:sz w:val="22"/>
          <w:szCs w:val="22"/>
          <w:lang w:val="" w:eastAsia="en-US"/>
        </w:rPr>
      </w:pPr>
      <w:bookmarkStart w:id="5" w:name="_Toc150431955"/>
      <w:r w:rsidRPr="009F5928">
        <w:rPr>
          <w:rFonts w:ascii="Arial" w:eastAsiaTheme="minorHAnsi" w:hAnsi="Arial" w:cs="Arial"/>
          <w:sz w:val="22"/>
          <w:szCs w:val="22"/>
          <w:lang w:val="" w:eastAsia="en-US"/>
        </w:rPr>
        <w:lastRenderedPageBreak/>
        <w:t>S</w:t>
      </w:r>
      <w:r>
        <w:rPr>
          <w:rFonts w:ascii="Arial" w:eastAsiaTheme="minorHAnsi" w:hAnsi="Arial" w:cs="Arial"/>
          <w:sz w:val="22"/>
          <w:szCs w:val="22"/>
          <w:lang w:val="" w:eastAsia="en-US"/>
        </w:rPr>
        <w:t xml:space="preserve">trategies </w:t>
      </w:r>
      <w:r w:rsidRPr="009F5928">
        <w:rPr>
          <w:rFonts w:ascii="Arial" w:eastAsiaTheme="minorHAnsi" w:hAnsi="Arial" w:cs="Arial"/>
          <w:sz w:val="22"/>
          <w:szCs w:val="22"/>
          <w:lang w:val="" w:eastAsia="en-US"/>
        </w:rPr>
        <w:t>F</w:t>
      </w:r>
      <w:r>
        <w:rPr>
          <w:rFonts w:ascii="Arial" w:eastAsiaTheme="minorHAnsi" w:hAnsi="Arial" w:cs="Arial"/>
          <w:sz w:val="22"/>
          <w:szCs w:val="22"/>
          <w:lang w:val="" w:eastAsia="en-US"/>
        </w:rPr>
        <w:t>or</w:t>
      </w:r>
      <w:r w:rsidRPr="009F5928">
        <w:rPr>
          <w:rFonts w:ascii="Arial" w:eastAsiaTheme="minorHAnsi" w:hAnsi="Arial" w:cs="Arial"/>
          <w:sz w:val="22"/>
          <w:szCs w:val="22"/>
          <w:lang w:val="" w:eastAsia="en-US"/>
        </w:rPr>
        <w:t xml:space="preserve"> E</w:t>
      </w:r>
      <w:r>
        <w:rPr>
          <w:rFonts w:ascii="Arial" w:eastAsiaTheme="minorHAnsi" w:hAnsi="Arial" w:cs="Arial"/>
          <w:sz w:val="22"/>
          <w:szCs w:val="22"/>
          <w:lang w:val="" w:eastAsia="en-US"/>
        </w:rPr>
        <w:t xml:space="preserve">mployee </w:t>
      </w:r>
      <w:r w:rsidRPr="009F5928">
        <w:rPr>
          <w:rFonts w:ascii="Arial" w:eastAsiaTheme="minorHAnsi" w:hAnsi="Arial" w:cs="Arial"/>
          <w:sz w:val="22"/>
          <w:szCs w:val="22"/>
          <w:lang w:val="" w:eastAsia="en-US"/>
        </w:rPr>
        <w:t>E</w:t>
      </w:r>
      <w:r>
        <w:rPr>
          <w:rFonts w:ascii="Arial" w:eastAsiaTheme="minorHAnsi" w:hAnsi="Arial" w:cs="Arial"/>
          <w:sz w:val="22"/>
          <w:szCs w:val="22"/>
          <w:lang w:val="" w:eastAsia="en-US"/>
        </w:rPr>
        <w:t>ngagement</w:t>
      </w:r>
      <w:bookmarkEnd w:id="5"/>
      <w:r>
        <w:rPr>
          <w:rFonts w:ascii="Arial" w:eastAsiaTheme="minorHAnsi" w:hAnsi="Arial" w:cs="Arial"/>
          <w:sz w:val="22"/>
          <w:szCs w:val="22"/>
          <w:lang w:val="" w:eastAsia="en-US"/>
        </w:rPr>
        <w:t xml:space="preserve"> </w:t>
      </w:r>
    </w:p>
    <w:p w14:paraId="53696D58" w14:textId="77777777" w:rsidR="006601F5" w:rsidRDefault="006601F5" w:rsidP="000375DC">
      <w:pPr>
        <w:spacing w:line="360" w:lineRule="auto"/>
        <w:ind w:firstLine="720"/>
        <w:rPr>
          <w:rFonts w:ascii="Arial" w:eastAsiaTheme="minorHAnsi" w:hAnsi="Arial" w:cs="Arial"/>
          <w:kern w:val="0"/>
          <w:lang w:val="" w:eastAsia="en-US"/>
          <w14:ligatures w14:val="none"/>
        </w:rPr>
      </w:pPr>
    </w:p>
    <w:p w14:paraId="3B78BB1E" w14:textId="041FCF89" w:rsidR="00C144AD" w:rsidRPr="00C144AD" w:rsidRDefault="00C144AD" w:rsidP="000375DC">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The organisation needs to place a strong emphasis on initiatives that promote employee engagement and well-being if it desires the implementation of a flexible working strategy to be successful. Key elements of this approach include clear communication, setting expectations, investing in technology, and developing a results-oriented mindset. For example, Fitlyfe should emphasise open and honest communication with its staff on the transition to flexible working. The motivations for the move, the benefits it brings, and any possible drawbacks should all be explained to the employees (Saks, 2021). Communication should also contain details about how their roles and responsibilities may change in the future to ensure employees have an extensive understanding of what they should expect.</w:t>
      </w:r>
    </w:p>
    <w:p w14:paraId="21AF4857" w14:textId="77777777" w:rsidR="00C144AD" w:rsidRPr="000375DC" w:rsidRDefault="00C144AD" w:rsidP="000375DC">
      <w:pPr>
        <w:spacing w:line="360" w:lineRule="auto"/>
        <w:ind w:firstLine="720"/>
        <w:rPr>
          <w:rFonts w:ascii="Arial" w:eastAsiaTheme="minorHAnsi" w:hAnsi="Arial" w:cs="Arial"/>
          <w:kern w:val="0"/>
          <w:lang w:val="" w:eastAsia="en-US"/>
          <w14:ligatures w14:val="none"/>
        </w:rPr>
      </w:pPr>
      <w:r w:rsidRPr="00C144AD">
        <w:rPr>
          <w:rFonts w:ascii="Arial" w:eastAsiaTheme="minorHAnsi" w:hAnsi="Arial" w:cs="Arial"/>
          <w:kern w:val="0"/>
          <w:lang w:val="" w:eastAsia="en-US"/>
          <w14:ligatures w14:val="none"/>
        </w:rPr>
        <w:t>Fitlyfe should shift away from conventional time-based evaluations and towards performance-based evaluations. Managers prioritise the outcomes and quality of work provided instead of emphasising the number of hours dedicated to labour. The shift fosters a culture that prioritises achieving outcomes and motivates workers to take responsibility for their assigned duties and obligations (Setiyani et al., 2019, p 115). Furthermore, it is essential to acknowledge and recognise staff for their contributions in order to sustain motivation and engagement. Fitlyfe may implement a procedure for recognising exceptional achievement, whether via incentives, promotions, or public acknowledgment. These incentives motivate workers to stay committed to their positions while contributing to the prosperity of the organisation.</w:t>
      </w:r>
    </w:p>
    <w:p w14:paraId="426858F0" w14:textId="77777777" w:rsidR="006D7B26" w:rsidRPr="000375DC" w:rsidRDefault="006D7B26" w:rsidP="000375DC">
      <w:pPr>
        <w:spacing w:line="360" w:lineRule="auto"/>
        <w:ind w:firstLine="720"/>
        <w:rPr>
          <w:rFonts w:ascii="Arial" w:eastAsiaTheme="minorHAnsi" w:hAnsi="Arial" w:cs="Arial"/>
          <w:kern w:val="0"/>
          <w:lang w:val="" w:eastAsia="en-US"/>
          <w14:ligatures w14:val="none"/>
        </w:rPr>
      </w:pPr>
    </w:p>
    <w:p w14:paraId="11A62CD8" w14:textId="77777777" w:rsidR="006D7B26" w:rsidRDefault="006D7B26" w:rsidP="00C144AD">
      <w:pPr>
        <w:spacing w:line="480" w:lineRule="auto"/>
        <w:ind w:firstLine="720"/>
        <w:rPr>
          <w:rFonts w:ascii="Times New Roman" w:eastAsiaTheme="minorHAnsi" w:hAnsi="Times New Roman"/>
          <w:kern w:val="0"/>
          <w:sz w:val="24"/>
          <w:lang w:val="" w:eastAsia="en-US"/>
          <w14:ligatures w14:val="none"/>
        </w:rPr>
      </w:pPr>
    </w:p>
    <w:p w14:paraId="0B5DD3D2" w14:textId="77777777" w:rsidR="006D7B26" w:rsidRDefault="006D7B26" w:rsidP="00C144AD">
      <w:pPr>
        <w:spacing w:line="480" w:lineRule="auto"/>
        <w:ind w:firstLine="720"/>
        <w:rPr>
          <w:rFonts w:ascii="Times New Roman" w:eastAsiaTheme="minorHAnsi" w:hAnsi="Times New Roman"/>
          <w:kern w:val="0"/>
          <w:sz w:val="24"/>
          <w:lang w:val="" w:eastAsia="en-US"/>
          <w14:ligatures w14:val="none"/>
        </w:rPr>
      </w:pPr>
    </w:p>
    <w:p w14:paraId="259C6B4D" w14:textId="77777777" w:rsidR="006D7B26" w:rsidRDefault="006D7B26" w:rsidP="00C144AD">
      <w:pPr>
        <w:spacing w:line="480" w:lineRule="auto"/>
        <w:ind w:firstLine="720"/>
        <w:rPr>
          <w:rFonts w:ascii="Times New Roman" w:eastAsiaTheme="minorHAnsi" w:hAnsi="Times New Roman"/>
          <w:kern w:val="0"/>
          <w:sz w:val="24"/>
          <w:lang w:val="" w:eastAsia="en-US"/>
          <w14:ligatures w14:val="none"/>
        </w:rPr>
      </w:pPr>
    </w:p>
    <w:p w14:paraId="6769AFAD" w14:textId="77777777" w:rsidR="006D7B26" w:rsidRPr="00C144AD" w:rsidRDefault="006D7B26" w:rsidP="00C144AD">
      <w:pPr>
        <w:spacing w:line="480" w:lineRule="auto"/>
        <w:ind w:firstLine="720"/>
        <w:rPr>
          <w:rFonts w:ascii="Times New Roman" w:eastAsiaTheme="minorHAnsi" w:hAnsi="Times New Roman"/>
          <w:kern w:val="0"/>
          <w:sz w:val="24"/>
          <w:lang w:val="" w:eastAsia="en-US"/>
          <w14:ligatures w14:val="none"/>
        </w:rPr>
      </w:pPr>
    </w:p>
    <w:p w14:paraId="7C8E8293" w14:textId="77777777" w:rsidR="0048373C" w:rsidRDefault="0048373C" w:rsidP="00B532E0">
      <w:pPr>
        <w:pStyle w:val="Heading1"/>
        <w:rPr>
          <w:rFonts w:ascii="Arial" w:eastAsiaTheme="minorHAnsi" w:hAnsi="Arial" w:cs="Arial"/>
          <w:sz w:val="22"/>
          <w:szCs w:val="22"/>
          <w:lang w:val="" w:eastAsia="en-US"/>
        </w:rPr>
      </w:pPr>
    </w:p>
    <w:p w14:paraId="2B1BB998" w14:textId="77777777" w:rsidR="0048373C" w:rsidRDefault="0048373C" w:rsidP="00B532E0">
      <w:pPr>
        <w:pStyle w:val="Heading1"/>
        <w:rPr>
          <w:rFonts w:ascii="Arial" w:eastAsiaTheme="minorHAnsi" w:hAnsi="Arial" w:cs="Arial"/>
          <w:sz w:val="22"/>
          <w:szCs w:val="22"/>
          <w:lang w:val="" w:eastAsia="en-US"/>
        </w:rPr>
      </w:pPr>
    </w:p>
    <w:p w14:paraId="203E9BCE" w14:textId="77777777" w:rsidR="0048373C" w:rsidRDefault="0048373C" w:rsidP="00B532E0">
      <w:pPr>
        <w:pStyle w:val="Heading1"/>
        <w:rPr>
          <w:rFonts w:ascii="Arial" w:eastAsiaTheme="minorHAnsi" w:hAnsi="Arial" w:cs="Arial"/>
          <w:sz w:val="22"/>
          <w:szCs w:val="22"/>
          <w:lang w:val="" w:eastAsia="en-US"/>
        </w:rPr>
      </w:pPr>
    </w:p>
    <w:p w14:paraId="4613A6D6" w14:textId="77777777" w:rsidR="0048373C" w:rsidRPr="0048373C" w:rsidRDefault="0048373C" w:rsidP="0048373C">
      <w:pPr>
        <w:rPr>
          <w:lang w:val="" w:eastAsia="en-US"/>
        </w:rPr>
      </w:pPr>
    </w:p>
    <w:p w14:paraId="20240C41" w14:textId="77777777" w:rsidR="0048373C" w:rsidRDefault="0048373C" w:rsidP="00B532E0">
      <w:pPr>
        <w:pStyle w:val="Heading1"/>
        <w:rPr>
          <w:rFonts w:ascii="Arial" w:eastAsiaTheme="minorHAnsi" w:hAnsi="Arial" w:cs="Arial"/>
          <w:sz w:val="22"/>
          <w:szCs w:val="22"/>
          <w:lang w:val="" w:eastAsia="en-US"/>
        </w:rPr>
      </w:pPr>
    </w:p>
    <w:p w14:paraId="4F92A546" w14:textId="77777777" w:rsidR="0048373C" w:rsidRDefault="0048373C" w:rsidP="00B532E0">
      <w:pPr>
        <w:pStyle w:val="Heading1"/>
        <w:rPr>
          <w:rFonts w:ascii="Arial" w:eastAsiaTheme="minorHAnsi" w:hAnsi="Arial" w:cs="Arial"/>
          <w:sz w:val="22"/>
          <w:szCs w:val="22"/>
          <w:lang w:val="" w:eastAsia="en-US"/>
        </w:rPr>
      </w:pPr>
    </w:p>
    <w:p w14:paraId="07600EA6" w14:textId="77777777" w:rsidR="0048373C" w:rsidRDefault="0048373C" w:rsidP="0048373C">
      <w:pPr>
        <w:rPr>
          <w:lang w:val="" w:eastAsia="en-US"/>
        </w:rPr>
      </w:pPr>
    </w:p>
    <w:p w14:paraId="31C33692" w14:textId="77777777" w:rsidR="0048373C" w:rsidRPr="0048373C" w:rsidRDefault="0048373C" w:rsidP="0048373C">
      <w:pPr>
        <w:rPr>
          <w:lang w:val="" w:eastAsia="en-US"/>
        </w:rPr>
      </w:pPr>
    </w:p>
    <w:p w14:paraId="5C76EE4C" w14:textId="2DBDC083" w:rsidR="00C144AD" w:rsidRDefault="00C144AD" w:rsidP="00B532E0">
      <w:pPr>
        <w:pStyle w:val="Heading1"/>
        <w:rPr>
          <w:rFonts w:ascii="Arial" w:eastAsiaTheme="minorHAnsi" w:hAnsi="Arial" w:cs="Arial"/>
          <w:sz w:val="22"/>
          <w:szCs w:val="22"/>
          <w:lang w:val="" w:eastAsia="en-US"/>
        </w:rPr>
      </w:pPr>
      <w:bookmarkStart w:id="6" w:name="_Toc150431956"/>
      <w:r w:rsidRPr="00B532E0">
        <w:rPr>
          <w:rFonts w:ascii="Arial" w:eastAsiaTheme="minorHAnsi" w:hAnsi="Arial" w:cs="Arial"/>
          <w:sz w:val="22"/>
          <w:szCs w:val="22"/>
          <w:lang w:val="" w:eastAsia="en-US"/>
        </w:rPr>
        <w:lastRenderedPageBreak/>
        <w:t>C</w:t>
      </w:r>
      <w:r w:rsidR="0005577A">
        <w:rPr>
          <w:rFonts w:ascii="Arial" w:eastAsiaTheme="minorHAnsi" w:hAnsi="Arial" w:cs="Arial"/>
          <w:sz w:val="22"/>
          <w:szCs w:val="22"/>
          <w:lang w:val="" w:eastAsia="en-US"/>
        </w:rPr>
        <w:t>onclusion</w:t>
      </w:r>
      <w:bookmarkEnd w:id="6"/>
    </w:p>
    <w:p w14:paraId="59BFD951" w14:textId="77777777" w:rsidR="00B532E0" w:rsidRPr="00B532E0" w:rsidRDefault="00B532E0" w:rsidP="00B532E0">
      <w:pPr>
        <w:rPr>
          <w:lang w:val="" w:eastAsia="en-US"/>
        </w:rPr>
      </w:pPr>
    </w:p>
    <w:p w14:paraId="59A0B864" w14:textId="77777777" w:rsidR="00C144AD" w:rsidRPr="006601F5" w:rsidRDefault="00C144AD" w:rsidP="006601F5">
      <w:pPr>
        <w:spacing w:line="360" w:lineRule="auto"/>
        <w:ind w:firstLine="720"/>
        <w:rPr>
          <w:rFonts w:ascii="Arial" w:eastAsiaTheme="minorHAnsi" w:hAnsi="Arial" w:cs="Arial"/>
          <w:kern w:val="0"/>
          <w:lang w:val="" w:eastAsia="en-US"/>
          <w14:ligatures w14:val="none"/>
        </w:rPr>
      </w:pPr>
      <w:r w:rsidRPr="006601F5">
        <w:rPr>
          <w:rFonts w:ascii="Arial" w:eastAsiaTheme="minorHAnsi" w:hAnsi="Arial" w:cs="Arial"/>
          <w:kern w:val="0"/>
          <w:lang w:val="" w:eastAsia="en-US"/>
          <w14:ligatures w14:val="none"/>
        </w:rPr>
        <w:t>The implementation of a flexible working approach at Fitlyfe is a proactive measure in response to the evolving work environment. The adoption of a flexible working strategy promotes a workplace atmosphere that is characterised by enhanced productivity, inclusivity, and flexibility. This approach is in line with Fitlyfe's overarching aim of delivering personalised fitness and nutrition services. Fitlyfe can present itself as a forward-thinking employer, better fulfil the needs of its staff, and continue to provide outstanding personalised nutritional and fitness services to its customers by embracing flexibility.</w:t>
      </w:r>
    </w:p>
    <w:p w14:paraId="05CECBEB"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6971A5F3"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47F8423B"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1A119AF1"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3071CA4C"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186A88AC"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4A09F7C4"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7B72E667"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01FDF336"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0668006A" w14:textId="77777777" w:rsidR="00C144AD" w:rsidRPr="00C144AD" w:rsidRDefault="00C144AD" w:rsidP="00C144AD">
      <w:pPr>
        <w:spacing w:line="480" w:lineRule="auto"/>
        <w:rPr>
          <w:rFonts w:ascii="Times New Roman" w:eastAsiaTheme="minorHAnsi" w:hAnsi="Times New Roman"/>
          <w:kern w:val="0"/>
          <w:sz w:val="24"/>
          <w:lang w:val="" w:eastAsia="en-US"/>
          <w14:ligatures w14:val="none"/>
        </w:rPr>
      </w:pPr>
    </w:p>
    <w:p w14:paraId="047DB337"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6DA07A73"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043870FD"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09039534"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6076464B"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5015BF88" w14:textId="77777777" w:rsidR="006D7B26" w:rsidRDefault="006D7B26" w:rsidP="00C144AD">
      <w:pPr>
        <w:spacing w:line="480" w:lineRule="auto"/>
        <w:jc w:val="center"/>
        <w:rPr>
          <w:rFonts w:ascii="Times New Roman" w:eastAsiaTheme="minorHAnsi" w:hAnsi="Times New Roman"/>
          <w:kern w:val="0"/>
          <w:sz w:val="24"/>
          <w:lang w:val="" w:eastAsia="en-US"/>
          <w14:ligatures w14:val="none"/>
        </w:rPr>
      </w:pPr>
    </w:p>
    <w:p w14:paraId="7BD82DF2" w14:textId="77777777" w:rsidR="006D2FF1" w:rsidRDefault="006D2FF1" w:rsidP="006D2FF1">
      <w:pPr>
        <w:spacing w:line="480" w:lineRule="auto"/>
        <w:rPr>
          <w:rFonts w:ascii="Times New Roman" w:eastAsiaTheme="minorHAnsi" w:hAnsi="Times New Roman"/>
          <w:kern w:val="0"/>
          <w:sz w:val="24"/>
          <w:lang w:val="" w:eastAsia="en-US"/>
          <w14:ligatures w14:val="none"/>
        </w:rPr>
      </w:pPr>
    </w:p>
    <w:p w14:paraId="2F29D75A" w14:textId="77777777" w:rsidR="00B532E0" w:rsidRDefault="00B532E0" w:rsidP="00941BA5">
      <w:pPr>
        <w:pStyle w:val="Heading1"/>
        <w:rPr>
          <w:rFonts w:ascii="Arial" w:eastAsiaTheme="minorHAnsi" w:hAnsi="Arial" w:cs="Arial"/>
          <w:sz w:val="22"/>
          <w:szCs w:val="22"/>
          <w:lang w:val="" w:eastAsia="en-US"/>
        </w:rPr>
      </w:pPr>
    </w:p>
    <w:p w14:paraId="16ED6683" w14:textId="77777777" w:rsidR="006601F5" w:rsidRDefault="006601F5" w:rsidP="00941BA5">
      <w:pPr>
        <w:pStyle w:val="Heading1"/>
        <w:rPr>
          <w:rFonts w:ascii="Arial" w:eastAsiaTheme="minorHAnsi" w:hAnsi="Arial" w:cs="Arial"/>
          <w:sz w:val="22"/>
          <w:szCs w:val="22"/>
          <w:lang w:val="" w:eastAsia="en-US"/>
        </w:rPr>
      </w:pPr>
    </w:p>
    <w:p w14:paraId="01E4F286" w14:textId="4D56D31A" w:rsidR="00C144AD" w:rsidRDefault="00C144AD" w:rsidP="00941BA5">
      <w:pPr>
        <w:pStyle w:val="Heading1"/>
        <w:rPr>
          <w:rFonts w:ascii="Arial" w:eastAsiaTheme="minorHAnsi" w:hAnsi="Arial" w:cs="Arial"/>
          <w:sz w:val="22"/>
          <w:szCs w:val="22"/>
          <w:lang w:val="" w:eastAsia="en-US"/>
        </w:rPr>
      </w:pPr>
      <w:bookmarkStart w:id="7" w:name="_Toc150431957"/>
      <w:r w:rsidRPr="00941BA5">
        <w:rPr>
          <w:rFonts w:ascii="Arial" w:eastAsiaTheme="minorHAnsi" w:hAnsi="Arial" w:cs="Arial"/>
          <w:sz w:val="22"/>
          <w:szCs w:val="22"/>
          <w:lang w:val="" w:eastAsia="en-US"/>
        </w:rPr>
        <w:t>R</w:t>
      </w:r>
      <w:r w:rsidR="0005577A">
        <w:rPr>
          <w:rFonts w:ascii="Arial" w:eastAsiaTheme="minorHAnsi" w:hAnsi="Arial" w:cs="Arial"/>
          <w:sz w:val="22"/>
          <w:szCs w:val="22"/>
          <w:lang w:val="" w:eastAsia="en-US"/>
        </w:rPr>
        <w:t>eferences</w:t>
      </w:r>
      <w:bookmarkEnd w:id="7"/>
      <w:r w:rsidR="00B532E0">
        <w:rPr>
          <w:rFonts w:ascii="Arial" w:eastAsiaTheme="minorHAnsi" w:hAnsi="Arial" w:cs="Arial"/>
          <w:sz w:val="22"/>
          <w:szCs w:val="22"/>
          <w:lang w:val="" w:eastAsia="en-US"/>
        </w:rPr>
        <w:t xml:space="preserve"> </w:t>
      </w:r>
    </w:p>
    <w:p w14:paraId="06991A2E" w14:textId="77777777" w:rsidR="00941BA5" w:rsidRPr="00941BA5" w:rsidRDefault="00941BA5" w:rsidP="00941BA5">
      <w:pPr>
        <w:rPr>
          <w:lang w:val="" w:eastAsia="en-US"/>
        </w:rPr>
      </w:pPr>
    </w:p>
    <w:p w14:paraId="3A8B6269"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 xml:space="preserve">Azizi, M.R., </w:t>
      </w:r>
      <w:proofErr w:type="spellStart"/>
      <w:r w:rsidRPr="00A42A35">
        <w:rPr>
          <w:rFonts w:ascii="Arial" w:hAnsi="Arial" w:cs="Arial"/>
        </w:rPr>
        <w:t>Atlasi</w:t>
      </w:r>
      <w:proofErr w:type="spellEnd"/>
      <w:r w:rsidRPr="00A42A35">
        <w:rPr>
          <w:rFonts w:ascii="Arial" w:hAnsi="Arial" w:cs="Arial"/>
        </w:rPr>
        <w:t xml:space="preserve">, R., </w:t>
      </w:r>
      <w:proofErr w:type="spellStart"/>
      <w:r w:rsidRPr="00A42A35">
        <w:rPr>
          <w:rFonts w:ascii="Arial" w:hAnsi="Arial" w:cs="Arial"/>
        </w:rPr>
        <w:t>Ziapour</w:t>
      </w:r>
      <w:proofErr w:type="spellEnd"/>
      <w:r w:rsidRPr="00A42A35">
        <w:rPr>
          <w:rFonts w:ascii="Arial" w:hAnsi="Arial" w:cs="Arial"/>
        </w:rPr>
        <w:t xml:space="preserve">, A., Abbas, J. and </w:t>
      </w:r>
      <w:proofErr w:type="spellStart"/>
      <w:r w:rsidRPr="00A42A35">
        <w:rPr>
          <w:rFonts w:ascii="Arial" w:hAnsi="Arial" w:cs="Arial"/>
        </w:rPr>
        <w:t>Naemi</w:t>
      </w:r>
      <w:proofErr w:type="spellEnd"/>
      <w:r w:rsidRPr="00A42A35">
        <w:rPr>
          <w:rFonts w:ascii="Arial" w:hAnsi="Arial" w:cs="Arial"/>
        </w:rPr>
        <w:t>, R. (2021). Innovative human resource management strategies during the COVID-19 pandemic: A systematic narrative review approach. </w:t>
      </w:r>
      <w:proofErr w:type="spellStart"/>
      <w:r w:rsidRPr="00A42A35">
        <w:rPr>
          <w:rFonts w:ascii="Arial" w:hAnsi="Arial" w:cs="Arial"/>
          <w:i/>
          <w:iCs/>
        </w:rPr>
        <w:t>Heliyon</w:t>
      </w:r>
      <w:proofErr w:type="spellEnd"/>
      <w:r w:rsidRPr="00A42A35">
        <w:rPr>
          <w:rFonts w:ascii="Arial" w:hAnsi="Arial" w:cs="Arial"/>
        </w:rPr>
        <w:t xml:space="preserve">, 7(6), p.e07233. </w:t>
      </w:r>
      <w:hyperlink r:id="rId6" w:history="1">
        <w:r w:rsidRPr="00A42A35">
          <w:rPr>
            <w:rStyle w:val="Hyperlink"/>
            <w:rFonts w:ascii="Arial" w:hAnsi="Arial" w:cs="Arial"/>
          </w:rPr>
          <w:t>https://doi.org/10.1016/j.heliyon.2021.e07233</w:t>
        </w:r>
      </w:hyperlink>
      <w:r w:rsidRPr="00A42A35">
        <w:rPr>
          <w:rFonts w:ascii="Arial" w:hAnsi="Arial" w:cs="Arial"/>
        </w:rPr>
        <w:t>.</w:t>
      </w:r>
    </w:p>
    <w:p w14:paraId="104B1995"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Choi, S. (2019). Flexible Work Arrangements and Employee Retention: A Longitudinal Analysis of the Federal Workforces. </w:t>
      </w:r>
      <w:r w:rsidRPr="00A42A35">
        <w:rPr>
          <w:rFonts w:ascii="Arial" w:hAnsi="Arial" w:cs="Arial"/>
          <w:i/>
          <w:iCs/>
        </w:rPr>
        <w:t>Public Personnel Management</w:t>
      </w:r>
      <w:r w:rsidRPr="00A42A35">
        <w:rPr>
          <w:rFonts w:ascii="Arial" w:hAnsi="Arial" w:cs="Arial"/>
        </w:rPr>
        <w:t xml:space="preserve">, 49(3), p.009102601988634. </w:t>
      </w:r>
      <w:hyperlink r:id="rId7" w:history="1">
        <w:r w:rsidRPr="00A42A35">
          <w:rPr>
            <w:rStyle w:val="Hyperlink"/>
            <w:rFonts w:ascii="Arial" w:hAnsi="Arial" w:cs="Arial"/>
          </w:rPr>
          <w:t>https://doi.org/10.1177/0091026019886340</w:t>
        </w:r>
      </w:hyperlink>
      <w:r w:rsidRPr="00A42A35">
        <w:rPr>
          <w:rFonts w:ascii="Arial" w:hAnsi="Arial" w:cs="Arial"/>
        </w:rPr>
        <w:t>.</w:t>
      </w:r>
    </w:p>
    <w:p w14:paraId="2C212EE4"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Chung, H. and van der Lippe, T. (2020). Flexible Working, Work–Life Balance, and Gender Equality: Introduction. </w:t>
      </w:r>
      <w:r w:rsidRPr="00A42A35">
        <w:rPr>
          <w:rFonts w:ascii="Arial" w:hAnsi="Arial" w:cs="Arial"/>
          <w:i/>
          <w:iCs/>
        </w:rPr>
        <w:t>Social Indicators Research</w:t>
      </w:r>
      <w:r w:rsidRPr="00A42A35">
        <w:rPr>
          <w:rFonts w:ascii="Arial" w:hAnsi="Arial" w:cs="Arial"/>
        </w:rPr>
        <w:t xml:space="preserve">, 151(2), pp.365–381. </w:t>
      </w:r>
      <w:hyperlink r:id="rId8" w:history="1">
        <w:r w:rsidRPr="00A42A35">
          <w:rPr>
            <w:rStyle w:val="Hyperlink"/>
            <w:rFonts w:ascii="Arial" w:hAnsi="Arial" w:cs="Arial"/>
          </w:rPr>
          <w:t>https://doi.org/10.1007/s11205-018-2025-x</w:t>
        </w:r>
      </w:hyperlink>
      <w:r w:rsidRPr="00A42A35">
        <w:rPr>
          <w:rFonts w:ascii="Arial" w:hAnsi="Arial" w:cs="Arial"/>
        </w:rPr>
        <w:t>.</w:t>
      </w:r>
    </w:p>
    <w:p w14:paraId="1010986E" w14:textId="77777777" w:rsidR="00A42A35" w:rsidRPr="00A42A35" w:rsidRDefault="00A42A35" w:rsidP="00A42A35">
      <w:pPr>
        <w:spacing w:line="360" w:lineRule="auto"/>
        <w:ind w:left="720" w:hanging="720"/>
        <w:rPr>
          <w:rFonts w:ascii="Arial" w:hAnsi="Arial" w:cs="Arial"/>
        </w:rPr>
      </w:pPr>
      <w:proofErr w:type="spellStart"/>
      <w:r w:rsidRPr="00A42A35">
        <w:rPr>
          <w:rFonts w:ascii="Arial" w:hAnsi="Arial" w:cs="Arial"/>
        </w:rPr>
        <w:t>Irawan</w:t>
      </w:r>
      <w:proofErr w:type="spellEnd"/>
      <w:r w:rsidRPr="00A42A35">
        <w:rPr>
          <w:rFonts w:ascii="Arial" w:hAnsi="Arial" w:cs="Arial"/>
        </w:rPr>
        <w:t xml:space="preserve">, D.A. and Sari, P. (2021). Employee productivity: The effect of flexible work arrangement, indoor air quality, location, and amenities at one of multinational logistics providers in Indonesia. </w:t>
      </w:r>
      <w:r w:rsidRPr="00A42A35">
        <w:rPr>
          <w:rFonts w:ascii="Arial" w:hAnsi="Arial" w:cs="Arial"/>
          <w:i/>
          <w:iCs/>
        </w:rPr>
        <w:t>IOP Conference Series: Earth and Environmental Science</w:t>
      </w:r>
      <w:r w:rsidRPr="00A42A35">
        <w:rPr>
          <w:rFonts w:ascii="Arial" w:hAnsi="Arial" w:cs="Arial"/>
        </w:rPr>
        <w:t xml:space="preserve">, 729(1), p.012126. </w:t>
      </w:r>
      <w:hyperlink r:id="rId9" w:history="1">
        <w:r w:rsidRPr="00A42A35">
          <w:rPr>
            <w:rStyle w:val="Hyperlink"/>
            <w:rFonts w:ascii="Arial" w:hAnsi="Arial" w:cs="Arial"/>
          </w:rPr>
          <w:t>https://doi.org/10.1088/1755-1315/729/1/012126</w:t>
        </w:r>
      </w:hyperlink>
      <w:r w:rsidRPr="00A42A35">
        <w:rPr>
          <w:rFonts w:ascii="Arial" w:hAnsi="Arial" w:cs="Arial"/>
        </w:rPr>
        <w:t>.</w:t>
      </w:r>
    </w:p>
    <w:p w14:paraId="67B45EE5"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 xml:space="preserve">Kollmann, T., </w:t>
      </w:r>
      <w:proofErr w:type="spellStart"/>
      <w:r w:rsidRPr="00A42A35">
        <w:rPr>
          <w:rFonts w:ascii="Arial" w:hAnsi="Arial" w:cs="Arial"/>
        </w:rPr>
        <w:t>Stöckmann</w:t>
      </w:r>
      <w:proofErr w:type="spellEnd"/>
      <w:r w:rsidRPr="00A42A35">
        <w:rPr>
          <w:rFonts w:ascii="Arial" w:hAnsi="Arial" w:cs="Arial"/>
        </w:rPr>
        <w:t xml:space="preserve">, C., </w:t>
      </w:r>
      <w:proofErr w:type="spellStart"/>
      <w:r w:rsidRPr="00A42A35">
        <w:rPr>
          <w:rFonts w:ascii="Arial" w:hAnsi="Arial" w:cs="Arial"/>
        </w:rPr>
        <w:t>Kensbock</w:t>
      </w:r>
      <w:proofErr w:type="spellEnd"/>
      <w:r w:rsidRPr="00A42A35">
        <w:rPr>
          <w:rFonts w:ascii="Arial" w:hAnsi="Arial" w:cs="Arial"/>
        </w:rPr>
        <w:t xml:space="preserve">, J.M. and </w:t>
      </w:r>
      <w:proofErr w:type="spellStart"/>
      <w:r w:rsidRPr="00A42A35">
        <w:rPr>
          <w:rFonts w:ascii="Arial" w:hAnsi="Arial" w:cs="Arial"/>
        </w:rPr>
        <w:t>Peschl</w:t>
      </w:r>
      <w:proofErr w:type="spellEnd"/>
      <w:r w:rsidRPr="00A42A35">
        <w:rPr>
          <w:rFonts w:ascii="Arial" w:hAnsi="Arial" w:cs="Arial"/>
        </w:rPr>
        <w:t xml:space="preserve">, A. (2019). What satisfies younger versus older employees, and why? An aging perspective on equity theory to explain interactive effects of employee age, monetary rewards, and task contributions on job satisfaction. </w:t>
      </w:r>
      <w:r w:rsidRPr="00A42A35">
        <w:rPr>
          <w:rFonts w:ascii="Arial" w:hAnsi="Arial" w:cs="Arial"/>
          <w:i/>
          <w:iCs/>
        </w:rPr>
        <w:t>Human Resource Management</w:t>
      </w:r>
      <w:r w:rsidRPr="00A42A35">
        <w:rPr>
          <w:rFonts w:ascii="Arial" w:hAnsi="Arial" w:cs="Arial"/>
        </w:rPr>
        <w:t xml:space="preserve">, 59(1), pp.101–115. </w:t>
      </w:r>
      <w:hyperlink r:id="rId10" w:history="1">
        <w:r w:rsidRPr="00A42A35">
          <w:rPr>
            <w:rStyle w:val="Hyperlink"/>
            <w:rFonts w:ascii="Arial" w:hAnsi="Arial" w:cs="Arial"/>
          </w:rPr>
          <w:t>https://doi.org/10.1002/hrm.21981</w:t>
        </w:r>
      </w:hyperlink>
    </w:p>
    <w:p w14:paraId="0DA9541B"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 xml:space="preserve">Kumar, S., Sarkar, S. and </w:t>
      </w:r>
      <w:proofErr w:type="spellStart"/>
      <w:r w:rsidRPr="00A42A35">
        <w:rPr>
          <w:rFonts w:ascii="Arial" w:hAnsi="Arial" w:cs="Arial"/>
        </w:rPr>
        <w:t>Chahar</w:t>
      </w:r>
      <w:proofErr w:type="spellEnd"/>
      <w:r w:rsidRPr="00A42A35">
        <w:rPr>
          <w:rFonts w:ascii="Arial" w:hAnsi="Arial" w:cs="Arial"/>
        </w:rPr>
        <w:t>, B. (2021). A systematic review of work-life integration and role of flexible work arrangements. </w:t>
      </w:r>
      <w:r w:rsidRPr="00A42A35">
        <w:rPr>
          <w:rFonts w:ascii="Arial" w:hAnsi="Arial" w:cs="Arial"/>
          <w:i/>
          <w:iCs/>
        </w:rPr>
        <w:t>International Journal of Organizational Analysis</w:t>
      </w:r>
      <w:r w:rsidRPr="00A42A35">
        <w:rPr>
          <w:rFonts w:ascii="Arial" w:hAnsi="Arial" w:cs="Arial"/>
        </w:rPr>
        <w:t xml:space="preserve">, ahead-of-print(ahead-of-print). </w:t>
      </w:r>
      <w:hyperlink r:id="rId11" w:history="1">
        <w:r w:rsidRPr="00A42A35">
          <w:rPr>
            <w:rStyle w:val="Hyperlink"/>
            <w:rFonts w:ascii="Arial" w:hAnsi="Arial" w:cs="Arial"/>
          </w:rPr>
          <w:t>https://doi.org/10.1108/ijoa-07-2021-2855</w:t>
        </w:r>
      </w:hyperlink>
      <w:r w:rsidRPr="00A42A35">
        <w:rPr>
          <w:rFonts w:ascii="Arial" w:hAnsi="Arial" w:cs="Arial"/>
        </w:rPr>
        <w:t>.</w:t>
      </w:r>
    </w:p>
    <w:p w14:paraId="340C4C47"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 xml:space="preserve">Kumari, K., Barkat Ali, S., </w:t>
      </w:r>
      <w:proofErr w:type="gramStart"/>
      <w:r w:rsidRPr="00A42A35">
        <w:rPr>
          <w:rFonts w:ascii="Arial" w:hAnsi="Arial" w:cs="Arial"/>
        </w:rPr>
        <w:t xml:space="preserve">un </w:t>
      </w:r>
      <w:proofErr w:type="spellStart"/>
      <w:r w:rsidRPr="00A42A35">
        <w:rPr>
          <w:rFonts w:ascii="Arial" w:hAnsi="Arial" w:cs="Arial"/>
        </w:rPr>
        <w:t>Nisa</w:t>
      </w:r>
      <w:proofErr w:type="spellEnd"/>
      <w:r w:rsidRPr="00A42A35">
        <w:rPr>
          <w:rFonts w:ascii="Arial" w:hAnsi="Arial" w:cs="Arial"/>
        </w:rPr>
        <w:t xml:space="preserve"> Khan</w:t>
      </w:r>
      <w:proofErr w:type="gramEnd"/>
      <w:r w:rsidRPr="00A42A35">
        <w:rPr>
          <w:rFonts w:ascii="Arial" w:hAnsi="Arial" w:cs="Arial"/>
        </w:rPr>
        <w:t xml:space="preserve">, N. and Abbas, J. (2021). Examining the Role of Motivation and Reward in Employees’ Job Performance through Mediating Effect of Job Satisfaction: An Empirical Evidence. </w:t>
      </w:r>
      <w:r w:rsidRPr="00A42A35">
        <w:rPr>
          <w:rFonts w:ascii="Arial" w:hAnsi="Arial" w:cs="Arial"/>
          <w:i/>
          <w:iCs/>
        </w:rPr>
        <w:t>International Journal of Organizational Leadership</w:t>
      </w:r>
      <w:r w:rsidRPr="00A42A35">
        <w:rPr>
          <w:rFonts w:ascii="Arial" w:hAnsi="Arial" w:cs="Arial"/>
        </w:rPr>
        <w:t xml:space="preserve">, 10(4), pp.401–420. </w:t>
      </w:r>
      <w:hyperlink r:id="rId12" w:history="1">
        <w:r w:rsidRPr="00A42A35">
          <w:rPr>
            <w:rStyle w:val="Hyperlink"/>
            <w:rFonts w:ascii="Arial" w:hAnsi="Arial" w:cs="Arial"/>
          </w:rPr>
          <w:t>https://doi.org/10.33844/ijol.2021.60606</w:t>
        </w:r>
      </w:hyperlink>
      <w:r w:rsidRPr="00A42A35">
        <w:rPr>
          <w:rFonts w:ascii="Arial" w:hAnsi="Arial" w:cs="Arial"/>
        </w:rPr>
        <w:t>.</w:t>
      </w:r>
    </w:p>
    <w:p w14:paraId="56D709AC"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 xml:space="preserve">Min, J., Kim, Y., Lee, S., Jang, T.-W., Kim, I. and Song, J. (2019). The Fourth Industrial Revolution and Its Impact on Occupational Health and Safety, Worker’s Compensation and </w:t>
      </w:r>
      <w:proofErr w:type="spellStart"/>
      <w:r w:rsidRPr="00A42A35">
        <w:rPr>
          <w:rFonts w:ascii="Arial" w:hAnsi="Arial" w:cs="Arial"/>
        </w:rPr>
        <w:t>Labor</w:t>
      </w:r>
      <w:proofErr w:type="spellEnd"/>
      <w:r w:rsidRPr="00A42A35">
        <w:rPr>
          <w:rFonts w:ascii="Arial" w:hAnsi="Arial" w:cs="Arial"/>
        </w:rPr>
        <w:t xml:space="preserve"> Conditions. </w:t>
      </w:r>
      <w:r w:rsidRPr="00A42A35">
        <w:rPr>
          <w:rFonts w:ascii="Arial" w:hAnsi="Arial" w:cs="Arial"/>
          <w:i/>
          <w:iCs/>
        </w:rPr>
        <w:t>Safety and Health at Work</w:t>
      </w:r>
      <w:r w:rsidRPr="00A42A35">
        <w:rPr>
          <w:rFonts w:ascii="Arial" w:hAnsi="Arial" w:cs="Arial"/>
        </w:rPr>
        <w:t xml:space="preserve">, 10(4), pp.400–408. </w:t>
      </w:r>
      <w:hyperlink r:id="rId13" w:history="1">
        <w:r w:rsidRPr="00A42A35">
          <w:rPr>
            <w:rStyle w:val="Hyperlink"/>
            <w:rFonts w:ascii="Arial" w:hAnsi="Arial" w:cs="Arial"/>
          </w:rPr>
          <w:t>https://doi.org/10.1016/j.shaw.2019.09.005</w:t>
        </w:r>
      </w:hyperlink>
      <w:r w:rsidRPr="00A42A35">
        <w:rPr>
          <w:rFonts w:ascii="Arial" w:hAnsi="Arial" w:cs="Arial"/>
        </w:rPr>
        <w:t>.</w:t>
      </w:r>
    </w:p>
    <w:p w14:paraId="129AE913"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Nash, M. and Churchill, B. (2020). Caring during COVID</w:t>
      </w:r>
      <w:r w:rsidRPr="00A42A35">
        <w:rPr>
          <w:rFonts w:ascii="Cambria Math" w:hAnsi="Cambria Math" w:cs="Cambria Math"/>
        </w:rPr>
        <w:t>‐</w:t>
      </w:r>
      <w:r w:rsidRPr="00A42A35">
        <w:rPr>
          <w:rFonts w:ascii="Arial" w:hAnsi="Arial" w:cs="Arial"/>
        </w:rPr>
        <w:t xml:space="preserve">19: A gendered analysis of Australian university responses to managing remote working and caring </w:t>
      </w:r>
      <w:r w:rsidRPr="00A42A35">
        <w:rPr>
          <w:rFonts w:ascii="Arial" w:hAnsi="Arial" w:cs="Arial"/>
        </w:rPr>
        <w:lastRenderedPageBreak/>
        <w:t>responsibilities. </w:t>
      </w:r>
      <w:r w:rsidRPr="00A42A35">
        <w:rPr>
          <w:rFonts w:ascii="Arial" w:hAnsi="Arial" w:cs="Arial"/>
          <w:i/>
          <w:iCs/>
        </w:rPr>
        <w:t>Gender, Work &amp; Organization</w:t>
      </w:r>
      <w:r w:rsidRPr="00A42A35">
        <w:rPr>
          <w:rFonts w:ascii="Arial" w:hAnsi="Arial" w:cs="Arial"/>
        </w:rPr>
        <w:t xml:space="preserve">, 27(5). </w:t>
      </w:r>
      <w:hyperlink r:id="rId14" w:history="1">
        <w:r w:rsidRPr="00A42A35">
          <w:rPr>
            <w:rStyle w:val="Hyperlink"/>
            <w:rFonts w:ascii="Arial" w:hAnsi="Arial" w:cs="Arial"/>
          </w:rPr>
          <w:t>https://doi.org/10.1111/gwao.12484</w:t>
        </w:r>
      </w:hyperlink>
      <w:r w:rsidRPr="00A42A35">
        <w:rPr>
          <w:rFonts w:ascii="Arial" w:hAnsi="Arial" w:cs="Arial"/>
        </w:rPr>
        <w:t>.</w:t>
      </w:r>
    </w:p>
    <w:p w14:paraId="5BEC2C5B" w14:textId="77777777" w:rsidR="00A42A35" w:rsidRPr="00A42A35" w:rsidRDefault="00A42A35" w:rsidP="00A42A35">
      <w:pPr>
        <w:spacing w:line="360" w:lineRule="auto"/>
        <w:ind w:left="720" w:hanging="720"/>
        <w:rPr>
          <w:rFonts w:ascii="Arial" w:hAnsi="Arial" w:cs="Arial"/>
        </w:rPr>
      </w:pPr>
      <w:r w:rsidRPr="00A42A35">
        <w:rPr>
          <w:rFonts w:ascii="Arial" w:hAnsi="Arial" w:cs="Arial"/>
        </w:rPr>
        <w:t>Saks, A.M. (2021). Caring human resources management and employee engagement. </w:t>
      </w:r>
      <w:r w:rsidRPr="00A42A35">
        <w:rPr>
          <w:rFonts w:ascii="Arial" w:hAnsi="Arial" w:cs="Arial"/>
          <w:i/>
          <w:iCs/>
        </w:rPr>
        <w:t>Human Resource Management Review</w:t>
      </w:r>
      <w:r w:rsidRPr="00A42A35">
        <w:rPr>
          <w:rFonts w:ascii="Arial" w:hAnsi="Arial" w:cs="Arial"/>
        </w:rPr>
        <w:t xml:space="preserve">, 32(3), p.100835. </w:t>
      </w:r>
      <w:hyperlink r:id="rId15" w:history="1">
        <w:r w:rsidRPr="00A42A35">
          <w:rPr>
            <w:rStyle w:val="Hyperlink"/>
            <w:rFonts w:ascii="Arial" w:hAnsi="Arial" w:cs="Arial"/>
          </w:rPr>
          <w:t>https://doi.org/10.1016/j.hrmr.2021.100835</w:t>
        </w:r>
      </w:hyperlink>
      <w:r w:rsidRPr="00A42A35">
        <w:rPr>
          <w:rFonts w:ascii="Arial" w:hAnsi="Arial" w:cs="Arial"/>
        </w:rPr>
        <w:t>.</w:t>
      </w:r>
    </w:p>
    <w:p w14:paraId="0E6E9094" w14:textId="77777777" w:rsidR="00A42A35" w:rsidRPr="00A42A35" w:rsidRDefault="00A42A35" w:rsidP="00A42A35">
      <w:pPr>
        <w:spacing w:line="360" w:lineRule="auto"/>
        <w:ind w:left="720" w:hanging="720"/>
        <w:rPr>
          <w:rFonts w:ascii="Arial" w:hAnsi="Arial" w:cs="Arial"/>
        </w:rPr>
      </w:pPr>
      <w:proofErr w:type="spellStart"/>
      <w:r w:rsidRPr="00A42A35">
        <w:rPr>
          <w:rFonts w:ascii="Arial" w:hAnsi="Arial" w:cs="Arial"/>
        </w:rPr>
        <w:t>Setiyani</w:t>
      </w:r>
      <w:proofErr w:type="spellEnd"/>
      <w:r w:rsidRPr="00A42A35">
        <w:rPr>
          <w:rFonts w:ascii="Arial" w:hAnsi="Arial" w:cs="Arial"/>
        </w:rPr>
        <w:t xml:space="preserve">, A., </w:t>
      </w:r>
      <w:proofErr w:type="spellStart"/>
      <w:r w:rsidRPr="00A42A35">
        <w:rPr>
          <w:rFonts w:ascii="Arial" w:hAnsi="Arial" w:cs="Arial"/>
        </w:rPr>
        <w:t>Djumarno</w:t>
      </w:r>
      <w:proofErr w:type="spellEnd"/>
      <w:r w:rsidRPr="00A42A35">
        <w:rPr>
          <w:rFonts w:ascii="Arial" w:hAnsi="Arial" w:cs="Arial"/>
        </w:rPr>
        <w:t xml:space="preserve">, D., </w:t>
      </w:r>
      <w:proofErr w:type="spellStart"/>
      <w:r w:rsidRPr="00A42A35">
        <w:rPr>
          <w:rFonts w:ascii="Arial" w:hAnsi="Arial" w:cs="Arial"/>
        </w:rPr>
        <w:t>Riyanto</w:t>
      </w:r>
      <w:proofErr w:type="spellEnd"/>
      <w:r w:rsidRPr="00A42A35">
        <w:rPr>
          <w:rFonts w:ascii="Arial" w:hAnsi="Arial" w:cs="Arial"/>
        </w:rPr>
        <w:t xml:space="preserve">, S. and </w:t>
      </w:r>
      <w:proofErr w:type="spellStart"/>
      <w:r w:rsidRPr="00A42A35">
        <w:rPr>
          <w:rFonts w:ascii="Arial" w:hAnsi="Arial" w:cs="Arial"/>
        </w:rPr>
        <w:t>Nawangsari</w:t>
      </w:r>
      <w:proofErr w:type="spellEnd"/>
      <w:r w:rsidRPr="00A42A35">
        <w:rPr>
          <w:rFonts w:ascii="Arial" w:hAnsi="Arial" w:cs="Arial"/>
        </w:rPr>
        <w:t>, L.Ch. (2019). The Effect of Work Environment on Flexible Working Hours, Employee Engagement and Employee Motivation. </w:t>
      </w:r>
      <w:r w:rsidRPr="00A42A35">
        <w:rPr>
          <w:rFonts w:ascii="Arial" w:hAnsi="Arial" w:cs="Arial"/>
          <w:i/>
          <w:iCs/>
        </w:rPr>
        <w:t>International Review of Management and Marketing</w:t>
      </w:r>
      <w:r w:rsidRPr="00A42A35">
        <w:rPr>
          <w:rFonts w:ascii="Arial" w:hAnsi="Arial" w:cs="Arial"/>
        </w:rPr>
        <w:t>, 9(3), pp.112–116.</w:t>
      </w:r>
      <w:r w:rsidRPr="00A42A35">
        <w:rPr>
          <w:rFonts w:ascii="Arial" w:hAnsi="Arial" w:cs="Arial"/>
          <w:lang w:val="en-US"/>
        </w:rPr>
        <w:t xml:space="preserve"> </w:t>
      </w:r>
      <w:hyperlink r:id="rId16" w:history="1">
        <w:r w:rsidRPr="00A42A35">
          <w:rPr>
            <w:rStyle w:val="Hyperlink"/>
            <w:rFonts w:ascii="Arial" w:hAnsi="Arial" w:cs="Arial"/>
          </w:rPr>
          <w:t>https://doi.org/10.32479/irmm.8114</w:t>
        </w:r>
      </w:hyperlink>
      <w:r w:rsidRPr="00A42A35">
        <w:rPr>
          <w:rFonts w:ascii="Arial" w:hAnsi="Arial" w:cs="Arial"/>
        </w:rPr>
        <w:t>.</w:t>
      </w:r>
    </w:p>
    <w:p w14:paraId="42AD385C" w14:textId="77777777" w:rsidR="00A42A35" w:rsidRPr="00A42A35" w:rsidRDefault="00A42A35" w:rsidP="00A42A35">
      <w:pPr>
        <w:spacing w:line="360" w:lineRule="auto"/>
        <w:ind w:left="720" w:hanging="720"/>
        <w:rPr>
          <w:rFonts w:ascii="Arial" w:hAnsi="Arial" w:cs="Arial"/>
        </w:rPr>
      </w:pPr>
      <w:proofErr w:type="spellStart"/>
      <w:r w:rsidRPr="00A42A35">
        <w:rPr>
          <w:rFonts w:ascii="Arial" w:hAnsi="Arial" w:cs="Arial"/>
        </w:rPr>
        <w:t>Shifrin</w:t>
      </w:r>
      <w:proofErr w:type="spellEnd"/>
      <w:r w:rsidRPr="00A42A35">
        <w:rPr>
          <w:rFonts w:ascii="Arial" w:hAnsi="Arial" w:cs="Arial"/>
        </w:rPr>
        <w:t>, N.V. and Michel, J.S. (2021). Flexible work arrangements and employee health: A meta-analytic review. </w:t>
      </w:r>
      <w:r w:rsidRPr="00A42A35">
        <w:rPr>
          <w:rFonts w:ascii="Arial" w:hAnsi="Arial" w:cs="Arial"/>
          <w:i/>
          <w:iCs/>
        </w:rPr>
        <w:t>Work &amp; Stress</w:t>
      </w:r>
      <w:r w:rsidRPr="00A42A35">
        <w:rPr>
          <w:rFonts w:ascii="Arial" w:hAnsi="Arial" w:cs="Arial"/>
        </w:rPr>
        <w:t xml:space="preserve">, 36(1), pp.1–26. </w:t>
      </w:r>
      <w:hyperlink r:id="rId17" w:history="1">
        <w:r w:rsidRPr="00A42A35">
          <w:rPr>
            <w:rStyle w:val="Hyperlink"/>
            <w:rFonts w:ascii="Arial" w:hAnsi="Arial" w:cs="Arial"/>
          </w:rPr>
          <w:t>https://doi.org/10.1080/02678373.2021.1936287</w:t>
        </w:r>
      </w:hyperlink>
      <w:r w:rsidRPr="00A42A35">
        <w:rPr>
          <w:rFonts w:ascii="Arial" w:hAnsi="Arial" w:cs="Arial"/>
        </w:rPr>
        <w:t>.</w:t>
      </w:r>
    </w:p>
    <w:p w14:paraId="61623DCC" w14:textId="77777777" w:rsidR="00C144AD" w:rsidRPr="00521F86" w:rsidRDefault="00C144AD" w:rsidP="00910107">
      <w:pPr>
        <w:spacing w:line="360" w:lineRule="auto"/>
        <w:rPr>
          <w:rFonts w:ascii="Arial" w:hAnsi="Arial" w:cs="Arial"/>
        </w:rPr>
      </w:pPr>
    </w:p>
    <w:sectPr w:rsidR="00C144AD" w:rsidRPr="00521F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AA3881"/>
    <w:multiLevelType w:val="hybridMultilevel"/>
    <w:tmpl w:val="FFFFFFFF"/>
    <w:lvl w:ilvl="0" w:tplc="CEE6D55E">
      <w:start w:val="1"/>
      <w:numFmt w:val="bullet"/>
      <w:lvlText w:val=""/>
      <w:lvlJc w:val="left"/>
      <w:pPr>
        <w:tabs>
          <w:tab w:val="num" w:pos="720"/>
        </w:tabs>
        <w:ind w:left="720" w:hanging="360"/>
      </w:pPr>
      <w:rPr>
        <w:rFonts w:ascii="Wingdings 3" w:hAnsi="Wingdings 3" w:hint="default"/>
      </w:rPr>
    </w:lvl>
    <w:lvl w:ilvl="1" w:tplc="1BAE4D86" w:tentative="1">
      <w:start w:val="1"/>
      <w:numFmt w:val="bullet"/>
      <w:lvlText w:val=""/>
      <w:lvlJc w:val="left"/>
      <w:pPr>
        <w:tabs>
          <w:tab w:val="num" w:pos="1440"/>
        </w:tabs>
        <w:ind w:left="1440" w:hanging="360"/>
      </w:pPr>
      <w:rPr>
        <w:rFonts w:ascii="Wingdings 3" w:hAnsi="Wingdings 3" w:hint="default"/>
      </w:rPr>
    </w:lvl>
    <w:lvl w:ilvl="2" w:tplc="84C28164" w:tentative="1">
      <w:start w:val="1"/>
      <w:numFmt w:val="bullet"/>
      <w:lvlText w:val=""/>
      <w:lvlJc w:val="left"/>
      <w:pPr>
        <w:tabs>
          <w:tab w:val="num" w:pos="2160"/>
        </w:tabs>
        <w:ind w:left="2160" w:hanging="360"/>
      </w:pPr>
      <w:rPr>
        <w:rFonts w:ascii="Wingdings 3" w:hAnsi="Wingdings 3" w:hint="default"/>
      </w:rPr>
    </w:lvl>
    <w:lvl w:ilvl="3" w:tplc="62CECF32" w:tentative="1">
      <w:start w:val="1"/>
      <w:numFmt w:val="bullet"/>
      <w:lvlText w:val=""/>
      <w:lvlJc w:val="left"/>
      <w:pPr>
        <w:tabs>
          <w:tab w:val="num" w:pos="2880"/>
        </w:tabs>
        <w:ind w:left="2880" w:hanging="360"/>
      </w:pPr>
      <w:rPr>
        <w:rFonts w:ascii="Wingdings 3" w:hAnsi="Wingdings 3" w:hint="default"/>
      </w:rPr>
    </w:lvl>
    <w:lvl w:ilvl="4" w:tplc="2F6460B6" w:tentative="1">
      <w:start w:val="1"/>
      <w:numFmt w:val="bullet"/>
      <w:lvlText w:val=""/>
      <w:lvlJc w:val="left"/>
      <w:pPr>
        <w:tabs>
          <w:tab w:val="num" w:pos="3600"/>
        </w:tabs>
        <w:ind w:left="3600" w:hanging="360"/>
      </w:pPr>
      <w:rPr>
        <w:rFonts w:ascii="Wingdings 3" w:hAnsi="Wingdings 3" w:hint="default"/>
      </w:rPr>
    </w:lvl>
    <w:lvl w:ilvl="5" w:tplc="BAFCDC9A" w:tentative="1">
      <w:start w:val="1"/>
      <w:numFmt w:val="bullet"/>
      <w:lvlText w:val=""/>
      <w:lvlJc w:val="left"/>
      <w:pPr>
        <w:tabs>
          <w:tab w:val="num" w:pos="4320"/>
        </w:tabs>
        <w:ind w:left="4320" w:hanging="360"/>
      </w:pPr>
      <w:rPr>
        <w:rFonts w:ascii="Wingdings 3" w:hAnsi="Wingdings 3" w:hint="default"/>
      </w:rPr>
    </w:lvl>
    <w:lvl w:ilvl="6" w:tplc="C378624C" w:tentative="1">
      <w:start w:val="1"/>
      <w:numFmt w:val="bullet"/>
      <w:lvlText w:val=""/>
      <w:lvlJc w:val="left"/>
      <w:pPr>
        <w:tabs>
          <w:tab w:val="num" w:pos="5040"/>
        </w:tabs>
        <w:ind w:left="5040" w:hanging="360"/>
      </w:pPr>
      <w:rPr>
        <w:rFonts w:ascii="Wingdings 3" w:hAnsi="Wingdings 3" w:hint="default"/>
      </w:rPr>
    </w:lvl>
    <w:lvl w:ilvl="7" w:tplc="6DA01F20" w:tentative="1">
      <w:start w:val="1"/>
      <w:numFmt w:val="bullet"/>
      <w:lvlText w:val=""/>
      <w:lvlJc w:val="left"/>
      <w:pPr>
        <w:tabs>
          <w:tab w:val="num" w:pos="5760"/>
        </w:tabs>
        <w:ind w:left="5760" w:hanging="360"/>
      </w:pPr>
      <w:rPr>
        <w:rFonts w:ascii="Wingdings 3" w:hAnsi="Wingdings 3" w:hint="default"/>
      </w:rPr>
    </w:lvl>
    <w:lvl w:ilvl="8" w:tplc="7E6EC47C" w:tentative="1">
      <w:start w:val="1"/>
      <w:numFmt w:val="bullet"/>
      <w:lvlText w:val=""/>
      <w:lvlJc w:val="left"/>
      <w:pPr>
        <w:tabs>
          <w:tab w:val="num" w:pos="6480"/>
        </w:tabs>
        <w:ind w:left="6480" w:hanging="360"/>
      </w:pPr>
      <w:rPr>
        <w:rFonts w:ascii="Wingdings 3" w:hAnsi="Wingdings 3" w:hint="default"/>
      </w:rPr>
    </w:lvl>
  </w:abstractNum>
  <w:num w:numId="1" w16cid:durableId="8405795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4AD"/>
    <w:rsid w:val="000375DC"/>
    <w:rsid w:val="0005577A"/>
    <w:rsid w:val="000637F6"/>
    <w:rsid w:val="00110D48"/>
    <w:rsid w:val="00116578"/>
    <w:rsid w:val="00122030"/>
    <w:rsid w:val="001273E7"/>
    <w:rsid w:val="00137720"/>
    <w:rsid w:val="001423A5"/>
    <w:rsid w:val="001C2254"/>
    <w:rsid w:val="00233679"/>
    <w:rsid w:val="00262C9E"/>
    <w:rsid w:val="00273FD4"/>
    <w:rsid w:val="002C25CA"/>
    <w:rsid w:val="002F6ECE"/>
    <w:rsid w:val="00343BA1"/>
    <w:rsid w:val="00363E4F"/>
    <w:rsid w:val="00371FCC"/>
    <w:rsid w:val="00384B25"/>
    <w:rsid w:val="0038678B"/>
    <w:rsid w:val="00391B6E"/>
    <w:rsid w:val="003A7C0A"/>
    <w:rsid w:val="003D77CA"/>
    <w:rsid w:val="003E5F95"/>
    <w:rsid w:val="00401F32"/>
    <w:rsid w:val="00462812"/>
    <w:rsid w:val="0048151A"/>
    <w:rsid w:val="0048373C"/>
    <w:rsid w:val="004B6E13"/>
    <w:rsid w:val="004D5EFF"/>
    <w:rsid w:val="004F0831"/>
    <w:rsid w:val="00521F86"/>
    <w:rsid w:val="00576662"/>
    <w:rsid w:val="00594FFE"/>
    <w:rsid w:val="005B3000"/>
    <w:rsid w:val="005C1EB8"/>
    <w:rsid w:val="005E2453"/>
    <w:rsid w:val="00624282"/>
    <w:rsid w:val="006601F5"/>
    <w:rsid w:val="00676293"/>
    <w:rsid w:val="006A4196"/>
    <w:rsid w:val="006D2FF1"/>
    <w:rsid w:val="006D7B26"/>
    <w:rsid w:val="007179E1"/>
    <w:rsid w:val="00731BC3"/>
    <w:rsid w:val="007535A9"/>
    <w:rsid w:val="007742A7"/>
    <w:rsid w:val="007C04FF"/>
    <w:rsid w:val="007F39D9"/>
    <w:rsid w:val="00872662"/>
    <w:rsid w:val="0088096A"/>
    <w:rsid w:val="008D0BFA"/>
    <w:rsid w:val="008F653C"/>
    <w:rsid w:val="00910107"/>
    <w:rsid w:val="0091220F"/>
    <w:rsid w:val="00925ED7"/>
    <w:rsid w:val="00935CE2"/>
    <w:rsid w:val="00941BA5"/>
    <w:rsid w:val="009D3C88"/>
    <w:rsid w:val="009F58CF"/>
    <w:rsid w:val="009F5928"/>
    <w:rsid w:val="00A42A35"/>
    <w:rsid w:val="00AE61A0"/>
    <w:rsid w:val="00B26817"/>
    <w:rsid w:val="00B51A10"/>
    <w:rsid w:val="00B532E0"/>
    <w:rsid w:val="00B72993"/>
    <w:rsid w:val="00B75B76"/>
    <w:rsid w:val="00B8487F"/>
    <w:rsid w:val="00B867E1"/>
    <w:rsid w:val="00BD7527"/>
    <w:rsid w:val="00C02BB5"/>
    <w:rsid w:val="00C144AD"/>
    <w:rsid w:val="00C23223"/>
    <w:rsid w:val="00C24F74"/>
    <w:rsid w:val="00C52E92"/>
    <w:rsid w:val="00C8291C"/>
    <w:rsid w:val="00CC45AD"/>
    <w:rsid w:val="00CC4D31"/>
    <w:rsid w:val="00CC50E5"/>
    <w:rsid w:val="00D50582"/>
    <w:rsid w:val="00D5509B"/>
    <w:rsid w:val="00D74A14"/>
    <w:rsid w:val="00D87DDC"/>
    <w:rsid w:val="00D975FD"/>
    <w:rsid w:val="00DA645E"/>
    <w:rsid w:val="00DB5351"/>
    <w:rsid w:val="00DC6DB6"/>
    <w:rsid w:val="00DD2DCF"/>
    <w:rsid w:val="00DD46D8"/>
    <w:rsid w:val="00DE7D27"/>
    <w:rsid w:val="00E3637E"/>
    <w:rsid w:val="00E468BA"/>
    <w:rsid w:val="00E76CA9"/>
    <w:rsid w:val="00E951AF"/>
    <w:rsid w:val="00E9576F"/>
    <w:rsid w:val="00EF5E06"/>
    <w:rsid w:val="00F13733"/>
    <w:rsid w:val="00F27481"/>
    <w:rsid w:val="00F644F7"/>
    <w:rsid w:val="00FB3AD9"/>
    <w:rsid w:val="00FC2F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6818E4"/>
  <w15:chartTrackingRefBased/>
  <w15:docId w15:val="{83CE84A1-2A03-A941-B325-9CE99129E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1BA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44AD"/>
    <w:rPr>
      <w:color w:val="0563C1" w:themeColor="hyperlink"/>
      <w:u w:val="single"/>
    </w:rPr>
  </w:style>
  <w:style w:type="character" w:customStyle="1" w:styleId="Heading1Char">
    <w:name w:val="Heading 1 Char"/>
    <w:basedOn w:val="DefaultParagraphFont"/>
    <w:link w:val="Heading1"/>
    <w:uiPriority w:val="9"/>
    <w:rsid w:val="00941BA5"/>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A4196"/>
    <w:pPr>
      <w:numPr>
        <w:ilvl w:val="1"/>
      </w:numPr>
      <w:spacing w:after="160"/>
    </w:pPr>
    <w:rPr>
      <w:color w:val="5A5A5A" w:themeColor="text1" w:themeTint="A5"/>
      <w:spacing w:val="15"/>
    </w:rPr>
  </w:style>
  <w:style w:type="character" w:customStyle="1" w:styleId="SubtitleChar">
    <w:name w:val="Subtitle Char"/>
    <w:basedOn w:val="DefaultParagraphFont"/>
    <w:link w:val="Subtitle"/>
    <w:uiPriority w:val="11"/>
    <w:rsid w:val="006A4196"/>
    <w:rPr>
      <w:color w:val="5A5A5A" w:themeColor="text1" w:themeTint="A5"/>
      <w:spacing w:val="15"/>
    </w:rPr>
  </w:style>
  <w:style w:type="table" w:styleId="TableGrid">
    <w:name w:val="Table Grid"/>
    <w:basedOn w:val="TableNormal"/>
    <w:uiPriority w:val="39"/>
    <w:rsid w:val="00FC2F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25CA"/>
    <w:pPr>
      <w:ind w:left="720"/>
      <w:contextualSpacing/>
    </w:pPr>
  </w:style>
  <w:style w:type="paragraph" w:styleId="Title">
    <w:name w:val="Title"/>
    <w:basedOn w:val="Normal"/>
    <w:next w:val="Normal"/>
    <w:link w:val="TitleChar"/>
    <w:uiPriority w:val="10"/>
    <w:qFormat/>
    <w:rsid w:val="00F644F7"/>
    <w:pPr>
      <w:contextualSpacing/>
    </w:pPr>
    <w:rPr>
      <w:rFonts w:asciiTheme="majorHAnsi" w:eastAsiaTheme="majorEastAsia" w:hAnsiTheme="majorHAnsi" w:cstheme="majorBidi"/>
      <w:spacing w:val="-10"/>
      <w:kern w:val="28"/>
      <w:sz w:val="56"/>
      <w:szCs w:val="56"/>
      <w:lang w:eastAsia="en-US"/>
      <w14:ligatures w14:val="none"/>
    </w:rPr>
  </w:style>
  <w:style w:type="character" w:customStyle="1" w:styleId="TitleChar">
    <w:name w:val="Title Char"/>
    <w:basedOn w:val="DefaultParagraphFont"/>
    <w:link w:val="Title"/>
    <w:uiPriority w:val="10"/>
    <w:rsid w:val="00F644F7"/>
    <w:rPr>
      <w:rFonts w:asciiTheme="majorHAnsi" w:eastAsiaTheme="majorEastAsia" w:hAnsiTheme="majorHAnsi" w:cstheme="majorBidi"/>
      <w:spacing w:val="-10"/>
      <w:kern w:val="28"/>
      <w:sz w:val="56"/>
      <w:szCs w:val="56"/>
      <w:lang w:eastAsia="en-US"/>
      <w14:ligatures w14:val="none"/>
    </w:rPr>
  </w:style>
  <w:style w:type="paragraph" w:styleId="TOCHeading">
    <w:name w:val="TOC Heading"/>
    <w:basedOn w:val="Heading1"/>
    <w:next w:val="Normal"/>
    <w:uiPriority w:val="39"/>
    <w:unhideWhenUsed/>
    <w:qFormat/>
    <w:rsid w:val="00F644F7"/>
    <w:p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644F7"/>
    <w:pPr>
      <w:spacing w:before="120"/>
    </w:pPr>
    <w:rPr>
      <w:rFonts w:cstheme="minorHAnsi"/>
      <w:b/>
      <w:bCs/>
      <w:i/>
      <w:iCs/>
      <w:sz w:val="24"/>
      <w:szCs w:val="24"/>
    </w:rPr>
  </w:style>
  <w:style w:type="paragraph" w:styleId="TOC2">
    <w:name w:val="toc 2"/>
    <w:basedOn w:val="Normal"/>
    <w:next w:val="Normal"/>
    <w:autoRedefine/>
    <w:uiPriority w:val="39"/>
    <w:semiHidden/>
    <w:unhideWhenUsed/>
    <w:rsid w:val="00F644F7"/>
    <w:pPr>
      <w:spacing w:before="120"/>
      <w:ind w:left="220"/>
    </w:pPr>
    <w:rPr>
      <w:rFonts w:cstheme="minorHAnsi"/>
      <w:b/>
      <w:bCs/>
    </w:rPr>
  </w:style>
  <w:style w:type="paragraph" w:styleId="TOC3">
    <w:name w:val="toc 3"/>
    <w:basedOn w:val="Normal"/>
    <w:next w:val="Normal"/>
    <w:autoRedefine/>
    <w:uiPriority w:val="39"/>
    <w:semiHidden/>
    <w:unhideWhenUsed/>
    <w:rsid w:val="00F644F7"/>
    <w:pPr>
      <w:ind w:left="440"/>
    </w:pPr>
    <w:rPr>
      <w:rFonts w:cstheme="minorHAnsi"/>
      <w:sz w:val="20"/>
      <w:szCs w:val="20"/>
    </w:rPr>
  </w:style>
  <w:style w:type="paragraph" w:styleId="TOC4">
    <w:name w:val="toc 4"/>
    <w:basedOn w:val="Normal"/>
    <w:next w:val="Normal"/>
    <w:autoRedefine/>
    <w:uiPriority w:val="39"/>
    <w:semiHidden/>
    <w:unhideWhenUsed/>
    <w:rsid w:val="00F644F7"/>
    <w:pPr>
      <w:ind w:left="660"/>
    </w:pPr>
    <w:rPr>
      <w:rFonts w:cstheme="minorHAnsi"/>
      <w:sz w:val="20"/>
      <w:szCs w:val="20"/>
    </w:rPr>
  </w:style>
  <w:style w:type="paragraph" w:styleId="TOC5">
    <w:name w:val="toc 5"/>
    <w:basedOn w:val="Normal"/>
    <w:next w:val="Normal"/>
    <w:autoRedefine/>
    <w:uiPriority w:val="39"/>
    <w:semiHidden/>
    <w:unhideWhenUsed/>
    <w:rsid w:val="00F644F7"/>
    <w:pPr>
      <w:ind w:left="880"/>
    </w:pPr>
    <w:rPr>
      <w:rFonts w:cstheme="minorHAnsi"/>
      <w:sz w:val="20"/>
      <w:szCs w:val="20"/>
    </w:rPr>
  </w:style>
  <w:style w:type="paragraph" w:styleId="TOC6">
    <w:name w:val="toc 6"/>
    <w:basedOn w:val="Normal"/>
    <w:next w:val="Normal"/>
    <w:autoRedefine/>
    <w:uiPriority w:val="39"/>
    <w:semiHidden/>
    <w:unhideWhenUsed/>
    <w:rsid w:val="00F644F7"/>
    <w:pPr>
      <w:ind w:left="1100"/>
    </w:pPr>
    <w:rPr>
      <w:rFonts w:cstheme="minorHAnsi"/>
      <w:sz w:val="20"/>
      <w:szCs w:val="20"/>
    </w:rPr>
  </w:style>
  <w:style w:type="paragraph" w:styleId="TOC7">
    <w:name w:val="toc 7"/>
    <w:basedOn w:val="Normal"/>
    <w:next w:val="Normal"/>
    <w:autoRedefine/>
    <w:uiPriority w:val="39"/>
    <w:semiHidden/>
    <w:unhideWhenUsed/>
    <w:rsid w:val="00F644F7"/>
    <w:pPr>
      <w:ind w:left="1320"/>
    </w:pPr>
    <w:rPr>
      <w:rFonts w:cstheme="minorHAnsi"/>
      <w:sz w:val="20"/>
      <w:szCs w:val="20"/>
    </w:rPr>
  </w:style>
  <w:style w:type="paragraph" w:styleId="TOC8">
    <w:name w:val="toc 8"/>
    <w:basedOn w:val="Normal"/>
    <w:next w:val="Normal"/>
    <w:autoRedefine/>
    <w:uiPriority w:val="39"/>
    <w:semiHidden/>
    <w:unhideWhenUsed/>
    <w:rsid w:val="00F644F7"/>
    <w:pPr>
      <w:ind w:left="1540"/>
    </w:pPr>
    <w:rPr>
      <w:rFonts w:cstheme="minorHAnsi"/>
      <w:sz w:val="20"/>
      <w:szCs w:val="20"/>
    </w:rPr>
  </w:style>
  <w:style w:type="paragraph" w:styleId="TOC9">
    <w:name w:val="toc 9"/>
    <w:basedOn w:val="Normal"/>
    <w:next w:val="Normal"/>
    <w:autoRedefine/>
    <w:uiPriority w:val="39"/>
    <w:semiHidden/>
    <w:unhideWhenUsed/>
    <w:rsid w:val="00F644F7"/>
    <w:pPr>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9948691">
      <w:marLeft w:val="0"/>
      <w:marRight w:val="0"/>
      <w:marTop w:val="0"/>
      <w:marBottom w:val="0"/>
      <w:divBdr>
        <w:top w:val="none" w:sz="0" w:space="0" w:color="auto"/>
        <w:left w:val="none" w:sz="0" w:space="0" w:color="auto"/>
        <w:bottom w:val="none" w:sz="0" w:space="0" w:color="auto"/>
        <w:right w:val="none" w:sz="0" w:space="0" w:color="auto"/>
      </w:divBdr>
      <w:divsChild>
        <w:div w:id="1153793951">
          <w:marLeft w:val="0"/>
          <w:marRight w:val="0"/>
          <w:marTop w:val="200"/>
          <w:marBottom w:val="0"/>
          <w:divBdr>
            <w:top w:val="none" w:sz="0" w:space="0" w:color="auto"/>
            <w:left w:val="none" w:sz="0" w:space="0" w:color="auto"/>
            <w:bottom w:val="none" w:sz="0" w:space="0" w:color="auto"/>
            <w:right w:val="none" w:sz="0" w:space="0" w:color="auto"/>
          </w:divBdr>
        </w:div>
        <w:div w:id="1619993322">
          <w:marLeft w:val="0"/>
          <w:marRight w:val="0"/>
          <w:marTop w:val="200"/>
          <w:marBottom w:val="0"/>
          <w:divBdr>
            <w:top w:val="none" w:sz="0" w:space="0" w:color="auto"/>
            <w:left w:val="none" w:sz="0" w:space="0" w:color="auto"/>
            <w:bottom w:val="none" w:sz="0" w:space="0" w:color="auto"/>
            <w:right w:val="none" w:sz="0" w:space="0" w:color="auto"/>
          </w:divBdr>
        </w:div>
        <w:div w:id="949164564">
          <w:marLeft w:val="0"/>
          <w:marRight w:val="0"/>
          <w:marTop w:val="200"/>
          <w:marBottom w:val="0"/>
          <w:divBdr>
            <w:top w:val="none" w:sz="0" w:space="0" w:color="auto"/>
            <w:left w:val="none" w:sz="0" w:space="0" w:color="auto"/>
            <w:bottom w:val="none" w:sz="0" w:space="0" w:color="auto"/>
            <w:right w:val="none" w:sz="0" w:space="0" w:color="auto"/>
          </w:divBdr>
        </w:div>
        <w:div w:id="1796361669">
          <w:marLeft w:val="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1205-018-2025-x" TargetMode="External"/><Relationship Id="rId13" Type="http://schemas.openxmlformats.org/officeDocument/2006/relationships/hyperlink" Target="https://doi.org/10.1016/j.shaw.2019.09.0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77/0091026019886340" TargetMode="External"/><Relationship Id="rId12" Type="http://schemas.openxmlformats.org/officeDocument/2006/relationships/hyperlink" Target="https://doi.org/10.33844/ijol.2021.60606" TargetMode="External"/><Relationship Id="rId17" Type="http://schemas.openxmlformats.org/officeDocument/2006/relationships/hyperlink" Target="https://doi.org/10.1080/02678373.2021.1936287" TargetMode="External"/><Relationship Id="rId2" Type="http://schemas.openxmlformats.org/officeDocument/2006/relationships/numbering" Target="numbering.xml"/><Relationship Id="rId16" Type="http://schemas.openxmlformats.org/officeDocument/2006/relationships/hyperlink" Target="https://doi.org/10.32479/irmm.8114" TargetMode="External"/><Relationship Id="rId1" Type="http://schemas.openxmlformats.org/officeDocument/2006/relationships/customXml" Target="../customXml/item1.xml"/><Relationship Id="rId6" Type="http://schemas.openxmlformats.org/officeDocument/2006/relationships/hyperlink" Target="https://doi.org/10.1016/j.heliyon.2021.e07233" TargetMode="External"/><Relationship Id="rId11" Type="http://schemas.openxmlformats.org/officeDocument/2006/relationships/hyperlink" Target="https://doi.org/10.1108/ijoa-07-2021-2855" TargetMode="External"/><Relationship Id="rId5" Type="http://schemas.openxmlformats.org/officeDocument/2006/relationships/webSettings" Target="webSettings.xml"/><Relationship Id="rId15" Type="http://schemas.openxmlformats.org/officeDocument/2006/relationships/hyperlink" Target="https://doi.org/10.1016/j.hrmr.2021.100835" TargetMode="External"/><Relationship Id="rId10" Type="http://schemas.openxmlformats.org/officeDocument/2006/relationships/hyperlink" Target="https://doi.org/10.1002/hrm.2198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88/1755-1315/729/1/012126" TargetMode="External"/><Relationship Id="rId14" Type="http://schemas.openxmlformats.org/officeDocument/2006/relationships/hyperlink" Target="https://doi.org/10.1111/gwao.124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9C0F9C-63C9-4149-8F9A-DA96D695103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13</Pages>
  <Words>3010</Words>
  <Characters>17163</Characters>
  <Application>Microsoft Office Word</Application>
  <DocSecurity>0</DocSecurity>
  <Lines>143</Lines>
  <Paragraphs>40</Paragraphs>
  <ScaleCrop>false</ScaleCrop>
  <Company/>
  <LinksUpToDate>false</LinksUpToDate>
  <CharactersWithSpaces>20133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Renaldo Juman (2114362)</dc:creator>
  <cp:keywords/>
  <dc:description/>
  <cp:lastModifiedBy>Renaldo Juman (2114362)</cp:lastModifiedBy>
  <cp:revision>60</cp:revision>
  <dcterms:created xsi:type="dcterms:W3CDTF">2023-10-27T10:26:00Z</dcterms:created>
  <dcterms:modified xsi:type="dcterms:W3CDTF">2023-11-09T14:20:00Z</dcterms:modified>
</cp:coreProperties>
</file>