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7898" w:rsidRPr="002446AD" w:rsidRDefault="003D7CB6" w:rsidP="002446AD">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Hotel </w:t>
      </w:r>
      <w:r w:rsidR="005213C6" w:rsidRPr="002446AD">
        <w:rPr>
          <w:rFonts w:ascii="Times New Roman" w:hAnsi="Times New Roman" w:cs="Times New Roman"/>
          <w:sz w:val="24"/>
          <w:szCs w:val="24"/>
        </w:rPr>
        <w:t xml:space="preserve">Hilton </w:t>
      </w:r>
    </w:p>
    <w:p w:rsidR="002446AD" w:rsidRPr="002446AD" w:rsidRDefault="002446A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Introduction</w:t>
      </w:r>
    </w:p>
    <w:p w:rsidR="002446AD" w:rsidRPr="002446AD" w:rsidRDefault="002446A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Hilton Worldwide Holdings Inc. (HWHI) is a well-known hospitality organization that operates its business operations around the globe. The company operates a chain of focused-service hotels, extended-stay suites, and full-service luxury resorts and hotels. The company owns several brands including Hilton Grand Vacations, Home2 Suites, Homewood Suites by Hilton, Hampton, Hilton Garden Inn., </w:t>
      </w:r>
      <w:proofErr w:type="spellStart"/>
      <w:r w:rsidRPr="002446AD">
        <w:rPr>
          <w:rFonts w:ascii="Times New Roman" w:hAnsi="Times New Roman" w:cs="Times New Roman"/>
          <w:sz w:val="24"/>
          <w:szCs w:val="24"/>
        </w:rPr>
        <w:t>Tru</w:t>
      </w:r>
      <w:proofErr w:type="spellEnd"/>
      <w:r w:rsidRPr="002446AD">
        <w:rPr>
          <w:rFonts w:ascii="Times New Roman" w:hAnsi="Times New Roman" w:cs="Times New Roman"/>
          <w:sz w:val="24"/>
          <w:szCs w:val="24"/>
        </w:rPr>
        <w:t xml:space="preserve"> by Hilton, Embassy Suites, </w:t>
      </w:r>
      <w:proofErr w:type="spellStart"/>
      <w:r w:rsidRPr="002446AD">
        <w:rPr>
          <w:rFonts w:ascii="Times New Roman" w:hAnsi="Times New Roman" w:cs="Times New Roman"/>
          <w:sz w:val="24"/>
          <w:szCs w:val="24"/>
        </w:rPr>
        <w:t>DoubleTree</w:t>
      </w:r>
      <w:proofErr w:type="spellEnd"/>
      <w:r w:rsidRPr="002446AD">
        <w:rPr>
          <w:rFonts w:ascii="Times New Roman" w:hAnsi="Times New Roman" w:cs="Times New Roman"/>
          <w:sz w:val="24"/>
          <w:szCs w:val="24"/>
        </w:rPr>
        <w:t xml:space="preserve"> by Hilton, Hilton Hotels &amp; Resorts, Conrad Hotels &amp; Resorts, Curio-A Collection by Hilton, Canopy by Hilton, and Waldorf Astoria Hotels &amp; Resorts. The total number of employees working on different projects by the company is 142000 (</w:t>
      </w:r>
      <w:proofErr w:type="spellStart"/>
      <w:r w:rsidRPr="002446AD">
        <w:rPr>
          <w:rFonts w:ascii="Times New Roman" w:hAnsi="Times New Roman" w:cs="Times New Roman"/>
          <w:sz w:val="24"/>
          <w:szCs w:val="24"/>
        </w:rPr>
        <w:t>ShieldSquare</w:t>
      </w:r>
      <w:proofErr w:type="spellEnd"/>
      <w:r w:rsidRPr="002446AD">
        <w:rPr>
          <w:rFonts w:ascii="Times New Roman" w:hAnsi="Times New Roman" w:cs="Times New Roman"/>
          <w:sz w:val="24"/>
          <w:szCs w:val="24"/>
        </w:rPr>
        <w:t xml:space="preserve"> Captcha, 2022). The purpose of this report is to address the Chief Executive Officer regarding the organizational Horizontal ratios involving gearing, liquidity, and profitability ratio for the fiscal years 2020 &amp; 2019.</w:t>
      </w:r>
    </w:p>
    <w:p w:rsidR="002446AD" w:rsidRPr="002446AD" w:rsidRDefault="002446A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Horizontal ratios are crucial for analyzing the financial condition of an organization. These ratios are critical for making important decisions regarding the strategic objectives and goals of the company. The ratio analysis allows for comparing the financial performance of the company for one year to another. Similarly, these ratios are also used to compare the organizational performance with some other organizations for the same period (</w:t>
      </w:r>
      <w:proofErr w:type="spellStart"/>
      <w:r w:rsidRPr="002446AD">
        <w:rPr>
          <w:rFonts w:ascii="Times New Roman" w:hAnsi="Times New Roman" w:cs="Times New Roman"/>
          <w:sz w:val="24"/>
          <w:szCs w:val="24"/>
        </w:rPr>
        <w:t>Picozzi</w:t>
      </w:r>
      <w:proofErr w:type="spellEnd"/>
      <w:r w:rsidRPr="002446AD">
        <w:rPr>
          <w:rFonts w:ascii="Times New Roman" w:hAnsi="Times New Roman" w:cs="Times New Roman"/>
          <w:sz w:val="24"/>
          <w:szCs w:val="24"/>
        </w:rPr>
        <w:t xml:space="preserve">, 2005). This comparison assists in evaluating the performance and gives an overview of the overall position of the organization in the respective sector. The horizontal ratios are widely used for estimating the financial position by both small and large scale organizations like Walmart, Google etc. </w:t>
      </w:r>
    </w:p>
    <w:p w:rsidR="002446AD" w:rsidRPr="002446AD" w:rsidRDefault="002446A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 organizational goals and mission can be achieved through effective monetary supervision and forecasting. Horizontal ratios provide an opportunity for the senior management, particularly the Chief Executive, to identify the weaknesses and strengths that assist in developing appropriate policies and decisions regarding the sustainable growth of the business. However, these ratios do not explain the reasons why certain things are weaknesses or strengths of the organization. The senior management utilizes these ratios to know the organizational financial position and then identify and make certain arrangements to convert weaknesses to strengths. These ratios are also a helpful tool for the investors as these ratios gives an estimate of the growth and development of an organization, thus the investors used these ratios to compare different organizations and make decisions regarding their investment (</w:t>
      </w:r>
      <w:proofErr w:type="spellStart"/>
      <w:r w:rsidRPr="002446AD">
        <w:rPr>
          <w:rFonts w:ascii="Times New Roman" w:hAnsi="Times New Roman" w:cs="Times New Roman"/>
          <w:sz w:val="24"/>
          <w:szCs w:val="24"/>
        </w:rPr>
        <w:t>Tailab</w:t>
      </w:r>
      <w:proofErr w:type="spellEnd"/>
      <w:r w:rsidRPr="002446AD">
        <w:rPr>
          <w:rFonts w:ascii="Times New Roman" w:hAnsi="Times New Roman" w:cs="Times New Roman"/>
          <w:sz w:val="24"/>
          <w:szCs w:val="24"/>
        </w:rPr>
        <w:t>, 2020).</w:t>
      </w:r>
    </w:p>
    <w:p w:rsidR="00B479B1" w:rsidRPr="002446AD" w:rsidRDefault="002446A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 financial analysis for the fiscal years 2020 &amp; 2019 of the Hilton Worldwide Holdings Inc. is given below as follows:</w:t>
      </w:r>
    </w:p>
    <w:p w:rsidR="005D3396" w:rsidRPr="002446AD" w:rsidRDefault="00D1166E"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Financial </w:t>
      </w:r>
      <w:r w:rsidR="00B53A18" w:rsidRPr="002446AD">
        <w:rPr>
          <w:rFonts w:ascii="Times New Roman" w:hAnsi="Times New Roman" w:cs="Times New Roman"/>
          <w:sz w:val="24"/>
          <w:szCs w:val="24"/>
        </w:rPr>
        <w:t>Analysis</w:t>
      </w:r>
    </w:p>
    <w:p w:rsidR="00B53A18" w:rsidRPr="002446AD" w:rsidRDefault="00696DC4"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 profitability ratios of the HWHI are given below in table 1 as follows:</w:t>
      </w:r>
    </w:p>
    <w:tbl>
      <w:tblPr>
        <w:tblW w:w="9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4833"/>
        <w:gridCol w:w="1212"/>
        <w:gridCol w:w="1212"/>
      </w:tblGrid>
      <w:tr w:rsidR="00850004" w:rsidRPr="002446AD" w:rsidTr="001345C7">
        <w:trPr>
          <w:trHeight w:val="312"/>
        </w:trPr>
        <w:tc>
          <w:tcPr>
            <w:tcW w:w="9488" w:type="dxa"/>
            <w:gridSpan w:val="4"/>
            <w:shd w:val="clear" w:color="auto" w:fill="auto"/>
            <w:noWrap/>
            <w:vAlign w:val="bottom"/>
            <w:hideMark/>
          </w:tcPr>
          <w:p w:rsidR="00850004" w:rsidRPr="002446AD" w:rsidRDefault="00850004"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Profitability Ratio</w:t>
            </w:r>
          </w:p>
        </w:tc>
      </w:tr>
      <w:tr w:rsidR="00696DC4" w:rsidRPr="00696DC4" w:rsidTr="00850004">
        <w:trPr>
          <w:trHeight w:val="312"/>
        </w:trPr>
        <w:tc>
          <w:tcPr>
            <w:tcW w:w="2231" w:type="dxa"/>
            <w:shd w:val="clear" w:color="auto" w:fill="auto"/>
            <w:noWrap/>
            <w:vAlign w:val="bottom"/>
            <w:hideMark/>
          </w:tcPr>
          <w:p w:rsidR="00696DC4" w:rsidRPr="00696DC4" w:rsidRDefault="00850004"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Ratios</w:t>
            </w:r>
          </w:p>
        </w:tc>
        <w:tc>
          <w:tcPr>
            <w:tcW w:w="4833" w:type="dxa"/>
            <w:shd w:val="clear" w:color="auto" w:fill="auto"/>
            <w:noWrap/>
            <w:vAlign w:val="bottom"/>
            <w:hideMark/>
          </w:tcPr>
          <w:p w:rsidR="00696DC4" w:rsidRPr="00696DC4" w:rsidRDefault="00696DC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Formula</w:t>
            </w:r>
          </w:p>
        </w:tc>
        <w:tc>
          <w:tcPr>
            <w:tcW w:w="1212" w:type="dxa"/>
            <w:shd w:val="clear" w:color="auto" w:fill="auto"/>
            <w:noWrap/>
            <w:vAlign w:val="bottom"/>
            <w:hideMark/>
          </w:tcPr>
          <w:p w:rsidR="00696DC4" w:rsidRPr="00696DC4" w:rsidRDefault="00696DC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2020</w:t>
            </w:r>
          </w:p>
        </w:tc>
        <w:tc>
          <w:tcPr>
            <w:tcW w:w="1212" w:type="dxa"/>
            <w:shd w:val="clear" w:color="auto" w:fill="auto"/>
            <w:noWrap/>
            <w:vAlign w:val="bottom"/>
            <w:hideMark/>
          </w:tcPr>
          <w:p w:rsidR="00696DC4" w:rsidRPr="00696DC4" w:rsidRDefault="00696DC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2019</w:t>
            </w:r>
          </w:p>
        </w:tc>
      </w:tr>
      <w:tr w:rsidR="00850004" w:rsidRPr="002446AD" w:rsidTr="00850004">
        <w:trPr>
          <w:trHeight w:val="312"/>
        </w:trPr>
        <w:tc>
          <w:tcPr>
            <w:tcW w:w="2231"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Net Profit</w:t>
            </w:r>
          </w:p>
        </w:tc>
        <w:tc>
          <w:tcPr>
            <w:tcW w:w="4833"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(Net profit/Sales)x100</w:t>
            </w:r>
          </w:p>
        </w:tc>
        <w:tc>
          <w:tcPr>
            <w:tcW w:w="1212" w:type="dxa"/>
            <w:shd w:val="clear" w:color="auto" w:fill="auto"/>
            <w:noWrap/>
            <w:vAlign w:val="bottom"/>
            <w:hideMark/>
          </w:tcPr>
          <w:p w:rsidR="00850004" w:rsidRPr="00696DC4" w:rsidRDefault="00961ECC" w:rsidP="002446AD">
            <w:pPr>
              <w:spacing w:after="0" w:line="480" w:lineRule="auto"/>
              <w:jc w:val="right"/>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1.97 %</w:t>
            </w:r>
          </w:p>
        </w:tc>
        <w:tc>
          <w:tcPr>
            <w:tcW w:w="1212" w:type="dxa"/>
            <w:shd w:val="clear" w:color="auto" w:fill="auto"/>
            <w:noWrap/>
            <w:vAlign w:val="bottom"/>
            <w:hideMark/>
          </w:tcPr>
          <w:p w:rsidR="00850004" w:rsidRPr="00696DC4" w:rsidRDefault="0085000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12.89</w:t>
            </w:r>
            <w:r w:rsidR="00961ECC" w:rsidRPr="002446AD">
              <w:rPr>
                <w:rFonts w:ascii="Times New Roman" w:eastAsia="Times New Roman" w:hAnsi="Times New Roman" w:cs="Times New Roman"/>
                <w:color w:val="000000"/>
                <w:sz w:val="24"/>
                <w:szCs w:val="24"/>
              </w:rPr>
              <w:t xml:space="preserve"> %</w:t>
            </w:r>
          </w:p>
        </w:tc>
      </w:tr>
      <w:tr w:rsidR="00850004" w:rsidRPr="00696DC4" w:rsidTr="00850004">
        <w:trPr>
          <w:trHeight w:val="312"/>
        </w:trPr>
        <w:tc>
          <w:tcPr>
            <w:tcW w:w="2231"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Gross Profit</w:t>
            </w:r>
          </w:p>
        </w:tc>
        <w:tc>
          <w:tcPr>
            <w:tcW w:w="4833"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(Gross profit/Sales)x100</w:t>
            </w:r>
          </w:p>
        </w:tc>
        <w:tc>
          <w:tcPr>
            <w:tcW w:w="1212" w:type="dxa"/>
            <w:shd w:val="clear" w:color="auto" w:fill="auto"/>
            <w:noWrap/>
            <w:vAlign w:val="bottom"/>
            <w:hideMark/>
          </w:tcPr>
          <w:p w:rsidR="00850004" w:rsidRPr="00696DC4" w:rsidRDefault="0085000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13.54</w:t>
            </w:r>
            <w:r w:rsidR="00961ECC" w:rsidRPr="002446AD">
              <w:rPr>
                <w:rFonts w:ascii="Times New Roman" w:eastAsia="Times New Roman" w:hAnsi="Times New Roman" w:cs="Times New Roman"/>
                <w:color w:val="000000"/>
                <w:sz w:val="24"/>
                <w:szCs w:val="24"/>
              </w:rPr>
              <w:t xml:space="preserve"> %</w:t>
            </w:r>
          </w:p>
        </w:tc>
        <w:tc>
          <w:tcPr>
            <w:tcW w:w="1212" w:type="dxa"/>
            <w:shd w:val="clear" w:color="auto" w:fill="auto"/>
            <w:noWrap/>
            <w:vAlign w:val="bottom"/>
            <w:hideMark/>
          </w:tcPr>
          <w:p w:rsidR="00850004" w:rsidRPr="00696DC4" w:rsidRDefault="0085000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25.76</w:t>
            </w:r>
            <w:r w:rsidR="00961ECC" w:rsidRPr="002446AD">
              <w:rPr>
                <w:rFonts w:ascii="Times New Roman" w:eastAsia="Times New Roman" w:hAnsi="Times New Roman" w:cs="Times New Roman"/>
                <w:color w:val="000000"/>
                <w:sz w:val="24"/>
                <w:szCs w:val="24"/>
              </w:rPr>
              <w:t xml:space="preserve"> %</w:t>
            </w:r>
          </w:p>
        </w:tc>
      </w:tr>
      <w:tr w:rsidR="00850004" w:rsidRPr="00696DC4" w:rsidTr="00850004">
        <w:trPr>
          <w:trHeight w:val="312"/>
        </w:trPr>
        <w:tc>
          <w:tcPr>
            <w:tcW w:w="2231"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ROCE</w:t>
            </w:r>
          </w:p>
        </w:tc>
        <w:tc>
          <w:tcPr>
            <w:tcW w:w="4833" w:type="dxa"/>
            <w:shd w:val="clear" w:color="auto" w:fill="auto"/>
            <w:noWrap/>
            <w:vAlign w:val="bottom"/>
            <w:hideMark/>
          </w:tcPr>
          <w:p w:rsidR="00850004" w:rsidRPr="00696DC4" w:rsidRDefault="00850004" w:rsidP="002446AD">
            <w:pPr>
              <w:spacing w:after="0" w:line="480" w:lineRule="auto"/>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(Net profit</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Interest</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Capital Employed)</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x</w:t>
            </w:r>
            <w:r w:rsidR="00857379" w:rsidRPr="002446AD">
              <w:rPr>
                <w:rFonts w:ascii="Times New Roman" w:eastAsia="Times New Roman" w:hAnsi="Times New Roman" w:cs="Times New Roman"/>
                <w:color w:val="000000"/>
                <w:sz w:val="24"/>
                <w:szCs w:val="24"/>
              </w:rPr>
              <w:t xml:space="preserve"> </w:t>
            </w:r>
            <w:r w:rsidRPr="00696DC4">
              <w:rPr>
                <w:rFonts w:ascii="Times New Roman" w:eastAsia="Times New Roman" w:hAnsi="Times New Roman" w:cs="Times New Roman"/>
                <w:color w:val="000000"/>
                <w:sz w:val="24"/>
                <w:szCs w:val="24"/>
              </w:rPr>
              <w:t>100</w:t>
            </w:r>
          </w:p>
        </w:tc>
        <w:tc>
          <w:tcPr>
            <w:tcW w:w="1212" w:type="dxa"/>
            <w:shd w:val="clear" w:color="auto" w:fill="auto"/>
            <w:noWrap/>
            <w:vAlign w:val="bottom"/>
            <w:hideMark/>
          </w:tcPr>
          <w:p w:rsidR="00850004" w:rsidRPr="00696DC4" w:rsidRDefault="0085000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3.59</w:t>
            </w:r>
            <w:r w:rsidR="00961ECC" w:rsidRPr="002446AD">
              <w:rPr>
                <w:rFonts w:ascii="Times New Roman" w:eastAsia="Times New Roman" w:hAnsi="Times New Roman" w:cs="Times New Roman"/>
                <w:color w:val="000000"/>
                <w:sz w:val="24"/>
                <w:szCs w:val="24"/>
              </w:rPr>
              <w:t xml:space="preserve"> %</w:t>
            </w:r>
          </w:p>
        </w:tc>
        <w:tc>
          <w:tcPr>
            <w:tcW w:w="1212" w:type="dxa"/>
            <w:shd w:val="clear" w:color="auto" w:fill="auto"/>
            <w:noWrap/>
            <w:vAlign w:val="bottom"/>
            <w:hideMark/>
          </w:tcPr>
          <w:p w:rsidR="00850004" w:rsidRPr="00696DC4" w:rsidRDefault="00850004" w:rsidP="002446AD">
            <w:pPr>
              <w:spacing w:after="0" w:line="480" w:lineRule="auto"/>
              <w:jc w:val="right"/>
              <w:rPr>
                <w:rFonts w:ascii="Times New Roman" w:eastAsia="Times New Roman" w:hAnsi="Times New Roman" w:cs="Times New Roman"/>
                <w:color w:val="000000"/>
                <w:sz w:val="24"/>
                <w:szCs w:val="24"/>
              </w:rPr>
            </w:pPr>
            <w:r w:rsidRPr="00696DC4">
              <w:rPr>
                <w:rFonts w:ascii="Times New Roman" w:eastAsia="Times New Roman" w:hAnsi="Times New Roman" w:cs="Times New Roman"/>
                <w:color w:val="000000"/>
                <w:sz w:val="24"/>
                <w:szCs w:val="24"/>
              </w:rPr>
              <w:t>13.5</w:t>
            </w:r>
            <w:r w:rsidR="00961ECC" w:rsidRPr="002446AD">
              <w:rPr>
                <w:rFonts w:ascii="Times New Roman" w:eastAsia="Times New Roman" w:hAnsi="Times New Roman" w:cs="Times New Roman"/>
                <w:color w:val="000000"/>
                <w:sz w:val="24"/>
                <w:szCs w:val="24"/>
              </w:rPr>
              <w:t xml:space="preserve"> %</w:t>
            </w:r>
          </w:p>
        </w:tc>
      </w:tr>
    </w:tbl>
    <w:p w:rsidR="00696DC4" w:rsidRPr="002446AD" w:rsidRDefault="00CE00BC"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Table 1: Profitability Ratios</w:t>
      </w:r>
    </w:p>
    <w:p w:rsidR="00E3289F" w:rsidRPr="002446AD" w:rsidRDefault="00A50376"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Profitability ratios indicate</w:t>
      </w:r>
      <w:r w:rsidR="00B67E5D" w:rsidRPr="002446AD">
        <w:rPr>
          <w:rFonts w:ascii="Times New Roman" w:hAnsi="Times New Roman" w:cs="Times New Roman"/>
          <w:sz w:val="24"/>
          <w:szCs w:val="24"/>
        </w:rPr>
        <w:t xml:space="preserve"> the capacity of an organization to generate profits from investment</w:t>
      </w:r>
      <w:r w:rsidR="00024B37" w:rsidRPr="002446AD">
        <w:rPr>
          <w:rFonts w:ascii="Times New Roman" w:hAnsi="Times New Roman" w:cs="Times New Roman"/>
          <w:sz w:val="24"/>
          <w:szCs w:val="24"/>
        </w:rPr>
        <w:t>.</w:t>
      </w:r>
      <w:r w:rsidR="00546E43" w:rsidRPr="002446AD">
        <w:rPr>
          <w:rFonts w:ascii="Times New Roman" w:hAnsi="Times New Roman" w:cs="Times New Roman"/>
          <w:sz w:val="24"/>
          <w:szCs w:val="24"/>
        </w:rPr>
        <w:t xml:space="preserve"> It reveal</w:t>
      </w:r>
      <w:r w:rsidR="00973DAC" w:rsidRPr="002446AD">
        <w:rPr>
          <w:rFonts w:ascii="Times New Roman" w:hAnsi="Times New Roman" w:cs="Times New Roman"/>
          <w:sz w:val="24"/>
          <w:szCs w:val="24"/>
        </w:rPr>
        <w:t>s</w:t>
      </w:r>
      <w:r w:rsidR="00546E43" w:rsidRPr="002446AD">
        <w:rPr>
          <w:rFonts w:ascii="Times New Roman" w:hAnsi="Times New Roman" w:cs="Times New Roman"/>
          <w:sz w:val="24"/>
          <w:szCs w:val="24"/>
        </w:rPr>
        <w:t xml:space="preserve"> the potential of an organization </w:t>
      </w:r>
      <w:r w:rsidR="007D1B33" w:rsidRPr="002446AD">
        <w:rPr>
          <w:rFonts w:ascii="Times New Roman" w:hAnsi="Times New Roman" w:cs="Times New Roman"/>
          <w:sz w:val="24"/>
          <w:szCs w:val="24"/>
        </w:rPr>
        <w:t xml:space="preserve">to convert the revenues to profit, </w:t>
      </w:r>
      <w:r w:rsidR="00973DAC" w:rsidRPr="002446AD">
        <w:rPr>
          <w:rFonts w:ascii="Times New Roman" w:hAnsi="Times New Roman" w:cs="Times New Roman"/>
          <w:sz w:val="24"/>
          <w:szCs w:val="24"/>
        </w:rPr>
        <w:t>owner’s equity, operating ex</w:t>
      </w:r>
      <w:r w:rsidR="00071618" w:rsidRPr="002446AD">
        <w:rPr>
          <w:rFonts w:ascii="Times New Roman" w:hAnsi="Times New Roman" w:cs="Times New Roman"/>
          <w:sz w:val="24"/>
          <w:szCs w:val="24"/>
        </w:rPr>
        <w:t>penses, and assets</w:t>
      </w:r>
      <w:r w:rsidR="00F37C7A" w:rsidRPr="002446AD">
        <w:rPr>
          <w:rFonts w:ascii="Times New Roman" w:hAnsi="Times New Roman" w:cs="Times New Roman"/>
          <w:sz w:val="24"/>
          <w:szCs w:val="24"/>
        </w:rPr>
        <w:t xml:space="preserve"> </w:t>
      </w:r>
      <w:r w:rsidR="00F37C7A" w:rsidRPr="002446AD">
        <w:rPr>
          <w:rFonts w:ascii="Times New Roman" w:hAnsi="Times New Roman" w:cs="Times New Roman"/>
          <w:color w:val="000000"/>
          <w:sz w:val="24"/>
          <w:szCs w:val="24"/>
          <w:shd w:val="clear" w:color="auto" w:fill="FFFFFF"/>
        </w:rPr>
        <w:t>(Chaudhuri, 2008)</w:t>
      </w:r>
      <w:r w:rsidR="00071618" w:rsidRPr="002446AD">
        <w:rPr>
          <w:rFonts w:ascii="Times New Roman" w:hAnsi="Times New Roman" w:cs="Times New Roman"/>
          <w:sz w:val="24"/>
          <w:szCs w:val="24"/>
        </w:rPr>
        <w:t xml:space="preserve">. Higher the profitability </w:t>
      </w:r>
      <w:r w:rsidR="00416B6A" w:rsidRPr="002446AD">
        <w:rPr>
          <w:rFonts w:ascii="Times New Roman" w:hAnsi="Times New Roman" w:cs="Times New Roman"/>
          <w:sz w:val="24"/>
          <w:szCs w:val="24"/>
        </w:rPr>
        <w:t>ratios, the better are</w:t>
      </w:r>
      <w:r w:rsidR="00071618" w:rsidRPr="002446AD">
        <w:rPr>
          <w:rFonts w:ascii="Times New Roman" w:hAnsi="Times New Roman" w:cs="Times New Roman"/>
          <w:sz w:val="24"/>
          <w:szCs w:val="24"/>
        </w:rPr>
        <w:t xml:space="preserve"> the financial position and performance of the company. </w:t>
      </w:r>
      <w:r w:rsidR="00C03E87" w:rsidRPr="002446AD">
        <w:rPr>
          <w:rFonts w:ascii="Times New Roman" w:hAnsi="Times New Roman" w:cs="Times New Roman"/>
          <w:sz w:val="24"/>
          <w:szCs w:val="24"/>
        </w:rPr>
        <w:t xml:space="preserve">The profitability </w:t>
      </w:r>
      <w:r w:rsidR="00961ECC" w:rsidRPr="002446AD">
        <w:rPr>
          <w:rFonts w:ascii="Times New Roman" w:hAnsi="Times New Roman" w:cs="Times New Roman"/>
          <w:sz w:val="24"/>
          <w:szCs w:val="24"/>
        </w:rPr>
        <w:t>ratios for the HWHI show</w:t>
      </w:r>
      <w:r w:rsidR="00534433" w:rsidRPr="002446AD">
        <w:rPr>
          <w:rFonts w:ascii="Times New Roman" w:hAnsi="Times New Roman" w:cs="Times New Roman"/>
          <w:sz w:val="24"/>
          <w:szCs w:val="24"/>
        </w:rPr>
        <w:t xml:space="preserve"> a decr</w:t>
      </w:r>
      <w:r w:rsidR="00AD54A7" w:rsidRPr="002446AD">
        <w:rPr>
          <w:rFonts w:ascii="Times New Roman" w:hAnsi="Times New Roman" w:cs="Times New Roman"/>
          <w:sz w:val="24"/>
          <w:szCs w:val="24"/>
        </w:rPr>
        <w:t>easing trend from 2019 to 2020.</w:t>
      </w:r>
      <w:r w:rsidR="00DB77D3" w:rsidRPr="002446AD">
        <w:rPr>
          <w:rFonts w:ascii="Times New Roman" w:hAnsi="Times New Roman" w:cs="Times New Roman"/>
          <w:sz w:val="24"/>
          <w:szCs w:val="24"/>
        </w:rPr>
        <w:t xml:space="preserve"> The gross profit of the company show a decrease of around 13 %. Similarly, the net profit is also reduced by around 11 %. </w:t>
      </w:r>
      <w:r w:rsidR="00296985" w:rsidRPr="002446AD">
        <w:rPr>
          <w:rFonts w:ascii="Times New Roman" w:hAnsi="Times New Roman" w:cs="Times New Roman"/>
          <w:sz w:val="24"/>
          <w:szCs w:val="24"/>
        </w:rPr>
        <w:t>It indicates that the performance of the HWHI is badly affected in 2020.</w:t>
      </w:r>
      <w:r w:rsidR="003A4130" w:rsidRPr="002446AD">
        <w:rPr>
          <w:rFonts w:ascii="Times New Roman" w:hAnsi="Times New Roman" w:cs="Times New Roman"/>
          <w:sz w:val="24"/>
          <w:szCs w:val="24"/>
        </w:rPr>
        <w:t xml:space="preserve"> Graph 1 shows the corresponding comparison of gross and net profit in 2020 and 2019.</w:t>
      </w:r>
    </w:p>
    <w:p w:rsidR="003A4130" w:rsidRPr="002446AD" w:rsidRDefault="003A4130"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4572000" cy="2743200"/>
            <wp:effectExtent l="1905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3A4130" w:rsidRPr="002446AD" w:rsidRDefault="003A4130"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 xml:space="preserve">Graph 1: </w:t>
      </w:r>
      <w:r w:rsidR="00826DB1" w:rsidRPr="002446AD">
        <w:rPr>
          <w:rFonts w:ascii="Times New Roman" w:hAnsi="Times New Roman" w:cs="Times New Roman"/>
          <w:sz w:val="24"/>
          <w:szCs w:val="24"/>
        </w:rPr>
        <w:t>Gross Profit vs. Net Profit</w:t>
      </w:r>
    </w:p>
    <w:p w:rsidR="00826DB1" w:rsidRPr="002446AD" w:rsidRDefault="00785B07"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Graph 1 depicts that </w:t>
      </w:r>
      <w:r w:rsidR="00B41D42" w:rsidRPr="002446AD">
        <w:rPr>
          <w:rFonts w:ascii="Times New Roman" w:hAnsi="Times New Roman" w:cs="Times New Roman"/>
          <w:sz w:val="24"/>
          <w:szCs w:val="24"/>
        </w:rPr>
        <w:t xml:space="preserve">both the gross profit and net profit is reduced significantly in fiscal year 2020 </w:t>
      </w:r>
      <w:r w:rsidR="00C16E29" w:rsidRPr="002446AD">
        <w:rPr>
          <w:rFonts w:ascii="Times New Roman" w:hAnsi="Times New Roman" w:cs="Times New Roman"/>
          <w:sz w:val="24"/>
          <w:szCs w:val="24"/>
        </w:rPr>
        <w:t>becau</w:t>
      </w:r>
      <w:r w:rsidR="00BF2FCB" w:rsidRPr="002446AD">
        <w:rPr>
          <w:rFonts w:ascii="Times New Roman" w:hAnsi="Times New Roman" w:cs="Times New Roman"/>
          <w:sz w:val="24"/>
          <w:szCs w:val="24"/>
        </w:rPr>
        <w:t xml:space="preserve">se the sales are decreased. Moreover, the operating expenses in 2020 are higher than the gross profit. </w:t>
      </w:r>
      <w:r w:rsidR="00F5128F" w:rsidRPr="002446AD">
        <w:rPr>
          <w:rFonts w:ascii="Times New Roman" w:hAnsi="Times New Roman" w:cs="Times New Roman"/>
          <w:sz w:val="24"/>
          <w:szCs w:val="24"/>
        </w:rPr>
        <w:t>Consequently, the profitability ratios are decreased.</w:t>
      </w:r>
    </w:p>
    <w:p w:rsidR="00100ACB" w:rsidRPr="002446AD" w:rsidRDefault="00100ACB"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5143500" cy="28956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00ACB" w:rsidRPr="002446AD" w:rsidRDefault="00100ACB"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Graph 2: Return on Capital Employed</w:t>
      </w:r>
    </w:p>
    <w:p w:rsidR="00100ACB" w:rsidRPr="002446AD" w:rsidRDefault="00F5009C"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Graph 2 shows the return on capital employed for the fiscal year 2019 and 2020. The graph shows a downward trend moving from 2019 to 2020. The </w:t>
      </w:r>
      <w:r w:rsidR="00A561FC" w:rsidRPr="002446AD">
        <w:rPr>
          <w:rFonts w:ascii="Times New Roman" w:hAnsi="Times New Roman" w:cs="Times New Roman"/>
          <w:sz w:val="24"/>
          <w:szCs w:val="24"/>
        </w:rPr>
        <w:t xml:space="preserve">ROCE is reduced </w:t>
      </w:r>
      <w:r w:rsidR="00337A55" w:rsidRPr="002446AD">
        <w:rPr>
          <w:rFonts w:ascii="Times New Roman" w:hAnsi="Times New Roman" w:cs="Times New Roman"/>
          <w:sz w:val="24"/>
          <w:szCs w:val="24"/>
        </w:rPr>
        <w:t xml:space="preserve">by almost 10 % in one year. It </w:t>
      </w:r>
      <w:r w:rsidR="000437AE" w:rsidRPr="002446AD">
        <w:rPr>
          <w:rFonts w:ascii="Times New Roman" w:hAnsi="Times New Roman" w:cs="Times New Roman"/>
          <w:sz w:val="24"/>
          <w:szCs w:val="24"/>
        </w:rPr>
        <w:t>r</w:t>
      </w:r>
      <w:r w:rsidR="00EB717F" w:rsidRPr="002446AD">
        <w:rPr>
          <w:rFonts w:ascii="Times New Roman" w:hAnsi="Times New Roman" w:cs="Times New Roman"/>
          <w:sz w:val="24"/>
          <w:szCs w:val="24"/>
        </w:rPr>
        <w:t xml:space="preserve">eveals that the organizational value that it gains from its liabilities and assets. The </w:t>
      </w:r>
      <w:r w:rsidR="00554A48" w:rsidRPr="002446AD">
        <w:rPr>
          <w:rFonts w:ascii="Times New Roman" w:hAnsi="Times New Roman" w:cs="Times New Roman"/>
          <w:sz w:val="24"/>
          <w:szCs w:val="24"/>
        </w:rPr>
        <w:t>decrease in this value demonstrates</w:t>
      </w:r>
      <w:r w:rsidR="0043208D" w:rsidRPr="002446AD">
        <w:rPr>
          <w:rFonts w:ascii="Times New Roman" w:hAnsi="Times New Roman" w:cs="Times New Roman"/>
          <w:sz w:val="24"/>
          <w:szCs w:val="24"/>
        </w:rPr>
        <w:t xml:space="preserve"> that the </w:t>
      </w:r>
      <w:r w:rsidR="00554A48" w:rsidRPr="002446AD">
        <w:rPr>
          <w:rFonts w:ascii="Times New Roman" w:hAnsi="Times New Roman" w:cs="Times New Roman"/>
          <w:sz w:val="24"/>
          <w:szCs w:val="24"/>
        </w:rPr>
        <w:t xml:space="preserve">financial position of the company is very low </w:t>
      </w:r>
      <w:r w:rsidR="00F417DE" w:rsidRPr="002446AD">
        <w:rPr>
          <w:rFonts w:ascii="Times New Roman" w:hAnsi="Times New Roman" w:cs="Times New Roman"/>
          <w:sz w:val="24"/>
          <w:szCs w:val="24"/>
        </w:rPr>
        <w:t>and the cash flows are reduced.</w:t>
      </w:r>
    </w:p>
    <w:tbl>
      <w:tblPr>
        <w:tblW w:w="93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4323"/>
        <w:gridCol w:w="1266"/>
        <w:gridCol w:w="1266"/>
      </w:tblGrid>
      <w:tr w:rsidR="001D0898" w:rsidRPr="002446AD" w:rsidTr="006E3530">
        <w:trPr>
          <w:trHeight w:val="318"/>
        </w:trPr>
        <w:tc>
          <w:tcPr>
            <w:tcW w:w="9388" w:type="dxa"/>
            <w:gridSpan w:val="4"/>
            <w:shd w:val="clear" w:color="auto" w:fill="auto"/>
            <w:noWrap/>
            <w:vAlign w:val="bottom"/>
            <w:hideMark/>
          </w:tcPr>
          <w:p w:rsidR="001D0898" w:rsidRPr="001D0898" w:rsidRDefault="001D0898" w:rsidP="002446AD">
            <w:pPr>
              <w:spacing w:after="0" w:line="480" w:lineRule="auto"/>
              <w:jc w:val="center"/>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Liquidity Ratio</w:t>
            </w:r>
          </w:p>
        </w:tc>
      </w:tr>
      <w:tr w:rsidR="001D0898" w:rsidRPr="001D0898" w:rsidTr="001D0898">
        <w:trPr>
          <w:trHeight w:val="318"/>
        </w:trPr>
        <w:tc>
          <w:tcPr>
            <w:tcW w:w="253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Ratio</w:t>
            </w:r>
          </w:p>
        </w:tc>
        <w:tc>
          <w:tcPr>
            <w:tcW w:w="432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Formula</w:t>
            </w:r>
          </w:p>
        </w:tc>
        <w:tc>
          <w:tcPr>
            <w:tcW w:w="1266"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2020</w:t>
            </w:r>
          </w:p>
        </w:tc>
        <w:tc>
          <w:tcPr>
            <w:tcW w:w="1266"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2019</w:t>
            </w:r>
          </w:p>
        </w:tc>
      </w:tr>
      <w:tr w:rsidR="001D0898" w:rsidRPr="002446AD" w:rsidTr="001D0898">
        <w:trPr>
          <w:trHeight w:val="318"/>
        </w:trPr>
        <w:tc>
          <w:tcPr>
            <w:tcW w:w="253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Quick Ratio/Acid Test</w:t>
            </w:r>
          </w:p>
        </w:tc>
        <w:tc>
          <w:tcPr>
            <w:tcW w:w="432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Current Asset-Stock/Current Liability</w:t>
            </w:r>
          </w:p>
        </w:tc>
        <w:tc>
          <w:tcPr>
            <w:tcW w:w="1266" w:type="dxa"/>
            <w:shd w:val="clear" w:color="auto" w:fill="auto"/>
            <w:noWrap/>
            <w:vAlign w:val="bottom"/>
            <w:hideMark/>
          </w:tcPr>
          <w:p w:rsidR="001D0898" w:rsidRPr="001D0898" w:rsidRDefault="001D0898" w:rsidP="002446AD">
            <w:pPr>
              <w:spacing w:after="0" w:line="480" w:lineRule="auto"/>
              <w:jc w:val="right"/>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1.7273</w:t>
            </w:r>
          </w:p>
        </w:tc>
        <w:tc>
          <w:tcPr>
            <w:tcW w:w="1266" w:type="dxa"/>
            <w:shd w:val="clear" w:color="auto" w:fill="auto"/>
            <w:noWrap/>
            <w:vAlign w:val="bottom"/>
            <w:hideMark/>
          </w:tcPr>
          <w:p w:rsidR="001D0898" w:rsidRPr="001D0898" w:rsidRDefault="001D0898" w:rsidP="002446AD">
            <w:pPr>
              <w:spacing w:after="0" w:line="480" w:lineRule="auto"/>
              <w:jc w:val="right"/>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0.728</w:t>
            </w:r>
          </w:p>
        </w:tc>
      </w:tr>
      <w:tr w:rsidR="001D0898" w:rsidRPr="001D0898" w:rsidTr="001D0898">
        <w:trPr>
          <w:trHeight w:val="318"/>
        </w:trPr>
        <w:tc>
          <w:tcPr>
            <w:tcW w:w="253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Current Ratio</w:t>
            </w:r>
          </w:p>
        </w:tc>
        <w:tc>
          <w:tcPr>
            <w:tcW w:w="4323" w:type="dxa"/>
            <w:shd w:val="clear" w:color="auto" w:fill="auto"/>
            <w:noWrap/>
            <w:vAlign w:val="bottom"/>
            <w:hideMark/>
          </w:tcPr>
          <w:p w:rsidR="001D0898" w:rsidRPr="001D0898" w:rsidRDefault="001D0898" w:rsidP="002446AD">
            <w:pPr>
              <w:spacing w:after="0" w:line="480" w:lineRule="auto"/>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Current Asset/Current Liability</w:t>
            </w:r>
          </w:p>
        </w:tc>
        <w:tc>
          <w:tcPr>
            <w:tcW w:w="1266" w:type="dxa"/>
            <w:shd w:val="clear" w:color="auto" w:fill="auto"/>
            <w:noWrap/>
            <w:vAlign w:val="bottom"/>
            <w:hideMark/>
          </w:tcPr>
          <w:p w:rsidR="001D0898" w:rsidRPr="001D0898" w:rsidRDefault="001D0898" w:rsidP="002446AD">
            <w:pPr>
              <w:spacing w:after="0" w:line="480" w:lineRule="auto"/>
              <w:jc w:val="right"/>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1.7285</w:t>
            </w:r>
          </w:p>
        </w:tc>
        <w:tc>
          <w:tcPr>
            <w:tcW w:w="1266" w:type="dxa"/>
            <w:shd w:val="clear" w:color="auto" w:fill="auto"/>
            <w:noWrap/>
            <w:vAlign w:val="bottom"/>
            <w:hideMark/>
          </w:tcPr>
          <w:p w:rsidR="001D0898" w:rsidRPr="001D0898" w:rsidRDefault="001D0898" w:rsidP="002446AD">
            <w:pPr>
              <w:spacing w:after="0" w:line="480" w:lineRule="auto"/>
              <w:jc w:val="right"/>
              <w:rPr>
                <w:rFonts w:ascii="Times New Roman" w:eastAsia="Times New Roman" w:hAnsi="Times New Roman" w:cs="Times New Roman"/>
                <w:color w:val="000000"/>
                <w:sz w:val="24"/>
                <w:szCs w:val="24"/>
              </w:rPr>
            </w:pPr>
            <w:r w:rsidRPr="001D0898">
              <w:rPr>
                <w:rFonts w:ascii="Times New Roman" w:eastAsia="Times New Roman" w:hAnsi="Times New Roman" w:cs="Times New Roman"/>
                <w:color w:val="000000"/>
                <w:sz w:val="24"/>
                <w:szCs w:val="24"/>
              </w:rPr>
              <w:t>0.729</w:t>
            </w:r>
          </w:p>
        </w:tc>
      </w:tr>
    </w:tbl>
    <w:p w:rsidR="001D0898" w:rsidRPr="002446AD" w:rsidRDefault="001D0898"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Table 2: Liquidity Ratio</w:t>
      </w:r>
    </w:p>
    <w:p w:rsidR="00AD54A7" w:rsidRPr="002446AD" w:rsidRDefault="00AF48F1"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Liquidity </w:t>
      </w:r>
      <w:r w:rsidR="00F03D05" w:rsidRPr="002446AD">
        <w:rPr>
          <w:rFonts w:ascii="Times New Roman" w:hAnsi="Times New Roman" w:cs="Times New Roman"/>
          <w:sz w:val="24"/>
          <w:szCs w:val="24"/>
        </w:rPr>
        <w:t>ratio explains</w:t>
      </w:r>
      <w:r w:rsidRPr="002446AD">
        <w:rPr>
          <w:rFonts w:ascii="Times New Roman" w:hAnsi="Times New Roman" w:cs="Times New Roman"/>
          <w:sz w:val="24"/>
          <w:szCs w:val="24"/>
        </w:rPr>
        <w:t xml:space="preserve"> the </w:t>
      </w:r>
      <w:r w:rsidR="000D3545" w:rsidRPr="002446AD">
        <w:rPr>
          <w:rFonts w:ascii="Times New Roman" w:hAnsi="Times New Roman" w:cs="Times New Roman"/>
          <w:sz w:val="24"/>
          <w:szCs w:val="24"/>
        </w:rPr>
        <w:t>ability of an organization to pay off the current liability by converting the current asset into cash</w:t>
      </w:r>
      <w:r w:rsidR="00F03D05" w:rsidRPr="002446AD">
        <w:rPr>
          <w:rFonts w:ascii="Times New Roman" w:hAnsi="Times New Roman" w:cs="Times New Roman"/>
          <w:sz w:val="24"/>
          <w:szCs w:val="24"/>
        </w:rPr>
        <w:t>. It also explains the ability to pay off the short-term debt</w:t>
      </w:r>
      <w:r w:rsidR="000E6432" w:rsidRPr="002446AD">
        <w:rPr>
          <w:rFonts w:ascii="Times New Roman" w:hAnsi="Times New Roman" w:cs="Times New Roman"/>
          <w:sz w:val="24"/>
          <w:szCs w:val="24"/>
        </w:rPr>
        <w:t>. It is an adequate tool to analyze the current status of an organization regarding its liquid assets</w:t>
      </w:r>
      <w:r w:rsidR="00D44B99" w:rsidRPr="002446AD">
        <w:rPr>
          <w:rFonts w:ascii="Times New Roman" w:hAnsi="Times New Roman" w:cs="Times New Roman"/>
          <w:sz w:val="24"/>
          <w:szCs w:val="24"/>
        </w:rPr>
        <w:t xml:space="preserve"> </w:t>
      </w:r>
      <w:r w:rsidR="00D44B99" w:rsidRPr="002446AD">
        <w:rPr>
          <w:rFonts w:ascii="Times New Roman" w:hAnsi="Times New Roman" w:cs="Times New Roman"/>
          <w:color w:val="000000"/>
          <w:sz w:val="24"/>
          <w:szCs w:val="24"/>
          <w:shd w:val="clear" w:color="auto" w:fill="FFFFFF"/>
        </w:rPr>
        <w:t>(Schmitz, 2013)</w:t>
      </w:r>
      <w:r w:rsidR="000E6432" w:rsidRPr="002446AD">
        <w:rPr>
          <w:rFonts w:ascii="Times New Roman" w:hAnsi="Times New Roman" w:cs="Times New Roman"/>
          <w:sz w:val="24"/>
          <w:szCs w:val="24"/>
        </w:rPr>
        <w:t xml:space="preserve">. </w:t>
      </w:r>
      <w:r w:rsidR="00D72ABE" w:rsidRPr="002446AD">
        <w:rPr>
          <w:rFonts w:ascii="Times New Roman" w:hAnsi="Times New Roman" w:cs="Times New Roman"/>
          <w:sz w:val="24"/>
          <w:szCs w:val="24"/>
        </w:rPr>
        <w:t xml:space="preserve">It also illustrates how effective is an organization to use its assets. </w:t>
      </w:r>
      <w:r w:rsidR="00734CE0" w:rsidRPr="002446AD">
        <w:rPr>
          <w:rFonts w:ascii="Times New Roman" w:hAnsi="Times New Roman" w:cs="Times New Roman"/>
          <w:sz w:val="24"/>
          <w:szCs w:val="24"/>
        </w:rPr>
        <w:t>The value above the 1 and 2 for quick and current ratio</w:t>
      </w:r>
      <w:r w:rsidR="00141964" w:rsidRPr="002446AD">
        <w:rPr>
          <w:rFonts w:ascii="Times New Roman" w:hAnsi="Times New Roman" w:cs="Times New Roman"/>
          <w:sz w:val="24"/>
          <w:szCs w:val="24"/>
        </w:rPr>
        <w:t xml:space="preserve"> respectively</w:t>
      </w:r>
      <w:r w:rsidR="00734CE0" w:rsidRPr="002446AD">
        <w:rPr>
          <w:rFonts w:ascii="Times New Roman" w:hAnsi="Times New Roman" w:cs="Times New Roman"/>
          <w:sz w:val="24"/>
          <w:szCs w:val="24"/>
        </w:rPr>
        <w:t xml:space="preserve"> is considered as sta</w:t>
      </w:r>
      <w:r w:rsidR="001077D8" w:rsidRPr="002446AD">
        <w:rPr>
          <w:rFonts w:ascii="Times New Roman" w:hAnsi="Times New Roman" w:cs="Times New Roman"/>
          <w:sz w:val="24"/>
          <w:szCs w:val="24"/>
        </w:rPr>
        <w:t xml:space="preserve">ndard for the organization. </w:t>
      </w:r>
    </w:p>
    <w:p w:rsidR="0021777F" w:rsidRPr="002446AD" w:rsidRDefault="002071BC"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5210175" cy="289560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071BC" w:rsidRPr="002446AD" w:rsidRDefault="002071BC"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 xml:space="preserve">Graph 3: </w:t>
      </w:r>
      <w:r w:rsidR="002F36EF" w:rsidRPr="002446AD">
        <w:rPr>
          <w:rFonts w:ascii="Times New Roman" w:hAnsi="Times New Roman" w:cs="Times New Roman"/>
          <w:sz w:val="24"/>
          <w:szCs w:val="24"/>
        </w:rPr>
        <w:t>Liquidity Ratio</w:t>
      </w:r>
    </w:p>
    <w:p w:rsidR="002F36EF" w:rsidRPr="002446AD" w:rsidRDefault="00141964"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Graph 3 illustrates that the current ratio is below 02 in both the fiscal years 2019 and 2020. The quick ratio is above 01 in 2020 and is less than 01 in </w:t>
      </w:r>
      <w:r w:rsidR="00AD7A12" w:rsidRPr="002446AD">
        <w:rPr>
          <w:rFonts w:ascii="Times New Roman" w:hAnsi="Times New Roman" w:cs="Times New Roman"/>
          <w:sz w:val="24"/>
          <w:szCs w:val="24"/>
        </w:rPr>
        <w:t xml:space="preserve">2019. </w:t>
      </w:r>
      <w:r w:rsidR="00C43025" w:rsidRPr="002446AD">
        <w:rPr>
          <w:rFonts w:ascii="Times New Roman" w:hAnsi="Times New Roman" w:cs="Times New Roman"/>
          <w:sz w:val="24"/>
          <w:szCs w:val="24"/>
        </w:rPr>
        <w:t xml:space="preserve">The </w:t>
      </w:r>
      <w:r w:rsidR="009D0B49" w:rsidRPr="002446AD">
        <w:rPr>
          <w:rFonts w:ascii="Times New Roman" w:hAnsi="Times New Roman" w:cs="Times New Roman"/>
          <w:sz w:val="24"/>
          <w:szCs w:val="24"/>
        </w:rPr>
        <w:t>current</w:t>
      </w:r>
      <w:r w:rsidR="00110585" w:rsidRPr="002446AD">
        <w:rPr>
          <w:rFonts w:ascii="Times New Roman" w:hAnsi="Times New Roman" w:cs="Times New Roman"/>
          <w:sz w:val="24"/>
          <w:szCs w:val="24"/>
        </w:rPr>
        <w:t xml:space="preserve"> ratio is increased in 2020 because of the </w:t>
      </w:r>
      <w:r w:rsidR="009D0B49" w:rsidRPr="002446AD">
        <w:rPr>
          <w:rFonts w:ascii="Times New Roman" w:hAnsi="Times New Roman" w:cs="Times New Roman"/>
          <w:sz w:val="24"/>
          <w:szCs w:val="24"/>
        </w:rPr>
        <w:t xml:space="preserve">reduction in trade creditors </w:t>
      </w:r>
      <w:r w:rsidR="00644A0A" w:rsidRPr="002446AD">
        <w:rPr>
          <w:rFonts w:ascii="Times New Roman" w:hAnsi="Times New Roman" w:cs="Times New Roman"/>
          <w:sz w:val="24"/>
          <w:szCs w:val="24"/>
        </w:rPr>
        <w:t xml:space="preserve">by around $77000. </w:t>
      </w:r>
      <w:r w:rsidR="000219E3" w:rsidRPr="002446AD">
        <w:rPr>
          <w:rFonts w:ascii="Times New Roman" w:hAnsi="Times New Roman" w:cs="Times New Roman"/>
          <w:sz w:val="24"/>
          <w:szCs w:val="24"/>
        </w:rPr>
        <w:t xml:space="preserve">Moreover, the </w:t>
      </w:r>
      <w:r w:rsidR="0092586C" w:rsidRPr="002446AD">
        <w:rPr>
          <w:rFonts w:ascii="Times New Roman" w:hAnsi="Times New Roman" w:cs="Times New Roman"/>
          <w:sz w:val="24"/>
          <w:szCs w:val="24"/>
        </w:rPr>
        <w:t xml:space="preserve">increase in liquid asset against current liability </w:t>
      </w:r>
      <w:r w:rsidR="00F643DD" w:rsidRPr="002446AD">
        <w:rPr>
          <w:rFonts w:ascii="Times New Roman" w:hAnsi="Times New Roman" w:cs="Times New Roman"/>
          <w:sz w:val="24"/>
          <w:szCs w:val="24"/>
        </w:rPr>
        <w:t>due to bank overdraft increases the quick ratio in 2020.</w:t>
      </w:r>
    </w:p>
    <w:tbl>
      <w:tblPr>
        <w:tblW w:w="96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4860"/>
        <w:gridCol w:w="1236"/>
        <w:gridCol w:w="1236"/>
      </w:tblGrid>
      <w:tr w:rsidR="00080051" w:rsidRPr="002446AD" w:rsidTr="00A36873">
        <w:trPr>
          <w:trHeight w:val="358"/>
        </w:trPr>
        <w:tc>
          <w:tcPr>
            <w:tcW w:w="9624" w:type="dxa"/>
            <w:gridSpan w:val="4"/>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Gearing/Solvency Ratio</w:t>
            </w:r>
          </w:p>
        </w:tc>
      </w:tr>
      <w:tr w:rsidR="00080051" w:rsidRPr="002446AD" w:rsidTr="00080051">
        <w:trPr>
          <w:trHeight w:val="358"/>
        </w:trPr>
        <w:tc>
          <w:tcPr>
            <w:tcW w:w="2292" w:type="dxa"/>
            <w:shd w:val="clear" w:color="auto" w:fill="auto"/>
            <w:noWrap/>
            <w:vAlign w:val="bottom"/>
            <w:hideMark/>
          </w:tcPr>
          <w:p w:rsidR="00080051" w:rsidRPr="00080051" w:rsidRDefault="00080051"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Ratio</w:t>
            </w:r>
          </w:p>
        </w:tc>
        <w:tc>
          <w:tcPr>
            <w:tcW w:w="4860" w:type="dxa"/>
            <w:shd w:val="clear" w:color="auto" w:fill="auto"/>
            <w:vAlign w:val="bottom"/>
          </w:tcPr>
          <w:p w:rsidR="00080051" w:rsidRPr="002446AD" w:rsidRDefault="00080051"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Formula</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2020</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2019</w:t>
            </w:r>
          </w:p>
        </w:tc>
      </w:tr>
      <w:tr w:rsidR="00080051" w:rsidRPr="002446AD" w:rsidTr="00080051">
        <w:trPr>
          <w:trHeight w:val="358"/>
        </w:trPr>
        <w:tc>
          <w:tcPr>
            <w:tcW w:w="2292" w:type="dxa"/>
            <w:shd w:val="clear" w:color="auto" w:fill="auto"/>
            <w:noWrap/>
            <w:vAlign w:val="bottom"/>
            <w:hideMark/>
          </w:tcPr>
          <w:p w:rsidR="00080051" w:rsidRPr="00080051" w:rsidRDefault="00080051" w:rsidP="002446AD">
            <w:pPr>
              <w:spacing w:after="0" w:line="480" w:lineRule="auto"/>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Gearing</w:t>
            </w:r>
          </w:p>
        </w:tc>
        <w:tc>
          <w:tcPr>
            <w:tcW w:w="4860" w:type="dxa"/>
            <w:shd w:val="clear" w:color="auto" w:fill="auto"/>
            <w:vAlign w:val="bottom"/>
          </w:tcPr>
          <w:p w:rsidR="00080051" w:rsidRPr="00080051" w:rsidRDefault="00080051" w:rsidP="002446AD">
            <w:pPr>
              <w:spacing w:after="0" w:line="480" w:lineRule="auto"/>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(Loan capital</w:t>
            </w:r>
            <w:r w:rsidRPr="002446AD">
              <w:rPr>
                <w:rFonts w:ascii="Times New Roman" w:eastAsia="Times New Roman" w:hAnsi="Times New Roman" w:cs="Times New Roman"/>
                <w:color w:val="000000"/>
                <w:sz w:val="24"/>
                <w:szCs w:val="24"/>
              </w:rPr>
              <w:t xml:space="preserve"> </w:t>
            </w:r>
            <w:r w:rsidRPr="00080051">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Total capital employed) x </w:t>
            </w:r>
            <w:r w:rsidRPr="00080051">
              <w:rPr>
                <w:rFonts w:ascii="Times New Roman" w:eastAsia="Times New Roman" w:hAnsi="Times New Roman" w:cs="Times New Roman"/>
                <w:color w:val="000000"/>
                <w:sz w:val="24"/>
                <w:szCs w:val="24"/>
              </w:rPr>
              <w:t>100</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3</w:t>
            </w:r>
            <w:r w:rsidR="00105D7A" w:rsidRPr="002446AD">
              <w:rPr>
                <w:rFonts w:ascii="Times New Roman" w:eastAsia="Times New Roman" w:hAnsi="Times New Roman" w:cs="Times New Roman"/>
                <w:color w:val="000000"/>
                <w:sz w:val="24"/>
                <w:szCs w:val="24"/>
              </w:rPr>
              <w:t xml:space="preserve"> %</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3.4</w:t>
            </w:r>
            <w:r w:rsidR="00105D7A" w:rsidRPr="002446AD">
              <w:rPr>
                <w:rFonts w:ascii="Times New Roman" w:eastAsia="Times New Roman" w:hAnsi="Times New Roman" w:cs="Times New Roman"/>
                <w:color w:val="000000"/>
                <w:sz w:val="24"/>
                <w:szCs w:val="24"/>
              </w:rPr>
              <w:t xml:space="preserve"> %</w:t>
            </w:r>
          </w:p>
        </w:tc>
      </w:tr>
      <w:tr w:rsidR="00080051" w:rsidRPr="00080051" w:rsidTr="00080051">
        <w:trPr>
          <w:trHeight w:val="358"/>
        </w:trPr>
        <w:tc>
          <w:tcPr>
            <w:tcW w:w="2292" w:type="dxa"/>
            <w:shd w:val="clear" w:color="auto" w:fill="auto"/>
            <w:noWrap/>
            <w:vAlign w:val="bottom"/>
            <w:hideMark/>
          </w:tcPr>
          <w:p w:rsidR="00080051" w:rsidRPr="00080051" w:rsidRDefault="00080051" w:rsidP="002446AD">
            <w:pPr>
              <w:spacing w:after="0" w:line="480" w:lineRule="auto"/>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Interest Cover</w:t>
            </w:r>
          </w:p>
        </w:tc>
        <w:tc>
          <w:tcPr>
            <w:tcW w:w="4860" w:type="dxa"/>
            <w:shd w:val="clear" w:color="auto" w:fill="auto"/>
            <w:noWrap/>
            <w:vAlign w:val="bottom"/>
            <w:hideMark/>
          </w:tcPr>
          <w:p w:rsidR="00080051" w:rsidRPr="00080051" w:rsidRDefault="00080051"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(N</w:t>
            </w:r>
            <w:r w:rsidRPr="00080051">
              <w:rPr>
                <w:rFonts w:ascii="Times New Roman" w:eastAsia="Times New Roman" w:hAnsi="Times New Roman" w:cs="Times New Roman"/>
                <w:color w:val="000000"/>
                <w:sz w:val="24"/>
                <w:szCs w:val="24"/>
              </w:rPr>
              <w:t>et profit</w:t>
            </w:r>
            <w:r w:rsidRPr="002446AD">
              <w:rPr>
                <w:rFonts w:ascii="Times New Roman" w:eastAsia="Times New Roman" w:hAnsi="Times New Roman" w:cs="Times New Roman"/>
                <w:color w:val="000000"/>
                <w:sz w:val="24"/>
                <w:szCs w:val="24"/>
              </w:rPr>
              <w:t xml:space="preserve"> </w:t>
            </w:r>
            <w:r w:rsidRPr="00080051">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C</w:t>
            </w:r>
            <w:r w:rsidRPr="00080051">
              <w:rPr>
                <w:rFonts w:ascii="Times New Roman" w:eastAsia="Times New Roman" w:hAnsi="Times New Roman" w:cs="Times New Roman"/>
                <w:color w:val="000000"/>
                <w:sz w:val="24"/>
                <w:szCs w:val="24"/>
              </w:rPr>
              <w:t>ash in hand</w:t>
            </w:r>
            <w:r w:rsidRPr="002446AD">
              <w:rPr>
                <w:rFonts w:ascii="Times New Roman" w:eastAsia="Times New Roman" w:hAnsi="Times New Roman" w:cs="Times New Roman"/>
                <w:color w:val="000000"/>
                <w:sz w:val="24"/>
                <w:szCs w:val="24"/>
              </w:rPr>
              <w:t xml:space="preserve">) </w:t>
            </w:r>
            <w:r w:rsidRPr="00080051">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L</w:t>
            </w:r>
            <w:r w:rsidRPr="00080051">
              <w:rPr>
                <w:rFonts w:ascii="Times New Roman" w:eastAsia="Times New Roman" w:hAnsi="Times New Roman" w:cs="Times New Roman"/>
                <w:color w:val="000000"/>
                <w:sz w:val="24"/>
                <w:szCs w:val="24"/>
              </w:rPr>
              <w:t>oan interest</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163</w:t>
            </w:r>
            <w:r w:rsidR="00105D7A" w:rsidRPr="002446AD">
              <w:rPr>
                <w:rFonts w:ascii="Times New Roman" w:eastAsia="Times New Roman" w:hAnsi="Times New Roman" w:cs="Times New Roman"/>
                <w:color w:val="000000"/>
                <w:sz w:val="24"/>
                <w:szCs w:val="24"/>
              </w:rPr>
              <w:t xml:space="preserve"> times</w:t>
            </w:r>
          </w:p>
        </w:tc>
        <w:tc>
          <w:tcPr>
            <w:tcW w:w="1236" w:type="dxa"/>
            <w:shd w:val="clear" w:color="auto" w:fill="auto"/>
            <w:noWrap/>
            <w:vAlign w:val="bottom"/>
            <w:hideMark/>
          </w:tcPr>
          <w:p w:rsidR="00080051" w:rsidRPr="00080051" w:rsidRDefault="00080051" w:rsidP="002446AD">
            <w:pPr>
              <w:spacing w:after="0" w:line="480" w:lineRule="auto"/>
              <w:jc w:val="center"/>
              <w:rPr>
                <w:rFonts w:ascii="Times New Roman" w:eastAsia="Times New Roman" w:hAnsi="Times New Roman" w:cs="Times New Roman"/>
                <w:color w:val="000000"/>
                <w:sz w:val="24"/>
                <w:szCs w:val="24"/>
              </w:rPr>
            </w:pPr>
            <w:r w:rsidRPr="00080051">
              <w:rPr>
                <w:rFonts w:ascii="Times New Roman" w:eastAsia="Times New Roman" w:hAnsi="Times New Roman" w:cs="Times New Roman"/>
                <w:color w:val="000000"/>
                <w:sz w:val="24"/>
                <w:szCs w:val="24"/>
              </w:rPr>
              <w:t>579</w:t>
            </w:r>
            <w:r w:rsidR="00105D7A" w:rsidRPr="002446AD">
              <w:rPr>
                <w:rFonts w:ascii="Times New Roman" w:eastAsia="Times New Roman" w:hAnsi="Times New Roman" w:cs="Times New Roman"/>
                <w:color w:val="000000"/>
                <w:sz w:val="24"/>
                <w:szCs w:val="24"/>
              </w:rPr>
              <w:t xml:space="preserve"> times</w:t>
            </w:r>
          </w:p>
        </w:tc>
      </w:tr>
    </w:tbl>
    <w:p w:rsidR="00852AFB" w:rsidRPr="002446AD" w:rsidRDefault="00A8746F"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Table 3: Solvency Ratios</w:t>
      </w:r>
    </w:p>
    <w:p w:rsidR="00A8746F" w:rsidRPr="002446AD" w:rsidRDefault="00F105B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Solvency ratio </w:t>
      </w:r>
      <w:r w:rsidR="009D40D0" w:rsidRPr="002446AD">
        <w:rPr>
          <w:rFonts w:ascii="Times New Roman" w:hAnsi="Times New Roman" w:cs="Times New Roman"/>
          <w:sz w:val="24"/>
          <w:szCs w:val="24"/>
        </w:rPr>
        <w:t>is critical for measuring owner’s equity to organizational debt. It illustrates the capacity to meet the debt in long-term. It also measures the risk of repayment of the debt</w:t>
      </w:r>
      <w:r w:rsidR="00D44B99" w:rsidRPr="002446AD">
        <w:rPr>
          <w:rFonts w:ascii="Times New Roman" w:hAnsi="Times New Roman" w:cs="Times New Roman"/>
          <w:sz w:val="24"/>
          <w:szCs w:val="24"/>
        </w:rPr>
        <w:t xml:space="preserve"> </w:t>
      </w:r>
      <w:r w:rsidR="00D44B99" w:rsidRPr="002446AD">
        <w:rPr>
          <w:rFonts w:ascii="Times New Roman" w:hAnsi="Times New Roman" w:cs="Times New Roman"/>
          <w:color w:val="000000"/>
          <w:sz w:val="24"/>
          <w:szCs w:val="24"/>
          <w:shd w:val="clear" w:color="auto" w:fill="FFFFFF"/>
        </w:rPr>
        <w:t>(</w:t>
      </w:r>
      <w:proofErr w:type="spellStart"/>
      <w:r w:rsidR="00D44B99" w:rsidRPr="002446AD">
        <w:rPr>
          <w:rFonts w:ascii="Times New Roman" w:hAnsi="Times New Roman" w:cs="Times New Roman"/>
          <w:color w:val="000000"/>
          <w:sz w:val="24"/>
          <w:szCs w:val="24"/>
          <w:shd w:val="clear" w:color="auto" w:fill="FFFFFF"/>
        </w:rPr>
        <w:t>Condemi</w:t>
      </w:r>
      <w:proofErr w:type="spellEnd"/>
      <w:r w:rsidR="00D44B99" w:rsidRPr="002446AD">
        <w:rPr>
          <w:rFonts w:ascii="Times New Roman" w:hAnsi="Times New Roman" w:cs="Times New Roman"/>
          <w:color w:val="000000"/>
          <w:sz w:val="24"/>
          <w:szCs w:val="24"/>
          <w:shd w:val="clear" w:color="auto" w:fill="FFFFFF"/>
        </w:rPr>
        <w:t xml:space="preserve"> and De Polis, 2004)</w:t>
      </w:r>
      <w:r w:rsidR="009D40D0" w:rsidRPr="002446AD">
        <w:rPr>
          <w:rFonts w:ascii="Times New Roman" w:hAnsi="Times New Roman" w:cs="Times New Roman"/>
          <w:sz w:val="24"/>
          <w:szCs w:val="24"/>
        </w:rPr>
        <w:t xml:space="preserve">. </w:t>
      </w:r>
      <w:r w:rsidR="003C4C33" w:rsidRPr="002446AD">
        <w:rPr>
          <w:rFonts w:ascii="Times New Roman" w:hAnsi="Times New Roman" w:cs="Times New Roman"/>
          <w:sz w:val="24"/>
          <w:szCs w:val="24"/>
        </w:rPr>
        <w:t xml:space="preserve">There is a direct relationship between debt to owner’s equity and gearing ratios. </w:t>
      </w:r>
      <w:r w:rsidR="00F118B7" w:rsidRPr="002446AD">
        <w:rPr>
          <w:rFonts w:ascii="Times New Roman" w:hAnsi="Times New Roman" w:cs="Times New Roman"/>
          <w:sz w:val="24"/>
          <w:szCs w:val="24"/>
        </w:rPr>
        <w:t xml:space="preserve">It means that the decrease in </w:t>
      </w:r>
      <w:r w:rsidR="00E30142" w:rsidRPr="002446AD">
        <w:rPr>
          <w:rFonts w:ascii="Times New Roman" w:hAnsi="Times New Roman" w:cs="Times New Roman"/>
          <w:sz w:val="24"/>
          <w:szCs w:val="24"/>
        </w:rPr>
        <w:t>gearing ratio reduces the debt to owner’</w:t>
      </w:r>
      <w:r w:rsidR="004816DD" w:rsidRPr="002446AD">
        <w:rPr>
          <w:rFonts w:ascii="Times New Roman" w:hAnsi="Times New Roman" w:cs="Times New Roman"/>
          <w:sz w:val="24"/>
          <w:szCs w:val="24"/>
        </w:rPr>
        <w:t>s equity.</w:t>
      </w:r>
      <w:r w:rsidR="0097687E" w:rsidRPr="002446AD">
        <w:rPr>
          <w:rFonts w:ascii="Times New Roman" w:hAnsi="Times New Roman" w:cs="Times New Roman"/>
          <w:sz w:val="24"/>
          <w:szCs w:val="24"/>
        </w:rPr>
        <w:t xml:space="preserve"> </w:t>
      </w:r>
      <w:r w:rsidR="00CF568D" w:rsidRPr="002446AD">
        <w:rPr>
          <w:rFonts w:ascii="Times New Roman" w:hAnsi="Times New Roman" w:cs="Times New Roman"/>
          <w:sz w:val="24"/>
          <w:szCs w:val="24"/>
        </w:rPr>
        <w:t>The gearing ratio has been decreased</w:t>
      </w:r>
      <w:r w:rsidR="001B6E26" w:rsidRPr="002446AD">
        <w:rPr>
          <w:rFonts w:ascii="Times New Roman" w:hAnsi="Times New Roman" w:cs="Times New Roman"/>
          <w:sz w:val="24"/>
          <w:szCs w:val="24"/>
        </w:rPr>
        <w:t xml:space="preserve"> by 0.4 % in 2</w:t>
      </w:r>
      <w:r w:rsidR="00572A5F" w:rsidRPr="002446AD">
        <w:rPr>
          <w:rFonts w:ascii="Times New Roman" w:hAnsi="Times New Roman" w:cs="Times New Roman"/>
          <w:sz w:val="24"/>
          <w:szCs w:val="24"/>
        </w:rPr>
        <w:t>020 a</w:t>
      </w:r>
      <w:r w:rsidR="004543CE" w:rsidRPr="002446AD">
        <w:rPr>
          <w:rFonts w:ascii="Times New Roman" w:hAnsi="Times New Roman" w:cs="Times New Roman"/>
          <w:sz w:val="24"/>
          <w:szCs w:val="24"/>
        </w:rPr>
        <w:t>nd is a positive indicator. This is because the capital employed is increased in 2020 by $2.2 million.</w:t>
      </w:r>
    </w:p>
    <w:p w:rsidR="00310A38" w:rsidRPr="002446AD" w:rsidRDefault="00B029D7"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4857750" cy="2819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029D7" w:rsidRPr="002446AD" w:rsidRDefault="00B029D7"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 xml:space="preserve">Graph 4: </w:t>
      </w:r>
      <w:r w:rsidR="00BC4106" w:rsidRPr="002446AD">
        <w:rPr>
          <w:rFonts w:ascii="Times New Roman" w:hAnsi="Times New Roman" w:cs="Times New Roman"/>
          <w:sz w:val="24"/>
          <w:szCs w:val="24"/>
        </w:rPr>
        <w:t>Interest Cover Ratio</w:t>
      </w:r>
    </w:p>
    <w:p w:rsidR="00BC4106" w:rsidRPr="002446AD" w:rsidRDefault="007F45EB"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The </w:t>
      </w:r>
      <w:r w:rsidR="004D7222" w:rsidRPr="002446AD">
        <w:rPr>
          <w:rFonts w:ascii="Times New Roman" w:hAnsi="Times New Roman" w:cs="Times New Roman"/>
          <w:sz w:val="24"/>
          <w:szCs w:val="24"/>
        </w:rPr>
        <w:t>interest cover ratio is decreased from 2019 to 20</w:t>
      </w:r>
      <w:r w:rsidR="002178BB" w:rsidRPr="002446AD">
        <w:rPr>
          <w:rFonts w:ascii="Times New Roman" w:hAnsi="Times New Roman" w:cs="Times New Roman"/>
          <w:sz w:val="24"/>
          <w:szCs w:val="24"/>
        </w:rPr>
        <w:t>20 but it is still very strong i.e. 163.</w:t>
      </w:r>
      <w:r w:rsidR="00CF568D" w:rsidRPr="002446AD">
        <w:rPr>
          <w:rFonts w:ascii="Times New Roman" w:hAnsi="Times New Roman" w:cs="Times New Roman"/>
          <w:sz w:val="24"/>
          <w:szCs w:val="24"/>
        </w:rPr>
        <w:t xml:space="preserve"> </w:t>
      </w:r>
      <w:r w:rsidR="004365B8" w:rsidRPr="002446AD">
        <w:rPr>
          <w:rFonts w:ascii="Times New Roman" w:hAnsi="Times New Roman" w:cs="Times New Roman"/>
          <w:sz w:val="24"/>
          <w:szCs w:val="24"/>
        </w:rPr>
        <w:t xml:space="preserve">The balance sheet of the HWHI </w:t>
      </w:r>
      <w:r w:rsidR="00BE69F7" w:rsidRPr="002446AD">
        <w:rPr>
          <w:rFonts w:ascii="Times New Roman" w:hAnsi="Times New Roman" w:cs="Times New Roman"/>
          <w:sz w:val="24"/>
          <w:szCs w:val="24"/>
        </w:rPr>
        <w:t xml:space="preserve">does not </w:t>
      </w:r>
      <w:r w:rsidR="00AC7732" w:rsidRPr="002446AD">
        <w:rPr>
          <w:rFonts w:ascii="Times New Roman" w:hAnsi="Times New Roman" w:cs="Times New Roman"/>
          <w:sz w:val="24"/>
          <w:szCs w:val="24"/>
        </w:rPr>
        <w:t>give</w:t>
      </w:r>
      <w:r w:rsidR="00BE69F7" w:rsidRPr="002446AD">
        <w:rPr>
          <w:rFonts w:ascii="Times New Roman" w:hAnsi="Times New Roman" w:cs="Times New Roman"/>
          <w:sz w:val="24"/>
          <w:szCs w:val="24"/>
        </w:rPr>
        <w:t xml:space="preserve"> particular </w:t>
      </w:r>
      <w:r w:rsidR="006F7B9B" w:rsidRPr="002446AD">
        <w:rPr>
          <w:rFonts w:ascii="Times New Roman" w:hAnsi="Times New Roman" w:cs="Times New Roman"/>
          <w:sz w:val="24"/>
          <w:szCs w:val="24"/>
        </w:rPr>
        <w:t>details about it. The inte</w:t>
      </w:r>
      <w:r w:rsidR="00653DDC" w:rsidRPr="002446AD">
        <w:rPr>
          <w:rFonts w:ascii="Times New Roman" w:hAnsi="Times New Roman" w:cs="Times New Roman"/>
          <w:sz w:val="24"/>
          <w:szCs w:val="24"/>
        </w:rPr>
        <w:t>rest cover ratio is very strong</w:t>
      </w:r>
      <w:r w:rsidR="006F7B9B" w:rsidRPr="002446AD">
        <w:rPr>
          <w:rFonts w:ascii="Times New Roman" w:hAnsi="Times New Roman" w:cs="Times New Roman"/>
          <w:sz w:val="24"/>
          <w:szCs w:val="24"/>
        </w:rPr>
        <w:t xml:space="preserve"> in 2019 as well as in 2020.</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5505"/>
        <w:gridCol w:w="878"/>
        <w:gridCol w:w="878"/>
      </w:tblGrid>
      <w:tr w:rsidR="004A45A8" w:rsidRPr="004A45A8" w:rsidTr="004A45A8">
        <w:trPr>
          <w:trHeight w:val="300"/>
        </w:trPr>
        <w:tc>
          <w:tcPr>
            <w:tcW w:w="2099"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Ratio</w:t>
            </w:r>
          </w:p>
        </w:tc>
        <w:tc>
          <w:tcPr>
            <w:tcW w:w="5505"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Formula</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2020</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2019</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Stock Turnover</w:t>
            </w:r>
          </w:p>
        </w:tc>
        <w:tc>
          <w:tcPr>
            <w:tcW w:w="5505"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(Inventory</w:t>
            </w:r>
            <w:r w:rsidR="00F64A6D"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w:t>
            </w:r>
            <w:r w:rsidR="00F64A6D"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Cost of Sales) x 365</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146</w:t>
            </w:r>
            <w:r w:rsidR="006E2D9D" w:rsidRPr="002446AD">
              <w:rPr>
                <w:rFonts w:ascii="Times New Roman" w:eastAsia="Times New Roman" w:hAnsi="Times New Roman" w:cs="Times New Roman"/>
                <w:color w:val="000000"/>
                <w:sz w:val="24"/>
                <w:szCs w:val="24"/>
              </w:rPr>
              <w:t xml:space="preserve"> days</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25</w:t>
            </w:r>
            <w:r w:rsidR="006E2D9D" w:rsidRPr="002446AD">
              <w:rPr>
                <w:rFonts w:ascii="Times New Roman" w:eastAsia="Times New Roman" w:hAnsi="Times New Roman" w:cs="Times New Roman"/>
                <w:color w:val="000000"/>
                <w:sz w:val="24"/>
                <w:szCs w:val="24"/>
              </w:rPr>
              <w:t xml:space="preserve"> days</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Debt Ratio</w:t>
            </w:r>
          </w:p>
        </w:tc>
        <w:tc>
          <w:tcPr>
            <w:tcW w:w="5505" w:type="dxa"/>
            <w:shd w:val="clear" w:color="auto" w:fill="auto"/>
            <w:noWrap/>
            <w:vAlign w:val="bottom"/>
            <w:hideMark/>
          </w:tcPr>
          <w:p w:rsidR="004A45A8" w:rsidRPr="004A45A8" w:rsidRDefault="004A45A8" w:rsidP="002446AD">
            <w:pPr>
              <w:spacing w:after="0" w:line="480" w:lineRule="auto"/>
              <w:jc w:val="both"/>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(Total current liability</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Bank loan)</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(Total current assets</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4A45A8">
              <w:rPr>
                <w:rFonts w:ascii="Times New Roman" w:eastAsia="Times New Roman" w:hAnsi="Times New Roman" w:cs="Times New Roman"/>
                <w:color w:val="000000"/>
                <w:sz w:val="24"/>
                <w:szCs w:val="24"/>
              </w:rPr>
              <w:t>fixed asset)</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0.14</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0.22</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Creditor Days</w:t>
            </w:r>
          </w:p>
        </w:tc>
        <w:tc>
          <w:tcPr>
            <w:tcW w:w="5505"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Creditors x 365 / Purchase</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22</w:t>
            </w:r>
            <w:r w:rsidR="006E2D9D" w:rsidRPr="002446AD">
              <w:rPr>
                <w:rFonts w:ascii="Times New Roman" w:eastAsia="Times New Roman" w:hAnsi="Times New Roman" w:cs="Times New Roman"/>
                <w:color w:val="000000"/>
                <w:sz w:val="24"/>
                <w:szCs w:val="24"/>
              </w:rPr>
              <w:t xml:space="preserve"> days</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16</w:t>
            </w:r>
            <w:r w:rsidR="006E2D9D" w:rsidRPr="002446AD">
              <w:rPr>
                <w:rFonts w:ascii="Times New Roman" w:eastAsia="Times New Roman" w:hAnsi="Times New Roman" w:cs="Times New Roman"/>
                <w:color w:val="000000"/>
                <w:sz w:val="24"/>
                <w:szCs w:val="24"/>
              </w:rPr>
              <w:t xml:space="preserve"> days</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Debtor Days</w:t>
            </w:r>
          </w:p>
        </w:tc>
        <w:tc>
          <w:tcPr>
            <w:tcW w:w="5505"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Debtors x 365 /sales</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65</w:t>
            </w:r>
            <w:r w:rsidR="006E2D9D" w:rsidRPr="002446AD">
              <w:rPr>
                <w:rFonts w:ascii="Times New Roman" w:eastAsia="Times New Roman" w:hAnsi="Times New Roman" w:cs="Times New Roman"/>
                <w:color w:val="000000"/>
                <w:sz w:val="24"/>
                <w:szCs w:val="24"/>
              </w:rPr>
              <w:t xml:space="preserve"> days</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49</w:t>
            </w:r>
            <w:r w:rsidR="006E2D9D" w:rsidRPr="002446AD">
              <w:rPr>
                <w:rFonts w:ascii="Times New Roman" w:eastAsia="Times New Roman" w:hAnsi="Times New Roman" w:cs="Times New Roman"/>
                <w:color w:val="000000"/>
                <w:sz w:val="24"/>
                <w:szCs w:val="24"/>
              </w:rPr>
              <w:t xml:space="preserve"> days</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Total Assets Turnover</w:t>
            </w:r>
          </w:p>
        </w:tc>
        <w:tc>
          <w:tcPr>
            <w:tcW w:w="5505"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Sales/Total assets less current liability</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0.301</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0.782</w:t>
            </w:r>
          </w:p>
        </w:tc>
      </w:tr>
      <w:tr w:rsidR="004A45A8" w:rsidRPr="002446AD" w:rsidTr="004A45A8">
        <w:trPr>
          <w:trHeight w:val="300"/>
        </w:trPr>
        <w:tc>
          <w:tcPr>
            <w:tcW w:w="2099"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Working Capital Turnover</w:t>
            </w:r>
          </w:p>
        </w:tc>
        <w:tc>
          <w:tcPr>
            <w:tcW w:w="5505" w:type="dxa"/>
            <w:shd w:val="clear" w:color="auto" w:fill="auto"/>
            <w:noWrap/>
            <w:vAlign w:val="bottom"/>
            <w:hideMark/>
          </w:tcPr>
          <w:p w:rsidR="004A45A8" w:rsidRPr="004A45A8" w:rsidRDefault="004A45A8" w:rsidP="002446AD">
            <w:pPr>
              <w:spacing w:after="0" w:line="480" w:lineRule="auto"/>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Sales/Net current asset</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1.02</w:t>
            </w:r>
          </w:p>
        </w:tc>
        <w:tc>
          <w:tcPr>
            <w:tcW w:w="878" w:type="dxa"/>
            <w:shd w:val="clear" w:color="auto" w:fill="auto"/>
            <w:noWrap/>
            <w:vAlign w:val="bottom"/>
            <w:hideMark/>
          </w:tcPr>
          <w:p w:rsidR="004A45A8" w:rsidRPr="004A45A8" w:rsidRDefault="004A45A8" w:rsidP="002446AD">
            <w:pPr>
              <w:spacing w:after="0" w:line="480" w:lineRule="auto"/>
              <w:jc w:val="center"/>
              <w:rPr>
                <w:rFonts w:ascii="Times New Roman" w:eastAsia="Times New Roman" w:hAnsi="Times New Roman" w:cs="Times New Roman"/>
                <w:color w:val="000000"/>
                <w:sz w:val="24"/>
                <w:szCs w:val="24"/>
              </w:rPr>
            </w:pPr>
            <w:r w:rsidRPr="004A45A8">
              <w:rPr>
                <w:rFonts w:ascii="Times New Roman" w:eastAsia="Times New Roman" w:hAnsi="Times New Roman" w:cs="Times New Roman"/>
                <w:color w:val="000000"/>
                <w:sz w:val="24"/>
                <w:szCs w:val="24"/>
              </w:rPr>
              <w:t>4.52</w:t>
            </w:r>
          </w:p>
        </w:tc>
      </w:tr>
    </w:tbl>
    <w:p w:rsidR="00653DDC" w:rsidRPr="002446AD" w:rsidRDefault="006E2D9D"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Table 4: </w:t>
      </w:r>
      <w:r w:rsidR="00C54035" w:rsidRPr="002446AD">
        <w:rPr>
          <w:rFonts w:ascii="Times New Roman" w:hAnsi="Times New Roman" w:cs="Times New Roman"/>
          <w:sz w:val="24"/>
          <w:szCs w:val="24"/>
        </w:rPr>
        <w:t>Ratio Analysis</w:t>
      </w:r>
    </w:p>
    <w:p w:rsidR="00C54035" w:rsidRPr="002446AD" w:rsidRDefault="00E07404"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The stock turnover indicates how quickly a company turnover its inventory. </w:t>
      </w:r>
      <w:r w:rsidR="00A67C55" w:rsidRPr="002446AD">
        <w:rPr>
          <w:rFonts w:ascii="Times New Roman" w:hAnsi="Times New Roman" w:cs="Times New Roman"/>
          <w:sz w:val="24"/>
          <w:szCs w:val="24"/>
        </w:rPr>
        <w:t xml:space="preserve">The creditor’s days indicates how quickly the company pays its creditors. Similarly, the debtor days indicate </w:t>
      </w:r>
      <w:r w:rsidR="001269F2" w:rsidRPr="002446AD">
        <w:rPr>
          <w:rFonts w:ascii="Times New Roman" w:hAnsi="Times New Roman" w:cs="Times New Roman"/>
          <w:sz w:val="24"/>
          <w:szCs w:val="24"/>
        </w:rPr>
        <w:t xml:space="preserve">how quickly the </w:t>
      </w:r>
      <w:r w:rsidR="00C47DED" w:rsidRPr="002446AD">
        <w:rPr>
          <w:rFonts w:ascii="Times New Roman" w:hAnsi="Times New Roman" w:cs="Times New Roman"/>
          <w:sz w:val="24"/>
          <w:szCs w:val="24"/>
        </w:rPr>
        <w:t>organization receives</w:t>
      </w:r>
      <w:r w:rsidR="00E425B7" w:rsidRPr="002446AD">
        <w:rPr>
          <w:rFonts w:ascii="Times New Roman" w:hAnsi="Times New Roman" w:cs="Times New Roman"/>
          <w:sz w:val="24"/>
          <w:szCs w:val="24"/>
        </w:rPr>
        <w:t xml:space="preserve"> payment from the clients. Total assets turnover is a measure of </w:t>
      </w:r>
      <w:r w:rsidR="00857D31" w:rsidRPr="002446AD">
        <w:rPr>
          <w:rFonts w:ascii="Times New Roman" w:hAnsi="Times New Roman" w:cs="Times New Roman"/>
          <w:sz w:val="24"/>
          <w:szCs w:val="24"/>
        </w:rPr>
        <w:t xml:space="preserve">the effectiveness of an organization to generate sales revenues from the business assets. </w:t>
      </w:r>
      <w:r w:rsidR="00287749" w:rsidRPr="002446AD">
        <w:rPr>
          <w:rFonts w:ascii="Times New Roman" w:hAnsi="Times New Roman" w:cs="Times New Roman"/>
          <w:sz w:val="24"/>
          <w:szCs w:val="24"/>
        </w:rPr>
        <w:t xml:space="preserve">The working capital turnover indicates the effectiveness of </w:t>
      </w:r>
      <w:r w:rsidR="00626579" w:rsidRPr="002446AD">
        <w:rPr>
          <w:rFonts w:ascii="Times New Roman" w:hAnsi="Times New Roman" w:cs="Times New Roman"/>
          <w:sz w:val="24"/>
          <w:szCs w:val="24"/>
        </w:rPr>
        <w:t>an organization to increase sales volume by using working capital</w:t>
      </w:r>
      <w:r w:rsidR="00D44B99" w:rsidRPr="002446AD">
        <w:rPr>
          <w:rFonts w:ascii="Times New Roman" w:hAnsi="Times New Roman" w:cs="Times New Roman"/>
          <w:sz w:val="24"/>
          <w:szCs w:val="24"/>
        </w:rPr>
        <w:t xml:space="preserve"> </w:t>
      </w:r>
      <w:r w:rsidR="00D44B99" w:rsidRPr="002446AD">
        <w:rPr>
          <w:rFonts w:ascii="Times New Roman" w:hAnsi="Times New Roman" w:cs="Times New Roman"/>
          <w:color w:val="000000"/>
          <w:sz w:val="24"/>
          <w:szCs w:val="24"/>
          <w:shd w:val="clear" w:color="auto" w:fill="FFFFFF"/>
        </w:rPr>
        <w:t>(</w:t>
      </w:r>
      <w:proofErr w:type="spellStart"/>
      <w:r w:rsidR="00D44B99" w:rsidRPr="002446AD">
        <w:rPr>
          <w:rFonts w:ascii="Times New Roman" w:hAnsi="Times New Roman" w:cs="Times New Roman"/>
          <w:color w:val="000000"/>
          <w:sz w:val="24"/>
          <w:szCs w:val="24"/>
          <w:shd w:val="clear" w:color="auto" w:fill="FFFFFF"/>
        </w:rPr>
        <w:t>Bowlin</w:t>
      </w:r>
      <w:proofErr w:type="spellEnd"/>
      <w:r w:rsidR="00D44B99" w:rsidRPr="002446AD">
        <w:rPr>
          <w:rFonts w:ascii="Times New Roman" w:hAnsi="Times New Roman" w:cs="Times New Roman"/>
          <w:color w:val="000000"/>
          <w:sz w:val="24"/>
          <w:szCs w:val="24"/>
          <w:shd w:val="clear" w:color="auto" w:fill="FFFFFF"/>
        </w:rPr>
        <w:t>, Martin and Scott, 1990)</w:t>
      </w:r>
      <w:r w:rsidR="00626579" w:rsidRPr="002446AD">
        <w:rPr>
          <w:rFonts w:ascii="Times New Roman" w:hAnsi="Times New Roman" w:cs="Times New Roman"/>
          <w:sz w:val="24"/>
          <w:szCs w:val="24"/>
        </w:rPr>
        <w:t xml:space="preserve">. </w:t>
      </w:r>
      <w:r w:rsidR="00E55C38" w:rsidRPr="002446AD">
        <w:rPr>
          <w:rFonts w:ascii="Times New Roman" w:hAnsi="Times New Roman" w:cs="Times New Roman"/>
          <w:sz w:val="24"/>
          <w:szCs w:val="24"/>
        </w:rPr>
        <w:t>Higher the working</w:t>
      </w:r>
      <w:r w:rsidR="00633BAD" w:rsidRPr="002446AD">
        <w:rPr>
          <w:rFonts w:ascii="Times New Roman" w:hAnsi="Times New Roman" w:cs="Times New Roman"/>
          <w:sz w:val="24"/>
          <w:szCs w:val="24"/>
        </w:rPr>
        <w:t xml:space="preserve"> capital </w:t>
      </w:r>
      <w:r w:rsidR="006C3B2F" w:rsidRPr="002446AD">
        <w:rPr>
          <w:rFonts w:ascii="Times New Roman" w:hAnsi="Times New Roman" w:cs="Times New Roman"/>
          <w:sz w:val="24"/>
          <w:szCs w:val="24"/>
        </w:rPr>
        <w:t>turnover reveals</w:t>
      </w:r>
      <w:r w:rsidR="00633BAD" w:rsidRPr="002446AD">
        <w:rPr>
          <w:rFonts w:ascii="Times New Roman" w:hAnsi="Times New Roman" w:cs="Times New Roman"/>
          <w:sz w:val="24"/>
          <w:szCs w:val="24"/>
        </w:rPr>
        <w:t xml:space="preserve"> high sales and profit.</w:t>
      </w:r>
    </w:p>
    <w:p w:rsidR="006C3B2F" w:rsidRPr="002446AD" w:rsidRDefault="00770905"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5572125" cy="3286125"/>
            <wp:effectExtent l="1905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70905" w:rsidRPr="002446AD" w:rsidRDefault="00770905"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 xml:space="preserve">Graph 5: </w:t>
      </w:r>
      <w:r w:rsidR="0026040C" w:rsidRPr="002446AD">
        <w:rPr>
          <w:rFonts w:ascii="Times New Roman" w:hAnsi="Times New Roman" w:cs="Times New Roman"/>
          <w:sz w:val="24"/>
          <w:szCs w:val="24"/>
        </w:rPr>
        <w:t>Turnover Ratios</w:t>
      </w:r>
    </w:p>
    <w:p w:rsidR="00675124" w:rsidRPr="002446AD" w:rsidRDefault="002C1AAA"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The working capital ratio </w:t>
      </w:r>
      <w:r w:rsidR="00AB3D77" w:rsidRPr="002446AD">
        <w:rPr>
          <w:rFonts w:ascii="Times New Roman" w:hAnsi="Times New Roman" w:cs="Times New Roman"/>
          <w:sz w:val="24"/>
          <w:szCs w:val="24"/>
        </w:rPr>
        <w:t xml:space="preserve">of the company has been reduced significantly from 4.52 to 1.02. </w:t>
      </w:r>
      <w:r w:rsidR="00344D57" w:rsidRPr="002446AD">
        <w:rPr>
          <w:rFonts w:ascii="Times New Roman" w:hAnsi="Times New Roman" w:cs="Times New Roman"/>
          <w:sz w:val="24"/>
          <w:szCs w:val="24"/>
        </w:rPr>
        <w:t xml:space="preserve">It indicates that the company is </w:t>
      </w:r>
      <w:r w:rsidR="00AA58E9" w:rsidRPr="002446AD">
        <w:rPr>
          <w:rFonts w:ascii="Times New Roman" w:hAnsi="Times New Roman" w:cs="Times New Roman"/>
          <w:sz w:val="24"/>
          <w:szCs w:val="24"/>
        </w:rPr>
        <w:t xml:space="preserve">showing </w:t>
      </w:r>
      <w:r w:rsidR="00C53F61" w:rsidRPr="002446AD">
        <w:rPr>
          <w:rFonts w:ascii="Times New Roman" w:hAnsi="Times New Roman" w:cs="Times New Roman"/>
          <w:sz w:val="24"/>
          <w:szCs w:val="24"/>
        </w:rPr>
        <w:t xml:space="preserve">a bad performance </w:t>
      </w:r>
      <w:r w:rsidR="00095700" w:rsidRPr="002446AD">
        <w:rPr>
          <w:rFonts w:ascii="Times New Roman" w:hAnsi="Times New Roman" w:cs="Times New Roman"/>
          <w:sz w:val="24"/>
          <w:szCs w:val="24"/>
        </w:rPr>
        <w:t xml:space="preserve">in terms of converting the </w:t>
      </w:r>
      <w:r w:rsidR="00466663" w:rsidRPr="002446AD">
        <w:rPr>
          <w:rFonts w:ascii="Times New Roman" w:hAnsi="Times New Roman" w:cs="Times New Roman"/>
          <w:sz w:val="24"/>
          <w:szCs w:val="24"/>
        </w:rPr>
        <w:t xml:space="preserve">working capital </w:t>
      </w:r>
      <w:r w:rsidR="00F86B70" w:rsidRPr="002446AD">
        <w:rPr>
          <w:rFonts w:ascii="Times New Roman" w:hAnsi="Times New Roman" w:cs="Times New Roman"/>
          <w:sz w:val="24"/>
          <w:szCs w:val="24"/>
        </w:rPr>
        <w:t>into sales. The</w:t>
      </w:r>
      <w:r w:rsidR="00711B12" w:rsidRPr="002446AD">
        <w:rPr>
          <w:rFonts w:ascii="Times New Roman" w:hAnsi="Times New Roman" w:cs="Times New Roman"/>
          <w:sz w:val="24"/>
          <w:szCs w:val="24"/>
        </w:rPr>
        <w:t xml:space="preserve"> sales are badly affected by the COVID-19 pandemic, thus reducing the </w:t>
      </w:r>
      <w:r w:rsidR="002358DC" w:rsidRPr="002446AD">
        <w:rPr>
          <w:rFonts w:ascii="Times New Roman" w:hAnsi="Times New Roman" w:cs="Times New Roman"/>
          <w:sz w:val="24"/>
          <w:szCs w:val="24"/>
        </w:rPr>
        <w:t>creditor’s</w:t>
      </w:r>
      <w:r w:rsidR="003D68EB" w:rsidRPr="002446AD">
        <w:rPr>
          <w:rFonts w:ascii="Times New Roman" w:hAnsi="Times New Roman" w:cs="Times New Roman"/>
          <w:sz w:val="24"/>
          <w:szCs w:val="24"/>
        </w:rPr>
        <w:t xml:space="preserve"> days and reducing the </w:t>
      </w:r>
      <w:r w:rsidR="00B70794" w:rsidRPr="002446AD">
        <w:rPr>
          <w:rFonts w:ascii="Times New Roman" w:hAnsi="Times New Roman" w:cs="Times New Roman"/>
          <w:sz w:val="24"/>
          <w:szCs w:val="24"/>
        </w:rPr>
        <w:t>debtor’s</w:t>
      </w:r>
      <w:r w:rsidR="003D68EB" w:rsidRPr="002446AD">
        <w:rPr>
          <w:rFonts w:ascii="Times New Roman" w:hAnsi="Times New Roman" w:cs="Times New Roman"/>
          <w:sz w:val="24"/>
          <w:szCs w:val="24"/>
        </w:rPr>
        <w:t xml:space="preserve"> days.</w:t>
      </w:r>
      <w:r w:rsidR="00766910" w:rsidRPr="002446AD">
        <w:rPr>
          <w:rFonts w:ascii="Times New Roman" w:hAnsi="Times New Roman" w:cs="Times New Roman"/>
          <w:sz w:val="24"/>
          <w:szCs w:val="24"/>
        </w:rPr>
        <w:t xml:space="preserve"> The assets turnover is also reduced in 2020 as compared to 2019 that indicates a reduction in current assets. </w:t>
      </w:r>
      <w:r w:rsidR="006E19C7" w:rsidRPr="002446AD">
        <w:rPr>
          <w:rFonts w:ascii="Times New Roman" w:hAnsi="Times New Roman" w:cs="Times New Roman"/>
          <w:sz w:val="24"/>
          <w:szCs w:val="24"/>
        </w:rPr>
        <w:t xml:space="preserve">It is because the company </w:t>
      </w:r>
      <w:r w:rsidR="008A415B" w:rsidRPr="002446AD">
        <w:rPr>
          <w:rFonts w:ascii="Times New Roman" w:hAnsi="Times New Roman" w:cs="Times New Roman"/>
          <w:sz w:val="24"/>
          <w:szCs w:val="24"/>
        </w:rPr>
        <w:t>lowers its liabilities, thus decreasing the current assets.</w:t>
      </w:r>
      <w:r w:rsidR="006445EC" w:rsidRPr="002446AD">
        <w:rPr>
          <w:rFonts w:ascii="Times New Roman" w:hAnsi="Times New Roman" w:cs="Times New Roman"/>
          <w:sz w:val="24"/>
          <w:szCs w:val="24"/>
        </w:rPr>
        <w:t xml:space="preserve"> The company has the opportunity to </w:t>
      </w:r>
      <w:r w:rsidR="00A71E33" w:rsidRPr="002446AD">
        <w:rPr>
          <w:rFonts w:ascii="Times New Roman" w:hAnsi="Times New Roman" w:cs="Times New Roman"/>
          <w:sz w:val="24"/>
          <w:szCs w:val="24"/>
        </w:rPr>
        <w:t>turn over</w:t>
      </w:r>
      <w:r w:rsidR="006445EC" w:rsidRPr="002446AD">
        <w:rPr>
          <w:rFonts w:ascii="Times New Roman" w:hAnsi="Times New Roman" w:cs="Times New Roman"/>
          <w:sz w:val="24"/>
          <w:szCs w:val="24"/>
        </w:rPr>
        <w:t xml:space="preserve"> the stock, thus increasing the profits.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4146"/>
        <w:gridCol w:w="795"/>
        <w:gridCol w:w="795"/>
      </w:tblGrid>
      <w:tr w:rsidR="008641CD" w:rsidRPr="008641CD" w:rsidTr="008641CD">
        <w:trPr>
          <w:trHeight w:val="300"/>
        </w:trPr>
        <w:tc>
          <w:tcPr>
            <w:tcW w:w="3624"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Ratio</w:t>
            </w:r>
          </w:p>
        </w:tc>
        <w:tc>
          <w:tcPr>
            <w:tcW w:w="4146"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Formula</w:t>
            </w:r>
          </w:p>
        </w:tc>
        <w:tc>
          <w:tcPr>
            <w:tcW w:w="795"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2020</w:t>
            </w:r>
          </w:p>
        </w:tc>
        <w:tc>
          <w:tcPr>
            <w:tcW w:w="795"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2019</w:t>
            </w:r>
          </w:p>
        </w:tc>
      </w:tr>
      <w:tr w:rsidR="008641CD" w:rsidRPr="002446AD" w:rsidTr="008641CD">
        <w:trPr>
          <w:trHeight w:val="300"/>
        </w:trPr>
        <w:tc>
          <w:tcPr>
            <w:tcW w:w="3624"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Working Capital Cycle</w:t>
            </w:r>
          </w:p>
        </w:tc>
        <w:tc>
          <w:tcPr>
            <w:tcW w:w="4146"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Payable - (holding period</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receivables</w:t>
            </w:r>
            <w:r w:rsidRPr="008641CD">
              <w:rPr>
                <w:rFonts w:ascii="Times New Roman" w:eastAsia="Times New Roman" w:hAnsi="Times New Roman" w:cs="Times New Roman"/>
                <w:color w:val="000000"/>
                <w:sz w:val="24"/>
                <w:szCs w:val="24"/>
              </w:rPr>
              <w:t>)</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81</w:t>
            </w:r>
            <w:r w:rsidR="000C1F19" w:rsidRPr="002446AD">
              <w:rPr>
                <w:rFonts w:ascii="Times New Roman" w:eastAsia="Times New Roman" w:hAnsi="Times New Roman" w:cs="Times New Roman"/>
                <w:color w:val="000000"/>
                <w:sz w:val="24"/>
                <w:szCs w:val="24"/>
              </w:rPr>
              <w:t xml:space="preserve"> days</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177</w:t>
            </w:r>
            <w:r w:rsidR="000C1F19" w:rsidRPr="002446AD">
              <w:rPr>
                <w:rFonts w:ascii="Times New Roman" w:eastAsia="Times New Roman" w:hAnsi="Times New Roman" w:cs="Times New Roman"/>
                <w:color w:val="000000"/>
                <w:sz w:val="24"/>
                <w:szCs w:val="24"/>
              </w:rPr>
              <w:t xml:space="preserve"> days</w:t>
            </w:r>
          </w:p>
        </w:tc>
      </w:tr>
      <w:tr w:rsidR="008641CD" w:rsidRPr="002446AD" w:rsidTr="008641CD">
        <w:trPr>
          <w:trHeight w:val="300"/>
        </w:trPr>
        <w:tc>
          <w:tcPr>
            <w:tcW w:w="3624"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Average Inventory Holding Period</w:t>
            </w:r>
          </w:p>
        </w:tc>
        <w:tc>
          <w:tcPr>
            <w:tcW w:w="4146"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w:t>
            </w:r>
            <w:r w:rsidRPr="008641CD">
              <w:rPr>
                <w:rFonts w:ascii="Times New Roman" w:eastAsia="Times New Roman" w:hAnsi="Times New Roman" w:cs="Times New Roman"/>
                <w:color w:val="000000"/>
                <w:sz w:val="24"/>
                <w:szCs w:val="24"/>
              </w:rPr>
              <w:t>(Opening Inventory +Closing Stock)/2</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Cost of sales</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x 365</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403</w:t>
            </w:r>
            <w:r w:rsidR="000C1F19" w:rsidRPr="002446AD">
              <w:rPr>
                <w:rFonts w:ascii="Times New Roman" w:eastAsia="Times New Roman" w:hAnsi="Times New Roman" w:cs="Times New Roman"/>
                <w:color w:val="000000"/>
                <w:sz w:val="24"/>
                <w:szCs w:val="24"/>
              </w:rPr>
              <w:t xml:space="preserve"> days</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168</w:t>
            </w:r>
            <w:r w:rsidR="000C1F19" w:rsidRPr="002446AD">
              <w:rPr>
                <w:rFonts w:ascii="Times New Roman" w:eastAsia="Times New Roman" w:hAnsi="Times New Roman" w:cs="Times New Roman"/>
                <w:color w:val="000000"/>
                <w:sz w:val="24"/>
                <w:szCs w:val="24"/>
              </w:rPr>
              <w:t xml:space="preserve"> days</w:t>
            </w:r>
          </w:p>
        </w:tc>
      </w:tr>
      <w:tr w:rsidR="008641CD" w:rsidRPr="002446AD" w:rsidTr="008641CD">
        <w:trPr>
          <w:trHeight w:val="300"/>
        </w:trPr>
        <w:tc>
          <w:tcPr>
            <w:tcW w:w="3624"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Average Settlement Period for Trade Payables</w:t>
            </w:r>
          </w:p>
        </w:tc>
        <w:tc>
          <w:tcPr>
            <w:tcW w:w="4146"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(Trade Creditors</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Credit Purchase)</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x</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365</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549</w:t>
            </w:r>
            <w:r w:rsidR="000C1F19" w:rsidRPr="002446AD">
              <w:rPr>
                <w:rFonts w:ascii="Times New Roman" w:eastAsia="Times New Roman" w:hAnsi="Times New Roman" w:cs="Times New Roman"/>
                <w:color w:val="000000"/>
                <w:sz w:val="24"/>
                <w:szCs w:val="24"/>
              </w:rPr>
              <w:t xml:space="preserve"> days</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394</w:t>
            </w:r>
            <w:r w:rsidR="000C1F19" w:rsidRPr="002446AD">
              <w:rPr>
                <w:rFonts w:ascii="Times New Roman" w:eastAsia="Times New Roman" w:hAnsi="Times New Roman" w:cs="Times New Roman"/>
                <w:color w:val="000000"/>
                <w:sz w:val="24"/>
                <w:szCs w:val="24"/>
              </w:rPr>
              <w:t xml:space="preserve"> days</w:t>
            </w:r>
          </w:p>
        </w:tc>
      </w:tr>
      <w:tr w:rsidR="008641CD" w:rsidRPr="008641CD" w:rsidTr="008641CD">
        <w:trPr>
          <w:trHeight w:val="300"/>
        </w:trPr>
        <w:tc>
          <w:tcPr>
            <w:tcW w:w="3624"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 xml:space="preserve">Average Settlement Period for Trade </w:t>
            </w:r>
            <w:r w:rsidRPr="002446AD">
              <w:rPr>
                <w:rFonts w:ascii="Times New Roman" w:eastAsia="Times New Roman" w:hAnsi="Times New Roman" w:cs="Times New Roman"/>
                <w:color w:val="000000"/>
                <w:sz w:val="24"/>
                <w:szCs w:val="24"/>
              </w:rPr>
              <w:t>Receivables</w:t>
            </w:r>
          </w:p>
        </w:tc>
        <w:tc>
          <w:tcPr>
            <w:tcW w:w="4146" w:type="dxa"/>
            <w:shd w:val="clear" w:color="auto" w:fill="auto"/>
            <w:noWrap/>
            <w:vAlign w:val="bottom"/>
            <w:hideMark/>
          </w:tcPr>
          <w:p w:rsidR="008641CD" w:rsidRPr="008641CD" w:rsidRDefault="008641CD" w:rsidP="002446AD">
            <w:pPr>
              <w:spacing w:after="0" w:line="480" w:lineRule="auto"/>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(Trade debtors</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Credit Sales Revenues)</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x</w:t>
            </w:r>
            <w:r w:rsidRPr="002446AD">
              <w:rPr>
                <w:rFonts w:ascii="Times New Roman" w:eastAsia="Times New Roman" w:hAnsi="Times New Roman" w:cs="Times New Roman"/>
                <w:color w:val="000000"/>
                <w:sz w:val="24"/>
                <w:szCs w:val="24"/>
              </w:rPr>
              <w:t xml:space="preserve"> </w:t>
            </w:r>
            <w:r w:rsidRPr="008641CD">
              <w:rPr>
                <w:rFonts w:ascii="Times New Roman" w:eastAsia="Times New Roman" w:hAnsi="Times New Roman" w:cs="Times New Roman"/>
                <w:color w:val="000000"/>
                <w:sz w:val="24"/>
                <w:szCs w:val="24"/>
              </w:rPr>
              <w:t xml:space="preserve"> 365</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65</w:t>
            </w:r>
            <w:r w:rsidR="000C1F19" w:rsidRPr="002446AD">
              <w:rPr>
                <w:rFonts w:ascii="Times New Roman" w:eastAsia="Times New Roman" w:hAnsi="Times New Roman" w:cs="Times New Roman"/>
                <w:color w:val="000000"/>
                <w:sz w:val="24"/>
                <w:szCs w:val="24"/>
              </w:rPr>
              <w:t xml:space="preserve"> days</w:t>
            </w:r>
          </w:p>
        </w:tc>
        <w:tc>
          <w:tcPr>
            <w:tcW w:w="795" w:type="dxa"/>
            <w:shd w:val="clear" w:color="auto" w:fill="auto"/>
            <w:noWrap/>
            <w:vAlign w:val="bottom"/>
            <w:hideMark/>
          </w:tcPr>
          <w:p w:rsidR="008641CD" w:rsidRPr="008641CD" w:rsidRDefault="008641CD" w:rsidP="002446AD">
            <w:pPr>
              <w:spacing w:after="0" w:line="480" w:lineRule="auto"/>
              <w:jc w:val="center"/>
              <w:rPr>
                <w:rFonts w:ascii="Times New Roman" w:eastAsia="Times New Roman" w:hAnsi="Times New Roman" w:cs="Times New Roman"/>
                <w:color w:val="000000"/>
                <w:sz w:val="24"/>
                <w:szCs w:val="24"/>
              </w:rPr>
            </w:pPr>
            <w:r w:rsidRPr="008641CD">
              <w:rPr>
                <w:rFonts w:ascii="Times New Roman" w:eastAsia="Times New Roman" w:hAnsi="Times New Roman" w:cs="Times New Roman"/>
                <w:color w:val="000000"/>
                <w:sz w:val="24"/>
                <w:szCs w:val="24"/>
              </w:rPr>
              <w:t>49</w:t>
            </w:r>
            <w:r w:rsidR="000C1F19" w:rsidRPr="002446AD">
              <w:rPr>
                <w:rFonts w:ascii="Times New Roman" w:eastAsia="Times New Roman" w:hAnsi="Times New Roman" w:cs="Times New Roman"/>
                <w:color w:val="000000"/>
                <w:sz w:val="24"/>
                <w:szCs w:val="24"/>
              </w:rPr>
              <w:t xml:space="preserve"> days</w:t>
            </w:r>
          </w:p>
        </w:tc>
      </w:tr>
    </w:tbl>
    <w:p w:rsidR="006445EC" w:rsidRPr="002446AD" w:rsidRDefault="00C375FA"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 xml:space="preserve">Table 5: </w:t>
      </w:r>
      <w:r w:rsidR="00881B7E" w:rsidRPr="002446AD">
        <w:rPr>
          <w:rFonts w:ascii="Times New Roman" w:hAnsi="Times New Roman" w:cs="Times New Roman"/>
          <w:sz w:val="24"/>
          <w:szCs w:val="24"/>
        </w:rPr>
        <w:t>Working Capital</w:t>
      </w:r>
    </w:p>
    <w:p w:rsidR="00881B7E" w:rsidRPr="002446AD" w:rsidRDefault="00420D98"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 working capital cycle illustrates the time required for paying suppliers and receiving payments</w:t>
      </w:r>
      <w:r w:rsidR="00D44B99" w:rsidRPr="002446AD">
        <w:rPr>
          <w:rFonts w:ascii="Times New Roman" w:hAnsi="Times New Roman" w:cs="Times New Roman"/>
          <w:sz w:val="24"/>
          <w:szCs w:val="24"/>
        </w:rPr>
        <w:t xml:space="preserve"> </w:t>
      </w:r>
      <w:r w:rsidR="00D44B99" w:rsidRPr="002446AD">
        <w:rPr>
          <w:rFonts w:ascii="Times New Roman" w:hAnsi="Times New Roman" w:cs="Times New Roman"/>
          <w:color w:val="000000"/>
          <w:sz w:val="24"/>
          <w:szCs w:val="24"/>
          <w:shd w:val="clear" w:color="auto" w:fill="FFFFFF"/>
        </w:rPr>
        <w:t>(</w:t>
      </w:r>
      <w:proofErr w:type="spellStart"/>
      <w:r w:rsidR="00D44B99" w:rsidRPr="002446AD">
        <w:rPr>
          <w:rFonts w:ascii="Times New Roman" w:hAnsi="Times New Roman" w:cs="Times New Roman"/>
          <w:color w:val="000000"/>
          <w:sz w:val="24"/>
          <w:szCs w:val="24"/>
          <w:shd w:val="clear" w:color="auto" w:fill="FFFFFF"/>
        </w:rPr>
        <w:t>Bowlin</w:t>
      </w:r>
      <w:proofErr w:type="spellEnd"/>
      <w:r w:rsidR="00D44B99" w:rsidRPr="002446AD">
        <w:rPr>
          <w:rFonts w:ascii="Times New Roman" w:hAnsi="Times New Roman" w:cs="Times New Roman"/>
          <w:color w:val="000000"/>
          <w:sz w:val="24"/>
          <w:szCs w:val="24"/>
          <w:shd w:val="clear" w:color="auto" w:fill="FFFFFF"/>
        </w:rPr>
        <w:t>, Martin and Scott, 1990)</w:t>
      </w:r>
      <w:r w:rsidRPr="002446AD">
        <w:rPr>
          <w:rFonts w:ascii="Times New Roman" w:hAnsi="Times New Roman" w:cs="Times New Roman"/>
          <w:sz w:val="24"/>
          <w:szCs w:val="24"/>
        </w:rPr>
        <w:t>.</w:t>
      </w:r>
    </w:p>
    <w:p w:rsidR="00420D98" w:rsidRPr="002446AD" w:rsidRDefault="00420D98" w:rsidP="002446AD">
      <w:pPr>
        <w:spacing w:line="480" w:lineRule="auto"/>
        <w:jc w:val="center"/>
        <w:rPr>
          <w:rFonts w:ascii="Times New Roman" w:hAnsi="Times New Roman" w:cs="Times New Roman"/>
          <w:sz w:val="24"/>
          <w:szCs w:val="24"/>
        </w:rPr>
      </w:pPr>
      <w:r w:rsidRPr="002446AD">
        <w:rPr>
          <w:rFonts w:ascii="Times New Roman" w:hAnsi="Times New Roman" w:cs="Times New Roman"/>
          <w:noProof/>
          <w:sz w:val="24"/>
          <w:szCs w:val="24"/>
        </w:rPr>
        <w:drawing>
          <wp:inline distT="0" distB="0" distL="0" distR="0">
            <wp:extent cx="4572000" cy="27432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20D98" w:rsidRPr="002446AD" w:rsidRDefault="00420D98" w:rsidP="002446AD">
      <w:pPr>
        <w:spacing w:line="480" w:lineRule="auto"/>
        <w:jc w:val="center"/>
        <w:rPr>
          <w:rFonts w:ascii="Times New Roman" w:hAnsi="Times New Roman" w:cs="Times New Roman"/>
          <w:sz w:val="24"/>
          <w:szCs w:val="24"/>
        </w:rPr>
      </w:pPr>
      <w:r w:rsidRPr="002446AD">
        <w:rPr>
          <w:rFonts w:ascii="Times New Roman" w:hAnsi="Times New Roman" w:cs="Times New Roman"/>
          <w:sz w:val="24"/>
          <w:szCs w:val="24"/>
        </w:rPr>
        <w:t>Graph 6: Working Capital Cycle</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Graph 6 indicates that the HWHI has maintained its working capital cycle. The average settlement period for trade payables is increased in 2020 as compared to 2019. The company receives payment from customers earlier. The company has intentionally increased the trade payable in 2020 because of the pandemic. It allows the company to maintain a good balance to ensure a good amount of revenue.</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Importance of Ratio Analysis</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Ratio analysis is a critical business tool that is widely used for analyzing and interpreting the financial position of an organization in comparison with other organizations. Ratio analysis has several benefits that enhance its worth in financial analysis. Ratio analysis assists in making qualitative decisions by showing quantitative association among different financial parameters. Managers used these ratios to make important strategic decisions regarding the future growth of the business. It also assists the business leaders to identify the weaknesses and strengths that are crucial to taking initiatives for improving business processes (Robinson, 2009). Similarly, ratio analysis is also important for the investors, creditors, and stakeholders to assess the creditworthiness of a particular organization.</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Ratio analysis is made using the balance sheet and profit and loss statement of an organization. The cash flow chart of the organization also provides important information regarding the ratio analysis. The financial variables are easily compared through the ratio analysis thus assisting the business leaders to compute the degree of change within the association between one financial variable to another. Ratio analysis is a business tool to analyze the portfolio of the organizations that are performing well and those that need improvement, thus aiding the business leaders to develop appropriate strategies to uplift the organizational business (</w:t>
      </w:r>
      <w:proofErr w:type="spellStart"/>
      <w:r w:rsidRPr="002446AD">
        <w:rPr>
          <w:rFonts w:ascii="Times New Roman" w:hAnsi="Times New Roman" w:cs="Times New Roman"/>
          <w:sz w:val="24"/>
          <w:szCs w:val="24"/>
        </w:rPr>
        <w:t>Fedorková</w:t>
      </w:r>
      <w:proofErr w:type="spellEnd"/>
      <w:r w:rsidRPr="002446AD">
        <w:rPr>
          <w:rFonts w:ascii="Times New Roman" w:hAnsi="Times New Roman" w:cs="Times New Roman"/>
          <w:sz w:val="24"/>
          <w:szCs w:val="24"/>
        </w:rPr>
        <w:t>, 2018).</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Limitations of Ratio Analysis</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There are certain limitations of ratio analysis that must be considered by the managers, investors, stakeholders, and business leaders. An important limitation of ratio analysis is that it may mislead the business performance when operational changes are being made to enhance business growth (</w:t>
      </w:r>
      <w:proofErr w:type="spellStart"/>
      <w:r w:rsidRPr="002446AD">
        <w:rPr>
          <w:rFonts w:ascii="Times New Roman" w:hAnsi="Times New Roman" w:cs="Times New Roman"/>
          <w:sz w:val="24"/>
          <w:szCs w:val="24"/>
        </w:rPr>
        <w:t>Gunasekaran</w:t>
      </w:r>
      <w:proofErr w:type="spellEnd"/>
      <w:r w:rsidRPr="002446AD">
        <w:rPr>
          <w:rFonts w:ascii="Times New Roman" w:hAnsi="Times New Roman" w:cs="Times New Roman"/>
          <w:sz w:val="24"/>
          <w:szCs w:val="24"/>
        </w:rPr>
        <w:t xml:space="preserve">, 2007). For instance, it is difficult to estimate the profitability ratio of HWHI accommodation and F&amp;B together as it would not yield actual profit. Similarly, estimating the financial ratios for different businesses of an organization like HWHI is not suitable because financial accounting data is subjective to the hypotheses and views. </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Ratio analysis might not be helpful because it does not consider the external environmental factors like the COVID-19 pandemic, recession etc. For instance, lockdowns were imposed worldwide in 2020 and the people were not allowed to stay at hotels and eat at restaurants in different parts of the world. In this scenario, the sales were decreased automatically. Consequently, the profits of the HWHI were reduced. Moreover, the ratio analysis does not consider inflation. The inflation rate has increased, after the pandemic, worldwide and that is a huge reason for the reduced performance of HWHI in 2020 but this factor is not considered in the above ratio analysis for the HWHI.</w:t>
      </w:r>
    </w:p>
    <w:p w:rsidR="000D6C42"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Conclusion</w:t>
      </w:r>
    </w:p>
    <w:p w:rsidR="00C96A58" w:rsidRPr="002446AD" w:rsidRDefault="000D6C42" w:rsidP="002446AD">
      <w:pPr>
        <w:spacing w:line="480" w:lineRule="auto"/>
        <w:rPr>
          <w:rFonts w:ascii="Times New Roman" w:hAnsi="Times New Roman" w:cs="Times New Roman"/>
          <w:sz w:val="24"/>
          <w:szCs w:val="24"/>
        </w:rPr>
      </w:pPr>
      <w:r w:rsidRPr="002446AD">
        <w:rPr>
          <w:rFonts w:ascii="Times New Roman" w:hAnsi="Times New Roman" w:cs="Times New Roman"/>
          <w:sz w:val="24"/>
          <w:szCs w:val="24"/>
        </w:rPr>
        <w:t>The financial analysis of the HWHI reveals that the company's performance is reduced significantly in 2020 as compared to 2019. The net profit and gross profit are decreased significantly in 2020. The external factors including the COVID-19 pandemic, lockdowns, and inflation are important external factors that have impacted the organizational performance abruptly in 2020. The company still holds a good interest cover and gearing ratio. The company has a huge potential to convert the working capital to profit through increasing sales. The company can pay off short-term liability easily as it has enough liquid assets. The company is required to lower its operating expenses to maximize profits.</w:t>
      </w:r>
    </w:p>
    <w:p w:rsidR="002446AD" w:rsidRPr="002446AD" w:rsidRDefault="002446AD" w:rsidP="002446AD">
      <w:pPr>
        <w:spacing w:line="480" w:lineRule="auto"/>
        <w:rPr>
          <w:rFonts w:ascii="Times New Roman" w:hAnsi="Times New Roman" w:cs="Times New Roman"/>
          <w:sz w:val="24"/>
          <w:szCs w:val="24"/>
        </w:rPr>
      </w:pPr>
    </w:p>
    <w:p w:rsidR="002446AD" w:rsidRPr="002446AD" w:rsidRDefault="002446AD" w:rsidP="002446AD">
      <w:pPr>
        <w:spacing w:line="480" w:lineRule="auto"/>
        <w:rPr>
          <w:rFonts w:ascii="Times New Roman" w:hAnsi="Times New Roman" w:cs="Times New Roman"/>
          <w:sz w:val="24"/>
          <w:szCs w:val="24"/>
        </w:rPr>
      </w:pPr>
    </w:p>
    <w:p w:rsidR="002446AD" w:rsidRPr="002446AD" w:rsidRDefault="002446AD" w:rsidP="002446AD">
      <w:pPr>
        <w:spacing w:after="100" w:afterAutospacing="1" w:line="240" w:lineRule="auto"/>
        <w:outlineLvl w:val="1"/>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References</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Bowlin</w:t>
      </w:r>
      <w:proofErr w:type="spellEnd"/>
      <w:r w:rsidRPr="002446AD">
        <w:rPr>
          <w:rFonts w:ascii="Times New Roman" w:eastAsia="Times New Roman" w:hAnsi="Times New Roman" w:cs="Times New Roman"/>
          <w:color w:val="000000"/>
          <w:sz w:val="24"/>
          <w:szCs w:val="24"/>
        </w:rPr>
        <w:t>, O., Martin, J. and Scott, D., 1990. </w:t>
      </w:r>
      <w:r w:rsidRPr="002446AD">
        <w:rPr>
          <w:rFonts w:ascii="Times New Roman" w:eastAsia="Times New Roman" w:hAnsi="Times New Roman" w:cs="Times New Roman"/>
          <w:i/>
          <w:iCs/>
          <w:color w:val="000000"/>
          <w:sz w:val="24"/>
          <w:szCs w:val="24"/>
        </w:rPr>
        <w:t>Guide to financial analysis</w:t>
      </w:r>
      <w:r w:rsidRPr="002446AD">
        <w:rPr>
          <w:rFonts w:ascii="Times New Roman" w:eastAsia="Times New Roman" w:hAnsi="Times New Roman" w:cs="Times New Roman"/>
          <w:color w:val="000000"/>
          <w:sz w:val="24"/>
          <w:szCs w:val="24"/>
        </w:rPr>
        <w:t>. New York: McGraw-Hill.</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Chaudhuri, T., 2008. Analysis of the Profitability Ratios of HCL. </w:t>
      </w:r>
      <w:r w:rsidRPr="002446AD">
        <w:rPr>
          <w:rFonts w:ascii="Times New Roman" w:eastAsia="Times New Roman" w:hAnsi="Times New Roman" w:cs="Times New Roman"/>
          <w:i/>
          <w:iCs/>
          <w:color w:val="000000"/>
          <w:sz w:val="24"/>
          <w:szCs w:val="24"/>
        </w:rPr>
        <w:t>SSRN Electronic Journal</w:t>
      </w:r>
      <w:r w:rsidRPr="002446AD">
        <w:rPr>
          <w:rFonts w:ascii="Times New Roman" w:eastAsia="Times New Roman" w:hAnsi="Times New Roman" w:cs="Times New Roman"/>
          <w:color w:val="000000"/>
          <w:sz w:val="24"/>
          <w:szCs w:val="24"/>
        </w:rPr>
        <w:t>,.</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Condemi</w:t>
      </w:r>
      <w:proofErr w:type="spellEnd"/>
      <w:r w:rsidRPr="002446AD">
        <w:rPr>
          <w:rFonts w:ascii="Times New Roman" w:eastAsia="Times New Roman" w:hAnsi="Times New Roman" w:cs="Times New Roman"/>
          <w:color w:val="000000"/>
          <w:sz w:val="24"/>
          <w:szCs w:val="24"/>
        </w:rPr>
        <w:t>, M. and De Polis, S., 2004. Solvency Ratio. </w:t>
      </w:r>
      <w:r w:rsidRPr="002446AD">
        <w:rPr>
          <w:rFonts w:ascii="Times New Roman" w:eastAsia="Times New Roman" w:hAnsi="Times New Roman" w:cs="Times New Roman"/>
          <w:i/>
          <w:iCs/>
          <w:color w:val="000000"/>
          <w:sz w:val="24"/>
          <w:szCs w:val="24"/>
        </w:rPr>
        <w:t>European Business Law Review</w:t>
      </w:r>
      <w:r w:rsidRPr="002446AD">
        <w:rPr>
          <w:rFonts w:ascii="Times New Roman" w:eastAsia="Times New Roman" w:hAnsi="Times New Roman" w:cs="Times New Roman"/>
          <w:color w:val="000000"/>
          <w:sz w:val="24"/>
          <w:szCs w:val="24"/>
        </w:rPr>
        <w:t>, 15(Issue 3), pp.405-425.</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Fedorková</w:t>
      </w:r>
      <w:proofErr w:type="spellEnd"/>
      <w:r w:rsidRPr="002446AD">
        <w:rPr>
          <w:rFonts w:ascii="Times New Roman" w:eastAsia="Times New Roman" w:hAnsi="Times New Roman" w:cs="Times New Roman"/>
          <w:color w:val="000000"/>
          <w:sz w:val="24"/>
          <w:szCs w:val="24"/>
        </w:rPr>
        <w:t>, K., 2018. Importance of Financial Aspects of a Company Crisis Management in Slovakia. </w:t>
      </w:r>
      <w:r w:rsidRPr="002446AD">
        <w:rPr>
          <w:rFonts w:ascii="Times New Roman" w:eastAsia="Times New Roman" w:hAnsi="Times New Roman" w:cs="Times New Roman"/>
          <w:i/>
          <w:iCs/>
          <w:color w:val="000000"/>
          <w:sz w:val="24"/>
          <w:szCs w:val="24"/>
        </w:rPr>
        <w:t>Marketing and Branding Research</w:t>
      </w:r>
      <w:r w:rsidRPr="002446AD">
        <w:rPr>
          <w:rFonts w:ascii="Times New Roman" w:eastAsia="Times New Roman" w:hAnsi="Times New Roman" w:cs="Times New Roman"/>
          <w:color w:val="000000"/>
          <w:sz w:val="24"/>
          <w:szCs w:val="24"/>
        </w:rPr>
        <w:t>, 5(1), pp.8-22.</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Globaldata.com. 2022. </w:t>
      </w:r>
      <w:proofErr w:type="spellStart"/>
      <w:r w:rsidRPr="002446AD">
        <w:rPr>
          <w:rFonts w:ascii="Times New Roman" w:eastAsia="Times New Roman" w:hAnsi="Times New Roman" w:cs="Times New Roman"/>
          <w:i/>
          <w:iCs/>
          <w:color w:val="000000"/>
          <w:sz w:val="24"/>
          <w:szCs w:val="24"/>
        </w:rPr>
        <w:t>ShieldSquare</w:t>
      </w:r>
      <w:proofErr w:type="spellEnd"/>
      <w:r w:rsidRPr="002446AD">
        <w:rPr>
          <w:rFonts w:ascii="Times New Roman" w:eastAsia="Times New Roman" w:hAnsi="Times New Roman" w:cs="Times New Roman"/>
          <w:i/>
          <w:iCs/>
          <w:color w:val="000000"/>
          <w:sz w:val="24"/>
          <w:szCs w:val="24"/>
        </w:rPr>
        <w:t xml:space="preserve"> Captcha</w:t>
      </w:r>
      <w:r w:rsidRPr="002446AD">
        <w:rPr>
          <w:rFonts w:ascii="Times New Roman" w:eastAsia="Times New Roman" w:hAnsi="Times New Roman" w:cs="Times New Roman"/>
          <w:color w:val="000000"/>
          <w:sz w:val="24"/>
          <w:szCs w:val="24"/>
        </w:rPr>
        <w:t>. [online] Available at: &lt;https://www.globaldata.com/company-profile/hilton-worldwide-holdings-inc/#:~:text=Hilton%20Worldwide%20Holdings%20Inc%20(HWHI,%2C%20dining%2C%20and%20loyalty%20programs.&gt; [Accessed 31 May 2022].</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Gunasekaran</w:t>
      </w:r>
      <w:proofErr w:type="spellEnd"/>
      <w:r w:rsidRPr="002446AD">
        <w:rPr>
          <w:rFonts w:ascii="Times New Roman" w:eastAsia="Times New Roman" w:hAnsi="Times New Roman" w:cs="Times New Roman"/>
          <w:color w:val="000000"/>
          <w:sz w:val="24"/>
          <w:szCs w:val="24"/>
        </w:rPr>
        <w:t>, A., 2007. </w:t>
      </w:r>
      <w:r w:rsidRPr="002446AD">
        <w:rPr>
          <w:rFonts w:ascii="Times New Roman" w:eastAsia="Times New Roman" w:hAnsi="Times New Roman" w:cs="Times New Roman"/>
          <w:i/>
          <w:iCs/>
          <w:color w:val="000000"/>
          <w:sz w:val="24"/>
          <w:szCs w:val="24"/>
        </w:rPr>
        <w:t>Modeling and analysis of enterprise information systems</w:t>
      </w:r>
      <w:r w:rsidRPr="002446AD">
        <w:rPr>
          <w:rFonts w:ascii="Times New Roman" w:eastAsia="Times New Roman" w:hAnsi="Times New Roman" w:cs="Times New Roman"/>
          <w:color w:val="000000"/>
          <w:sz w:val="24"/>
          <w:szCs w:val="24"/>
        </w:rPr>
        <w:t>. Hershey, PA: IGI Pub.</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Picozzi</w:t>
      </w:r>
      <w:proofErr w:type="spellEnd"/>
      <w:r w:rsidRPr="002446AD">
        <w:rPr>
          <w:rFonts w:ascii="Times New Roman" w:eastAsia="Times New Roman" w:hAnsi="Times New Roman" w:cs="Times New Roman"/>
          <w:color w:val="000000"/>
          <w:sz w:val="24"/>
          <w:szCs w:val="24"/>
        </w:rPr>
        <w:t>, M., 2005. Statistical Analysis of Noise Horizontal-to-Vertical Spectral Ratios (HVSR). </w:t>
      </w:r>
      <w:r w:rsidRPr="002446AD">
        <w:rPr>
          <w:rFonts w:ascii="Times New Roman" w:eastAsia="Times New Roman" w:hAnsi="Times New Roman" w:cs="Times New Roman"/>
          <w:i/>
          <w:iCs/>
          <w:color w:val="000000"/>
          <w:sz w:val="24"/>
          <w:szCs w:val="24"/>
        </w:rPr>
        <w:t>Bulletin of the Seismological Society of America</w:t>
      </w:r>
      <w:r w:rsidRPr="002446AD">
        <w:rPr>
          <w:rFonts w:ascii="Times New Roman" w:eastAsia="Times New Roman" w:hAnsi="Times New Roman" w:cs="Times New Roman"/>
          <w:color w:val="000000"/>
          <w:sz w:val="24"/>
          <w:szCs w:val="24"/>
        </w:rPr>
        <w:t>, 95(5), pp.1779-1786.</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Robinson, T., 2009. </w:t>
      </w:r>
      <w:r w:rsidRPr="002446AD">
        <w:rPr>
          <w:rFonts w:ascii="Times New Roman" w:eastAsia="Times New Roman" w:hAnsi="Times New Roman" w:cs="Times New Roman"/>
          <w:i/>
          <w:iCs/>
          <w:color w:val="000000"/>
          <w:sz w:val="24"/>
          <w:szCs w:val="24"/>
        </w:rPr>
        <w:t>International financial statement analysis</w:t>
      </w:r>
      <w:r w:rsidRPr="002446AD">
        <w:rPr>
          <w:rFonts w:ascii="Times New Roman" w:eastAsia="Times New Roman" w:hAnsi="Times New Roman" w:cs="Times New Roman"/>
          <w:color w:val="000000"/>
          <w:sz w:val="24"/>
          <w:szCs w:val="24"/>
        </w:rPr>
        <w:t>. Hoboken, N.J.: John Wiley &amp; Sons.</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r w:rsidRPr="002446AD">
        <w:rPr>
          <w:rFonts w:ascii="Times New Roman" w:eastAsia="Times New Roman" w:hAnsi="Times New Roman" w:cs="Times New Roman"/>
          <w:color w:val="000000"/>
          <w:sz w:val="24"/>
          <w:szCs w:val="24"/>
        </w:rPr>
        <w:t>Schmitz, S., 2013. The Impact of the Liquidity Coverage Ratio (LCR) on the Implementation of Monetary Policy. </w:t>
      </w:r>
      <w:r w:rsidRPr="002446AD">
        <w:rPr>
          <w:rFonts w:ascii="Times New Roman" w:eastAsia="Times New Roman" w:hAnsi="Times New Roman" w:cs="Times New Roman"/>
          <w:i/>
          <w:iCs/>
          <w:color w:val="000000"/>
          <w:sz w:val="24"/>
          <w:szCs w:val="24"/>
        </w:rPr>
        <w:t>Economic Notes</w:t>
      </w:r>
      <w:r w:rsidRPr="002446AD">
        <w:rPr>
          <w:rFonts w:ascii="Times New Roman" w:eastAsia="Times New Roman" w:hAnsi="Times New Roman" w:cs="Times New Roman"/>
          <w:color w:val="000000"/>
          <w:sz w:val="24"/>
          <w:szCs w:val="24"/>
        </w:rPr>
        <w:t>, 42(2), pp.135-170.</w:t>
      </w:r>
    </w:p>
    <w:p w:rsidR="002446AD" w:rsidRPr="002446AD" w:rsidRDefault="002446AD" w:rsidP="002446AD">
      <w:pPr>
        <w:spacing w:after="180" w:line="240" w:lineRule="auto"/>
        <w:ind w:left="450" w:hanging="450"/>
        <w:rPr>
          <w:rFonts w:ascii="Times New Roman" w:eastAsia="Times New Roman" w:hAnsi="Times New Roman" w:cs="Times New Roman"/>
          <w:color w:val="000000"/>
          <w:sz w:val="24"/>
          <w:szCs w:val="24"/>
        </w:rPr>
      </w:pPr>
      <w:proofErr w:type="spellStart"/>
      <w:r w:rsidRPr="002446AD">
        <w:rPr>
          <w:rFonts w:ascii="Times New Roman" w:eastAsia="Times New Roman" w:hAnsi="Times New Roman" w:cs="Times New Roman"/>
          <w:color w:val="000000"/>
          <w:sz w:val="24"/>
          <w:szCs w:val="24"/>
        </w:rPr>
        <w:t>Tailab</w:t>
      </w:r>
      <w:proofErr w:type="spellEnd"/>
      <w:r w:rsidRPr="002446AD">
        <w:rPr>
          <w:rFonts w:ascii="Times New Roman" w:eastAsia="Times New Roman" w:hAnsi="Times New Roman" w:cs="Times New Roman"/>
          <w:color w:val="000000"/>
          <w:sz w:val="24"/>
          <w:szCs w:val="24"/>
        </w:rPr>
        <w:t>, M., 2020. Using Importance-Performance Matrix Analysis to Evaluate the Financial Performance of American Banks During the Financial Crisis. </w:t>
      </w:r>
      <w:r w:rsidRPr="002446AD">
        <w:rPr>
          <w:rFonts w:ascii="Times New Roman" w:eastAsia="Times New Roman" w:hAnsi="Times New Roman" w:cs="Times New Roman"/>
          <w:i/>
          <w:iCs/>
          <w:color w:val="000000"/>
          <w:sz w:val="24"/>
          <w:szCs w:val="24"/>
        </w:rPr>
        <w:t>SSRN Electronic Journal</w:t>
      </w:r>
      <w:r w:rsidRPr="002446AD">
        <w:rPr>
          <w:rFonts w:ascii="Times New Roman" w:eastAsia="Times New Roman" w:hAnsi="Times New Roman" w:cs="Times New Roman"/>
          <w:color w:val="000000"/>
          <w:sz w:val="24"/>
          <w:szCs w:val="24"/>
        </w:rPr>
        <w:t>,.</w:t>
      </w:r>
    </w:p>
    <w:p w:rsidR="002446AD" w:rsidRPr="002446AD" w:rsidRDefault="002446AD" w:rsidP="002446AD">
      <w:pPr>
        <w:spacing w:line="480" w:lineRule="auto"/>
        <w:rPr>
          <w:rFonts w:ascii="Times New Roman" w:hAnsi="Times New Roman" w:cs="Times New Roman"/>
          <w:sz w:val="24"/>
          <w:szCs w:val="24"/>
        </w:rPr>
      </w:pPr>
    </w:p>
    <w:sectPr w:rsidR="002446AD" w:rsidRPr="002446AD" w:rsidSect="00907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1"/>
    <w:family w:val="roman"/>
    <w:pitch w:val="variable"/>
  </w:font>
  <w:font w:name="Times New Roman">
    <w:altName w:val="Arial"/>
    <w:panose1 w:val="02020603050405020304"/>
    <w:charset w:val="00"/>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3C6"/>
    <w:rsid w:val="000219E3"/>
    <w:rsid w:val="00024B37"/>
    <w:rsid w:val="000437AE"/>
    <w:rsid w:val="00044B0E"/>
    <w:rsid w:val="00065A21"/>
    <w:rsid w:val="00071618"/>
    <w:rsid w:val="00080051"/>
    <w:rsid w:val="00085024"/>
    <w:rsid w:val="00095700"/>
    <w:rsid w:val="000A2344"/>
    <w:rsid w:val="000B1379"/>
    <w:rsid w:val="000C1F19"/>
    <w:rsid w:val="000C7BF8"/>
    <w:rsid w:val="000D3545"/>
    <w:rsid w:val="000D6C42"/>
    <w:rsid w:val="000E6432"/>
    <w:rsid w:val="000F5BF3"/>
    <w:rsid w:val="000F681F"/>
    <w:rsid w:val="00100ACB"/>
    <w:rsid w:val="00105D7A"/>
    <w:rsid w:val="001077D8"/>
    <w:rsid w:val="00110585"/>
    <w:rsid w:val="001269F2"/>
    <w:rsid w:val="00141964"/>
    <w:rsid w:val="00161016"/>
    <w:rsid w:val="00183FD8"/>
    <w:rsid w:val="001A73D9"/>
    <w:rsid w:val="001B0FDF"/>
    <w:rsid w:val="001B3A85"/>
    <w:rsid w:val="001B6E26"/>
    <w:rsid w:val="001C7DAC"/>
    <w:rsid w:val="001D0898"/>
    <w:rsid w:val="001D3BC3"/>
    <w:rsid w:val="001D7D4A"/>
    <w:rsid w:val="001E6344"/>
    <w:rsid w:val="002071BC"/>
    <w:rsid w:val="00207FBB"/>
    <w:rsid w:val="0021777F"/>
    <w:rsid w:val="002178BB"/>
    <w:rsid w:val="002358DC"/>
    <w:rsid w:val="002437C6"/>
    <w:rsid w:val="002446AD"/>
    <w:rsid w:val="0026040C"/>
    <w:rsid w:val="00276CAF"/>
    <w:rsid w:val="00281EAC"/>
    <w:rsid w:val="00287749"/>
    <w:rsid w:val="00292D1F"/>
    <w:rsid w:val="00296985"/>
    <w:rsid w:val="002B1AAA"/>
    <w:rsid w:val="002B6DF9"/>
    <w:rsid w:val="002C1AAA"/>
    <w:rsid w:val="002E053C"/>
    <w:rsid w:val="002E4922"/>
    <w:rsid w:val="002F36EF"/>
    <w:rsid w:val="0030395A"/>
    <w:rsid w:val="00310A38"/>
    <w:rsid w:val="00331E70"/>
    <w:rsid w:val="00337A55"/>
    <w:rsid w:val="00344D57"/>
    <w:rsid w:val="003609DF"/>
    <w:rsid w:val="00387D97"/>
    <w:rsid w:val="003A4130"/>
    <w:rsid w:val="003C4C33"/>
    <w:rsid w:val="003C581A"/>
    <w:rsid w:val="003D68EB"/>
    <w:rsid w:val="003D7CB6"/>
    <w:rsid w:val="0040282F"/>
    <w:rsid w:val="00416B6A"/>
    <w:rsid w:val="00420D98"/>
    <w:rsid w:val="00427A47"/>
    <w:rsid w:val="0043208D"/>
    <w:rsid w:val="004365B8"/>
    <w:rsid w:val="00453BF7"/>
    <w:rsid w:val="004543CE"/>
    <w:rsid w:val="00463814"/>
    <w:rsid w:val="00466663"/>
    <w:rsid w:val="00466A1F"/>
    <w:rsid w:val="004816DD"/>
    <w:rsid w:val="0048554A"/>
    <w:rsid w:val="0049104F"/>
    <w:rsid w:val="004A45A8"/>
    <w:rsid w:val="004B0E93"/>
    <w:rsid w:val="004B1576"/>
    <w:rsid w:val="004D7222"/>
    <w:rsid w:val="004E38D4"/>
    <w:rsid w:val="004E41F1"/>
    <w:rsid w:val="004E458B"/>
    <w:rsid w:val="00514CBD"/>
    <w:rsid w:val="005213C6"/>
    <w:rsid w:val="00530663"/>
    <w:rsid w:val="00534433"/>
    <w:rsid w:val="00540648"/>
    <w:rsid w:val="005412C7"/>
    <w:rsid w:val="00546E43"/>
    <w:rsid w:val="00554A48"/>
    <w:rsid w:val="005628B0"/>
    <w:rsid w:val="00572A5F"/>
    <w:rsid w:val="00583566"/>
    <w:rsid w:val="005840A3"/>
    <w:rsid w:val="0058647D"/>
    <w:rsid w:val="00593DCE"/>
    <w:rsid w:val="005A6CF2"/>
    <w:rsid w:val="005C20C7"/>
    <w:rsid w:val="005D0DF1"/>
    <w:rsid w:val="005D3396"/>
    <w:rsid w:val="005E2398"/>
    <w:rsid w:val="0060705C"/>
    <w:rsid w:val="00626579"/>
    <w:rsid w:val="00630D0A"/>
    <w:rsid w:val="00633BAD"/>
    <w:rsid w:val="006445EC"/>
    <w:rsid w:val="00644A0A"/>
    <w:rsid w:val="00653DDC"/>
    <w:rsid w:val="00664443"/>
    <w:rsid w:val="006644E1"/>
    <w:rsid w:val="00675124"/>
    <w:rsid w:val="00676A8C"/>
    <w:rsid w:val="00696DC4"/>
    <w:rsid w:val="006C3B2F"/>
    <w:rsid w:val="006D7804"/>
    <w:rsid w:val="006E0F58"/>
    <w:rsid w:val="006E19C7"/>
    <w:rsid w:val="006E2D9D"/>
    <w:rsid w:val="006F7B9B"/>
    <w:rsid w:val="00711B12"/>
    <w:rsid w:val="00714DCE"/>
    <w:rsid w:val="007219A5"/>
    <w:rsid w:val="00734CE0"/>
    <w:rsid w:val="00765318"/>
    <w:rsid w:val="00766910"/>
    <w:rsid w:val="00770905"/>
    <w:rsid w:val="007754DA"/>
    <w:rsid w:val="00782782"/>
    <w:rsid w:val="007853DA"/>
    <w:rsid w:val="00785B07"/>
    <w:rsid w:val="007B5056"/>
    <w:rsid w:val="007D1B33"/>
    <w:rsid w:val="007D3E7F"/>
    <w:rsid w:val="007E5CA7"/>
    <w:rsid w:val="007F45EB"/>
    <w:rsid w:val="007F4A9A"/>
    <w:rsid w:val="00802B55"/>
    <w:rsid w:val="00803BA0"/>
    <w:rsid w:val="00807015"/>
    <w:rsid w:val="00826DB1"/>
    <w:rsid w:val="00850004"/>
    <w:rsid w:val="00852AFB"/>
    <w:rsid w:val="00857379"/>
    <w:rsid w:val="00857D31"/>
    <w:rsid w:val="008641CD"/>
    <w:rsid w:val="00871E9A"/>
    <w:rsid w:val="00881B7E"/>
    <w:rsid w:val="00882887"/>
    <w:rsid w:val="008A415B"/>
    <w:rsid w:val="0090004A"/>
    <w:rsid w:val="00907898"/>
    <w:rsid w:val="0092586C"/>
    <w:rsid w:val="0093211E"/>
    <w:rsid w:val="00944BE8"/>
    <w:rsid w:val="0094750F"/>
    <w:rsid w:val="00961ECC"/>
    <w:rsid w:val="00962820"/>
    <w:rsid w:val="00967AC0"/>
    <w:rsid w:val="00973DAC"/>
    <w:rsid w:val="0097687E"/>
    <w:rsid w:val="009A7012"/>
    <w:rsid w:val="009D0B49"/>
    <w:rsid w:val="009D40D0"/>
    <w:rsid w:val="009E3C6B"/>
    <w:rsid w:val="00A10DC3"/>
    <w:rsid w:val="00A34DE0"/>
    <w:rsid w:val="00A368BA"/>
    <w:rsid w:val="00A50376"/>
    <w:rsid w:val="00A561FC"/>
    <w:rsid w:val="00A67C55"/>
    <w:rsid w:val="00A71E33"/>
    <w:rsid w:val="00A7751E"/>
    <w:rsid w:val="00A8746F"/>
    <w:rsid w:val="00A87BD0"/>
    <w:rsid w:val="00AA162E"/>
    <w:rsid w:val="00AA58E9"/>
    <w:rsid w:val="00AB020E"/>
    <w:rsid w:val="00AB3D77"/>
    <w:rsid w:val="00AC7732"/>
    <w:rsid w:val="00AD3B0A"/>
    <w:rsid w:val="00AD54A7"/>
    <w:rsid w:val="00AD7A12"/>
    <w:rsid w:val="00AE08FB"/>
    <w:rsid w:val="00AF1AA5"/>
    <w:rsid w:val="00AF48F1"/>
    <w:rsid w:val="00B029D7"/>
    <w:rsid w:val="00B06B7A"/>
    <w:rsid w:val="00B12D56"/>
    <w:rsid w:val="00B162C6"/>
    <w:rsid w:val="00B3146F"/>
    <w:rsid w:val="00B32B89"/>
    <w:rsid w:val="00B41D42"/>
    <w:rsid w:val="00B479B1"/>
    <w:rsid w:val="00B53A18"/>
    <w:rsid w:val="00B635D0"/>
    <w:rsid w:val="00B67E5D"/>
    <w:rsid w:val="00B70794"/>
    <w:rsid w:val="00B72444"/>
    <w:rsid w:val="00B758E2"/>
    <w:rsid w:val="00BA1E61"/>
    <w:rsid w:val="00BC079C"/>
    <w:rsid w:val="00BC4106"/>
    <w:rsid w:val="00BC6735"/>
    <w:rsid w:val="00BD3F28"/>
    <w:rsid w:val="00BD67DB"/>
    <w:rsid w:val="00BE10A4"/>
    <w:rsid w:val="00BE69F7"/>
    <w:rsid w:val="00BF2FCB"/>
    <w:rsid w:val="00BF5C5B"/>
    <w:rsid w:val="00C03E87"/>
    <w:rsid w:val="00C16E29"/>
    <w:rsid w:val="00C3169B"/>
    <w:rsid w:val="00C36A86"/>
    <w:rsid w:val="00C375FA"/>
    <w:rsid w:val="00C43025"/>
    <w:rsid w:val="00C47DED"/>
    <w:rsid w:val="00C50B6E"/>
    <w:rsid w:val="00C53F61"/>
    <w:rsid w:val="00C54035"/>
    <w:rsid w:val="00C62B22"/>
    <w:rsid w:val="00C636B4"/>
    <w:rsid w:val="00C96A58"/>
    <w:rsid w:val="00CA2B03"/>
    <w:rsid w:val="00CA2DB0"/>
    <w:rsid w:val="00CC2F10"/>
    <w:rsid w:val="00CC5881"/>
    <w:rsid w:val="00CE00BC"/>
    <w:rsid w:val="00CE2271"/>
    <w:rsid w:val="00CF568D"/>
    <w:rsid w:val="00CF61CF"/>
    <w:rsid w:val="00D00622"/>
    <w:rsid w:val="00D0135A"/>
    <w:rsid w:val="00D1166E"/>
    <w:rsid w:val="00D141EC"/>
    <w:rsid w:val="00D17A86"/>
    <w:rsid w:val="00D351C7"/>
    <w:rsid w:val="00D44B99"/>
    <w:rsid w:val="00D44FB5"/>
    <w:rsid w:val="00D501C6"/>
    <w:rsid w:val="00D565B9"/>
    <w:rsid w:val="00D568DA"/>
    <w:rsid w:val="00D61453"/>
    <w:rsid w:val="00D67F1D"/>
    <w:rsid w:val="00D72ABE"/>
    <w:rsid w:val="00D74971"/>
    <w:rsid w:val="00D8207C"/>
    <w:rsid w:val="00D8737A"/>
    <w:rsid w:val="00DB77D3"/>
    <w:rsid w:val="00DC17E4"/>
    <w:rsid w:val="00DC2EB6"/>
    <w:rsid w:val="00DD129B"/>
    <w:rsid w:val="00DD455A"/>
    <w:rsid w:val="00DF6F58"/>
    <w:rsid w:val="00E07404"/>
    <w:rsid w:val="00E10051"/>
    <w:rsid w:val="00E30142"/>
    <w:rsid w:val="00E3289F"/>
    <w:rsid w:val="00E425B7"/>
    <w:rsid w:val="00E450C7"/>
    <w:rsid w:val="00E46E70"/>
    <w:rsid w:val="00E55C38"/>
    <w:rsid w:val="00E75E76"/>
    <w:rsid w:val="00E76898"/>
    <w:rsid w:val="00E8287C"/>
    <w:rsid w:val="00EA4316"/>
    <w:rsid w:val="00EB2E46"/>
    <w:rsid w:val="00EB4F24"/>
    <w:rsid w:val="00EB717F"/>
    <w:rsid w:val="00ED00AE"/>
    <w:rsid w:val="00EF7135"/>
    <w:rsid w:val="00F01118"/>
    <w:rsid w:val="00F03D05"/>
    <w:rsid w:val="00F105BD"/>
    <w:rsid w:val="00F118B7"/>
    <w:rsid w:val="00F2779D"/>
    <w:rsid w:val="00F35921"/>
    <w:rsid w:val="00F37C7A"/>
    <w:rsid w:val="00F417DE"/>
    <w:rsid w:val="00F45AA2"/>
    <w:rsid w:val="00F46EE3"/>
    <w:rsid w:val="00F5009C"/>
    <w:rsid w:val="00F5128F"/>
    <w:rsid w:val="00F643DD"/>
    <w:rsid w:val="00F64A6D"/>
    <w:rsid w:val="00F70354"/>
    <w:rsid w:val="00F81680"/>
    <w:rsid w:val="00F86B70"/>
    <w:rsid w:val="00FC773D"/>
    <w:rsid w:val="00FD27EB"/>
    <w:rsid w:val="00FE507A"/>
    <w:rsid w:val="00FE5C0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C899E"/>
  <w15:docId w15:val="{5CF8A992-54E6-294C-B9F0-63ECE205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98"/>
  </w:style>
  <w:style w:type="paragraph" w:styleId="Heading2">
    <w:name w:val="heading 2"/>
    <w:basedOn w:val="Normal"/>
    <w:link w:val="Heading2Char"/>
    <w:uiPriority w:val="9"/>
    <w:qFormat/>
    <w:rsid w:val="002446A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4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130"/>
    <w:rPr>
      <w:rFonts w:ascii="Tahoma" w:hAnsi="Tahoma" w:cs="Tahoma"/>
      <w:sz w:val="16"/>
      <w:szCs w:val="16"/>
    </w:rPr>
  </w:style>
  <w:style w:type="character" w:customStyle="1" w:styleId="Heading2Char">
    <w:name w:val="Heading 2 Char"/>
    <w:basedOn w:val="DefaultParagraphFont"/>
    <w:link w:val="Heading2"/>
    <w:uiPriority w:val="9"/>
    <w:rsid w:val="002446A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446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787976">
      <w:bodyDiv w:val="1"/>
      <w:marLeft w:val="0"/>
      <w:marRight w:val="0"/>
      <w:marTop w:val="0"/>
      <w:marBottom w:val="0"/>
      <w:divBdr>
        <w:top w:val="none" w:sz="0" w:space="0" w:color="auto"/>
        <w:left w:val="none" w:sz="0" w:space="0" w:color="auto"/>
        <w:bottom w:val="none" w:sz="0" w:space="0" w:color="auto"/>
        <w:right w:val="none" w:sz="0" w:space="0" w:color="auto"/>
      </w:divBdr>
    </w:div>
    <w:div w:id="865757795">
      <w:bodyDiv w:val="1"/>
      <w:marLeft w:val="0"/>
      <w:marRight w:val="0"/>
      <w:marTop w:val="0"/>
      <w:marBottom w:val="0"/>
      <w:divBdr>
        <w:top w:val="none" w:sz="0" w:space="0" w:color="auto"/>
        <w:left w:val="none" w:sz="0" w:space="0" w:color="auto"/>
        <w:bottom w:val="none" w:sz="0" w:space="0" w:color="auto"/>
        <w:right w:val="none" w:sz="0" w:space="0" w:color="auto"/>
      </w:divBdr>
    </w:div>
    <w:div w:id="1019968190">
      <w:bodyDiv w:val="1"/>
      <w:marLeft w:val="0"/>
      <w:marRight w:val="0"/>
      <w:marTop w:val="0"/>
      <w:marBottom w:val="0"/>
      <w:divBdr>
        <w:top w:val="none" w:sz="0" w:space="0" w:color="auto"/>
        <w:left w:val="none" w:sz="0" w:space="0" w:color="auto"/>
        <w:bottom w:val="none" w:sz="0" w:space="0" w:color="auto"/>
        <w:right w:val="none" w:sz="0" w:space="0" w:color="auto"/>
      </w:divBdr>
    </w:div>
    <w:div w:id="1140147501">
      <w:bodyDiv w:val="1"/>
      <w:marLeft w:val="0"/>
      <w:marRight w:val="0"/>
      <w:marTop w:val="0"/>
      <w:marBottom w:val="0"/>
      <w:divBdr>
        <w:top w:val="none" w:sz="0" w:space="0" w:color="auto"/>
        <w:left w:val="none" w:sz="0" w:space="0" w:color="auto"/>
        <w:bottom w:val="none" w:sz="0" w:space="0" w:color="auto"/>
        <w:right w:val="none" w:sz="0" w:space="0" w:color="auto"/>
      </w:divBdr>
    </w:div>
    <w:div w:id="1812676505">
      <w:bodyDiv w:val="1"/>
      <w:marLeft w:val="0"/>
      <w:marRight w:val="0"/>
      <w:marTop w:val="0"/>
      <w:marBottom w:val="0"/>
      <w:divBdr>
        <w:top w:val="none" w:sz="0" w:space="0" w:color="auto"/>
        <w:left w:val="none" w:sz="0" w:space="0" w:color="auto"/>
        <w:bottom w:val="none" w:sz="0" w:space="0" w:color="auto"/>
        <w:right w:val="none" w:sz="0" w:space="0" w:color="auto"/>
      </w:divBdr>
    </w:div>
    <w:div w:id="1907833757">
      <w:bodyDiv w:val="1"/>
      <w:marLeft w:val="0"/>
      <w:marRight w:val="0"/>
      <w:marTop w:val="0"/>
      <w:marBottom w:val="0"/>
      <w:divBdr>
        <w:top w:val="none" w:sz="0" w:space="0" w:color="auto"/>
        <w:left w:val="none" w:sz="0" w:space="0" w:color="auto"/>
        <w:bottom w:val="none" w:sz="0" w:space="0" w:color="auto"/>
        <w:right w:val="none" w:sz="0" w:space="0" w:color="auto"/>
      </w:divBdr>
    </w:div>
    <w:div w:id="21403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5.xml" /><Relationship Id="rId3" Type="http://schemas.openxmlformats.org/officeDocument/2006/relationships/webSettings" Target="webSettings.xml" /><Relationship Id="rId7" Type="http://schemas.openxmlformats.org/officeDocument/2006/relationships/chart" Target="charts/chart4.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chart" Target="charts/chart3.xml" /><Relationship Id="rId11" Type="http://schemas.openxmlformats.org/officeDocument/2006/relationships/theme" Target="theme/theme1.xml" /><Relationship Id="rId5" Type="http://schemas.openxmlformats.org/officeDocument/2006/relationships/chart" Target="charts/chart2.xml" /><Relationship Id="rId10" Type="http://schemas.openxmlformats.org/officeDocument/2006/relationships/fontTable" Target="fontTable.xml" /><Relationship Id="rId4" Type="http://schemas.openxmlformats.org/officeDocument/2006/relationships/chart" Target="charts/chart1.xml" /><Relationship Id="rId9" Type="http://schemas.openxmlformats.org/officeDocument/2006/relationships/chart" Target="charts/chart6.xml" /></Relationships>
</file>

<file path=word/charts/_rels/chart1.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_rels/chart4.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_rels/chart5.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_rels/chart6.xml.rels><?xml version="1.0" encoding="UTF-8" standalone="yes"?>
<Relationships xmlns="http://schemas.openxmlformats.org/package/2006/relationships"><Relationship Id="rId1" Type="http://schemas.openxmlformats.org/officeDocument/2006/relationships/oleObject" Target="file:///C:\Users\ANAM\Downloads\Book1.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48"/>
    </mc:Choice>
    <mc:Fallback>
      <c:style val="48"/>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v>Gross Profit</c:v>
          </c:tx>
          <c:invertIfNegative val="0"/>
          <c:cat>
            <c:numRef>
              <c:f>Sheet1!$E$3:$F$3</c:f>
              <c:numCache>
                <c:formatCode>General</c:formatCode>
                <c:ptCount val="2"/>
                <c:pt idx="0">
                  <c:v>2020</c:v>
                </c:pt>
                <c:pt idx="1">
                  <c:v>2019</c:v>
                </c:pt>
              </c:numCache>
            </c:numRef>
          </c:cat>
          <c:val>
            <c:numRef>
              <c:f>Sheet1!$E$7:$F$7</c:f>
              <c:numCache>
                <c:formatCode>General</c:formatCode>
                <c:ptCount val="2"/>
                <c:pt idx="0">
                  <c:v>583000</c:v>
                </c:pt>
                <c:pt idx="1">
                  <c:v>2435000</c:v>
                </c:pt>
              </c:numCache>
            </c:numRef>
          </c:val>
          <c:extLst>
            <c:ext xmlns:c16="http://schemas.microsoft.com/office/drawing/2014/chart" uri="{C3380CC4-5D6E-409C-BE32-E72D297353CC}">
              <c16:uniqueId val="{00000000-188C-494F-ADBF-487022DA3AB1}"/>
            </c:ext>
          </c:extLst>
        </c:ser>
        <c:ser>
          <c:idx val="1"/>
          <c:order val="1"/>
          <c:tx>
            <c:v>Net Profit</c:v>
          </c:tx>
          <c:invertIfNegative val="0"/>
          <c:cat>
            <c:numRef>
              <c:f>Sheet1!$E$3:$F$3</c:f>
              <c:numCache>
                <c:formatCode>General</c:formatCode>
                <c:ptCount val="2"/>
                <c:pt idx="0">
                  <c:v>2020</c:v>
                </c:pt>
                <c:pt idx="1">
                  <c:v>2019</c:v>
                </c:pt>
              </c:numCache>
            </c:numRef>
          </c:cat>
          <c:val>
            <c:numRef>
              <c:f>Sheet1!$E$15:$F$15</c:f>
              <c:numCache>
                <c:formatCode>General</c:formatCode>
                <c:ptCount val="2"/>
                <c:pt idx="0">
                  <c:v>85000</c:v>
                </c:pt>
                <c:pt idx="1">
                  <c:v>1218000</c:v>
                </c:pt>
              </c:numCache>
            </c:numRef>
          </c:val>
          <c:extLst>
            <c:ext xmlns:c16="http://schemas.microsoft.com/office/drawing/2014/chart" uri="{C3380CC4-5D6E-409C-BE32-E72D297353CC}">
              <c16:uniqueId val="{00000001-188C-494F-ADBF-487022DA3AB1}"/>
            </c:ext>
          </c:extLst>
        </c:ser>
        <c:dLbls>
          <c:showLegendKey val="0"/>
          <c:showVal val="0"/>
          <c:showCatName val="0"/>
          <c:showSerName val="0"/>
          <c:showPercent val="0"/>
          <c:showBubbleSize val="0"/>
        </c:dLbls>
        <c:gapWidth val="150"/>
        <c:shape val="box"/>
        <c:axId val="72384896"/>
        <c:axId val="72386816"/>
        <c:axId val="0"/>
      </c:bar3DChart>
      <c:catAx>
        <c:axId val="72384896"/>
        <c:scaling>
          <c:orientation val="minMax"/>
        </c:scaling>
        <c:delete val="0"/>
        <c:axPos val="b"/>
        <c:numFmt formatCode="General" sourceLinked="1"/>
        <c:majorTickMark val="none"/>
        <c:minorTickMark val="none"/>
        <c:tickLblPos val="nextTo"/>
        <c:crossAx val="72386816"/>
        <c:crosses val="autoZero"/>
        <c:auto val="1"/>
        <c:lblAlgn val="ctr"/>
        <c:lblOffset val="100"/>
        <c:noMultiLvlLbl val="0"/>
      </c:catAx>
      <c:valAx>
        <c:axId val="72386816"/>
        <c:scaling>
          <c:orientation val="minMax"/>
        </c:scaling>
        <c:delete val="0"/>
        <c:axPos val="l"/>
        <c:majorGridlines/>
        <c:numFmt formatCode="General" sourceLinked="1"/>
        <c:majorTickMark val="none"/>
        <c:minorTickMark val="none"/>
        <c:tickLblPos val="nextTo"/>
        <c:crossAx val="7238489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Profitability</a:t>
            </a:r>
            <a:r>
              <a:rPr lang="en-US" baseline="0"/>
              <a:t> Ratio</a:t>
            </a:r>
            <a:endParaRPr lang="en-US"/>
          </a:p>
        </c:rich>
      </c:tx>
      <c:overlay val="0"/>
    </c:title>
    <c:autoTitleDeleted val="0"/>
    <c:plotArea>
      <c:layout/>
      <c:lineChart>
        <c:grouping val="standard"/>
        <c:varyColors val="0"/>
        <c:ser>
          <c:idx val="0"/>
          <c:order val="0"/>
          <c:tx>
            <c:v>ROCE</c:v>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Sheet1!$J$6:$K$6</c:f>
              <c:numCache>
                <c:formatCode>General</c:formatCode>
                <c:ptCount val="2"/>
                <c:pt idx="0">
                  <c:v>3.59</c:v>
                </c:pt>
                <c:pt idx="1">
                  <c:v>13.5</c:v>
                </c:pt>
              </c:numCache>
            </c:numRef>
          </c:val>
          <c:smooth val="0"/>
          <c:extLst>
            <c:ext xmlns:c16="http://schemas.microsoft.com/office/drawing/2014/chart" uri="{C3380CC4-5D6E-409C-BE32-E72D297353CC}">
              <c16:uniqueId val="{00000000-57B6-5D44-B449-E308B534C6CD}"/>
            </c:ext>
          </c:extLst>
        </c:ser>
        <c:dLbls>
          <c:showLegendKey val="0"/>
          <c:showVal val="0"/>
          <c:showCatName val="0"/>
          <c:showSerName val="0"/>
          <c:showPercent val="0"/>
          <c:showBubbleSize val="0"/>
        </c:dLbls>
        <c:smooth val="0"/>
        <c:axId val="82224256"/>
        <c:axId val="82225792"/>
      </c:lineChart>
      <c:catAx>
        <c:axId val="82224256"/>
        <c:scaling>
          <c:orientation val="minMax"/>
        </c:scaling>
        <c:delete val="0"/>
        <c:axPos val="b"/>
        <c:numFmt formatCode="General" sourceLinked="1"/>
        <c:majorTickMark val="out"/>
        <c:minorTickMark val="none"/>
        <c:tickLblPos val="nextTo"/>
        <c:crossAx val="82225792"/>
        <c:crosses val="autoZero"/>
        <c:auto val="1"/>
        <c:lblAlgn val="ctr"/>
        <c:lblOffset val="100"/>
        <c:noMultiLvlLbl val="0"/>
      </c:catAx>
      <c:valAx>
        <c:axId val="82225792"/>
        <c:scaling>
          <c:orientation val="minMax"/>
        </c:scaling>
        <c:delete val="0"/>
        <c:axPos val="l"/>
        <c:majorGridlines/>
        <c:numFmt formatCode="General" sourceLinked="0"/>
        <c:majorTickMark val="out"/>
        <c:minorTickMark val="none"/>
        <c:tickLblPos val="nextTo"/>
        <c:crossAx val="8222425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Liquidity</a:t>
            </a:r>
            <a:r>
              <a:rPr lang="en-US" baseline="0"/>
              <a:t> Ratio</a:t>
            </a:r>
          </a:p>
        </c:rich>
      </c:tx>
      <c:overlay val="0"/>
    </c:title>
    <c:autoTitleDeleted val="0"/>
    <c:plotArea>
      <c:layout/>
      <c:barChart>
        <c:barDir val="col"/>
        <c:grouping val="stacked"/>
        <c:varyColors val="0"/>
        <c:ser>
          <c:idx val="0"/>
          <c:order val="0"/>
          <c:tx>
            <c:v>Current Ratio</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Sheet1!$J$10:$K$10</c:f>
              <c:numCache>
                <c:formatCode>General</c:formatCode>
                <c:ptCount val="2"/>
                <c:pt idx="0">
                  <c:v>1.7284999999999997</c:v>
                </c:pt>
                <c:pt idx="1">
                  <c:v>0.72900000000000009</c:v>
                </c:pt>
              </c:numCache>
            </c:numRef>
          </c:val>
          <c:extLst>
            <c:ext xmlns:c16="http://schemas.microsoft.com/office/drawing/2014/chart" uri="{C3380CC4-5D6E-409C-BE32-E72D297353CC}">
              <c16:uniqueId val="{00000000-AC70-B849-8BBC-222E967C6C22}"/>
            </c:ext>
          </c:extLst>
        </c:ser>
        <c:ser>
          <c:idx val="1"/>
          <c:order val="1"/>
          <c:tx>
            <c:v>Quick Ratio/Acid Test</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Sheet1!$J$11:$K$11</c:f>
              <c:numCache>
                <c:formatCode>General</c:formatCode>
                <c:ptCount val="2"/>
                <c:pt idx="0">
                  <c:v>1.7272999999999998</c:v>
                </c:pt>
                <c:pt idx="1">
                  <c:v>0.72800000000000009</c:v>
                </c:pt>
              </c:numCache>
            </c:numRef>
          </c:val>
          <c:extLst>
            <c:ext xmlns:c16="http://schemas.microsoft.com/office/drawing/2014/chart" uri="{C3380CC4-5D6E-409C-BE32-E72D297353CC}">
              <c16:uniqueId val="{00000001-AC70-B849-8BBC-222E967C6C22}"/>
            </c:ext>
          </c:extLst>
        </c:ser>
        <c:dLbls>
          <c:showLegendKey val="0"/>
          <c:showVal val="0"/>
          <c:showCatName val="0"/>
          <c:showSerName val="0"/>
          <c:showPercent val="0"/>
          <c:showBubbleSize val="0"/>
        </c:dLbls>
        <c:gapWidth val="55"/>
        <c:overlap val="100"/>
        <c:axId val="84072320"/>
        <c:axId val="84111360"/>
      </c:barChart>
      <c:catAx>
        <c:axId val="84072320"/>
        <c:scaling>
          <c:orientation val="minMax"/>
        </c:scaling>
        <c:delete val="0"/>
        <c:axPos val="b"/>
        <c:numFmt formatCode="General" sourceLinked="1"/>
        <c:majorTickMark val="none"/>
        <c:minorTickMark val="none"/>
        <c:tickLblPos val="nextTo"/>
        <c:crossAx val="84111360"/>
        <c:crosses val="autoZero"/>
        <c:auto val="1"/>
        <c:lblAlgn val="ctr"/>
        <c:lblOffset val="100"/>
        <c:noMultiLvlLbl val="0"/>
      </c:catAx>
      <c:valAx>
        <c:axId val="84111360"/>
        <c:scaling>
          <c:orientation val="minMax"/>
        </c:scaling>
        <c:delete val="0"/>
        <c:axPos val="l"/>
        <c:majorGridlines/>
        <c:numFmt formatCode="General" sourceLinked="1"/>
        <c:majorTickMark val="none"/>
        <c:minorTickMark val="none"/>
        <c:tickLblPos val="nextTo"/>
        <c:crossAx val="84072320"/>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Interest Cover Ratio</c:v>
          </c:tx>
          <c:invertIfNegative val="0"/>
          <c:cat>
            <c:numRef>
              <c:f>Sheet1!$J$3:$K$3</c:f>
              <c:numCache>
                <c:formatCode>General</c:formatCode>
                <c:ptCount val="2"/>
                <c:pt idx="0">
                  <c:v>2020</c:v>
                </c:pt>
                <c:pt idx="1">
                  <c:v>2019</c:v>
                </c:pt>
              </c:numCache>
            </c:numRef>
          </c:cat>
          <c:val>
            <c:numRef>
              <c:f>Sheet1!$J$15:$K$15</c:f>
              <c:numCache>
                <c:formatCode>General</c:formatCode>
                <c:ptCount val="2"/>
                <c:pt idx="0">
                  <c:v>163</c:v>
                </c:pt>
                <c:pt idx="1">
                  <c:v>579</c:v>
                </c:pt>
              </c:numCache>
            </c:numRef>
          </c:val>
          <c:extLst>
            <c:ext xmlns:c16="http://schemas.microsoft.com/office/drawing/2014/chart" uri="{C3380CC4-5D6E-409C-BE32-E72D297353CC}">
              <c16:uniqueId val="{00000000-11A6-3247-B7F5-87047A51EF67}"/>
            </c:ext>
          </c:extLst>
        </c:ser>
        <c:dLbls>
          <c:showLegendKey val="0"/>
          <c:showVal val="0"/>
          <c:showCatName val="0"/>
          <c:showSerName val="0"/>
          <c:showPercent val="0"/>
          <c:showBubbleSize val="0"/>
        </c:dLbls>
        <c:gapWidth val="150"/>
        <c:shape val="box"/>
        <c:axId val="84261504"/>
        <c:axId val="88192512"/>
        <c:axId val="0"/>
      </c:bar3DChart>
      <c:catAx>
        <c:axId val="84261504"/>
        <c:scaling>
          <c:orientation val="minMax"/>
        </c:scaling>
        <c:delete val="0"/>
        <c:axPos val="b"/>
        <c:numFmt formatCode="General" sourceLinked="1"/>
        <c:majorTickMark val="out"/>
        <c:minorTickMark val="none"/>
        <c:tickLblPos val="nextTo"/>
        <c:crossAx val="88192512"/>
        <c:crosses val="autoZero"/>
        <c:auto val="1"/>
        <c:lblAlgn val="ctr"/>
        <c:lblOffset val="100"/>
        <c:noMultiLvlLbl val="0"/>
      </c:catAx>
      <c:valAx>
        <c:axId val="88192512"/>
        <c:scaling>
          <c:orientation val="minMax"/>
        </c:scaling>
        <c:delete val="0"/>
        <c:axPos val="l"/>
        <c:majorGridlines/>
        <c:numFmt formatCode="General" sourceLinked="1"/>
        <c:majorTickMark val="out"/>
        <c:minorTickMark val="none"/>
        <c:tickLblPos val="nextTo"/>
        <c:crossAx val="8426150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Total Assets Turnover</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Sheet1!$J$21:$K$21</c:f>
              <c:numCache>
                <c:formatCode>General</c:formatCode>
                <c:ptCount val="2"/>
                <c:pt idx="0">
                  <c:v>0.3010000000000001</c:v>
                </c:pt>
                <c:pt idx="1">
                  <c:v>0.78200000000000003</c:v>
                </c:pt>
              </c:numCache>
            </c:numRef>
          </c:val>
          <c:extLst>
            <c:ext xmlns:c16="http://schemas.microsoft.com/office/drawing/2014/chart" uri="{C3380CC4-5D6E-409C-BE32-E72D297353CC}">
              <c16:uniqueId val="{00000000-66B6-F843-A5C4-1E0394046E5A}"/>
            </c:ext>
          </c:extLst>
        </c:ser>
        <c:ser>
          <c:idx val="1"/>
          <c:order val="1"/>
          <c:tx>
            <c:v>Debtor Days</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Sheet1!$J$22:$K$22</c:f>
              <c:numCache>
                <c:formatCode>General</c:formatCode>
                <c:ptCount val="2"/>
                <c:pt idx="0">
                  <c:v>65</c:v>
                </c:pt>
                <c:pt idx="1">
                  <c:v>49</c:v>
                </c:pt>
              </c:numCache>
            </c:numRef>
          </c:val>
          <c:extLst>
            <c:ext xmlns:c16="http://schemas.microsoft.com/office/drawing/2014/chart" uri="{C3380CC4-5D6E-409C-BE32-E72D297353CC}">
              <c16:uniqueId val="{00000001-66B6-F843-A5C4-1E0394046E5A}"/>
            </c:ext>
          </c:extLst>
        </c:ser>
        <c:ser>
          <c:idx val="2"/>
          <c:order val="2"/>
          <c:tx>
            <c:v>Creditor Days</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Sheet1!$J$23:$K$23</c:f>
              <c:numCache>
                <c:formatCode>General</c:formatCode>
                <c:ptCount val="2"/>
                <c:pt idx="0">
                  <c:v>22</c:v>
                </c:pt>
                <c:pt idx="1">
                  <c:v>16</c:v>
                </c:pt>
              </c:numCache>
            </c:numRef>
          </c:val>
          <c:extLst>
            <c:ext xmlns:c16="http://schemas.microsoft.com/office/drawing/2014/chart" uri="{C3380CC4-5D6E-409C-BE32-E72D297353CC}">
              <c16:uniqueId val="{00000002-66B6-F843-A5C4-1E0394046E5A}"/>
            </c:ext>
          </c:extLst>
        </c:ser>
        <c:ser>
          <c:idx val="3"/>
          <c:order val="3"/>
          <c:tx>
            <c:v>Debt Ratio</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Sheet1!$J$24:$K$24</c:f>
              <c:numCache>
                <c:formatCode>General</c:formatCode>
                <c:ptCount val="2"/>
                <c:pt idx="0">
                  <c:v>0.14000000000000001</c:v>
                </c:pt>
                <c:pt idx="1">
                  <c:v>0.22</c:v>
                </c:pt>
              </c:numCache>
            </c:numRef>
          </c:val>
          <c:extLst>
            <c:ext xmlns:c16="http://schemas.microsoft.com/office/drawing/2014/chart" uri="{C3380CC4-5D6E-409C-BE32-E72D297353CC}">
              <c16:uniqueId val="{00000003-66B6-F843-A5C4-1E0394046E5A}"/>
            </c:ext>
          </c:extLst>
        </c:ser>
        <c:ser>
          <c:idx val="4"/>
          <c:order val="4"/>
          <c:tx>
            <c:v>Stock Turnover Ratio</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Sheet1!$J$3:$K$3</c:f>
              <c:numCache>
                <c:formatCode>General</c:formatCode>
                <c:ptCount val="2"/>
                <c:pt idx="0">
                  <c:v>2020</c:v>
                </c:pt>
                <c:pt idx="1">
                  <c:v>2019</c:v>
                </c:pt>
              </c:numCache>
            </c:numRef>
          </c:cat>
          <c:val>
            <c:numRef>
              <c:f>Sheet1!$J$25:$K$25</c:f>
              <c:numCache>
                <c:formatCode>General</c:formatCode>
                <c:ptCount val="2"/>
                <c:pt idx="0">
                  <c:v>146</c:v>
                </c:pt>
                <c:pt idx="1">
                  <c:v>25</c:v>
                </c:pt>
              </c:numCache>
            </c:numRef>
          </c:val>
          <c:extLst>
            <c:ext xmlns:c16="http://schemas.microsoft.com/office/drawing/2014/chart" uri="{C3380CC4-5D6E-409C-BE32-E72D297353CC}">
              <c16:uniqueId val="{00000004-66B6-F843-A5C4-1E0394046E5A}"/>
            </c:ext>
          </c:extLst>
        </c:ser>
        <c:dLbls>
          <c:showLegendKey val="0"/>
          <c:showVal val="0"/>
          <c:showCatName val="0"/>
          <c:showSerName val="0"/>
          <c:showPercent val="0"/>
          <c:showBubbleSize val="0"/>
        </c:dLbls>
        <c:gapWidth val="150"/>
        <c:shape val="box"/>
        <c:axId val="97805440"/>
        <c:axId val="97806976"/>
        <c:axId val="0"/>
      </c:bar3DChart>
      <c:catAx>
        <c:axId val="97805440"/>
        <c:scaling>
          <c:orientation val="minMax"/>
        </c:scaling>
        <c:delete val="0"/>
        <c:axPos val="b"/>
        <c:numFmt formatCode="General" sourceLinked="1"/>
        <c:majorTickMark val="out"/>
        <c:minorTickMark val="none"/>
        <c:tickLblPos val="nextTo"/>
        <c:crossAx val="97806976"/>
        <c:crosses val="autoZero"/>
        <c:auto val="1"/>
        <c:lblAlgn val="ctr"/>
        <c:lblOffset val="100"/>
        <c:noMultiLvlLbl val="0"/>
      </c:catAx>
      <c:valAx>
        <c:axId val="97806976"/>
        <c:scaling>
          <c:orientation val="minMax"/>
        </c:scaling>
        <c:delete val="0"/>
        <c:axPos val="l"/>
        <c:majorGridlines/>
        <c:numFmt formatCode="General" sourceLinked="1"/>
        <c:majorTickMark val="out"/>
        <c:minorTickMark val="none"/>
        <c:tickLblPos val="nextTo"/>
        <c:crossAx val="97805440"/>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Average Settlement Period for Trade Recievavles</c:v>
          </c:tx>
          <c:invertIfNegative val="0"/>
          <c:cat>
            <c:numRef>
              <c:f>Sheet1!$J$3:$K$3</c:f>
              <c:numCache>
                <c:formatCode>General</c:formatCode>
                <c:ptCount val="2"/>
                <c:pt idx="0">
                  <c:v>2020</c:v>
                </c:pt>
                <c:pt idx="1">
                  <c:v>2019</c:v>
                </c:pt>
              </c:numCache>
            </c:numRef>
          </c:cat>
          <c:val>
            <c:numRef>
              <c:f>Sheet1!$J$28:$K$28</c:f>
              <c:numCache>
                <c:formatCode>General</c:formatCode>
                <c:ptCount val="2"/>
                <c:pt idx="0">
                  <c:v>65</c:v>
                </c:pt>
                <c:pt idx="1">
                  <c:v>49</c:v>
                </c:pt>
              </c:numCache>
            </c:numRef>
          </c:val>
          <c:extLst>
            <c:ext xmlns:c16="http://schemas.microsoft.com/office/drawing/2014/chart" uri="{C3380CC4-5D6E-409C-BE32-E72D297353CC}">
              <c16:uniqueId val="{00000000-8554-854C-AA6D-2848C4609197}"/>
            </c:ext>
          </c:extLst>
        </c:ser>
        <c:ser>
          <c:idx val="1"/>
          <c:order val="1"/>
          <c:tx>
            <c:v>Average Settlement Period for Trade Payables</c:v>
          </c:tx>
          <c:invertIfNegative val="0"/>
          <c:cat>
            <c:numRef>
              <c:f>Sheet1!$J$3:$K$3</c:f>
              <c:numCache>
                <c:formatCode>General</c:formatCode>
                <c:ptCount val="2"/>
                <c:pt idx="0">
                  <c:v>2020</c:v>
                </c:pt>
                <c:pt idx="1">
                  <c:v>2019</c:v>
                </c:pt>
              </c:numCache>
            </c:numRef>
          </c:cat>
          <c:val>
            <c:numRef>
              <c:f>Sheet1!$J$29:$K$29</c:f>
              <c:numCache>
                <c:formatCode>General</c:formatCode>
                <c:ptCount val="2"/>
                <c:pt idx="0">
                  <c:v>549</c:v>
                </c:pt>
                <c:pt idx="1">
                  <c:v>394</c:v>
                </c:pt>
              </c:numCache>
            </c:numRef>
          </c:val>
          <c:extLst>
            <c:ext xmlns:c16="http://schemas.microsoft.com/office/drawing/2014/chart" uri="{C3380CC4-5D6E-409C-BE32-E72D297353CC}">
              <c16:uniqueId val="{00000001-8554-854C-AA6D-2848C4609197}"/>
            </c:ext>
          </c:extLst>
        </c:ser>
        <c:ser>
          <c:idx val="2"/>
          <c:order val="2"/>
          <c:tx>
            <c:v>Average Inventory Holding Period</c:v>
          </c:tx>
          <c:invertIfNegative val="0"/>
          <c:cat>
            <c:numRef>
              <c:f>Sheet1!$J$3:$K$3</c:f>
              <c:numCache>
                <c:formatCode>General</c:formatCode>
                <c:ptCount val="2"/>
                <c:pt idx="0">
                  <c:v>2020</c:v>
                </c:pt>
                <c:pt idx="1">
                  <c:v>2019</c:v>
                </c:pt>
              </c:numCache>
            </c:numRef>
          </c:cat>
          <c:val>
            <c:numRef>
              <c:f>Sheet1!$J$30:$K$30</c:f>
              <c:numCache>
                <c:formatCode>General</c:formatCode>
                <c:ptCount val="2"/>
                <c:pt idx="0">
                  <c:v>403</c:v>
                </c:pt>
                <c:pt idx="1">
                  <c:v>168</c:v>
                </c:pt>
              </c:numCache>
            </c:numRef>
          </c:val>
          <c:extLst>
            <c:ext xmlns:c16="http://schemas.microsoft.com/office/drawing/2014/chart" uri="{C3380CC4-5D6E-409C-BE32-E72D297353CC}">
              <c16:uniqueId val="{00000002-8554-854C-AA6D-2848C4609197}"/>
            </c:ext>
          </c:extLst>
        </c:ser>
        <c:ser>
          <c:idx val="3"/>
          <c:order val="3"/>
          <c:tx>
            <c:v>Working Capital Cycle</c:v>
          </c:tx>
          <c:invertIfNegative val="0"/>
          <c:cat>
            <c:numRef>
              <c:f>Sheet1!$J$3:$K$3</c:f>
              <c:numCache>
                <c:formatCode>General</c:formatCode>
                <c:ptCount val="2"/>
                <c:pt idx="0">
                  <c:v>2020</c:v>
                </c:pt>
                <c:pt idx="1">
                  <c:v>2019</c:v>
                </c:pt>
              </c:numCache>
            </c:numRef>
          </c:cat>
          <c:val>
            <c:numRef>
              <c:f>Sheet1!$J$31:$K$31</c:f>
              <c:numCache>
                <c:formatCode>General</c:formatCode>
                <c:ptCount val="2"/>
                <c:pt idx="0">
                  <c:v>81</c:v>
                </c:pt>
                <c:pt idx="1">
                  <c:v>177</c:v>
                </c:pt>
              </c:numCache>
            </c:numRef>
          </c:val>
          <c:extLst>
            <c:ext xmlns:c16="http://schemas.microsoft.com/office/drawing/2014/chart" uri="{C3380CC4-5D6E-409C-BE32-E72D297353CC}">
              <c16:uniqueId val="{00000003-8554-854C-AA6D-2848C4609197}"/>
            </c:ext>
          </c:extLst>
        </c:ser>
        <c:dLbls>
          <c:showLegendKey val="0"/>
          <c:showVal val="0"/>
          <c:showCatName val="0"/>
          <c:showSerName val="0"/>
          <c:showPercent val="0"/>
          <c:showBubbleSize val="0"/>
        </c:dLbls>
        <c:gapWidth val="150"/>
        <c:axId val="92496256"/>
        <c:axId val="92497792"/>
      </c:barChart>
      <c:catAx>
        <c:axId val="92496256"/>
        <c:scaling>
          <c:orientation val="minMax"/>
        </c:scaling>
        <c:delete val="0"/>
        <c:axPos val="b"/>
        <c:numFmt formatCode="General" sourceLinked="1"/>
        <c:majorTickMark val="out"/>
        <c:minorTickMark val="none"/>
        <c:tickLblPos val="nextTo"/>
        <c:crossAx val="92497792"/>
        <c:crosses val="autoZero"/>
        <c:auto val="1"/>
        <c:lblAlgn val="ctr"/>
        <c:lblOffset val="100"/>
        <c:noMultiLvlLbl val="0"/>
      </c:catAx>
      <c:valAx>
        <c:axId val="92497792"/>
        <c:scaling>
          <c:orientation val="minMax"/>
        </c:scaling>
        <c:delete val="0"/>
        <c:axPos val="l"/>
        <c:majorGridlines/>
        <c:numFmt formatCode="General" sourceLinked="1"/>
        <c:majorTickMark val="out"/>
        <c:minorTickMark val="none"/>
        <c:tickLblPos val="nextTo"/>
        <c:crossAx val="924962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dc:creator>
  <cp:lastModifiedBy>reza karim</cp:lastModifiedBy>
  <cp:revision>3</cp:revision>
  <dcterms:created xsi:type="dcterms:W3CDTF">2022-06-01T09:48:00Z</dcterms:created>
  <dcterms:modified xsi:type="dcterms:W3CDTF">2022-06-01T09:49:00Z</dcterms:modified>
</cp:coreProperties>
</file>