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宋体" w:hAnsi="宋体" w:eastAsia="宋体" w:cstheme="minorBidi"/>
          <w:kern w:val="2"/>
          <w:sz w:val="21"/>
          <w:szCs w:val="24"/>
          <w:lang w:val="en-US" w:eastAsia="zh-CN" w:bidi="ar-SA"/>
        </w:rPr>
        <w:id w:val="147453977"/>
        <w15:color w:val="DBDBDB"/>
        <w:docPartObj>
          <w:docPartGallery w:val="Table of Contents"/>
          <w:docPartUnique/>
        </w:docPartObj>
      </w:sdtPr>
      <w:sdtEndPr>
        <w:rPr>
          <w:rFonts w:hint="default" w:ascii="Times New Roman" w:hAnsi="Times New Roman" w:cs="Times New Roman" w:eastAsiaTheme="minorEastAsia"/>
          <w:b/>
          <w:kern w:val="2"/>
          <w:sz w:val="21"/>
          <w:szCs w:val="24"/>
          <w:lang w:val="en-US" w:eastAsia="zh-CN" w:bidi="ar-SA"/>
        </w:rPr>
      </w:sdtEndPr>
      <w:sdtContent>
        <w:tbl>
          <w:tblPr>
            <w:tblStyle w:val="5"/>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sz="12" w:space="0"/>
            </w:tblBorders>
            <w:tblLayout w:type="autofit"/>
            <w:tblCellMar>
              <w:top w:w="1296" w:type="dxa"/>
              <w:left w:w="360" w:type="dxa"/>
              <w:bottom w:w="1296" w:type="dxa"/>
              <w:right w:w="360" w:type="dxa"/>
            </w:tblCellMar>
          </w:tblPr>
          <w:tblGrid>
            <w:gridCol w:w="9026"/>
          </w:tblGrid>
          <w:tr>
            <w:tblPrEx>
              <w:tblBorders>
                <w:top w:val="none" w:color="auto" w:sz="0" w:space="0"/>
                <w:left w:val="none" w:color="auto" w:sz="0" w:space="0"/>
                <w:bottom w:val="none" w:color="auto" w:sz="0" w:space="0"/>
                <w:right w:val="none" w:color="auto" w:sz="0" w:space="0"/>
                <w:insideH w:val="none" w:color="auto" w:sz="0" w:space="0"/>
                <w:insideV w:val="single" w:color="ED7D31" w:sz="12" w:space="0"/>
              </w:tblBorders>
              <w:tblCellMar>
                <w:top w:w="1296" w:type="dxa"/>
                <w:left w:w="360" w:type="dxa"/>
                <w:bottom w:w="1296" w:type="dxa"/>
                <w:right w:w="360" w:type="dxa"/>
              </w:tblCellMar>
            </w:tblPrEx>
            <w:trPr>
              <w:jc w:val="center"/>
            </w:trPr>
            <w:tc>
              <w:tcPr>
                <w:tcW w:w="2568" w:type="pct"/>
                <w:vAlign w:val="center"/>
              </w:tcPr>
              <w:p>
                <w:pPr>
                  <w:spacing w:before="0" w:beforeLines="0" w:after="0" w:afterLines="0" w:line="240" w:lineRule="auto"/>
                  <w:ind w:left="0" w:leftChars="0" w:right="0" w:rightChars="0" w:firstLine="0" w:firstLineChars="0"/>
                  <w:jc w:val="center"/>
                  <w:rPr>
                    <w:rFonts w:ascii="Calibri" w:hAnsi="Calibri" w:eastAsia="等线" w:cs="Times New Roman"/>
                    <w:kern w:val="0"/>
                    <w:sz w:val="22"/>
                    <w:szCs w:val="22"/>
                    <w:lang w:val="en-GB"/>
                  </w:rPr>
                </w:pPr>
                <w:r>
                  <w:rPr>
                    <w:rFonts w:ascii="Calibri" w:hAnsi="Calibri" w:eastAsia="等线" w:cs="Times New Roman"/>
                    <w:kern w:val="0"/>
                    <w:sz w:val="22"/>
                    <w:szCs w:val="22"/>
                    <w:lang w:val="en-GB"/>
                  </w:rPr>
                  <w:drawing>
                    <wp:inline distT="0" distB="0" distL="0" distR="0">
                      <wp:extent cx="3064510" cy="3830955"/>
                      <wp:effectExtent l="0" t="0" r="2540" b="762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pPr>
                  <w:pStyle w:val="4"/>
                  <w:keepNext w:val="0"/>
                  <w:keepLines w:val="0"/>
                  <w:widowControl/>
                  <w:suppressLineNumbers w:val="0"/>
                  <w:spacing w:before="0" w:beforeAutospacing="0" w:after="0" w:afterAutospacing="0"/>
                  <w:ind w:right="0" w:firstLine="3654" w:firstLineChars="700"/>
                  <w:rPr>
                    <w:rFonts w:hint="default" w:eastAsiaTheme="minorEastAsia"/>
                    <w:b/>
                    <w:bCs/>
                    <w:sz w:val="52"/>
                    <w:szCs w:val="52"/>
                    <w:lang w:val="en-US" w:eastAsia="zh-CN"/>
                  </w:rPr>
                </w:pPr>
                <w:r>
                  <w:rPr>
                    <w:rFonts w:hint="eastAsia"/>
                    <w:b/>
                    <w:bCs/>
                    <w:sz w:val="52"/>
                    <w:szCs w:val="52"/>
                  </w:rPr>
                  <w:t xml:space="preserve">Strategic </w:t>
                </w:r>
                <w:r>
                  <w:rPr>
                    <w:rFonts w:hint="eastAsia"/>
                    <w:b/>
                    <w:bCs/>
                    <w:sz w:val="52"/>
                    <w:szCs w:val="52"/>
                    <w:lang w:val="en-US" w:eastAsia="zh-CN"/>
                  </w:rPr>
                  <w:t>Marketing</w:t>
                </w:r>
              </w:p>
              <w:p>
                <w:pPr>
                  <w:widowControl/>
                  <w:spacing w:after="160" w:line="259" w:lineRule="auto"/>
                  <w:jc w:val="right"/>
                  <w:rPr>
                    <w:rFonts w:ascii="Calibri" w:hAnsi="Calibri" w:eastAsia="等线" w:cs="Times New Roman"/>
                    <w:color w:val="000000"/>
                    <w:sz w:val="24"/>
                    <w:szCs w:val="24"/>
                    <w:lang w:val="en-GB" w:eastAsia="zh-CN" w:bidi="ar-SA"/>
                  </w:rPr>
                </w:pPr>
              </w:p>
              <w:p>
                <w:pPr>
                  <w:spacing w:line="360" w:lineRule="auto"/>
                  <w:contextualSpacing/>
                  <w:jc w:val="center"/>
                  <w:rPr>
                    <w:rFonts w:hint="eastAsia" w:ascii="Times New Roman" w:hAnsi="Times New Roman" w:cs="Times New Roman"/>
                    <w:sz w:val="24"/>
                    <w:szCs w:val="24"/>
                  </w:rPr>
                </w:pP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rPr>
                  <w:t xml:space="preserve">Report on the Environmental Analysis of </w:t>
                </w:r>
                <w:r>
                  <w:rPr>
                    <w:rFonts w:ascii="Times New Roman" w:hAnsi="Times New Roman" w:cs="Times New Roman"/>
                    <w:sz w:val="24"/>
                    <w:szCs w:val="24"/>
                  </w:rPr>
                  <w:t>Tesco</w:t>
                </w:r>
              </w:p>
              <w:p>
                <w:pPr>
                  <w:widowControl/>
                  <w:spacing w:after="160" w:line="259" w:lineRule="auto"/>
                  <w:jc w:val="right"/>
                  <w:rPr>
                    <w:rFonts w:hint="eastAsia" w:ascii="Calibri" w:hAnsi="Calibri" w:eastAsia="等线" w:cs="Times New Roman"/>
                    <w:color w:val="000000"/>
                    <w:kern w:val="0"/>
                    <w:sz w:val="24"/>
                    <w:szCs w:val="24"/>
                    <w:lang w:val="en-GB" w:eastAsia="zh-CN" w:bidi="ar-SA"/>
                  </w:rPr>
                </w:pPr>
                <w:sdt>
                  <w:sdtPr>
                    <w:rPr>
                      <w:rFonts w:ascii="Calibri" w:hAnsi="Calibri" w:eastAsia="等线" w:cs="Times New Roman"/>
                      <w:color w:val="000000"/>
                      <w:sz w:val="24"/>
                      <w:szCs w:val="24"/>
                      <w:lang w:val="en-GB" w:eastAsia="zh-CN" w:bidi="ar-SA"/>
                    </w:rPr>
                    <w:alias w:val="Subtitle"/>
                    <w:id w:val="1354072561"/>
                    <w:showingPlcHdr/>
                    <w:dataBinding w:prefixMappings="xmlns:ns0='http://purl.org/dc/elements/1.1/' xmlns:ns1='http://schemas.openxmlformats.org/package/2006/metadata/core-properties' " w:xpath="/ns1:coreProperties[1]/ns0:subject[1]" w:storeItemID="{6C3C8BC8-F283-45AE-878A-BAB7291924A1}"/>
                    <w:text/>
                  </w:sdtPr>
                  <w:sdtEndPr>
                    <w:rPr>
                      <w:rFonts w:ascii="Calibri" w:hAnsi="Calibri" w:eastAsia="等线" w:cs="Times New Roman"/>
                      <w:color w:val="000000"/>
                      <w:kern w:val="0"/>
                      <w:sz w:val="24"/>
                      <w:szCs w:val="24"/>
                      <w:lang w:val="en-GB" w:eastAsia="zh-CN" w:bidi="ar-SA"/>
                    </w:rPr>
                  </w:sdtEndPr>
                  <w:sdtContent/>
                </w:sdt>
              </w:p>
              <w:p>
                <w:pPr>
                  <w:widowControl/>
                  <w:wordWrap w:val="0"/>
                  <w:spacing w:after="160" w:line="259" w:lineRule="auto"/>
                  <w:jc w:val="right"/>
                  <w:rPr>
                    <w:rFonts w:hint="default" w:ascii="Calibri" w:hAnsi="Calibri" w:eastAsia="等线" w:cs="Times New Roman"/>
                    <w:color w:val="000000"/>
                    <w:kern w:val="0"/>
                    <w:sz w:val="24"/>
                    <w:szCs w:val="24"/>
                    <w:lang w:val="en-US" w:eastAsia="zh-CN" w:bidi="ar-SA"/>
                  </w:rPr>
                </w:pPr>
                <w:r>
                  <w:rPr>
                    <w:rFonts w:hint="default" w:ascii="Times New Roman" w:hAnsi="Times New Roman" w:eastAsia="等线" w:cs="Times New Roman"/>
                    <w:color w:val="000000"/>
                    <w:kern w:val="0"/>
                    <w:sz w:val="24"/>
                    <w:szCs w:val="24"/>
                    <w:lang w:val="en-US" w:eastAsia="zh-CN" w:bidi="ar-SA"/>
                  </w:rPr>
                  <w:t>Junyan Lan</w:t>
                </w:r>
              </w:p>
            </w:tc>
          </w:tr>
        </w:tbl>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kern w:val="2"/>
              <w:sz w:val="24"/>
              <w:szCs w:val="24"/>
              <w:lang w:val="en-US" w:eastAsia="zh-CN" w:bidi="ar-SA"/>
            </w:rPr>
            <w:sectPr>
              <w:pgSz w:w="11906" w:h="16838"/>
              <w:pgMar w:top="1440" w:right="1800" w:bottom="1440" w:left="1800" w:header="851" w:footer="992" w:gutter="0"/>
              <w:cols w:space="425" w:num="1"/>
              <w:docGrid w:type="lines" w:linePitch="312" w:charSpace="0"/>
            </w:sectPr>
          </w:pPr>
        </w:p>
        <w:p>
          <w:pPr>
            <w:spacing w:before="0" w:beforeLines="0" w:after="0" w:afterLines="0" w:line="240" w:lineRule="auto"/>
            <w:ind w:left="0" w:leftChars="0" w:right="0" w:rightChars="0" w:firstLine="0" w:firstLineChars="0"/>
            <w:jc w:val="center"/>
            <w:rPr>
              <w:rFonts w:hint="default" w:ascii="Times New Roman" w:hAnsi="Times New Roman" w:cs="Times New Roman"/>
              <w:sz w:val="24"/>
              <w:szCs w:val="24"/>
              <w:lang w:val="en-US"/>
            </w:rPr>
          </w:pPr>
          <w:r>
            <w:rPr>
              <w:rFonts w:hint="default" w:ascii="Times New Roman" w:hAnsi="Times New Roman" w:eastAsia="宋体" w:cs="Times New Roman"/>
              <w:kern w:val="2"/>
              <w:sz w:val="24"/>
              <w:szCs w:val="24"/>
              <w:lang w:val="en-US" w:eastAsia="zh-CN" w:bidi="ar-SA"/>
            </w:rPr>
            <w:t>Content</w:t>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"1-2" \h \u </w:instrText>
          </w:r>
          <w:r>
            <w:rPr>
              <w:rFonts w:hint="default" w:ascii="Times New Roman" w:hAnsi="Times New Roman" w:cs="Times New Roman"/>
              <w:sz w:val="24"/>
              <w:szCs w:val="24"/>
            </w:rPr>
            <w:fldChar w:fldCharType="separate"/>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_Toc27623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1.0 Introduction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_Toc27623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3</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_Toc6285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2</w:t>
          </w:r>
          <w:r>
            <w:rPr>
              <w:rFonts w:hint="default" w:ascii="Times New Roman" w:hAnsi="Times New Roman" w:cs="Times New Roman"/>
              <w:b/>
              <w:sz w:val="24"/>
              <w:szCs w:val="24"/>
            </w:rPr>
            <w:t>.0 External Environment Analysis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_Toc6285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3</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_Toc14699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3.0 PESTEL Analysis, Multifaceted Impact on Tesco</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_Toc14699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4</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_Toc27823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4</w:t>
          </w:r>
          <w:r>
            <w:rPr>
              <w:rFonts w:hint="default" w:ascii="Times New Roman" w:hAnsi="Times New Roman" w:cs="Times New Roman"/>
              <w:b/>
              <w:sz w:val="24"/>
              <w:szCs w:val="24"/>
            </w:rPr>
            <w:t>.0 Impact of Porter's Five Forces Model on TESCO Operations and Strategy</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_Toc27823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6</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_Toc26601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4.</w:t>
          </w:r>
          <w:r>
            <w:rPr>
              <w:rFonts w:hint="default" w:ascii="Times New Roman" w:hAnsi="Times New Roman" w:cs="Times New Roman"/>
              <w:sz w:val="24"/>
              <w:szCs w:val="24"/>
            </w:rPr>
            <w:t>1 Negotiating power of suppliers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_Toc26601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_Toc14936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4.2 Buyer's negotiating power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_Toc14936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_Toc11562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4.3 Threat of new entrants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_Toc11562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_Toc13063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4.4 Threat of substitutes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_Toc13063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_Toc28778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4.</w:t>
          </w:r>
          <w:r>
            <w:rPr>
              <w:rFonts w:hint="default" w:ascii="Times New Roman" w:hAnsi="Times New Roman" w:cs="Times New Roman"/>
              <w:sz w:val="24"/>
              <w:szCs w:val="24"/>
            </w:rPr>
            <w:t>5 Level of competition from industry competitors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_Toc28778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_Toc19839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5</w:t>
          </w:r>
          <w:r>
            <w:rPr>
              <w:rFonts w:hint="default" w:ascii="Times New Roman" w:hAnsi="Times New Roman" w:cs="Times New Roman"/>
              <w:b/>
              <w:sz w:val="24"/>
              <w:szCs w:val="24"/>
            </w:rPr>
            <w:t>.0 Analysis of Porter's Value Chain Model</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_Toc19839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7</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_Toc12274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5</w:t>
          </w:r>
          <w:r>
            <w:rPr>
              <w:rFonts w:hint="default" w:ascii="Times New Roman" w:hAnsi="Times New Roman" w:cs="Times New Roman"/>
              <w:sz w:val="24"/>
              <w:szCs w:val="24"/>
            </w:rPr>
            <w:t>.1 Primary activities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_Toc12274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_Toc12084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5</w:t>
          </w:r>
          <w:r>
            <w:rPr>
              <w:rFonts w:hint="default" w:ascii="Times New Roman" w:hAnsi="Times New Roman" w:cs="Times New Roman"/>
              <w:sz w:val="24"/>
              <w:szCs w:val="24"/>
            </w:rPr>
            <w:t>.2 Support activities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_Toc12084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_Toc17034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6.0 Analysis of McKinsey's 7S Model</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_Toc17034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9</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_Toc1641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7</w:t>
          </w:r>
          <w:r>
            <w:rPr>
              <w:rFonts w:hint="default" w:ascii="Times New Roman" w:hAnsi="Times New Roman" w:cs="Times New Roman"/>
              <w:b/>
              <w:sz w:val="24"/>
              <w:szCs w:val="24"/>
            </w:rPr>
            <w:t>.0 Analysis of the internal environment</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_Toc1641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10</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_Toc28059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8</w:t>
          </w:r>
          <w:r>
            <w:rPr>
              <w:rFonts w:hint="default" w:ascii="Times New Roman" w:hAnsi="Times New Roman" w:cs="Times New Roman"/>
              <w:b/>
              <w:sz w:val="24"/>
              <w:szCs w:val="24"/>
            </w:rPr>
            <w:t>.0 SWOT analysis: strengths and weaknesses of Tesco in the marketplace</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_Toc28059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11</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_Toc23110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8</w:t>
          </w:r>
          <w:r>
            <w:rPr>
              <w:rFonts w:hint="default" w:ascii="Times New Roman" w:hAnsi="Times New Roman" w:cs="Times New Roman"/>
              <w:sz w:val="24"/>
              <w:szCs w:val="24"/>
            </w:rPr>
            <w:t>.1 Strengths.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_Toc23110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_Toc15724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8</w:t>
          </w:r>
          <w:r>
            <w:rPr>
              <w:rFonts w:hint="default" w:ascii="Times New Roman" w:hAnsi="Times New Roman" w:cs="Times New Roman"/>
              <w:sz w:val="24"/>
              <w:szCs w:val="24"/>
            </w:rPr>
            <w:t>.2 Disadvantages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_Toc15724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_Toc10422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8</w:t>
          </w:r>
          <w:r>
            <w:rPr>
              <w:rFonts w:hint="default" w:ascii="Times New Roman" w:hAnsi="Times New Roman" w:cs="Times New Roman"/>
              <w:sz w:val="24"/>
              <w:szCs w:val="24"/>
            </w:rPr>
            <w:t>.3 Opportunities for Tesco in the marketplace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_Toc10422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_Toc14354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8</w:t>
          </w:r>
          <w:r>
            <w:rPr>
              <w:rFonts w:hint="default" w:ascii="Times New Roman" w:hAnsi="Times New Roman" w:cs="Times New Roman"/>
              <w:sz w:val="24"/>
              <w:szCs w:val="24"/>
            </w:rPr>
            <w:t>.4 Threats faced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_Toc14354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_Toc10245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9</w:t>
          </w:r>
          <w:r>
            <w:rPr>
              <w:rFonts w:hint="default" w:ascii="Times New Roman" w:hAnsi="Times New Roman" w:cs="Times New Roman"/>
              <w:b/>
              <w:sz w:val="24"/>
              <w:szCs w:val="24"/>
            </w:rPr>
            <w:t>.0 Recommendations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_Toc10245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14</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_Toc2312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lang w:val="en-US" w:eastAsia="zh-CN"/>
            </w:rPr>
            <w:t>10</w:t>
          </w:r>
          <w:r>
            <w:rPr>
              <w:rFonts w:hint="default" w:ascii="Times New Roman" w:hAnsi="Times New Roman" w:cs="Times New Roman"/>
              <w:b/>
              <w:sz w:val="24"/>
              <w:szCs w:val="24"/>
            </w:rPr>
            <w:t>.0 Conclusions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_Toc2312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15</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pStyle w:val="8"/>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_Toc29333 </w:instrText>
          </w:r>
          <w:r>
            <w:rPr>
              <w:rFonts w:hint="default" w:ascii="Times New Roman" w:hAnsi="Times New Roman" w:cs="Times New Roman"/>
              <w:b/>
              <w:sz w:val="24"/>
              <w:szCs w:val="24"/>
            </w:rPr>
            <w:fldChar w:fldCharType="separate"/>
          </w:r>
          <w:r>
            <w:rPr>
              <w:rFonts w:hint="default" w:ascii="Times New Roman" w:hAnsi="Times New Roman" w:cs="Times New Roman"/>
              <w:b/>
              <w:bCs/>
              <w:sz w:val="24"/>
              <w:szCs w:val="24"/>
            </w:rPr>
            <w:t>References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_Toc29333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15</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pPr>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b/>
              <w:sz w:val="24"/>
              <w:szCs w:val="24"/>
            </w:rPr>
            <w:fldChar w:fldCharType="end"/>
          </w:r>
        </w:p>
      </w:sdtContent>
    </w:sdt>
    <w:p>
      <w:pPr>
        <w:rPr>
          <w:rFonts w:hint="default" w:ascii="Times New Roman" w:hAnsi="Times New Roman" w:cs="Times New Roman"/>
          <w:b/>
          <w:bCs/>
          <w:sz w:val="24"/>
          <w:szCs w:val="24"/>
        </w:rPr>
      </w:pPr>
      <w:r>
        <w:rPr>
          <w:rFonts w:hint="default" w:ascii="Times New Roman" w:hAnsi="Times New Roman" w:cs="Times New Roman"/>
          <w:b/>
          <w:bCs/>
          <w:sz w:val="24"/>
          <w:szCs w:val="24"/>
        </w:rPr>
        <w:t>Executive Summary</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This report will provide an in-depth analysis of the current and future internal and external environment of Tesco Supermarkets in the UK. The report will use theoretical tools such as the PESTEL model, SWOT model, McKinsey's 7S model and Porter's value chain model for the analysis. The objective of the report is to help Tesco better understand the challenges and opportunities it faces in order to develop effective strategies to address global economic challenges.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PESTEL model will help us understand the macro-environmental factors affecting Tesco, including political, economic, social, technological, environmental and legal factors.</w:t>
      </w:r>
    </w:p>
    <w:p>
      <w:pPr>
        <w:rPr>
          <w:rFonts w:hint="default" w:ascii="Times New Roman" w:hAnsi="Times New Roman" w:cs="Times New Roman"/>
          <w:sz w:val="24"/>
          <w:szCs w:val="24"/>
        </w:rPr>
      </w:pPr>
      <w:r>
        <w:rPr>
          <w:rFonts w:hint="default" w:ascii="Times New Roman" w:hAnsi="Times New Roman" w:cs="Times New Roman"/>
          <w:sz w:val="24"/>
          <w:szCs w:val="24"/>
        </w:rPr>
        <w:t>The SWOT model will help us identify Tesco's strengths, weaknesses, and the opportunities and threats it faces.</w:t>
      </w:r>
    </w:p>
    <w:p>
      <w:pPr>
        <w:rPr>
          <w:rFonts w:hint="default" w:ascii="Times New Roman" w:hAnsi="Times New Roman" w:cs="Times New Roman"/>
          <w:sz w:val="24"/>
          <w:szCs w:val="24"/>
        </w:rPr>
      </w:pPr>
      <w:r>
        <w:rPr>
          <w:rFonts w:hint="default" w:ascii="Times New Roman" w:hAnsi="Times New Roman" w:cs="Times New Roman"/>
          <w:sz w:val="24"/>
          <w:szCs w:val="24"/>
        </w:rPr>
        <w:t>McKinsey's 7S model will help us to assess and improve Tesco's organisational effectiveness including its strategy, structure, systems, shared values, skills, styles and people.</w:t>
      </w:r>
    </w:p>
    <w:p>
      <w:pPr>
        <w:rPr>
          <w:rFonts w:hint="default" w:ascii="Times New Roman" w:hAnsi="Times New Roman" w:cs="Times New Roman"/>
          <w:sz w:val="24"/>
          <w:szCs w:val="24"/>
        </w:rPr>
      </w:pPr>
      <w:r>
        <w:rPr>
          <w:rFonts w:hint="default" w:ascii="Times New Roman" w:hAnsi="Times New Roman" w:cs="Times New Roman"/>
          <w:sz w:val="24"/>
          <w:szCs w:val="24"/>
        </w:rPr>
        <w:t>Porter's value chain model will help us identify and optimise Tesco's internal activities to create value and gain competitive advantage.</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Through these analyses we will be able to provide a number of recommendations specific to Tesco to help it meet the challenges of the global economy and improve its competitiveness. This report will provide Tesco's management with valuable insights to help them make more informed decisions. Finally, the report will summarise all the findings and recommendations and provide some directions for future research.</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bidi w:val="0"/>
        <w:rPr>
          <w:rFonts w:hint="default" w:ascii="Times New Roman" w:hAnsi="Times New Roman" w:cs="Times New Roman"/>
          <w:sz w:val="24"/>
          <w:szCs w:val="24"/>
        </w:rPr>
      </w:pPr>
      <w:bookmarkStart w:id="0" w:name="_Toc27623"/>
      <w:r>
        <w:rPr>
          <w:rFonts w:hint="default" w:ascii="Times New Roman" w:hAnsi="Times New Roman" w:cs="Times New Roman"/>
          <w:sz w:val="24"/>
          <w:szCs w:val="24"/>
        </w:rPr>
        <w:t>1.0 Introduction</w:t>
      </w:r>
      <w:bookmarkEnd w:id="0"/>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Tesco is the largest retailer in the United Kingdom and one of the largest in the world.Tesco has more than 3,400 shops around the world offering a wide range of goods including food, drink, household goods, clothing and so on. In addition, Tesco also provides financial and telecommunication services.Tesco's aim is to provide consumers with high quality goods at affordable prices in order to satisfy their needs.</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report will provide an in-depth analysis of the internal and external environment of Tesco Supermarkets in the UK to help it cope with the global economic challenges. We will use theoretical tools such as PESTEL model, SWOT model, McKinsey's 7S model and Porter's value chain model, Porter's five forces model to conduct the analysis. These analyses will provide Tesco with valuable recommendations that will help it to develop an effective strategy to improve its competitiveness in the market. The next sections will present these analyses in detail. Finally, we will summarise all the findings and recommendations and provide some directions for future research.</w:t>
      </w:r>
    </w:p>
    <w:p>
      <w:pPr>
        <w:rPr>
          <w:rFonts w:hint="eastAsia" w:ascii="Times New Roman" w:hAnsi="Times New Roman" w:cs="Times New Roman"/>
          <w:sz w:val="24"/>
          <w:szCs w:val="24"/>
          <w:lang w:val="en-US" w:eastAsia="zh-CN"/>
        </w:rPr>
      </w:pPr>
    </w:p>
    <w:p>
      <w:pPr>
        <w:pStyle w:val="2"/>
        <w:bidi w:val="0"/>
        <w:rPr>
          <w:rFonts w:hint="default" w:ascii="Times New Roman" w:hAnsi="Times New Roman" w:cs="Times New Roman"/>
          <w:sz w:val="24"/>
          <w:szCs w:val="24"/>
        </w:rPr>
      </w:pPr>
      <w:bookmarkStart w:id="1" w:name="_Toc6285"/>
      <w:r>
        <w:rPr>
          <w:rFonts w:hint="default" w:ascii="Times New Roman" w:hAnsi="Times New Roman" w:cs="Times New Roman"/>
          <w:sz w:val="24"/>
          <w:szCs w:val="24"/>
          <w:lang w:val="en-US" w:eastAsia="zh-CN"/>
        </w:rPr>
        <w:t>2</w:t>
      </w:r>
      <w:r>
        <w:rPr>
          <w:rFonts w:hint="default" w:ascii="Times New Roman" w:hAnsi="Times New Roman" w:cs="Times New Roman"/>
          <w:sz w:val="24"/>
          <w:szCs w:val="24"/>
        </w:rPr>
        <w:t>.0 External Environment Analysis</w:t>
      </w:r>
      <w:bookmarkEnd w:id="1"/>
    </w:p>
    <w:p>
      <w:pPr>
        <w:rPr>
          <w:rFonts w:hint="default" w:ascii="Times New Roman" w:hAnsi="Times New Roman" w:cs="Times New Roman"/>
          <w:sz w:val="24"/>
          <w:szCs w:val="24"/>
        </w:rPr>
      </w:pPr>
      <w:r>
        <w:rPr>
          <w:rFonts w:hint="default" w:ascii="Times New Roman" w:hAnsi="Times New Roman" w:cs="Times New Roman"/>
          <w:sz w:val="24"/>
          <w:szCs w:val="24"/>
        </w:rPr>
        <w:t>Industry trends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retail industry is undergoing a digitisation-driven transformation. More and more consumers are choosing to shop online, which creates challenges for traditional brick-and-mortar retail shops. However, it also creates opportunities for retailers who are able to adapt to this change. For example, Tesco can appeal to these online consumer experiences by refining its online shopping system (Gaille B, 2021).</w:t>
      </w:r>
    </w:p>
    <w:p>
      <w:pPr>
        <w:rPr>
          <w:rFonts w:hint="default" w:ascii="Times New Roman" w:hAnsi="Times New Roman" w:cs="Times New Roman"/>
          <w:sz w:val="24"/>
          <w:szCs w:val="24"/>
        </w:rPr>
      </w:pPr>
      <w:r>
        <w:rPr>
          <w:rFonts w:hint="default" w:ascii="Times New Roman" w:hAnsi="Times New Roman" w:cs="Times New Roman"/>
          <w:sz w:val="24"/>
          <w:szCs w:val="24"/>
        </w:rPr>
        <w:t>In addition, consumers are increasingly concerned about sustainability and social responsibility. This requires retailers to take environmental and social considerations into account in their operations. For example, Tesco can fulfil these consumer demands by offering greener products or improving supply chain management (Sheffield, 2022).</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Market Dynamics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UK retail market is highly competitive and Tesco needs to face competition from other hypermarkets and online retailers. In addition, consumers' shopping habits and needs are constantly changing, which requires Tesco to quickly adapt to market changes (Yuquan, W. 2018).</w:t>
      </w:r>
    </w:p>
    <w:p>
      <w:pPr>
        <w:rPr>
          <w:rFonts w:hint="default" w:ascii="Times New Roman" w:hAnsi="Times New Roman" w:cs="Times New Roman"/>
          <w:sz w:val="24"/>
          <w:szCs w:val="24"/>
        </w:rPr>
      </w:pPr>
    </w:p>
    <w:p>
      <w:pPr>
        <w:outlineLvl w:val="1"/>
        <w:rPr>
          <w:rFonts w:hint="default" w:ascii="Times New Roman" w:hAnsi="Times New Roman" w:cs="Times New Roman"/>
          <w:sz w:val="24"/>
          <w:szCs w:val="24"/>
        </w:rPr>
      </w:pPr>
      <w:bookmarkStart w:id="2" w:name="_Toc25163"/>
      <w:r>
        <w:rPr>
          <w:rFonts w:hint="default" w:ascii="Times New Roman" w:hAnsi="Times New Roman" w:cs="Times New Roman"/>
          <w:sz w:val="24"/>
          <w:szCs w:val="24"/>
        </w:rPr>
        <w:t>Competitor Analysis</w:t>
      </w:r>
      <w:bookmarkEnd w:id="2"/>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Tesco's main competitors include other large supermarkets such as Asda, Sainsbury's and Morrisons as well as online retailers like Amazon (Mugo, P. 2020). In order to succeed in the competitive market, Tesco needs to provide better products and services to stand out from other supermarkets.</w:t>
      </w:r>
    </w:p>
    <w:p>
      <w:pPr>
        <w:rPr>
          <w:rFonts w:hint="eastAsia" w:ascii="Times New Roman" w:hAnsi="Times New Roman" w:cs="Times New Roman"/>
          <w:sz w:val="24"/>
          <w:szCs w:val="24"/>
          <w:lang w:val="en-US" w:eastAsia="zh-CN"/>
        </w:rPr>
      </w:pPr>
    </w:p>
    <w:p>
      <w:pPr>
        <w:pStyle w:val="2"/>
        <w:bidi w:val="0"/>
        <w:rPr>
          <w:rFonts w:hint="default" w:ascii="Times New Roman" w:hAnsi="Times New Roman" w:cs="Times New Roman"/>
          <w:sz w:val="24"/>
          <w:szCs w:val="24"/>
          <w:lang w:val="en-US" w:eastAsia="zh-CN"/>
        </w:rPr>
      </w:pPr>
      <w:bookmarkStart w:id="3" w:name="_Toc14699"/>
      <w:r>
        <w:rPr>
          <w:rFonts w:hint="default" w:ascii="Times New Roman" w:hAnsi="Times New Roman" w:cs="Times New Roman"/>
          <w:sz w:val="24"/>
          <w:szCs w:val="24"/>
          <w:lang w:val="en-US" w:eastAsia="zh-CN"/>
        </w:rPr>
        <w:t>3.0 PESTEL Analysis, Multifaceted Impact on Tesco</w:t>
      </w:r>
      <w:bookmarkEnd w:id="3"/>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PESTEL model is a macro-environmental analysis tool used to understand the causes of market growth or decline and external environmental factors such as business location, potential and direction. It is an acronym for Political, Economic, Social, Technological, Environmental and Legal. By using the PESTEL model, Tesco can identify and understand the key external factors affecting the business in order to develop an effective strategic direction. This can help Tesco to adapt and respond to the changing business environment and ensure that it remains competitive in the highly competitive supermarket industry.</w:t>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Political factors</w:t>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Political factors can have some impact on Tesco's operations. For example, the UK's exit from the European Union may affect Tesco's supply chain as Brexit may lead to an increase in tariffs on imported goods, which will increase Tesco's cost of sales. In addition, government policies on retailing, such as food safety regulations and environmental regulations, may also affect Tesco's operations. For example, the UK government implemented a policy known as the "sugar tax" in 2018, which resulted in Tesco adjusting the formulation and pricing of its drinks products (Annual Report 2023).</w:t>
      </w: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Economic factors</w:t>
      </w:r>
    </w:p>
    <w:p>
      <w:pPr>
        <w:rPr>
          <w:rFonts w:hint="default" w:ascii="Times New Roman" w:hAnsi="Times New Roman" w:cs="Times New Roman"/>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Economic factors include the rate of inflation, unemployment and consumer confidence, all of which affect consumers' purchasing power and willingness to buy. For example, a recession due to the New Crown epidemic in 2020 may cause consumers to reduce their purchases, which could negatively affect Tesco's sales. In fact, according to Tesco's financial report, Tesco's sales in 2020 did suffer a certain amount compared to before</w:t>
      </w:r>
      <w:r>
        <w:rPr>
          <w:rFonts w:hint="eastAsia"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Kucharska, B., Twardzik, M. and Dolega, L. 2019</w:t>
      </w:r>
      <w:r>
        <w:rPr>
          <w:rFonts w:hint="eastAsia"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Social factors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Social factors include demographics, consumer attitudes and lifestyle changes. For example, as health awareness increases, consumers may be more inclined to buy organic and healthy food, which will require Tesco to adapt its product lines to meet consumer demand</w:t>
      </w:r>
      <w:r>
        <w:rPr>
          <w:rFonts w:hint="eastAsia"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Ranis Cheng; Fernando Lourenco,2016</w:t>
      </w:r>
      <w:r>
        <w:rPr>
          <w:rFonts w:hint="eastAsia"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 Indeed, Tesco has launched a range of organic products and sales of these products have been growing in recent years.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Technological factors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Technological developments and innovations have also had a significant impact on Tesco's operations. For example, the development of e-commerce has enabled Tesco to sell goods through online platforms that offer a more convenient shopping experience. Indeed, Tesco has established its own online shopping platform to facilitate consumer shopping and has seen a significant increase in Tesco's online sales during the outbreak</w:t>
      </w:r>
      <w:r>
        <w:rPr>
          <w:rFonts w:hint="eastAsia"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Sheilagh Resnick,2023</w:t>
      </w:r>
      <w:r>
        <w:rPr>
          <w:rFonts w:hint="eastAsia"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 In addition, the application of big data and artificial intelligence can help Tesco better understand consumer needs and conduct accurate marketing.</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Environmental factors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Environmental factors include climate change, natural disasters, etc. For example, climate change may affect the yield and quality of crops, which may affect Tesco's supply chain. In addition, Tesco also needs to look at the environmental impact of its operations in order to meet society's expectations of sustainability. Indeed, Tesco has committed to achieving zero carbon emissions by 2050 and has already implemented a number of environmental measures in its supply chain</w:t>
      </w:r>
      <w:r>
        <w:rPr>
          <w:rFonts w:hint="eastAsia" w:ascii="Times New Roman" w:hAnsi="Times New Roman" w:cs="Times New Roman"/>
          <w:color w:val="auto"/>
          <w:sz w:val="24"/>
          <w:szCs w:val="24"/>
          <w:lang w:val="en-US" w:eastAsia="zh-CN"/>
        </w:rPr>
        <w:t>(</w:t>
      </w:r>
      <w:r>
        <w:rPr>
          <w:rFonts w:hint="eastAsia" w:ascii="Times New Roman" w:hAnsi="Times New Roman" w:eastAsia="宋体" w:cs="Times New Roman"/>
          <w:i w:val="0"/>
          <w:iCs w:val="0"/>
          <w:color w:val="auto"/>
          <w:sz w:val="24"/>
          <w:szCs w:val="24"/>
          <w:u w:val="none"/>
          <w:lang w:val="en-US" w:eastAsia="zh-CN"/>
        </w:rPr>
        <w:t>Cheng, R,</w:t>
      </w:r>
      <w:r>
        <w:rPr>
          <w:rFonts w:hint="default" w:ascii="Times New Roman" w:hAnsi="Times New Roman" w:eastAsia="宋体" w:cs="Times New Roman"/>
          <w:i w:val="0"/>
          <w:iCs w:val="0"/>
          <w:color w:val="auto"/>
          <w:sz w:val="24"/>
          <w:szCs w:val="24"/>
          <w:u w:val="none"/>
          <w:lang w:val="en-US" w:eastAsia="zh-CN"/>
        </w:rPr>
        <w:t>,2023</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Legal factors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Legal factors include various laws and regulations that are relevant to Tesco's business. For example, labour laws may affect Tesco's human resource management, health and safety regulations may require Tesco to provide a safer working environment and consumer protection laws may affect the quality of Tesco's products and services</w:t>
      </w:r>
      <w:r>
        <w:rPr>
          <w:rFonts w:hint="eastAsia" w:ascii="Times New Roman" w:hAnsi="Times New Roman" w:cs="Times New Roman"/>
          <w:color w:val="auto"/>
          <w:sz w:val="24"/>
          <w:szCs w:val="24"/>
          <w:lang w:val="en-US" w:eastAsia="zh-CN"/>
        </w:rPr>
        <w:t>(</w:t>
      </w:r>
      <w:r>
        <w:rPr>
          <w:rFonts w:hint="eastAsia" w:ascii="Times New Roman" w:hAnsi="Times New Roman" w:eastAsia="宋体" w:cs="Times New Roman"/>
          <w:i w:val="0"/>
          <w:iCs w:val="0"/>
          <w:color w:val="auto"/>
          <w:sz w:val="24"/>
          <w:szCs w:val="24"/>
          <w:u w:val="none"/>
          <w:lang w:val="en-US" w:eastAsia="zh-CN"/>
        </w:rPr>
        <w:t>Qi Tian</w:t>
      </w:r>
      <w:r>
        <w:rPr>
          <w:rFonts w:hint="default" w:ascii="Times New Roman" w:hAnsi="Times New Roman" w:eastAsia="宋体" w:cs="Times New Roman"/>
          <w:i w:val="0"/>
          <w:iCs w:val="0"/>
          <w:color w:val="auto"/>
          <w:sz w:val="24"/>
          <w:szCs w:val="24"/>
          <w:u w:val="none"/>
          <w:lang w:val="en-US" w:eastAsia="zh-CN"/>
        </w:rPr>
        <w:t>,202</w:t>
      </w:r>
      <w:r>
        <w:rPr>
          <w:rFonts w:hint="eastAsia" w:ascii="Times New Roman" w:hAnsi="Times New Roman" w:eastAsia="宋体" w:cs="Times New Roman"/>
          <w:i w:val="0"/>
          <w:iCs w:val="0"/>
          <w:color w:val="auto"/>
          <w:sz w:val="24"/>
          <w:szCs w:val="24"/>
          <w:u w:val="none"/>
          <w:lang w:val="en-US" w:eastAsia="zh-CN"/>
        </w:rPr>
        <w:t>1</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cs="Times New Roman"/>
          <w:color w:val="auto"/>
          <w:sz w:val="24"/>
          <w:szCs w:val="24"/>
        </w:rPr>
        <w:t>. For example, in 2013, Tesco suffered a consumer boycott due to the horsemeat scandal, which led Tesco to improve its supply chain management to ensure the quality of its products.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Finally the PESTEL analysis allows us to draw the following key findings about Tesco:</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Brexit may have an impact on Tesco's cost of imported goods which will require Tesco to make strategic adjustments to cope with possible trade changes.</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recession could lead to a reduction in consumer shopping which could have an impact on Tesco's sales.Tesco will need to find new growth areas to offset this impact.</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As consumer demand for healthier food increases, Tesco will need to adapt its product lines to increase the availability of organic and gluten-free products.</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use of data analytics can help Tesco to better understand consumer shopping habits so that it can optimise its products and services.</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 needs to consider the environmental impact of its operations and may need to take steps to reduce its carbon footprint.</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 needs to ensure that its shops comply with all health and safety regulations to avoid legal risks.</w:t>
      </w:r>
    </w:p>
    <w:p>
      <w:pPr>
        <w:rPr>
          <w:rFonts w:hint="default" w:ascii="Times New Roman" w:hAnsi="Times New Roman" w:cs="Times New Roman"/>
          <w:color w:val="auto"/>
          <w:sz w:val="24"/>
          <w:szCs w:val="24"/>
        </w:rPr>
      </w:pPr>
    </w:p>
    <w:p>
      <w:pPr>
        <w:pStyle w:val="2"/>
        <w:bidi w:val="0"/>
        <w:rPr>
          <w:rFonts w:hint="default" w:ascii="Times New Roman" w:hAnsi="Times New Roman" w:cs="Times New Roman"/>
          <w:color w:val="auto"/>
          <w:sz w:val="24"/>
          <w:szCs w:val="24"/>
        </w:rPr>
      </w:pPr>
      <w:bookmarkStart w:id="4" w:name="_Toc27823"/>
      <w:r>
        <w:rPr>
          <w:rFonts w:hint="default" w:ascii="Times New Roman" w:hAnsi="Times New Roman" w:cs="Times New Roman"/>
          <w:color w:val="auto"/>
          <w:sz w:val="24"/>
          <w:szCs w:val="24"/>
          <w:lang w:val="en-US" w:eastAsia="zh-CN"/>
        </w:rPr>
        <w:t>4</w:t>
      </w:r>
      <w:r>
        <w:rPr>
          <w:rFonts w:hint="default" w:ascii="Times New Roman" w:hAnsi="Times New Roman" w:cs="Times New Roman"/>
          <w:color w:val="auto"/>
          <w:sz w:val="24"/>
          <w:szCs w:val="24"/>
        </w:rPr>
        <w:t>.0 Impact of Porter's Five Forces Model on TESCO Operations and Strategy</w:t>
      </w:r>
      <w:bookmarkEnd w:id="4"/>
    </w:p>
    <w:p>
      <w:pPr>
        <w:rPr>
          <w:rFonts w:hint="default" w:ascii="Times New Roman" w:hAnsi="Times New Roman" w:cs="Times New Roman"/>
          <w:color w:val="auto"/>
          <w:sz w:val="24"/>
          <w:szCs w:val="24"/>
        </w:rPr>
      </w:pPr>
    </w:p>
    <w:p>
      <w:pPr>
        <w:pStyle w:val="3"/>
        <w:bidi w:val="0"/>
        <w:outlineLvl w:val="0"/>
        <w:rPr>
          <w:rFonts w:hint="default" w:ascii="Times New Roman" w:hAnsi="Times New Roman" w:cs="Times New Roman"/>
          <w:color w:val="auto"/>
          <w:sz w:val="24"/>
          <w:szCs w:val="24"/>
        </w:rPr>
      </w:pPr>
      <w:bookmarkStart w:id="5" w:name="_Toc26601"/>
      <w:r>
        <w:rPr>
          <w:rFonts w:hint="default" w:ascii="Times New Roman" w:hAnsi="Times New Roman" w:cs="Times New Roman"/>
          <w:color w:val="auto"/>
          <w:sz w:val="24"/>
          <w:szCs w:val="24"/>
          <w:lang w:val="en-US" w:eastAsia="zh-CN"/>
        </w:rPr>
        <w:t>4.</w:t>
      </w:r>
      <w:r>
        <w:rPr>
          <w:rFonts w:hint="default" w:ascii="Times New Roman" w:hAnsi="Times New Roman" w:cs="Times New Roman"/>
          <w:color w:val="auto"/>
          <w:sz w:val="24"/>
          <w:szCs w:val="24"/>
        </w:rPr>
        <w:t>1 Negotiating power of suppliers</w:t>
      </w:r>
      <w:bookmarkEnd w:id="5"/>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 as one of the largest retailers in the UK, has greater negotiating power over its suppliers. This enables Tesco to obtain better terms in price negotiations with suppliers and also provides Tesco with greater market influence. In addition, suppliers are reluctant to lose a large customer such as Tesco due to Tesco's large market share. However, this also means that Tesco needs to manage its relationship with its suppliers in order to maintain a stable supply.</w:t>
      </w:r>
    </w:p>
    <w:p>
      <w:pPr>
        <w:rPr>
          <w:rFonts w:hint="default" w:ascii="Times New Roman" w:hAnsi="Times New Roman" w:cs="Times New Roman"/>
          <w:color w:val="auto"/>
          <w:sz w:val="24"/>
          <w:szCs w:val="24"/>
        </w:rPr>
      </w:pPr>
    </w:p>
    <w:p>
      <w:pPr>
        <w:pStyle w:val="3"/>
        <w:bidi w:val="0"/>
        <w:outlineLvl w:val="0"/>
        <w:rPr>
          <w:rFonts w:hint="default" w:ascii="Times New Roman" w:hAnsi="Times New Roman" w:cs="Times New Roman"/>
          <w:color w:val="auto"/>
          <w:sz w:val="24"/>
          <w:szCs w:val="24"/>
        </w:rPr>
      </w:pPr>
      <w:bookmarkStart w:id="6" w:name="_Toc14936"/>
      <w:r>
        <w:rPr>
          <w:rFonts w:hint="default" w:ascii="Times New Roman" w:hAnsi="Times New Roman" w:cs="Times New Roman"/>
          <w:color w:val="auto"/>
          <w:sz w:val="24"/>
          <w:szCs w:val="24"/>
        </w:rPr>
        <w:t>4.2 Buyer's negotiating power</w:t>
      </w:r>
      <w:bookmarkEnd w:id="6"/>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Consumers have relatively weak negotiating power with Tesco. Because Tesco offers a wide range of goods, it is difficult for consumers to find identical substitutes. In addition, Tesco's pricing strategy also makes it difficult for consumers to bargain through negotiation. However, high pricing this also means that Tesco needs to constantly improve the quality of its products and services in order to satisfy the consumers (Roth, K. 2022).</w:t>
      </w:r>
    </w:p>
    <w:p>
      <w:pPr>
        <w:rPr>
          <w:rFonts w:hint="default" w:ascii="Times New Roman" w:hAnsi="Times New Roman" w:cs="Times New Roman"/>
          <w:color w:val="auto"/>
          <w:sz w:val="24"/>
          <w:szCs w:val="24"/>
        </w:rPr>
      </w:pPr>
    </w:p>
    <w:p>
      <w:pPr>
        <w:pStyle w:val="3"/>
        <w:bidi w:val="0"/>
        <w:outlineLvl w:val="0"/>
        <w:rPr>
          <w:rFonts w:hint="default" w:ascii="Times New Roman" w:hAnsi="Times New Roman" w:cs="Times New Roman"/>
          <w:color w:val="auto"/>
          <w:sz w:val="24"/>
          <w:szCs w:val="24"/>
        </w:rPr>
      </w:pPr>
      <w:bookmarkStart w:id="7" w:name="_Toc11562"/>
      <w:r>
        <w:rPr>
          <w:rFonts w:hint="default" w:ascii="Times New Roman" w:hAnsi="Times New Roman" w:cs="Times New Roman"/>
          <w:color w:val="auto"/>
          <w:sz w:val="24"/>
          <w:szCs w:val="24"/>
        </w:rPr>
        <w:t>4.3 Threat of new entrants</w:t>
      </w:r>
      <w:bookmarkEnd w:id="7"/>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barriers for new supermarkets to enter the retail market are relatively high. It requires significant capital investment as well as complex supply chain management. Therefore, the threat of new entrants to Tesco is relatively low. However, it also means that Tesco needs to continuously innovate and optimise its business and improve its experience to prevent new competitors from entering the market.</w:t>
      </w:r>
    </w:p>
    <w:p>
      <w:pPr>
        <w:rPr>
          <w:rFonts w:hint="default" w:ascii="Times New Roman" w:hAnsi="Times New Roman" w:cs="Times New Roman"/>
          <w:color w:val="auto"/>
          <w:sz w:val="24"/>
          <w:szCs w:val="24"/>
        </w:rPr>
      </w:pPr>
    </w:p>
    <w:p>
      <w:pPr>
        <w:pStyle w:val="3"/>
        <w:bidi w:val="0"/>
        <w:outlineLvl w:val="0"/>
        <w:rPr>
          <w:rFonts w:hint="default" w:ascii="Times New Roman" w:hAnsi="Times New Roman" w:cs="Times New Roman"/>
          <w:color w:val="auto"/>
          <w:sz w:val="24"/>
          <w:szCs w:val="24"/>
        </w:rPr>
      </w:pPr>
      <w:bookmarkStart w:id="8" w:name="_Toc13063"/>
      <w:r>
        <w:rPr>
          <w:rFonts w:hint="default" w:ascii="Times New Roman" w:hAnsi="Times New Roman" w:cs="Times New Roman"/>
          <w:color w:val="auto"/>
          <w:sz w:val="24"/>
          <w:szCs w:val="24"/>
        </w:rPr>
        <w:t>4.4 Threat of substitutes</w:t>
      </w:r>
      <w:bookmarkEnd w:id="8"/>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 the retail market, the threat of substitutes mainly comes from other types of retailers such as convenience stores and discount shops. These retailers may attract Tesco's consumers with lower prices or more convenient services. However, this also means that Tesco needs to continuously improve its service quality and convenience to attract and retain consumers (TESCO, 2023).</w:t>
      </w:r>
    </w:p>
    <w:p>
      <w:pPr>
        <w:rPr>
          <w:rFonts w:hint="default" w:ascii="Times New Roman" w:hAnsi="Times New Roman" w:cs="Times New Roman"/>
          <w:color w:val="auto"/>
          <w:sz w:val="24"/>
          <w:szCs w:val="24"/>
        </w:rPr>
      </w:pPr>
    </w:p>
    <w:p>
      <w:pPr>
        <w:pStyle w:val="3"/>
        <w:bidi w:val="0"/>
        <w:rPr>
          <w:rFonts w:hint="default"/>
          <w:color w:val="auto"/>
        </w:rPr>
      </w:pPr>
      <w:bookmarkStart w:id="9" w:name="_Toc28778"/>
      <w:r>
        <w:rPr>
          <w:rFonts w:hint="default" w:ascii="Times New Roman" w:hAnsi="Times New Roman" w:cs="Times New Roman"/>
          <w:color w:val="auto"/>
          <w:sz w:val="24"/>
          <w:szCs w:val="24"/>
          <w:lang w:val="en-US" w:eastAsia="zh-CN"/>
        </w:rPr>
        <w:t>4.</w:t>
      </w:r>
      <w:r>
        <w:rPr>
          <w:rFonts w:hint="default" w:ascii="Times New Roman" w:hAnsi="Times New Roman" w:cs="Times New Roman"/>
          <w:color w:val="auto"/>
          <w:sz w:val="24"/>
          <w:szCs w:val="24"/>
        </w:rPr>
        <w:t>5 Level of competition from industry competitors</w:t>
      </w:r>
      <w:bookmarkEnd w:id="9"/>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retail market is very competitive and Tesco needs to face competition from other hypermarkets and online retailers. This could put pressure on Tesco's market share and profits. In order to cope with this competition, Tesco needs to continue to innovate and optimise its products and services.</w:t>
      </w:r>
    </w:p>
    <w:p>
      <w:pPr>
        <w:pStyle w:val="2"/>
        <w:bidi w:val="0"/>
        <w:rPr>
          <w:rFonts w:hint="default" w:ascii="Times New Roman" w:hAnsi="Times New Roman" w:cs="Times New Roman"/>
          <w:color w:val="auto"/>
          <w:sz w:val="24"/>
          <w:szCs w:val="24"/>
          <w:lang w:val="en-US" w:eastAsia="zh-CN"/>
        </w:rPr>
      </w:pPr>
      <w:bookmarkStart w:id="10" w:name="_Toc19839"/>
    </w:p>
    <w:p>
      <w:pPr>
        <w:pStyle w:val="2"/>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en-US" w:eastAsia="zh-CN"/>
        </w:rPr>
        <w:t>5</w:t>
      </w:r>
      <w:r>
        <w:rPr>
          <w:rFonts w:hint="default" w:ascii="Times New Roman" w:hAnsi="Times New Roman" w:cs="Times New Roman"/>
          <w:color w:val="auto"/>
          <w:sz w:val="24"/>
          <w:szCs w:val="24"/>
        </w:rPr>
        <w:t>.0 Analysis of Porter's Value Chain Model</w:t>
      </w:r>
      <w:bookmarkEnd w:id="10"/>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Porter's value chain model is a tool for identifying and optimising activities within an organisation to create value and gain competitive advantage. The model divides an organisation's activities into two categories: primary and support activities. The following is how Porter's value chain model can be used to analyse Tesco:</w:t>
      </w:r>
    </w:p>
    <w:p>
      <w:pPr>
        <w:rPr>
          <w:rFonts w:hint="default" w:ascii="Times New Roman" w:hAnsi="Times New Roman" w:cs="Times New Roman"/>
          <w:color w:val="auto"/>
          <w:sz w:val="24"/>
          <w:szCs w:val="24"/>
        </w:rPr>
      </w:pPr>
    </w:p>
    <w:p>
      <w:pPr>
        <w:pStyle w:val="3"/>
        <w:bidi w:val="0"/>
        <w:outlineLvl w:val="0"/>
        <w:rPr>
          <w:rFonts w:hint="default" w:ascii="Times New Roman" w:hAnsi="Times New Roman" w:cs="Times New Roman"/>
          <w:color w:val="auto"/>
          <w:sz w:val="24"/>
          <w:szCs w:val="24"/>
        </w:rPr>
      </w:pPr>
      <w:bookmarkStart w:id="11" w:name="_Toc12274"/>
      <w:r>
        <w:rPr>
          <w:rFonts w:hint="default" w:ascii="Times New Roman" w:hAnsi="Times New Roman" w:cs="Times New Roman"/>
          <w:color w:val="auto"/>
          <w:sz w:val="24"/>
          <w:szCs w:val="24"/>
          <w:lang w:val="en-US" w:eastAsia="zh-CN"/>
        </w:rPr>
        <w:t>5</w:t>
      </w:r>
      <w:r>
        <w:rPr>
          <w:rFonts w:hint="default" w:ascii="Times New Roman" w:hAnsi="Times New Roman" w:cs="Times New Roman"/>
          <w:color w:val="auto"/>
          <w:sz w:val="24"/>
          <w:szCs w:val="24"/>
        </w:rPr>
        <w:t>.1 Primary activities</w:t>
      </w:r>
      <w:bookmarkEnd w:id="11"/>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Sourcing of raw materials.Tesco needs to source goods such as food, beverages, household goods etc. from various suppliers. This requires Tesco to have an effective supply chain management system to ensure the quality and timely supply of goods.Tesco ensures the quality of goods by establishing long term relationship with its suppliers and implementing strict quality control</w:t>
      </w:r>
      <w:r>
        <w:rPr>
          <w:rFonts w:hint="eastAsia" w:ascii="Times New Roman" w:hAnsi="Times New Roman" w:cs="Times New Roman"/>
          <w:color w:val="auto"/>
          <w:sz w:val="24"/>
          <w:szCs w:val="24"/>
          <w:lang w:eastAsia="zh-CN"/>
        </w:rPr>
        <w:t>（</w:t>
      </w:r>
      <w:r>
        <w:rPr>
          <w:rFonts w:hint="eastAsia" w:ascii="Times New Roman" w:hAnsi="Times New Roman" w:eastAsia="宋体" w:cs="Times New Roman"/>
          <w:i w:val="0"/>
          <w:iCs w:val="0"/>
          <w:color w:val="auto"/>
          <w:sz w:val="24"/>
          <w:szCs w:val="24"/>
          <w:u w:val="none"/>
          <w:lang w:val="en-US" w:eastAsia="zh-CN"/>
        </w:rPr>
        <w:t>Roth, K.）</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Production process. For Tesco's own branded merchandise, Tesco needs to produce and package it. This requires Tesco to have efficient production processes and quality control systems.Tesco has improved production efficiency and reduced production costs through continuous process improvement and technological innovation.</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Product distribution.Tesco needs to distribute goods to its shops worldwide or directly to consumers' homes. This requires Tesco to have an efficient logistics and distribution system.Tesco ensures the timely distribution of goods by optimising its logistics network and adopting advanced logistics technology</w:t>
      </w:r>
      <w:r>
        <w:rPr>
          <w:rFonts w:hint="eastAsia" w:ascii="Times New Roman" w:hAnsi="Times New Roman" w:cs="Times New Roman"/>
          <w:color w:val="auto"/>
          <w:sz w:val="24"/>
          <w:szCs w:val="24"/>
          <w:lang w:eastAsia="zh-CN"/>
        </w:rPr>
        <w:t>（</w:t>
      </w:r>
      <w:r>
        <w:rPr>
          <w:rFonts w:hint="eastAsia" w:ascii="Times New Roman" w:hAnsi="Times New Roman" w:eastAsia="宋体" w:cs="Times New Roman"/>
          <w:i w:val="0"/>
          <w:iCs w:val="0"/>
          <w:color w:val="auto"/>
          <w:sz w:val="24"/>
          <w:szCs w:val="24"/>
          <w:u w:val="none"/>
          <w:lang w:val="en-US" w:eastAsia="zh-CN"/>
        </w:rPr>
        <w:t>Gabler, C. B. 2022）</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Marketing and sales.Tesco needs to attract and retain consumers through various marketing activities such as advertisements, promotions and membership schemes. In addition, Tesco needs to provide quality sales services to increase consumer satisfaction.Tesco has successfully attracted and retained a large number of consumers through accurate market positioning, innovative marketing strategies, and quality customer services.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Services.Tesco needs to provide various services to increase consumer shopping experience, such as return and exchange services, customer consulting services, after-sales services, etc. Tesco improves consumer shopping experience by providing convenient and fast return and exchange services, and professional customer consulting service</w:t>
      </w:r>
      <w:r>
        <w:rPr>
          <w:rFonts w:hint="eastAsia" w:ascii="Times New Roman" w:hAnsi="Times New Roman" w:cs="Times New Roman"/>
          <w:color w:val="auto"/>
          <w:sz w:val="24"/>
          <w:szCs w:val="24"/>
          <w:lang w:val="en-US" w:eastAsia="zh-CN"/>
        </w:rPr>
        <w:t>s</w:t>
      </w:r>
      <w:r>
        <w:rPr>
          <w:rFonts w:hint="eastAsia" w:ascii="Times New Roman" w:hAnsi="Times New Roman" w:cs="Times New Roman"/>
          <w:color w:val="auto"/>
          <w:sz w:val="24"/>
          <w:szCs w:val="24"/>
          <w:lang w:eastAsia="zh-CN"/>
        </w:rPr>
        <w:t>（</w:t>
      </w:r>
      <w:r>
        <w:rPr>
          <w:rFonts w:hint="eastAsia" w:ascii="Times New Roman" w:hAnsi="Times New Roman" w:eastAsia="宋体" w:cs="Times New Roman"/>
          <w:i w:val="0"/>
          <w:iCs w:val="0"/>
          <w:color w:val="auto"/>
          <w:sz w:val="24"/>
          <w:szCs w:val="24"/>
          <w:u w:val="none"/>
          <w:lang w:val="en-US" w:eastAsia="zh-CN"/>
        </w:rPr>
        <w:t>Xia, Y. ,2023.</w:t>
      </w:r>
      <w:r>
        <w:rPr>
          <w:rFonts w:hint="eastAsia" w:ascii="Times New Roman" w:hAnsi="Times New Roman" w:cs="Times New Roman"/>
          <w:color w:val="auto"/>
          <w:sz w:val="24"/>
          <w:szCs w:val="24"/>
          <w:lang w:eastAsia="zh-CN"/>
        </w:rPr>
        <w:t>）</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pStyle w:val="3"/>
        <w:bidi w:val="0"/>
        <w:outlineLvl w:val="0"/>
        <w:rPr>
          <w:rFonts w:hint="default" w:ascii="Times New Roman" w:hAnsi="Times New Roman" w:cs="Times New Roman"/>
          <w:color w:val="auto"/>
          <w:sz w:val="24"/>
          <w:szCs w:val="24"/>
        </w:rPr>
      </w:pPr>
      <w:bookmarkStart w:id="12" w:name="_Toc12084"/>
      <w:r>
        <w:rPr>
          <w:rFonts w:hint="default" w:ascii="Times New Roman" w:hAnsi="Times New Roman" w:cs="Times New Roman"/>
          <w:color w:val="auto"/>
          <w:sz w:val="24"/>
          <w:szCs w:val="24"/>
          <w:lang w:val="en-US" w:eastAsia="zh-CN"/>
        </w:rPr>
        <w:t>5</w:t>
      </w:r>
      <w:r>
        <w:rPr>
          <w:rFonts w:hint="default" w:ascii="Times New Roman" w:hAnsi="Times New Roman" w:cs="Times New Roman"/>
          <w:color w:val="auto"/>
          <w:sz w:val="24"/>
          <w:szCs w:val="24"/>
        </w:rPr>
        <w:t>.2 Support activities</w:t>
      </w:r>
      <w:bookmarkEnd w:id="12"/>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Corporate Infrastructure. This includes Tesco's organisational structure, management system, company culture, etc. Tesco provides strong support activities by establishing an effective organisational structure, implementing a scientific management system, and fostering a positive company culture.</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Human Resource Management. This includes Tesco's recruitment, training, performance appraisal, employee incentive activities, etc. Tesco has succeeded in attracting and retaining a large number of talented employees by implementing a fair recruitment policy, providing comprehensive training programmes, implementing a scientific performance appraisal system, and providing attractive employee incentive schemes.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Technological Development. This includes Tesco's research and development activities, technological innovations, information systems, etc. Tesco has improved its operational efficiency and reduced its operating costs through continuous investment in research and development to drive technological innovations, as well as the establishment of advanced information systems.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Procurement. This includes all goods and services that Tesco purchases for its operations (e.g. office equipment, electronic equipment, etc.) Tesco ensures the quality of the goods and services it purchases and their timely supply by establishing long-term relationships with its suppliers and by implementing strict quality control.</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By analysing Porter's value chain model, we can see how Tesco creates value through its internal activities and identify possible optimisation opportunities. This helps Tesco to improve its operational efficiency, reduce costs and improve the quality of its products and services to gain a competitive advantage.</w:t>
      </w:r>
    </w:p>
    <w:p>
      <w:pPr>
        <w:rPr>
          <w:rFonts w:hint="default" w:ascii="Times New Roman" w:hAnsi="Times New Roman" w:cs="Times New Roman"/>
          <w:color w:val="auto"/>
          <w:sz w:val="24"/>
          <w:szCs w:val="24"/>
        </w:rPr>
      </w:pPr>
    </w:p>
    <w:p>
      <w:pPr>
        <w:pStyle w:val="2"/>
        <w:bidi w:val="0"/>
        <w:rPr>
          <w:rFonts w:hint="default" w:ascii="Times New Roman" w:hAnsi="Times New Roman" w:cs="Times New Roman"/>
          <w:color w:val="auto"/>
          <w:sz w:val="24"/>
          <w:szCs w:val="24"/>
        </w:rPr>
      </w:pPr>
      <w:bookmarkStart w:id="13" w:name="_Toc17034"/>
      <w:r>
        <w:rPr>
          <w:rFonts w:hint="default" w:ascii="Times New Roman" w:hAnsi="Times New Roman" w:cs="Times New Roman"/>
          <w:color w:val="auto"/>
          <w:sz w:val="24"/>
          <w:szCs w:val="24"/>
        </w:rPr>
        <w:t>6.0 Analysis of McKinsey's 7S Model</w:t>
      </w:r>
      <w:bookmarkEnd w:id="13"/>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McKinsey's 7S model is an organisational diagnostic tool for assessing and improving organisational effectiveness. The model consists of seven elements: strategy, structure, systems, shared values, skills, style and people.</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Here is how the McKinsey 7S model can be used to analyse Tesco:</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Strategy</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Tesco's strategy is to become one of the largest retailers in the world, offering high quality, affordable goods to meet consumer needs. Tesco achieves this strategy by diversifying its products and services. Tesco's strategy also includes improving operational efficiency and customer experience through digitalisation and technological innovation (Tesco, 2023).</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Organisational structure</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 has a decentralised organisational structure with each business unit having its own management team. This structure allows Tesco to be flexible and responsive to various market changes, but can also lead to less efficient decision making by management. Tesco's structure also includes its shop network, which is an important underlying way in which Tesco is able to reach consumers and provide goods and services.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Systems</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 has a well-established information system for managing its business activities such as supply chain, sales, and inventory. In addition, Tesco has an employee management system for human resource management, performance appraisal and so on. These systems enable Tesco to co-ordinate and control its business activities effectively and improve operational efficiency</w:t>
      </w:r>
      <w:r>
        <w:rPr>
          <w:rFonts w:ascii="Times New Roman" w:hAnsi="Times New Roman" w:cs="Times New Roman"/>
          <w:color w:val="auto"/>
          <w:sz w:val="24"/>
          <w:szCs w:val="24"/>
        </w:rPr>
        <w:t xml:space="preserve"> (Vieira </w:t>
      </w:r>
      <w:r>
        <w:rPr>
          <w:rFonts w:ascii="Times New Roman" w:hAnsi="Times New Roman" w:cs="Times New Roman"/>
          <w:i/>
          <w:iCs/>
          <w:color w:val="auto"/>
          <w:sz w:val="24"/>
          <w:szCs w:val="24"/>
        </w:rPr>
        <w:t>et al.</w:t>
      </w:r>
      <w:r>
        <w:rPr>
          <w:rFonts w:ascii="Times New Roman" w:hAnsi="Times New Roman" w:cs="Times New Roman"/>
          <w:color w:val="auto"/>
          <w:sz w:val="24"/>
          <w:szCs w:val="24"/>
        </w:rPr>
        <w:t>, 2022)</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Shared values</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Tesco's shared values include customer focus, respect for people, excellence and accountability. These values are reflected in all of Tesco's business activities. For example, Tesco is committed to providing excellent customer service, respecting and caring for its people, pursuing business and operational excellence, and being responsible to the community and the environment.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Skills</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Tesco's employees have a variety of skills, including sales skills, customer service skills, management skills, etc. Tesco continually upgrades the skills of its employees through training and development programmes. In addition, Tesco has upgraded the skills of its business and operations through technological innovation and digitisation.</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Style</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Tesco's management style is democratic and participative.Tesco encourages its employees to participate in the decision making process by giving suggestions and feedback. This style enables Tesco's employees to actively participate in the operations and development of the organisation and increases employee satisfaction and loyalty</w:t>
      </w:r>
      <w:r>
        <w:rPr>
          <w:rFonts w:ascii="Times New Roman" w:hAnsi="Times New Roman" w:cs="Times New Roman"/>
          <w:color w:val="auto"/>
          <w:sz w:val="24"/>
          <w:szCs w:val="24"/>
        </w:rPr>
        <w:t>(TESCO, 2024)</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Employees</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Tesco's employees are its most important resource.Tesco attracts and retains a large number of excellent employees through fair recruitment policies, competitive salaries and benefits, and a good working environment.Tesco's employees not only have professional skills and knowledge, but also have a positive attitude and a high level of work ethic.</w:t>
      </w:r>
    </w:p>
    <w:p>
      <w:pPr>
        <w:rPr>
          <w:rFonts w:hint="default" w:ascii="Times New Roman" w:hAnsi="Times New Roman" w:cs="Times New Roman"/>
          <w:color w:val="auto"/>
          <w:sz w:val="24"/>
          <w:szCs w:val="24"/>
        </w:rPr>
      </w:pPr>
    </w:p>
    <w:p>
      <w:pPr>
        <w:pStyle w:val="2"/>
        <w:bidi w:val="0"/>
        <w:rPr>
          <w:rFonts w:hint="default" w:ascii="Times New Roman" w:hAnsi="Times New Roman" w:cs="Times New Roman"/>
          <w:color w:val="auto"/>
          <w:sz w:val="24"/>
          <w:szCs w:val="24"/>
        </w:rPr>
      </w:pPr>
      <w:bookmarkStart w:id="14" w:name="_Toc1641"/>
      <w:r>
        <w:rPr>
          <w:rFonts w:hint="default" w:ascii="Times New Roman" w:hAnsi="Times New Roman" w:cs="Times New Roman"/>
          <w:color w:val="auto"/>
          <w:sz w:val="24"/>
          <w:szCs w:val="24"/>
          <w:lang w:val="en-US" w:eastAsia="zh-CN"/>
        </w:rPr>
        <w:t>7</w:t>
      </w:r>
      <w:r>
        <w:rPr>
          <w:rFonts w:hint="default" w:ascii="Times New Roman" w:hAnsi="Times New Roman" w:cs="Times New Roman"/>
          <w:color w:val="auto"/>
          <w:sz w:val="24"/>
          <w:szCs w:val="24"/>
        </w:rPr>
        <w:t>.0 Analysis of the internal environment</w:t>
      </w:r>
      <w:bookmarkEnd w:id="14"/>
    </w:p>
    <w:p>
      <w:pPr>
        <w:pStyle w:val="2"/>
        <w:bidi w:val="0"/>
        <w:outlineLvl w:val="9"/>
        <w:rPr>
          <w:rFonts w:hint="default"/>
          <w:color w:val="auto"/>
        </w:rPr>
      </w:pPr>
    </w:p>
    <w:p>
      <w:pPr>
        <w:rPr>
          <w:rFonts w:hint="eastAsia" w:ascii="Times New Roman" w:hAnsi="Times New Roman" w:eastAsia="宋体" w:cs="Times New Roman"/>
          <w:i w:val="0"/>
          <w:iCs w:val="0"/>
          <w:color w:val="auto"/>
          <w:sz w:val="24"/>
          <w:szCs w:val="24"/>
          <w:u w:val="none"/>
          <w:lang w:val="en-US" w:eastAsia="zh-CN"/>
        </w:rPr>
      </w:pPr>
      <w:r>
        <w:rPr>
          <w:rFonts w:hint="eastAsia" w:ascii="Times New Roman" w:hAnsi="Times New Roman" w:eastAsia="宋体" w:cs="Times New Roman"/>
          <w:i w:val="0"/>
          <w:iCs w:val="0"/>
          <w:color w:val="auto"/>
          <w:sz w:val="24"/>
          <w:szCs w:val="24"/>
          <w:u w:val="none"/>
          <w:lang w:val="en-US" w:eastAsia="zh-CN"/>
        </w:rPr>
        <w:t>Organisational structure</w:t>
      </w:r>
    </w:p>
    <w:p>
      <w:pPr>
        <w:rPr>
          <w:rFonts w:hint="eastAsia" w:ascii="Times New Roman" w:hAnsi="Times New Roman" w:eastAsia="宋体" w:cs="Times New Roman"/>
          <w:i w:val="0"/>
          <w:iCs w:val="0"/>
          <w:color w:val="auto"/>
          <w:sz w:val="24"/>
          <w:szCs w:val="24"/>
          <w:u w:val="none"/>
          <w:lang w:val="en-US" w:eastAsia="zh-CN"/>
        </w:rPr>
      </w:pPr>
    </w:p>
    <w:p>
      <w:pPr>
        <w:rPr>
          <w:rFonts w:hint="eastAsia" w:ascii="Times New Roman" w:hAnsi="Times New Roman" w:eastAsia="宋体" w:cs="Times New Roman"/>
          <w:i w:val="0"/>
          <w:iCs w:val="0"/>
          <w:color w:val="auto"/>
          <w:sz w:val="24"/>
          <w:szCs w:val="24"/>
          <w:u w:val="none"/>
          <w:lang w:val="en-US" w:eastAsia="zh-CN"/>
        </w:rPr>
      </w:pPr>
      <w:r>
        <w:rPr>
          <w:rFonts w:hint="eastAsia" w:ascii="Times New Roman" w:hAnsi="Times New Roman" w:eastAsia="宋体" w:cs="Times New Roman"/>
          <w:i w:val="0"/>
          <w:iCs w:val="0"/>
          <w:color w:val="auto"/>
          <w:sz w:val="24"/>
          <w:szCs w:val="24"/>
          <w:u w:val="none"/>
          <w:lang w:val="en-US" w:eastAsia="zh-CN"/>
        </w:rPr>
        <w:t>Tesco's organisational structure is one of the key factors in its success. It uses a hierarchical structure that allows for a more centralised decision-making process, while also giving individual departments enough autonomy to manage their own businesses (YouGov, 2024). This structure helps Tesco to adapt to the specific needs of different markets while keeping the company's overall strategy aligned. Under this structure, Tesco is able to co-ordinate and organise the work of each department effectively to ensure that the company operates efficiently.</w:t>
      </w:r>
    </w:p>
    <w:p>
      <w:pPr>
        <w:rPr>
          <w:rFonts w:hint="eastAsia" w:ascii="Times New Roman" w:hAnsi="Times New Roman" w:eastAsia="宋体" w:cs="Times New Roman"/>
          <w:i w:val="0"/>
          <w:iCs w:val="0"/>
          <w:color w:val="auto"/>
          <w:sz w:val="24"/>
          <w:szCs w:val="24"/>
          <w:u w:val="none"/>
          <w:lang w:val="en-US" w:eastAsia="zh-CN"/>
        </w:rPr>
      </w:pPr>
    </w:p>
    <w:p>
      <w:pPr>
        <w:rPr>
          <w:rFonts w:hint="eastAsia" w:ascii="Times New Roman" w:hAnsi="Times New Roman" w:eastAsia="宋体" w:cs="Times New Roman"/>
          <w:i w:val="0"/>
          <w:iCs w:val="0"/>
          <w:color w:val="auto"/>
          <w:sz w:val="24"/>
          <w:szCs w:val="24"/>
          <w:u w:val="none"/>
          <w:lang w:val="en-US" w:eastAsia="zh-CN"/>
        </w:rPr>
      </w:pPr>
      <w:r>
        <w:rPr>
          <w:rFonts w:hint="eastAsia" w:ascii="Times New Roman" w:hAnsi="Times New Roman" w:eastAsia="宋体" w:cs="Times New Roman"/>
          <w:i w:val="0"/>
          <w:iCs w:val="0"/>
          <w:color w:val="auto"/>
          <w:sz w:val="24"/>
          <w:szCs w:val="24"/>
          <w:u w:val="none"/>
          <w:lang w:val="en-US" w:eastAsia="zh-CN"/>
        </w:rPr>
        <w:t>Organisational culture</w:t>
      </w:r>
    </w:p>
    <w:p>
      <w:pPr>
        <w:rPr>
          <w:rFonts w:hint="eastAsia" w:ascii="Times New Roman" w:hAnsi="Times New Roman" w:eastAsia="宋体" w:cs="Times New Roman"/>
          <w:i w:val="0"/>
          <w:iCs w:val="0"/>
          <w:color w:val="auto"/>
          <w:sz w:val="24"/>
          <w:szCs w:val="24"/>
          <w:u w:val="none"/>
          <w:lang w:val="en-US" w:eastAsia="zh-CN"/>
        </w:rPr>
      </w:pPr>
    </w:p>
    <w:p>
      <w:pPr>
        <w:rPr>
          <w:rFonts w:hint="default" w:ascii="Times New Roman" w:hAnsi="Times New Roman" w:cs="Times New Roman"/>
          <w:color w:val="auto"/>
          <w:sz w:val="24"/>
          <w:szCs w:val="24"/>
        </w:rPr>
      </w:pPr>
      <w:r>
        <w:rPr>
          <w:rFonts w:hint="eastAsia" w:ascii="Times New Roman" w:hAnsi="Times New Roman" w:eastAsia="宋体" w:cs="Times New Roman"/>
          <w:i w:val="0"/>
          <w:iCs w:val="0"/>
          <w:color w:val="auto"/>
          <w:sz w:val="24"/>
          <w:szCs w:val="24"/>
          <w:u w:val="none"/>
          <w:lang w:val="en-US" w:eastAsia="zh-CN"/>
        </w:rPr>
        <w:t>Tesco's organisational culture emphasises customer focus and respect for employees as the main focus. The company encourages innovation and teamwork in order to provide the best customer service. In addition, Tesco focuses on social responsibility and actively participates in various community activities and is committed to environmental protection and sustainable development. This culture not only increases job satisfaction and loyalty of employees, but also improves the image and reputation of Tesco in the eyes of customers (Shin, S., Kim, H. and Kim, W. 2020)</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Resources and Capabilities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 has strong resources and capabilities, including a wide range of products and services, strong supply chain management, and an excellent workforce. The company's investment in technology also gives it a competitive advantage in e-commerce and data analytics. However, Tesco also needs to continually enhance its capabilities to cope with increasing competition and changing market conditions</w:t>
      </w:r>
      <w:r>
        <w:rPr>
          <w:rFonts w:hint="eastAsia" w:ascii="Times New Roman" w:hAnsi="Times New Roman" w:cs="Times New Roman"/>
          <w:color w:val="auto"/>
          <w:sz w:val="24"/>
          <w:szCs w:val="24"/>
          <w:lang w:val="en-US" w:eastAsia="zh-CN"/>
        </w:rPr>
        <w:t>(</w:t>
      </w:r>
      <w:r>
        <w:rPr>
          <w:rFonts w:hint="eastAsia" w:ascii="Times New Roman" w:hAnsi="Times New Roman" w:eastAsia="宋体" w:cs="Times New Roman"/>
          <w:i w:val="0"/>
          <w:iCs w:val="0"/>
          <w:color w:val="auto"/>
          <w:sz w:val="24"/>
          <w:szCs w:val="24"/>
          <w:u w:val="none"/>
          <w:lang w:val="en-US" w:eastAsia="zh-CN"/>
        </w:rPr>
        <w:t>Jeson, 2023)</w:t>
      </w:r>
      <w:r>
        <w:rPr>
          <w:rFonts w:hint="default" w:ascii="Times New Roman" w:hAnsi="Times New Roman" w:cs="Times New Roman"/>
          <w:color w:val="auto"/>
          <w:sz w:val="24"/>
          <w:szCs w:val="24"/>
        </w:rPr>
        <w:t>. For example, Tesco needs to further improve the efficiency and flexibility of its supply chain to better respond to changes in the market, and it also needs to further improve its data analytics and forecasting capabilities to more accurately capture market trends and customer needs.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pStyle w:val="2"/>
        <w:bidi w:val="0"/>
        <w:rPr>
          <w:rFonts w:hint="default" w:ascii="Times New Roman" w:hAnsi="Times New Roman" w:cs="Times New Roman"/>
          <w:color w:val="auto"/>
          <w:sz w:val="24"/>
          <w:szCs w:val="24"/>
        </w:rPr>
      </w:pPr>
      <w:bookmarkStart w:id="15" w:name="_Toc28059"/>
      <w:r>
        <w:rPr>
          <w:rFonts w:hint="default" w:ascii="Times New Roman" w:hAnsi="Times New Roman" w:cs="Times New Roman"/>
          <w:color w:val="auto"/>
          <w:sz w:val="24"/>
          <w:szCs w:val="24"/>
          <w:lang w:val="en-US" w:eastAsia="zh-CN"/>
        </w:rPr>
        <w:t>8</w:t>
      </w:r>
      <w:r>
        <w:rPr>
          <w:rFonts w:hint="default" w:ascii="Times New Roman" w:hAnsi="Times New Roman" w:cs="Times New Roman"/>
          <w:color w:val="auto"/>
          <w:sz w:val="24"/>
          <w:szCs w:val="24"/>
        </w:rPr>
        <w:t>.0 SWOT analysis: strengths and weaknesses of Tesco in the marketplace</w:t>
      </w:r>
      <w:bookmarkEnd w:id="15"/>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SWOT model is a commonly used strategic analysis tool to assess an organisation's strengths, weaknesses, opportunities and threats. These four elements represent the organisation's internal environment (Strengths and Weaknesses) and external environment (Opportunities and Threats). Through SWOT analysis, an organisation can develop an effective strategy by having a clear understanding of its strengths and weaknesses, as well as the opportunities and threats it faces.</w:t>
      </w:r>
    </w:p>
    <w:p>
      <w:pPr>
        <w:rPr>
          <w:rFonts w:hint="default" w:ascii="Times New Roman" w:hAnsi="Times New Roman" w:cs="Times New Roman"/>
          <w:color w:val="auto"/>
          <w:sz w:val="24"/>
          <w:szCs w:val="24"/>
        </w:rPr>
      </w:pPr>
    </w:p>
    <w:p>
      <w:pPr>
        <w:pStyle w:val="3"/>
        <w:bidi w:val="0"/>
        <w:outlineLvl w:val="0"/>
        <w:rPr>
          <w:rFonts w:hint="default" w:ascii="Times New Roman" w:hAnsi="Times New Roman" w:cs="Times New Roman"/>
          <w:color w:val="auto"/>
          <w:sz w:val="24"/>
          <w:szCs w:val="24"/>
        </w:rPr>
      </w:pPr>
      <w:bookmarkStart w:id="16" w:name="_Toc23110"/>
      <w:r>
        <w:rPr>
          <w:rFonts w:hint="default" w:ascii="Times New Roman" w:hAnsi="Times New Roman" w:cs="Times New Roman"/>
          <w:color w:val="auto"/>
          <w:sz w:val="24"/>
          <w:szCs w:val="24"/>
          <w:lang w:val="en-US" w:eastAsia="zh-CN"/>
        </w:rPr>
        <w:t>8</w:t>
      </w:r>
      <w:r>
        <w:rPr>
          <w:rFonts w:hint="default" w:ascii="Times New Roman" w:hAnsi="Times New Roman" w:cs="Times New Roman"/>
          <w:color w:val="auto"/>
          <w:sz w:val="24"/>
          <w:szCs w:val="24"/>
        </w:rPr>
        <w:t>.1 Strengths.</w:t>
      </w:r>
      <w:bookmarkEnd w:id="16"/>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Market leadership position</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 is one of the largest retailers in the UK with a strong brand presence and market share</w:t>
      </w:r>
      <w:r>
        <w:rPr>
          <w:rFonts w:hint="eastAsia" w:ascii="Times New Roman" w:hAnsi="Times New Roman" w:cs="Times New Roman"/>
          <w:color w:val="auto"/>
          <w:sz w:val="24"/>
          <w:szCs w:val="24"/>
          <w:lang w:val="en-US" w:eastAsia="zh-CN"/>
        </w:rPr>
        <w:t>(</w:t>
      </w:r>
      <w:r>
        <w:rPr>
          <w:rFonts w:hint="eastAsia" w:ascii="Times New Roman" w:hAnsi="Times New Roman" w:eastAsia="宋体" w:cs="Times New Roman"/>
          <w:i w:val="0"/>
          <w:iCs w:val="0"/>
          <w:color w:val="auto"/>
          <w:sz w:val="24"/>
          <w:szCs w:val="24"/>
          <w:u w:val="none"/>
          <w:lang w:val="en-US" w:eastAsia="zh-CN"/>
        </w:rPr>
        <w:t>Shelman M.2011)</w:t>
      </w:r>
      <w:r>
        <w:rPr>
          <w:rFonts w:hint="default" w:ascii="Times New Roman" w:hAnsi="Times New Roman" w:cs="Times New Roman"/>
          <w:color w:val="auto"/>
          <w:sz w:val="24"/>
          <w:szCs w:val="24"/>
        </w:rPr>
        <w:t>. This enables Tesco to obtain better terms in price negotiations with suppliers and also provides Tesco with greater market influence. In addition, suppliers are reluctant to lose a large customer such as Tesco due to Tesco's large market share. For example, Tesco demonstrated its strong negotiating power in price negotiations with Unilever in 2015, successfully resisting Unilever's demand for higher prices.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Developing a diversified business</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 not only operates a food retail business, but is also involved in a number of areas such as financial services, telecoms services and oil retailing. This diversified business model enables Tesco to diversify its risks and improve its profitability. An example of Tesco's business diversification is the establishment of Tesco Bank, which offers a range of financial products and services such as credit cards, insurance and loans, thus creating a new source of income for Tesco</w:t>
      </w:r>
      <w:r>
        <w:rPr>
          <w:rFonts w:hint="eastAsia" w:ascii="Times New Roman" w:hAnsi="Times New Roman" w:cs="Times New Roman"/>
          <w:color w:val="auto"/>
          <w:sz w:val="24"/>
          <w:szCs w:val="24"/>
          <w:lang w:val="en-US" w:eastAsia="zh-CN"/>
        </w:rPr>
        <w:t>(</w:t>
      </w:r>
      <w:r>
        <w:rPr>
          <w:rFonts w:hint="eastAsia" w:ascii="Times New Roman" w:hAnsi="Times New Roman" w:eastAsia="宋体" w:cs="Times New Roman"/>
          <w:i w:val="0"/>
          <w:iCs w:val="0"/>
          <w:color w:val="auto"/>
          <w:sz w:val="24"/>
          <w:szCs w:val="24"/>
          <w:u w:val="none"/>
          <w:lang w:val="en-US" w:eastAsia="zh-CN"/>
        </w:rPr>
        <w:t>Chaney I,  Gamble J.2018)</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Having strong supply chain management</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Tesco has a sophisticated supply chain management system that ensures the timely supply of goods to meet consumer demand. For example, Tesco's 'Farm to Fork' programme, launched in 2013, is an example of its excellent supply chain management, which ensures the quality and safety of food products by improving farm management and the process of transporting fresh produce</w:t>
      </w:r>
      <w:r>
        <w:rPr>
          <w:rFonts w:hint="eastAsia" w:ascii="Times New Roman" w:hAnsi="Times New Roman" w:cs="Times New Roman"/>
          <w:color w:val="auto"/>
          <w:sz w:val="24"/>
          <w:szCs w:val="24"/>
          <w:lang w:val="en-US" w:eastAsia="zh-CN"/>
        </w:rPr>
        <w:t>(</w:t>
      </w:r>
      <w:r>
        <w:rPr>
          <w:rFonts w:hint="eastAsia" w:ascii="Times New Roman" w:hAnsi="Times New Roman" w:eastAsia="宋体" w:cs="Times New Roman"/>
          <w:i w:val="0"/>
          <w:iCs w:val="0"/>
          <w:color w:val="auto"/>
          <w:sz w:val="24"/>
          <w:szCs w:val="24"/>
          <w:u w:val="none"/>
          <w:lang w:val="en-US" w:eastAsia="zh-CN"/>
        </w:rPr>
        <w:t>GO-Globe,2013)</w:t>
      </w: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pStyle w:val="3"/>
        <w:bidi w:val="0"/>
        <w:outlineLvl w:val="0"/>
        <w:rPr>
          <w:rFonts w:hint="default" w:ascii="Times New Roman" w:hAnsi="Times New Roman" w:cs="Times New Roman"/>
          <w:color w:val="auto"/>
          <w:sz w:val="24"/>
          <w:szCs w:val="24"/>
        </w:rPr>
      </w:pPr>
      <w:bookmarkStart w:id="17" w:name="_Toc15724"/>
      <w:r>
        <w:rPr>
          <w:rFonts w:hint="default" w:ascii="Times New Roman" w:hAnsi="Times New Roman" w:cs="Times New Roman"/>
          <w:color w:val="auto"/>
          <w:sz w:val="24"/>
          <w:szCs w:val="24"/>
          <w:lang w:val="en-US" w:eastAsia="zh-CN"/>
        </w:rPr>
        <w:t>8</w:t>
      </w:r>
      <w:r>
        <w:rPr>
          <w:rFonts w:hint="default" w:ascii="Times New Roman" w:hAnsi="Times New Roman" w:cs="Times New Roman"/>
          <w:color w:val="auto"/>
          <w:sz w:val="24"/>
          <w:szCs w:val="24"/>
        </w:rPr>
        <w:t>.2 Disadvantages</w:t>
      </w:r>
      <w:bookmarkEnd w:id="17"/>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Dependence on the UK market</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Whilst Tesco has a global presence, its main revenue continues to come from the UK market. This makes Tesco very sensitive to changes in the UK economic environment. For example, any recession or instability in the UK economy could directly affect Tesco's sales and profits. In addition, it also requires Tesco to devote more resources and effort when facing competitive pressures in the UK market.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Negative PR events</w:t>
      </w:r>
    </w:p>
    <w:p>
      <w:pPr>
        <w:rPr>
          <w:rFonts w:ascii="Times New Roman" w:hAnsi="Times New Roman" w:cs="Times New Roman"/>
          <w:color w:val="auto"/>
          <w:sz w:val="24"/>
        </w:rPr>
      </w:pPr>
      <w:r>
        <w:rPr>
          <w:rFonts w:hint="default" w:ascii="Times New Roman" w:hAnsi="Times New Roman" w:cs="Times New Roman"/>
          <w:color w:val="auto"/>
          <w:sz w:val="24"/>
          <w:szCs w:val="24"/>
        </w:rPr>
        <w:t>Over the past few years, Tesco has had a number of negative PR incidents which may have affected consumer trust in the Tesco brand. For example, the accounting scandal in 2014 caused significant damage to Tesco's reputation. Whilst Tesco has taken a number of steps to restore its brand image, once consumer trust has been damaged, it can be very difficult to recover</w:t>
      </w:r>
      <w:r>
        <w:rPr>
          <w:rFonts w:hint="eastAsia" w:ascii="Times New Roman" w:hAnsi="Times New Roman" w:cs="Times New Roman"/>
          <w:color w:val="auto"/>
          <w:sz w:val="24"/>
        </w:rPr>
        <w:t>(</w:t>
      </w:r>
      <w:r>
        <w:rPr>
          <w:rFonts w:hint="eastAsia" w:ascii="Times New Roman" w:hAnsi="Times New Roman" w:eastAsia="宋体" w:cs="Times New Roman"/>
          <w:color w:val="auto"/>
          <w:sz w:val="24"/>
        </w:rPr>
        <w:t>Grewal, D., Ailawadi, K.2011)</w:t>
      </w:r>
      <w:r>
        <w:rPr>
          <w:rFonts w:ascii="Times New Roman" w:hAnsi="Times New Roman" w:cs="Times New Roman"/>
          <w:color w:val="auto"/>
          <w:sz w:val="24"/>
        </w:rPr>
        <w:t>.</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Price competition pressure</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 the retail market, price competition is very fierce. Especially in some low-cost supermarkets such as Aldi and Lidl offer very competitive better prices, which pose a threat to Tesco. In order to compete with these competitors, Tesco may need to reduce its prices, but this may reduce the profit gained.</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Challenges of online retailing</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With the growth of e-commerce, more and more consumers are choosing to shop online. Although Tesco already has its own online shopping platform, compared with specialised online retailers such as Amazon, Tesco may still have some gaps in terms of user experience, delivery speed and service quality compared with their specialisation.</w:t>
      </w:r>
    </w:p>
    <w:p>
      <w:pPr>
        <w:rPr>
          <w:rFonts w:hint="default" w:ascii="Times New Roman" w:hAnsi="Times New Roman" w:cs="Times New Roman"/>
          <w:color w:val="auto"/>
          <w:sz w:val="24"/>
          <w:szCs w:val="24"/>
        </w:rPr>
      </w:pPr>
    </w:p>
    <w:p>
      <w:pPr>
        <w:pStyle w:val="3"/>
        <w:bidi w:val="0"/>
        <w:rPr>
          <w:rFonts w:hint="default" w:ascii="Times New Roman" w:hAnsi="Times New Roman" w:cs="Times New Roman"/>
          <w:color w:val="auto"/>
          <w:sz w:val="24"/>
          <w:szCs w:val="24"/>
        </w:rPr>
      </w:pPr>
      <w:bookmarkStart w:id="18" w:name="_Toc10422"/>
      <w:r>
        <w:rPr>
          <w:rFonts w:hint="default" w:ascii="Times New Roman" w:hAnsi="Times New Roman" w:cs="Times New Roman"/>
          <w:color w:val="auto"/>
          <w:sz w:val="24"/>
          <w:szCs w:val="24"/>
          <w:lang w:val="en-US" w:eastAsia="zh-CN"/>
        </w:rPr>
        <w:t>8</w:t>
      </w:r>
      <w:r>
        <w:rPr>
          <w:rFonts w:hint="default" w:ascii="Times New Roman" w:hAnsi="Times New Roman" w:cs="Times New Roman"/>
          <w:color w:val="auto"/>
          <w:sz w:val="24"/>
          <w:szCs w:val="24"/>
        </w:rPr>
        <w:t>.3 Opportunities for Tesco in the marketplace</w:t>
      </w:r>
      <w:bookmarkEnd w:id="18"/>
    </w:p>
    <w:p>
      <w:pPr>
        <w:pStyle w:val="3"/>
        <w:bidi w:val="0"/>
        <w:outlineLvl w:val="9"/>
        <w:rPr>
          <w:rFonts w:hint="default"/>
          <w:color w:val="auto"/>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Growth of online retailing</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online retail market is growing rapidly with the popularity of the internet and changing consumer shopping habits.Tesco can capitalise on this opportunity by providing a better online shopping experience. For example, Tesco managed to attract a large number of consumers during the 2020 New Crown epidemic by enhancing its online shopping services and its online sales increased significantly.</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Trends in sustainability</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More and more consumers are becoming concerned about sustainability and environmental issues.Tesco can cater for these consumers by offering more environmentally friendly products and services</w:t>
      </w:r>
      <w:r>
        <w:rPr>
          <w:rFonts w:hint="eastAsia" w:ascii="Times New Roman" w:hAnsi="Times New Roman" w:cs="Times New Roman"/>
          <w:color w:val="auto"/>
          <w:sz w:val="24"/>
          <w:szCs w:val="24"/>
          <w:lang w:val="en-US" w:eastAsia="zh-CN"/>
        </w:rPr>
        <w:t>(</w:t>
      </w:r>
      <w:r>
        <w:rPr>
          <w:rFonts w:hint="eastAsia" w:ascii="Times New Roman" w:hAnsi="Times New Roman" w:eastAsia="宋体" w:cs="Times New Roman"/>
          <w:i w:val="0"/>
          <w:iCs w:val="0"/>
          <w:color w:val="auto"/>
          <w:sz w:val="24"/>
          <w:szCs w:val="24"/>
          <w:u w:val="none"/>
          <w:lang w:val="en-US" w:eastAsia="zh-CN"/>
        </w:rPr>
        <w:t>Kwon, W., Lennon, S.2019)</w:t>
      </w:r>
      <w:r>
        <w:rPr>
          <w:rFonts w:hint="default" w:ascii="Times New Roman" w:hAnsi="Times New Roman" w:cs="Times New Roman"/>
          <w:color w:val="auto"/>
          <w:sz w:val="24"/>
          <w:szCs w:val="24"/>
        </w:rPr>
        <w:t>. For example, Tesco has committed to zero carbon emissions by 2050 and has already implemented a number of environmentally friendly measures in its supply chain, such as the use of renewable energy sources, reduction of food waste and reduction of plastic packaging.This could further enable Tesco to be sustainable and gain recognition from environmentalists thus gaining a good reputation.</w:t>
      </w:r>
    </w:p>
    <w:p>
      <w:pPr>
        <w:rPr>
          <w:rFonts w:hint="default" w:ascii="Times New Roman" w:hAnsi="Times New Roman" w:cs="Times New Roman"/>
          <w:color w:val="auto"/>
          <w:sz w:val="24"/>
          <w:szCs w:val="24"/>
        </w:rPr>
      </w:pPr>
    </w:p>
    <w:p>
      <w:pPr>
        <w:pStyle w:val="3"/>
        <w:bidi w:val="0"/>
        <w:outlineLvl w:val="0"/>
        <w:rPr>
          <w:rFonts w:hint="default" w:ascii="Times New Roman" w:hAnsi="Times New Roman" w:cs="Times New Roman"/>
          <w:color w:val="auto"/>
          <w:sz w:val="24"/>
          <w:szCs w:val="24"/>
        </w:rPr>
      </w:pPr>
      <w:bookmarkStart w:id="19" w:name="_Toc14354"/>
      <w:r>
        <w:rPr>
          <w:rFonts w:hint="default" w:ascii="Times New Roman" w:hAnsi="Times New Roman" w:cs="Times New Roman"/>
          <w:color w:val="auto"/>
          <w:sz w:val="24"/>
          <w:szCs w:val="24"/>
          <w:lang w:val="en-US" w:eastAsia="zh-CN"/>
        </w:rPr>
        <w:t>8</w:t>
      </w:r>
      <w:r>
        <w:rPr>
          <w:rFonts w:hint="default" w:ascii="Times New Roman" w:hAnsi="Times New Roman" w:cs="Times New Roman"/>
          <w:color w:val="auto"/>
          <w:sz w:val="24"/>
          <w:szCs w:val="24"/>
        </w:rPr>
        <w:t>.4 Threats faced</w:t>
      </w:r>
      <w:bookmarkEnd w:id="19"/>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Intense Competition</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retail market is very competitive and Tesco has to face competition from other hypermarkets and online retailers. For example, Amazon's rapid expansion in the UK poses a definite threat to Tesco. Amazon's "One Hour Delivery" service and "Amazon Go" unmanned supermarkets have challenged Tesco's traditional retail model.</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Uncertainty in the economic environment</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Uncertainty in the global economic environment may affect consumers' purchasing power and willingness to buy, which could impact Tesco's sales. For example, the economic downturn caused by the 2020 New Crown epidemic negatively impacted Tesco's sales. Whilst Tesco's online sales increased during the outbreak, sales in its physical shops fell dramatically.</w:t>
      </w:r>
    </w:p>
    <w:p>
      <w:pPr>
        <w:rPr>
          <w:rFonts w:hint="default" w:ascii="Times New Roman" w:hAnsi="Times New Roman" w:cs="Times New Roman"/>
          <w:color w:val="auto"/>
          <w:sz w:val="24"/>
          <w:szCs w:val="24"/>
        </w:rPr>
      </w:pPr>
    </w:p>
    <w:p>
      <w:pPr>
        <w:rPr>
          <w:rFonts w:hint="default" w:ascii="Times New Roman" w:hAnsi="Times New Roman" w:cs="Times New Roman"/>
          <w:sz w:val="24"/>
          <w:szCs w:val="24"/>
        </w:rPr>
      </w:pPr>
    </w:p>
    <w:p>
      <w:pPr>
        <w:pStyle w:val="2"/>
        <w:bidi w:val="0"/>
        <w:rPr>
          <w:rFonts w:hint="default" w:ascii="Times New Roman" w:hAnsi="Times New Roman" w:cs="Times New Roman"/>
          <w:sz w:val="24"/>
          <w:szCs w:val="24"/>
        </w:rPr>
      </w:pPr>
      <w:bookmarkStart w:id="20" w:name="_Toc10245"/>
      <w:r>
        <w:rPr>
          <w:rFonts w:hint="default" w:ascii="Times New Roman" w:hAnsi="Times New Roman" w:cs="Times New Roman"/>
          <w:sz w:val="24"/>
          <w:szCs w:val="24"/>
          <w:lang w:val="en-US" w:eastAsia="zh-CN"/>
        </w:rPr>
        <w:t>9</w:t>
      </w:r>
      <w:r>
        <w:rPr>
          <w:rFonts w:hint="default" w:ascii="Times New Roman" w:hAnsi="Times New Roman" w:cs="Times New Roman"/>
          <w:sz w:val="24"/>
          <w:szCs w:val="24"/>
        </w:rPr>
        <w:t>.0 Recommendations</w:t>
      </w:r>
      <w:bookmarkEnd w:id="20"/>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Considering the possible impact of Brexit on Tesco's supply chain in Europe, Tesco needs to further improve the efficiency and flexibility of its supply chain. For example, Tesco could adopt a more advanced supply chain management system. Then suppliers establish closer co-operation to reduce operating costs and improve the responsiveness of the supply chain. In addition, Tesco can also consider reducing its dependence on a single supplier by co-operating with more suppliers to reduce supply chain risks.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As the market environment continues to change, Tesco needs to further strengthen its data analysis and forecasting capabilities to more accurately capture market trends and customer needs. For example, Tesco can invest in artificial intelligence and machine learning technologies to improve the accuracy and efficiency of data analysis. Tesco can also use data analytics to optimise its product portfolio and pricing strategy to better meet customer needs and improve profitability numbers.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Tesco's organisational culture emphasises customer focus; therefore, Tesco needs to continue to deepen its relationship with customers to enhance customer satisfaction and loyalty. For example, Tesco could enhance its interactions and connections with customers by providing a more personalised service or running more customer engagement activities. In addition, Tesco can also better understand and fulfil its customers' needs by developing a more effective customer relationship management system.</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Considering the rapid growth of e-commerce, Tesco needs to further expand its e-commerce business to capitalise on this important market opportunity. For example, Tesco can attract and retain more online customers by optimising the user experience on its website and mobile apps, or by offering more online shopping options and convenient delivery services. Also, Tesco can optimise its online marketing strategy through data analytics to improve the effectiveness and returns of its online business.</w:t>
      </w:r>
    </w:p>
    <w:p>
      <w:pPr>
        <w:rPr>
          <w:rFonts w:hint="default" w:ascii="Times New Roman" w:hAnsi="Times New Roman" w:cs="Times New Roman"/>
          <w:sz w:val="24"/>
          <w:szCs w:val="24"/>
        </w:rPr>
      </w:pPr>
    </w:p>
    <w:p>
      <w:pPr>
        <w:pStyle w:val="2"/>
        <w:bidi w:val="0"/>
        <w:rPr>
          <w:rFonts w:hint="default" w:ascii="Times New Roman" w:hAnsi="Times New Roman" w:cs="Times New Roman"/>
          <w:sz w:val="24"/>
          <w:szCs w:val="24"/>
        </w:rPr>
      </w:pPr>
      <w:bookmarkStart w:id="21" w:name="_Toc2312"/>
      <w:r>
        <w:rPr>
          <w:rFonts w:hint="default" w:ascii="Times New Roman" w:hAnsi="Times New Roman" w:cs="Times New Roman"/>
          <w:sz w:val="24"/>
          <w:szCs w:val="24"/>
          <w:lang w:val="en-US" w:eastAsia="zh-CN"/>
        </w:rPr>
        <w:t>10</w:t>
      </w:r>
      <w:r>
        <w:rPr>
          <w:rFonts w:hint="default" w:ascii="Times New Roman" w:hAnsi="Times New Roman" w:cs="Times New Roman"/>
          <w:sz w:val="24"/>
          <w:szCs w:val="24"/>
        </w:rPr>
        <w:t>.0 Conclusions</w:t>
      </w:r>
      <w:bookmarkEnd w:id="21"/>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Firstly, Tesco has strong internal resources and capabilities, including a hierarchical organisational structure and a customer-focused organisational culture, as well as a wide range of products and services, strong supply chain management and an excellent workforce. These resources and capabilities provide Tesco with a competitive advantage that enables it to maintain its leading position in a highly competitive market.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However, Tesco also faces challenges including political and economic uncertainty (e.g. the UK's withdrawal from the European Union), rapidly changing market conditions and pressure from competitors. These challenges require Tesco to continuously improve its operational efficiency and flexibility to adapt to the changing market environment.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As a result, we have made recommendations such as improving supply chain efficiencies, enhancing data analytics and forecasting, and expanding its e-commerce business. These strategies are designed to help Tesco better utilise its internal resources and capabilities to meet the challenges of the external environment, thereby achieving continued business growth and success.</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spacing w:line="360" w:lineRule="auto"/>
        <w:contextualSpacing/>
        <w:outlineLvl w:val="0"/>
        <w:rPr>
          <w:rFonts w:hint="default" w:ascii="Times New Roman" w:hAnsi="Times New Roman" w:eastAsia="宋体" w:cs="Times New Roman"/>
          <w:i w:val="0"/>
          <w:iCs w:val="0"/>
          <w:color w:val="auto"/>
          <w:sz w:val="24"/>
          <w:szCs w:val="24"/>
          <w:u w:val="none"/>
          <w:lang w:val="en-US" w:eastAsia="zh-CN"/>
        </w:rPr>
      </w:pPr>
      <w:bookmarkStart w:id="24" w:name="_GoBack"/>
      <w:bookmarkEnd w:id="24"/>
      <w:bookmarkStart w:id="22" w:name="_Toc29333"/>
      <w:r>
        <w:rPr>
          <w:rFonts w:hint="default" w:ascii="Times New Roman" w:hAnsi="Times New Roman" w:cs="Times New Roman"/>
          <w:b/>
          <w:bCs/>
          <w:sz w:val="24"/>
          <w:szCs w:val="24"/>
        </w:rPr>
        <w:t>References</w:t>
      </w:r>
      <w:bookmarkEnd w:id="22"/>
    </w:p>
    <w:p>
      <w:pPr>
        <w:rPr>
          <w:rFonts w:hint="default" w:ascii="Times New Roman" w:hAnsi="Times New Roman" w:eastAsia="宋体" w:cs="Times New Roman"/>
          <w:i w:val="0"/>
          <w:iCs w:val="0"/>
          <w:color w:val="auto"/>
          <w:sz w:val="24"/>
          <w:szCs w:val="24"/>
          <w:u w:val="none"/>
          <w:lang w:val="en-US" w:eastAsia="zh-CN"/>
        </w:rPr>
      </w:pPr>
    </w:p>
    <w:p>
      <w:pPr>
        <w:numPr>
          <w:ilvl w:val="0"/>
          <w:numId w:val="0"/>
        </w:numPr>
        <w:ind w:leftChars="0"/>
        <w:rPr>
          <w:rFonts w:hint="default" w:ascii="Times New Roman" w:hAnsi="Times New Roman" w:eastAsia="宋体" w:cs="Times New Roman"/>
          <w:i w:val="0"/>
          <w:iCs w:val="0"/>
          <w:color w:val="auto"/>
          <w:sz w:val="24"/>
          <w:szCs w:val="24"/>
          <w:u w:val="none"/>
          <w:lang w:val="en-US" w:eastAsia="zh-CN"/>
        </w:rPr>
      </w:pPr>
    </w:p>
    <w:p>
      <w:pPr>
        <w:numPr>
          <w:ilvl w:val="0"/>
          <w:numId w:val="0"/>
        </w:numPr>
        <w:ind w:lef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1.Gaille B, 2021." SWOT Analysis of Tesco". See article: "33 Biggest Strengths and Weaknesses," Vol. 33, 2021, pp. 23-55.</w:t>
      </w:r>
    </w:p>
    <w:p>
      <w:pPr>
        <w:numPr>
          <w:ilvl w:val="0"/>
          <w:numId w:val="0"/>
        </w:numPr>
        <w:ind w:leftChars="0"/>
        <w:rPr>
          <w:rFonts w:hint="default" w:ascii="Times New Roman" w:hAnsi="Times New Roman" w:eastAsia="宋体" w:cs="Times New Roman"/>
          <w:i w:val="0"/>
          <w:iCs w:val="0"/>
          <w:color w:val="auto"/>
          <w:sz w:val="24"/>
          <w:szCs w:val="24"/>
          <w:u w:val="none"/>
          <w:lang w:val="en-US" w:eastAsia="zh-CN"/>
        </w:rPr>
      </w:pPr>
    </w:p>
    <w:p>
      <w:pPr>
        <w:numPr>
          <w:ilvl w:val="0"/>
          <w:numId w:val="0"/>
        </w:numPr>
        <w:ind w:lef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2.Sheffield, 2022." Environmental (PEST) Analysis of the UK Hypermarket Industry". In article: Cultural Differences in International Business Negotiations, vol. 45, 2022, pp. 66-90.</w:t>
      </w:r>
    </w:p>
    <w:p>
      <w:pPr>
        <w:numPr>
          <w:ilvl w:val="0"/>
          <w:numId w:val="0"/>
        </w:numPr>
        <w:ind w:leftChars="0"/>
        <w:rPr>
          <w:rFonts w:hint="default" w:ascii="Times New Roman" w:hAnsi="Times New Roman" w:eastAsia="宋体" w:cs="Times New Roman"/>
          <w:i w:val="0"/>
          <w:iCs w:val="0"/>
          <w:color w:val="auto"/>
          <w:sz w:val="24"/>
          <w:szCs w:val="24"/>
          <w:u w:val="none"/>
          <w:lang w:val="en-US" w:eastAsia="zh-CN"/>
        </w:rPr>
      </w:pPr>
    </w:p>
    <w:p>
      <w:pPr>
        <w:numPr>
          <w:ilvl w:val="0"/>
          <w:numId w:val="0"/>
        </w:numPr>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3.Yuquan,W. 2018, "Learning to see the industry: 6 practical lessons for writing good analyses", 2018.</w:t>
      </w:r>
    </w:p>
    <w:p>
      <w:pPr>
        <w:numPr>
          <w:ilvl w:val="0"/>
          <w:numId w:val="0"/>
        </w:numPr>
        <w:rPr>
          <w:rFonts w:hint="default" w:ascii="Times New Roman" w:hAnsi="Times New Roman" w:eastAsia="宋体" w:cs="Times New Roman"/>
          <w:i w:val="0"/>
          <w:iCs w:val="0"/>
          <w:color w:val="auto"/>
          <w:sz w:val="24"/>
          <w:szCs w:val="24"/>
          <w:u w:val="none"/>
          <w:lang w:val="en-US" w:eastAsia="zh-CN"/>
        </w:rPr>
      </w:pPr>
    </w:p>
    <w:p>
      <w:pPr>
        <w:numPr>
          <w:ilvl w:val="0"/>
          <w:numId w:val="0"/>
        </w:numPr>
        <w:jc w:val="left"/>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4.Mugo, P. 2020.‘Porter’s five forces influence on competitive advantage in telecommunication industry in Kenya’, European Journal of Business and Strategic Management, 5(2), pp. 30-49. Available at:online,https://doi.org/10.47604/ejbsm.1140</w:t>
      </w:r>
    </w:p>
    <w:p>
      <w:pPr>
        <w:rPr>
          <w:rFonts w:hint="default" w:ascii="Times New Roman" w:hAnsi="Times New Roman" w:cs="Times New Roman"/>
          <w:color w:val="auto"/>
          <w:sz w:val="24"/>
          <w:szCs w:val="24"/>
        </w:rPr>
      </w:pPr>
    </w:p>
    <w:p>
      <w:pPr>
        <w:spacing w:line="240" w:lineRule="auto"/>
        <w:ind w:left="480" w:hanging="480" w:hangingChars="200"/>
        <w:contextualSpacing/>
        <w:jc w:val="left"/>
        <w:rPr>
          <w:rFonts w:hint="default" w:ascii="Times New Roman" w:hAnsi="Times New Roman" w:cs="Times New Roman"/>
          <w:i w:val="0"/>
          <w:iCs w:val="0"/>
          <w:color w:val="auto"/>
          <w:sz w:val="24"/>
          <w:szCs w:val="24"/>
        </w:rPr>
      </w:pPr>
      <w:r>
        <w:rPr>
          <w:rFonts w:hint="default" w:ascii="Times New Roman" w:hAnsi="Times New Roman" w:cs="Times New Roman"/>
          <w:i w:val="0"/>
          <w:iCs w:val="0"/>
          <w:color w:val="auto"/>
          <w:sz w:val="24"/>
          <w:szCs w:val="24"/>
          <w:lang w:val="en-US" w:eastAsia="zh-CN"/>
        </w:rPr>
        <w:t>5.</w:t>
      </w:r>
      <w:r>
        <w:rPr>
          <w:rFonts w:hint="default" w:ascii="Times New Roman" w:hAnsi="Times New Roman" w:cs="Times New Roman"/>
          <w:i w:val="0"/>
          <w:iCs w:val="0"/>
          <w:color w:val="auto"/>
          <w:sz w:val="24"/>
          <w:szCs w:val="24"/>
        </w:rPr>
        <w:t>Annual Report</w:t>
      </w:r>
      <w:r>
        <w:rPr>
          <w:rFonts w:hint="default" w:ascii="Times New Roman" w:hAnsi="Times New Roman" w:cs="Times New Roman"/>
          <w:i w:val="0"/>
          <w:iCs w:val="0"/>
          <w:color w:val="auto"/>
          <w:sz w:val="24"/>
          <w:szCs w:val="24"/>
          <w:lang w:eastAsia="zh-CN"/>
        </w:rPr>
        <w:t>，</w:t>
      </w:r>
      <w:r>
        <w:rPr>
          <w:rFonts w:hint="default" w:ascii="Times New Roman" w:hAnsi="Times New Roman" w:cs="Times New Roman"/>
          <w:i w:val="0"/>
          <w:iCs w:val="0"/>
          <w:color w:val="auto"/>
          <w:sz w:val="24"/>
          <w:szCs w:val="24"/>
        </w:rPr>
        <w:t>2023</w:t>
      </w:r>
      <w:r>
        <w:rPr>
          <w:rFonts w:hint="default" w:ascii="Times New Roman" w:hAnsi="Times New Roman" w:cs="Times New Roman"/>
          <w:i w:val="0"/>
          <w:iCs w:val="0"/>
          <w:color w:val="auto"/>
          <w:sz w:val="24"/>
          <w:szCs w:val="24"/>
          <w:lang w:val="en-US" w:eastAsia="zh-CN"/>
        </w:rPr>
        <w:t>.</w:t>
      </w:r>
      <w:r>
        <w:rPr>
          <w:rFonts w:hint="default" w:ascii="Times New Roman" w:hAnsi="Times New Roman" w:cs="Times New Roman"/>
          <w:i w:val="0"/>
          <w:iCs w:val="0"/>
          <w:color w:val="auto"/>
          <w:sz w:val="24"/>
          <w:szCs w:val="24"/>
        </w:rPr>
        <w:t xml:space="preserve">Available at: </w:t>
      </w:r>
      <w:r>
        <w:rPr>
          <w:rFonts w:hint="default" w:ascii="Times New Roman" w:hAnsi="Times New Roman" w:cs="Times New Roman"/>
          <w:i w:val="0"/>
          <w:iCs w:val="0"/>
          <w:color w:val="auto"/>
          <w:sz w:val="24"/>
          <w:szCs w:val="24"/>
          <w:lang w:val="en-US" w:eastAsia="zh-CN"/>
        </w:rPr>
        <w:t>online，</w:t>
      </w:r>
      <w:r>
        <w:rPr>
          <w:rFonts w:hint="default" w:ascii="Times New Roman" w:hAnsi="Times New Roman" w:cs="Times New Roman"/>
          <w:i w:val="0"/>
          <w:iCs w:val="0"/>
          <w:color w:val="auto"/>
          <w:sz w:val="24"/>
          <w:szCs w:val="24"/>
        </w:rPr>
        <w:fldChar w:fldCharType="begin"/>
      </w:r>
      <w:r>
        <w:rPr>
          <w:rFonts w:hint="default" w:ascii="Times New Roman" w:hAnsi="Times New Roman" w:cs="Times New Roman"/>
          <w:i w:val="0"/>
          <w:iCs w:val="0"/>
          <w:color w:val="auto"/>
          <w:sz w:val="24"/>
          <w:szCs w:val="24"/>
        </w:rPr>
        <w:instrText xml:space="preserve"> HYPERLINK "https://www.tescoplc.com/media/u1wlq2qf/tesco-plc-annual-report-2023.pdf" </w:instrText>
      </w:r>
      <w:r>
        <w:rPr>
          <w:rFonts w:hint="default" w:ascii="Times New Roman" w:hAnsi="Times New Roman" w:cs="Times New Roman"/>
          <w:i w:val="0"/>
          <w:iCs w:val="0"/>
          <w:color w:val="auto"/>
          <w:sz w:val="24"/>
          <w:szCs w:val="24"/>
        </w:rPr>
        <w:fldChar w:fldCharType="separate"/>
      </w:r>
      <w:r>
        <w:rPr>
          <w:rStyle w:val="7"/>
          <w:rFonts w:hint="default" w:ascii="Times New Roman" w:hAnsi="Times New Roman" w:cs="Times New Roman"/>
          <w:i w:val="0"/>
          <w:iCs w:val="0"/>
          <w:color w:val="auto"/>
          <w:sz w:val="24"/>
          <w:szCs w:val="24"/>
        </w:rPr>
        <w:t>https://www.tescoplc.com/media/u1wlq2qf/tesco-plc-annual-report-2023.pdf</w:t>
      </w:r>
      <w:r>
        <w:rPr>
          <w:rStyle w:val="7"/>
          <w:rFonts w:hint="default" w:ascii="Times New Roman" w:hAnsi="Times New Roman" w:cs="Times New Roman"/>
          <w:i w:val="0"/>
          <w:iCs w:val="0"/>
          <w:color w:val="auto"/>
          <w:sz w:val="24"/>
          <w:szCs w:val="24"/>
        </w:rPr>
        <w:fldChar w:fldCharType="end"/>
      </w:r>
      <w:r>
        <w:rPr>
          <w:rFonts w:hint="default" w:ascii="Times New Roman" w:hAnsi="Times New Roman" w:cs="Times New Roman"/>
          <w:i w:val="0"/>
          <w:iCs w:val="0"/>
          <w:color w:val="auto"/>
          <w:sz w:val="24"/>
          <w:szCs w:val="24"/>
        </w:rPr>
        <w:t xml:space="preserve"> (Accessed: 8 March 2024).</w:t>
      </w:r>
    </w:p>
    <w:p>
      <w:pPr>
        <w:spacing w:line="240" w:lineRule="auto"/>
        <w:ind w:left="480" w:hanging="480" w:hangingChars="200"/>
        <w:contextualSpacing/>
        <w:jc w:val="both"/>
        <w:rPr>
          <w:rFonts w:hint="default" w:ascii="Times New Roman" w:hAnsi="Times New Roman" w:cs="Times New Roman"/>
          <w:color w:val="auto"/>
          <w:sz w:val="24"/>
          <w:szCs w:val="24"/>
        </w:rPr>
      </w:pPr>
    </w:p>
    <w:p>
      <w:pPr>
        <w:spacing w:line="240" w:lineRule="auto"/>
        <w:ind w:left="480" w:hanging="480" w:hangingChars="200"/>
        <w:contextualSpacing/>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en-US" w:eastAsia="zh-CN"/>
        </w:rPr>
        <w:t>6.</w:t>
      </w:r>
      <w:r>
        <w:rPr>
          <w:rFonts w:hint="default" w:ascii="Times New Roman" w:hAnsi="Times New Roman" w:cs="Times New Roman"/>
          <w:color w:val="auto"/>
          <w:sz w:val="24"/>
          <w:szCs w:val="24"/>
        </w:rPr>
        <w:t>Kucharska, B., Twardzik, M. and Dolega, L. 2019</w:t>
      </w:r>
      <w:r>
        <w:rPr>
          <w:rFonts w:hint="default"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 xml:space="preserve"> ‘Sustainable development concept and creation of innovative business models by retail chains’, </w:t>
      </w:r>
      <w:r>
        <w:rPr>
          <w:rFonts w:hint="default" w:ascii="Times New Roman" w:hAnsi="Times New Roman" w:cs="Times New Roman"/>
          <w:i/>
          <w:iCs/>
          <w:color w:val="auto"/>
          <w:sz w:val="24"/>
          <w:szCs w:val="24"/>
        </w:rPr>
        <w:t>International Journal of Retail &amp; Distribution Management</w:t>
      </w:r>
      <w:r>
        <w:rPr>
          <w:rFonts w:hint="default" w:ascii="Times New Roman" w:hAnsi="Times New Roman" w:cs="Times New Roman"/>
          <w:color w:val="auto"/>
          <w:sz w:val="24"/>
          <w:szCs w:val="24"/>
        </w:rPr>
        <w:t xml:space="preserve">, 47(1), pp. 2-18. Available at: </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"https://doi.org/10.1108/IJRDM-04-2017-0071" </w:instrText>
      </w:r>
      <w:r>
        <w:rPr>
          <w:rFonts w:hint="default" w:ascii="Times New Roman" w:hAnsi="Times New Roman" w:cs="Times New Roman"/>
          <w:color w:val="auto"/>
          <w:sz w:val="24"/>
          <w:szCs w:val="24"/>
        </w:rPr>
        <w:fldChar w:fldCharType="separate"/>
      </w:r>
      <w:r>
        <w:rPr>
          <w:rStyle w:val="7"/>
          <w:rFonts w:hint="default" w:ascii="Times New Roman" w:hAnsi="Times New Roman" w:cs="Times New Roman"/>
          <w:color w:val="auto"/>
          <w:sz w:val="24"/>
          <w:szCs w:val="24"/>
        </w:rPr>
        <w:t>https://doi.org/10.1108/IJRDM-04-2017-0071</w:t>
      </w:r>
      <w:r>
        <w:rPr>
          <w:rStyle w:val="7"/>
          <w:rFonts w:hint="default" w:ascii="Times New Roman" w:hAnsi="Times New Roman" w:cs="Times New Roman"/>
          <w:color w:val="auto"/>
          <w:sz w:val="24"/>
          <w:szCs w:val="24"/>
        </w:rPr>
        <w:fldChar w:fldCharType="end"/>
      </w:r>
    </w:p>
    <w:p>
      <w:pPr>
        <w:rPr>
          <w:rFonts w:hint="default" w:ascii="Times New Roman" w:hAnsi="Times New Roman" w:cs="Times New Roman" w:eastAsiaTheme="minorEastAsia"/>
          <w:color w:val="auto"/>
          <w:sz w:val="24"/>
          <w:szCs w:val="24"/>
          <w:lang w:val="en-US"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270" w:lineRule="atLeast"/>
        <w:ind w:left="0" w:right="0" w:firstLine="0"/>
        <w:rPr>
          <w:rFonts w:hint="default" w:ascii="Times New Roman" w:hAnsi="Times New Roman" w:eastAsia="宋体" w:cs="Times New Roman"/>
          <w:b w:val="0"/>
          <w:bCs w:val="0"/>
          <w:i w:val="0"/>
          <w:iCs w:val="0"/>
          <w:color w:val="auto"/>
          <w:sz w:val="24"/>
          <w:szCs w:val="24"/>
          <w:u w:val="none"/>
          <w:lang w:val="en-US" w:eastAsia="zh-CN"/>
        </w:rPr>
      </w:pPr>
      <w:bookmarkStart w:id="23" w:name="_Toc29342"/>
      <w:r>
        <w:rPr>
          <w:rFonts w:hint="default" w:ascii="Times New Roman" w:hAnsi="Times New Roman" w:cs="Times New Roman"/>
          <w:b w:val="0"/>
          <w:bCs w:val="0"/>
          <w:i w:val="0"/>
          <w:iCs w:val="0"/>
          <w:color w:val="auto"/>
          <w:sz w:val="24"/>
          <w:szCs w:val="24"/>
          <w:u w:val="none"/>
          <w:lang w:val="en-US" w:eastAsia="zh-CN"/>
        </w:rPr>
        <w:t>7</w:t>
      </w:r>
      <w:r>
        <w:rPr>
          <w:rFonts w:hint="default" w:ascii="Times New Roman" w:hAnsi="Times New Roman" w:eastAsia="宋体" w:cs="Times New Roman"/>
          <w:b w:val="0"/>
          <w:bCs w:val="0"/>
          <w:i w:val="0"/>
          <w:iCs w:val="0"/>
          <w:color w:val="auto"/>
          <w:sz w:val="24"/>
          <w:szCs w:val="24"/>
          <w:u w:val="none"/>
          <w:lang w:val="en-US" w:eastAsia="zh-CN"/>
        </w:rPr>
        <w:t>.Ranis Cheng; Fernando Lourenco,20</w:t>
      </w:r>
      <w:r>
        <w:rPr>
          <w:rFonts w:hint="default" w:ascii="Times New Roman" w:hAnsi="Times New Roman" w:cs="Times New Roman"/>
          <w:b w:val="0"/>
          <w:bCs w:val="0"/>
          <w:i w:val="0"/>
          <w:iCs w:val="0"/>
          <w:color w:val="auto"/>
          <w:sz w:val="24"/>
          <w:szCs w:val="24"/>
          <w:u w:val="none"/>
          <w:lang w:val="en-US" w:eastAsia="zh-CN"/>
        </w:rPr>
        <w:t>16</w:t>
      </w:r>
      <w:r>
        <w:rPr>
          <w:rFonts w:hint="default" w:ascii="Times New Roman" w:hAnsi="Times New Roman" w:eastAsia="宋体" w:cs="Times New Roman"/>
          <w:b w:val="0"/>
          <w:bCs w:val="0"/>
          <w:i w:val="0"/>
          <w:iCs w:val="0"/>
          <w:color w:val="auto"/>
          <w:sz w:val="24"/>
          <w:szCs w:val="24"/>
          <w:u w:val="none"/>
          <w:lang w:val="en-US" w:eastAsia="zh-CN"/>
        </w:rPr>
        <w:t>.</w:t>
      </w:r>
      <w:r>
        <w:rPr>
          <w:rFonts w:hint="default" w:ascii="Times New Roman" w:hAnsi="Times New Roman" w:eastAsia="Times New Roman" w:cs="Times New Roman"/>
          <w:b w:val="0"/>
          <w:bCs w:val="0"/>
          <w:i w:val="0"/>
          <w:iCs w:val="0"/>
          <w:color w:val="auto"/>
          <w:spacing w:val="-1"/>
          <w:sz w:val="24"/>
          <w:szCs w:val="24"/>
          <w:u w:val="none"/>
        </w:rPr>
        <w:t xml:space="preserve"> </w:t>
      </w:r>
      <w:r>
        <w:rPr>
          <w:rFonts w:hint="default" w:ascii="Times New Roman" w:hAnsi="Times New Roman" w:eastAsia="Segoe UI" w:cs="Times New Roman"/>
          <w:b w:val="0"/>
          <w:bCs w:val="0"/>
          <w:i w:val="0"/>
          <w:iCs w:val="0"/>
          <w:caps w:val="0"/>
          <w:color w:val="auto"/>
          <w:spacing w:val="0"/>
          <w:sz w:val="24"/>
          <w:szCs w:val="24"/>
          <w:u w:val="none"/>
        </w:rPr>
        <w:fldChar w:fldCharType="begin"/>
      </w:r>
      <w:r>
        <w:rPr>
          <w:rFonts w:hint="default" w:ascii="Times New Roman" w:hAnsi="Times New Roman" w:eastAsia="Segoe UI" w:cs="Times New Roman"/>
          <w:b w:val="0"/>
          <w:bCs w:val="0"/>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b w:val="0"/>
          <w:bCs w:val="0"/>
          <w:i w:val="0"/>
          <w:iCs w:val="0"/>
          <w:caps w:val="0"/>
          <w:color w:val="auto"/>
          <w:spacing w:val="0"/>
          <w:sz w:val="24"/>
          <w:szCs w:val="24"/>
          <w:u w:val="none"/>
        </w:rPr>
        <w:fldChar w:fldCharType="separate"/>
      </w:r>
      <w:r>
        <w:rPr>
          <w:rStyle w:val="7"/>
          <w:rFonts w:hint="default" w:ascii="Times New Roman" w:hAnsi="Times New Roman" w:eastAsia="Segoe UI" w:cs="Times New Roman"/>
          <w:b w:val="0"/>
          <w:bCs w:val="0"/>
          <w:i w:val="0"/>
          <w:iCs w:val="0"/>
          <w:caps w:val="0"/>
          <w:color w:val="auto"/>
          <w:spacing w:val="0"/>
          <w:sz w:val="24"/>
          <w:szCs w:val="24"/>
          <w:u w:val="none"/>
        </w:rPr>
        <w:t>“</w:t>
      </w:r>
      <w:r>
        <w:rPr>
          <w:rFonts w:hint="default" w:ascii="Times New Roman" w:hAnsi="Times New Roman" w:eastAsia="微软雅黑" w:cs="Times New Roman"/>
          <w:b w:val="0"/>
          <w:bCs w:val="0"/>
          <w:i w:val="0"/>
          <w:iCs w:val="0"/>
          <w:caps w:val="0"/>
          <w:color w:val="auto"/>
          <w:spacing w:val="0"/>
          <w:sz w:val="24"/>
          <w:szCs w:val="24"/>
          <w:shd w:val="clear" w:fill="FFFFFF"/>
        </w:rPr>
        <w:t>ducating graduates for marketing in SMEs: An update for the traditional marketing curriculum</w:t>
      </w:r>
      <w:r>
        <w:rPr>
          <w:rStyle w:val="7"/>
          <w:rFonts w:hint="default" w:ascii="Times New Roman" w:hAnsi="Times New Roman" w:eastAsia="Segoe UI" w:cs="Times New Roman"/>
          <w:b w:val="0"/>
          <w:bCs w:val="0"/>
          <w:i w:val="0"/>
          <w:iCs w:val="0"/>
          <w:caps w:val="0"/>
          <w:color w:val="auto"/>
          <w:spacing w:val="0"/>
          <w:sz w:val="24"/>
          <w:szCs w:val="24"/>
          <w:u w:val="none"/>
        </w:rPr>
        <w:t>”</w:t>
      </w:r>
      <w:r>
        <w:rPr>
          <w:rFonts w:hint="default" w:ascii="Times New Roman" w:hAnsi="Times New Roman" w:eastAsia="Segoe UI" w:cs="Times New Roman"/>
          <w:b w:val="0"/>
          <w:bCs w:val="0"/>
          <w:i w:val="0"/>
          <w:iCs w:val="0"/>
          <w:caps w:val="0"/>
          <w:color w:val="auto"/>
          <w:spacing w:val="0"/>
          <w:sz w:val="24"/>
          <w:szCs w:val="24"/>
          <w:u w:val="none"/>
        </w:rPr>
        <w:fldChar w:fldCharType="end"/>
      </w:r>
      <w:r>
        <w:rPr>
          <w:rFonts w:hint="default" w:ascii="Times New Roman" w:hAnsi="Times New Roman" w:eastAsia="Times New Roman" w:cs="Times New Roman"/>
          <w:b w:val="0"/>
          <w:bCs w:val="0"/>
          <w:i w:val="0"/>
          <w:iCs w:val="0"/>
          <w:color w:val="auto"/>
          <w:spacing w:val="1"/>
          <w:sz w:val="24"/>
          <w:szCs w:val="24"/>
          <w:u w:val="none"/>
        </w:rPr>
        <w:t>.</w:t>
      </w:r>
      <w:r>
        <w:rPr>
          <w:rFonts w:hint="default" w:ascii="Times New Roman" w:hAnsi="Times New Roman" w:eastAsia="Times New Roman" w:cs="Times New Roman"/>
          <w:b w:val="0"/>
          <w:bCs w:val="0"/>
          <w:i w:val="0"/>
          <w:iCs w:val="0"/>
          <w:color w:val="auto"/>
          <w:spacing w:val="-17"/>
          <w:sz w:val="24"/>
          <w:szCs w:val="24"/>
          <w:u w:val="none"/>
        </w:rPr>
        <w:t xml:space="preserve"> </w:t>
      </w:r>
      <w:r>
        <w:rPr>
          <w:rFonts w:hint="default" w:ascii="Times New Roman" w:hAnsi="Times New Roman" w:eastAsia="Times New Roman" w:cs="Times New Roman"/>
          <w:b w:val="0"/>
          <w:bCs w:val="0"/>
          <w:i w:val="0"/>
          <w:iCs w:val="0"/>
          <w:color w:val="auto"/>
          <w:sz w:val="24"/>
          <w:szCs w:val="24"/>
          <w:u w:val="none"/>
        </w:rPr>
        <w:t>Available</w:t>
      </w:r>
      <w:r>
        <w:rPr>
          <w:rFonts w:hint="default" w:ascii="Times New Roman" w:hAnsi="Times New Roman" w:eastAsia="Times New Roman" w:cs="Times New Roman"/>
          <w:b w:val="0"/>
          <w:bCs w:val="0"/>
          <w:i w:val="0"/>
          <w:iCs w:val="0"/>
          <w:color w:val="auto"/>
          <w:spacing w:val="1"/>
          <w:sz w:val="24"/>
          <w:szCs w:val="24"/>
          <w:u w:val="none"/>
        </w:rPr>
        <w:t xml:space="preserve"> </w:t>
      </w:r>
      <w:r>
        <w:rPr>
          <w:rFonts w:hint="default" w:ascii="Times New Roman" w:hAnsi="Times New Roman" w:eastAsia="Times New Roman" w:cs="Times New Roman"/>
          <w:b w:val="0"/>
          <w:bCs w:val="0"/>
          <w:i w:val="0"/>
          <w:iCs w:val="0"/>
          <w:color w:val="auto"/>
          <w:sz w:val="24"/>
          <w:szCs w:val="24"/>
          <w:u w:val="none"/>
        </w:rPr>
        <w:t>at</w:t>
      </w:r>
      <w:r>
        <w:rPr>
          <w:rFonts w:hint="default" w:ascii="Times New Roman" w:hAnsi="Times New Roman" w:eastAsia="宋体" w:cs="Times New Roman"/>
          <w:b w:val="0"/>
          <w:bCs w:val="0"/>
          <w:i w:val="0"/>
          <w:iCs w:val="0"/>
          <w:color w:val="auto"/>
          <w:sz w:val="24"/>
          <w:szCs w:val="24"/>
          <w:u w:val="none"/>
          <w:lang w:val="en-US" w:eastAsia="zh-CN"/>
        </w:rPr>
        <w:t>,</w:t>
      </w:r>
      <w:r>
        <w:rPr>
          <w:rFonts w:hint="default" w:ascii="Times New Roman" w:hAnsi="Times New Roman" w:eastAsia="Times New Roman" w:cs="Times New Roman"/>
          <w:b w:val="0"/>
          <w:bCs w:val="0"/>
          <w:i w:val="0"/>
          <w:iCs w:val="0"/>
          <w:color w:val="auto"/>
          <w:sz w:val="24"/>
          <w:szCs w:val="24"/>
          <w:u w:val="none"/>
        </w:rPr>
        <w:t>article</w:t>
      </w:r>
      <w:r>
        <w:rPr>
          <w:rFonts w:hint="default" w:ascii="Times New Roman" w:hAnsi="Times New Roman" w:eastAsia="宋体" w:cs="Times New Roman"/>
          <w:b w:val="0"/>
          <w:bCs w:val="0"/>
          <w:i w:val="0"/>
          <w:iCs w:val="0"/>
          <w:color w:val="auto"/>
          <w:sz w:val="24"/>
          <w:szCs w:val="24"/>
          <w:u w:val="none"/>
          <w:lang w:eastAsia="zh-CN"/>
        </w:rPr>
        <w:t>，Journal of Small Business and Enterprise Development</w:t>
      </w:r>
      <w:r>
        <w:rPr>
          <w:rFonts w:hint="default" w:ascii="Times New Roman" w:hAnsi="Times New Roman" w:eastAsia="宋体" w:cs="Times New Roman"/>
          <w:b w:val="0"/>
          <w:bCs w:val="0"/>
          <w:i w:val="0"/>
          <w:iCs w:val="0"/>
          <w:color w:val="auto"/>
          <w:sz w:val="24"/>
          <w:szCs w:val="24"/>
          <w:u w:val="none"/>
          <w:lang w:val="en-US" w:eastAsia="zh-CN"/>
        </w:rPr>
        <w:t>, 20</w:t>
      </w:r>
      <w:r>
        <w:rPr>
          <w:rFonts w:hint="default" w:ascii="Times New Roman" w:hAnsi="Times New Roman" w:cs="Times New Roman"/>
          <w:b w:val="0"/>
          <w:bCs w:val="0"/>
          <w:i w:val="0"/>
          <w:iCs w:val="0"/>
          <w:color w:val="auto"/>
          <w:sz w:val="24"/>
          <w:szCs w:val="24"/>
          <w:u w:val="none"/>
          <w:lang w:val="en-US" w:eastAsia="zh-CN"/>
        </w:rPr>
        <w:t>16</w:t>
      </w:r>
      <w:r>
        <w:rPr>
          <w:rFonts w:hint="default" w:ascii="Times New Roman" w:hAnsi="Times New Roman" w:eastAsia="宋体" w:cs="Times New Roman"/>
          <w:b w:val="0"/>
          <w:bCs w:val="0"/>
          <w:i w:val="0"/>
          <w:iCs w:val="0"/>
          <w:color w:val="auto"/>
          <w:sz w:val="24"/>
          <w:szCs w:val="24"/>
          <w:u w:val="none"/>
          <w:lang w:val="en-US" w:eastAsia="zh-CN"/>
        </w:rPr>
        <w:t>, 20(4): 158-160</w:t>
      </w:r>
      <w:bookmarkEnd w:id="23"/>
      <w:r>
        <w:rPr>
          <w:rFonts w:hint="default" w:ascii="Times New Roman" w:hAnsi="Times New Roman" w:eastAsia="宋体" w:cs="Times New Roman"/>
          <w:b w:val="0"/>
          <w:bCs w:val="0"/>
          <w:i w:val="0"/>
          <w:iCs w:val="0"/>
          <w:color w:val="auto"/>
          <w:sz w:val="24"/>
          <w:szCs w:val="24"/>
          <w:u w:val="none"/>
          <w:lang w:val="en-US" w:eastAsia="zh-CN"/>
        </w:rPr>
        <w:t xml:space="preserve"> </w:t>
      </w:r>
    </w:p>
    <w:p>
      <w:pPr>
        <w:widowControl w:val="0"/>
        <w:numPr>
          <w:ilvl w:val="0"/>
          <w:numId w:val="0"/>
        </w:numPr>
        <w:spacing w:before="69" w:line="233" w:lineRule="auto"/>
        <w:ind w:right="961" w:rightChars="0"/>
        <w:jc w:val="both"/>
        <w:rPr>
          <w:rFonts w:hint="default" w:ascii="Times New Roman" w:hAnsi="Times New Roman" w:eastAsia="宋体" w:cs="Times New Roman"/>
          <w:i w:val="0"/>
          <w:iCs w:val="0"/>
          <w:color w:val="auto"/>
          <w:sz w:val="24"/>
          <w:szCs w:val="24"/>
          <w:u w:val="none"/>
          <w:lang w:val="en-US" w:eastAsia="zh-CN"/>
        </w:rPr>
      </w:pPr>
    </w:p>
    <w:p>
      <w:pPr>
        <w:numPr>
          <w:ilvl w:val="0"/>
          <w:numId w:val="0"/>
        </w:numPr>
        <w:spacing w:before="69" w:line="240" w:lineRule="auto"/>
        <w:ind w:right="961" w:rightChars="0"/>
        <w:jc w:val="both"/>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微软雅黑" w:cs="Times New Roman"/>
          <w:i w:val="0"/>
          <w:iCs w:val="0"/>
          <w:caps w:val="0"/>
          <w:color w:val="auto"/>
          <w:spacing w:val="0"/>
          <w:sz w:val="24"/>
          <w:szCs w:val="24"/>
          <w:u w:val="none"/>
          <w:shd w:val="clear" w:fill="FFFFFF"/>
          <w:lang w:val="en-US" w:eastAsia="zh-CN"/>
        </w:rPr>
        <w:t>8.</w:t>
      </w:r>
      <w:r>
        <w:rPr>
          <w:rFonts w:hint="default" w:ascii="Times New Roman" w:hAnsi="Times New Roman" w:eastAsia="微软雅黑" w:cs="Times New Roman"/>
          <w:i w:val="0"/>
          <w:iCs w:val="0"/>
          <w:caps w:val="0"/>
          <w:color w:val="auto"/>
          <w:spacing w:val="0"/>
          <w:sz w:val="24"/>
          <w:szCs w:val="24"/>
          <w:u w:val="none"/>
          <w:shd w:val="clear" w:fill="FFFFFF"/>
        </w:rPr>
        <w:fldChar w:fldCharType="begin"/>
      </w:r>
      <w:r>
        <w:rPr>
          <w:rFonts w:hint="default" w:ascii="Times New Roman" w:hAnsi="Times New Roman" w:eastAsia="微软雅黑" w:cs="Times New Roman"/>
          <w:i w:val="0"/>
          <w:iCs w:val="0"/>
          <w:caps w:val="0"/>
          <w:color w:val="auto"/>
          <w:spacing w:val="0"/>
          <w:sz w:val="24"/>
          <w:szCs w:val="24"/>
          <w:u w:val="none"/>
          <w:shd w:val="clear" w:fill="FFFFFF"/>
        </w:rPr>
        <w:instrText xml:space="preserve"> HYPERLINK "https://www.zhangqiaokeyan.com/search.html?doctypes=4_5_6_1-0_4-0_1_2_3_7_9&amp;sertext=Sheilagh Resnick&amp;option=202" \t "https://www.zhangqiaokeyan.com/academic-journal-foreign_journal-small-business-and-enterprise-development_thesis/_blank" </w:instrText>
      </w:r>
      <w:r>
        <w:rPr>
          <w:rFonts w:hint="default" w:ascii="Times New Roman" w:hAnsi="Times New Roman" w:eastAsia="微软雅黑" w:cs="Times New Roman"/>
          <w:i w:val="0"/>
          <w:iCs w:val="0"/>
          <w:caps w:val="0"/>
          <w:color w:val="auto"/>
          <w:spacing w:val="0"/>
          <w:sz w:val="24"/>
          <w:szCs w:val="24"/>
          <w:u w:val="none"/>
          <w:shd w:val="clear" w:fill="FFFFFF"/>
        </w:rPr>
        <w:fldChar w:fldCharType="separate"/>
      </w:r>
      <w:r>
        <w:rPr>
          <w:rStyle w:val="7"/>
          <w:rFonts w:hint="default" w:ascii="Times New Roman" w:hAnsi="Times New Roman" w:eastAsia="微软雅黑" w:cs="Times New Roman"/>
          <w:i w:val="0"/>
          <w:iCs w:val="0"/>
          <w:caps w:val="0"/>
          <w:color w:val="auto"/>
          <w:spacing w:val="0"/>
          <w:sz w:val="24"/>
          <w:szCs w:val="24"/>
          <w:u w:val="none"/>
          <w:shd w:val="clear" w:fill="FFFFFF"/>
        </w:rPr>
        <w:t>Sheilagh Resnick</w:t>
      </w:r>
      <w:r>
        <w:rPr>
          <w:rFonts w:hint="default" w:ascii="Times New Roman" w:hAnsi="Times New Roman" w:eastAsia="微软雅黑" w:cs="Times New Roman"/>
          <w:i w:val="0"/>
          <w:iCs w:val="0"/>
          <w:caps w:val="0"/>
          <w:color w:val="auto"/>
          <w:spacing w:val="0"/>
          <w:sz w:val="24"/>
          <w:szCs w:val="24"/>
          <w:u w:val="none"/>
          <w:shd w:val="clear" w:fill="FFFFFF"/>
        </w:rPr>
        <w:fldChar w:fldCharType="end"/>
      </w:r>
      <w:r>
        <w:rPr>
          <w:rFonts w:hint="default" w:ascii="Times New Roman" w:hAnsi="Times New Roman" w:eastAsia="宋体" w:cs="Times New Roman"/>
          <w:i w:val="0"/>
          <w:iCs w:val="0"/>
          <w:color w:val="auto"/>
          <w:sz w:val="24"/>
          <w:szCs w:val="24"/>
          <w:u w:val="none"/>
          <w:lang w:val="en-US" w:eastAsia="zh-CN"/>
        </w:rPr>
        <w:t>,2023.“</w:t>
      </w:r>
      <w:r>
        <w:rPr>
          <w:rFonts w:hint="default" w:ascii="Times New Roman" w:hAnsi="Times New Roman" w:eastAsia="微软雅黑" w:cs="Times New Roman"/>
          <w:i w:val="0"/>
          <w:iCs w:val="0"/>
          <w:caps w:val="0"/>
          <w:color w:val="auto"/>
          <w:spacing w:val="0"/>
          <w:sz w:val="24"/>
          <w:szCs w:val="24"/>
          <w:u w:val="none"/>
          <w:shd w:val="clear" w:fill="FFFFFF"/>
        </w:rPr>
        <w:fldChar w:fldCharType="begin"/>
      </w:r>
      <w:r>
        <w:rPr>
          <w:rFonts w:hint="default" w:ascii="Times New Roman" w:hAnsi="Times New Roman" w:eastAsia="微软雅黑" w:cs="Times New Roman"/>
          <w:i w:val="0"/>
          <w:iCs w:val="0"/>
          <w:caps w:val="0"/>
          <w:color w:val="auto"/>
          <w:spacing w:val="0"/>
          <w:sz w:val="24"/>
          <w:szCs w:val="24"/>
          <w:u w:val="none"/>
          <w:shd w:val="clear" w:fill="FFFFFF"/>
        </w:rPr>
        <w:instrText xml:space="preserve"> HYPERLINK "https://www.zhangqiaokeyan.com/academic-conference-foreign_meeting-292172_thesis/0705018312370.html" </w:instrText>
      </w:r>
      <w:r>
        <w:rPr>
          <w:rFonts w:hint="default" w:ascii="Times New Roman" w:hAnsi="Times New Roman" w:eastAsia="微软雅黑" w:cs="Times New Roman"/>
          <w:i w:val="0"/>
          <w:iCs w:val="0"/>
          <w:caps w:val="0"/>
          <w:color w:val="auto"/>
          <w:spacing w:val="0"/>
          <w:sz w:val="24"/>
          <w:szCs w:val="24"/>
          <w:u w:val="none"/>
          <w:shd w:val="clear" w:fill="FFFFFF"/>
        </w:rPr>
        <w:fldChar w:fldCharType="separate"/>
      </w:r>
      <w:r>
        <w:rPr>
          <w:rStyle w:val="7"/>
          <w:rFonts w:hint="default" w:ascii="Times New Roman" w:hAnsi="Times New Roman" w:eastAsia="微软雅黑" w:cs="Times New Roman"/>
          <w:i w:val="0"/>
          <w:iCs w:val="0"/>
          <w:caps w:val="0"/>
          <w:color w:val="auto"/>
          <w:spacing w:val="0"/>
          <w:sz w:val="24"/>
          <w:szCs w:val="24"/>
          <w:u w:val="none"/>
          <w:shd w:val="clear" w:fill="FFFFFF"/>
        </w:rPr>
        <w:t>The Role of Attitude Toward Marketing and Marketing Practice on Marketing Performance: A Theoretical Framework Development for SMEs</w:t>
      </w:r>
      <w:r>
        <w:rPr>
          <w:rFonts w:hint="default" w:ascii="Times New Roman" w:hAnsi="Times New Roman" w:eastAsia="微软雅黑" w:cs="Times New Roman"/>
          <w:i w:val="0"/>
          <w:iCs w:val="0"/>
          <w:caps w:val="0"/>
          <w:color w:val="auto"/>
          <w:spacing w:val="0"/>
          <w:sz w:val="24"/>
          <w:szCs w:val="24"/>
          <w:u w:val="none"/>
          <w:shd w:val="clear" w:fill="FFFFFF"/>
        </w:rPr>
        <w:fldChar w:fldCharType="end"/>
      </w:r>
      <w:r>
        <w:rPr>
          <w:rFonts w:hint="default" w:ascii="Times New Roman" w:hAnsi="Times New Roman" w:eastAsia="微软雅黑" w:cs="Times New Roman"/>
          <w:b w:val="0"/>
          <w:bCs w:val="0"/>
          <w:i w:val="0"/>
          <w:iCs w:val="0"/>
          <w:caps w:val="0"/>
          <w:color w:val="auto"/>
          <w:spacing w:val="0"/>
          <w:sz w:val="24"/>
          <w:szCs w:val="24"/>
          <w:shd w:val="clear" w:fill="FFFFFF"/>
          <w:lang w:eastAsia="zh-CN"/>
        </w:rPr>
        <w:t>”</w:t>
      </w:r>
      <w:r>
        <w:rPr>
          <w:rFonts w:hint="default" w:ascii="Times New Roman" w:hAnsi="Times New Roman" w:eastAsia="微软雅黑" w:cs="Times New Roman"/>
          <w:i w:val="0"/>
          <w:iCs w:val="0"/>
          <w:caps w:val="0"/>
          <w:color w:val="auto"/>
          <w:spacing w:val="0"/>
          <w:sz w:val="24"/>
          <w:szCs w:val="24"/>
          <w:shd w:val="clear" w:fill="FFFFFF"/>
        </w:rPr>
        <w:t> . </w:t>
      </w:r>
      <w:r>
        <w:rPr>
          <w:rFonts w:hint="default" w:ascii="Times New Roman" w:hAnsi="Times New Roman" w:eastAsia="Times New Roman" w:cs="Times New Roman"/>
          <w:b w:val="0"/>
          <w:bCs w:val="0"/>
          <w:i w:val="0"/>
          <w:iCs w:val="0"/>
          <w:color w:val="auto"/>
          <w:sz w:val="24"/>
          <w:szCs w:val="24"/>
          <w:u w:val="none"/>
        </w:rPr>
        <w:t>Available</w:t>
      </w:r>
      <w:r>
        <w:rPr>
          <w:rFonts w:hint="default" w:ascii="Times New Roman" w:hAnsi="Times New Roman" w:eastAsia="Times New Roman" w:cs="Times New Roman"/>
          <w:b w:val="0"/>
          <w:bCs w:val="0"/>
          <w:i w:val="0"/>
          <w:iCs w:val="0"/>
          <w:color w:val="auto"/>
          <w:spacing w:val="1"/>
          <w:sz w:val="24"/>
          <w:szCs w:val="24"/>
          <w:u w:val="none"/>
        </w:rPr>
        <w:t xml:space="preserve"> </w:t>
      </w:r>
      <w:r>
        <w:rPr>
          <w:rFonts w:hint="default" w:ascii="Times New Roman" w:hAnsi="Times New Roman" w:eastAsia="Times New Roman" w:cs="Times New Roman"/>
          <w:b w:val="0"/>
          <w:bCs w:val="0"/>
          <w:i w:val="0"/>
          <w:iCs w:val="0"/>
          <w:color w:val="auto"/>
          <w:sz w:val="24"/>
          <w:szCs w:val="24"/>
          <w:u w:val="none"/>
        </w:rPr>
        <w:t>at</w:t>
      </w:r>
      <w:r>
        <w:rPr>
          <w:rFonts w:hint="default" w:ascii="Times New Roman" w:hAnsi="Times New Roman" w:eastAsia="宋体" w:cs="Times New Roman"/>
          <w:b w:val="0"/>
          <w:bCs w:val="0"/>
          <w:i w:val="0"/>
          <w:iCs w:val="0"/>
          <w:color w:val="auto"/>
          <w:sz w:val="24"/>
          <w:szCs w:val="24"/>
          <w:u w:val="none"/>
          <w:lang w:val="en-US" w:eastAsia="zh-CN"/>
        </w:rPr>
        <w:t>,</w:t>
      </w:r>
      <w:r>
        <w:rPr>
          <w:rFonts w:hint="default" w:ascii="Times New Roman" w:hAnsi="Times New Roman" w:eastAsia="Times New Roman" w:cs="Times New Roman"/>
          <w:b w:val="0"/>
          <w:bCs w:val="0"/>
          <w:i w:val="0"/>
          <w:iCs w:val="0"/>
          <w:color w:val="auto"/>
          <w:sz w:val="24"/>
          <w:szCs w:val="24"/>
          <w:u w:val="none"/>
        </w:rPr>
        <w:t>article</w:t>
      </w:r>
      <w:r>
        <w:rPr>
          <w:rFonts w:hint="default" w:ascii="Times New Roman" w:hAnsi="Times New Roman" w:eastAsia="宋体" w:cs="Times New Roman"/>
          <w:b w:val="0"/>
          <w:bCs w:val="0"/>
          <w:i w:val="0"/>
          <w:iCs w:val="0"/>
          <w:color w:val="auto"/>
          <w:sz w:val="24"/>
          <w:szCs w:val="24"/>
          <w:u w:val="none"/>
          <w:lang w:eastAsia="zh-CN"/>
        </w:rPr>
        <w:t>，</w:t>
      </w:r>
      <w:r>
        <w:rPr>
          <w:rFonts w:hint="default" w:ascii="Times New Roman" w:hAnsi="Times New Roman" w:eastAsia="微软雅黑" w:cs="Times New Roman"/>
          <w:i w:val="0"/>
          <w:iCs w:val="0"/>
          <w:caps w:val="0"/>
          <w:color w:val="auto"/>
          <w:spacing w:val="0"/>
          <w:sz w:val="24"/>
          <w:szCs w:val="24"/>
          <w:shd w:val="clear" w:fill="FFFFFF"/>
        </w:rPr>
        <w:t> </w:t>
      </w:r>
      <w:r>
        <w:rPr>
          <w:rFonts w:hint="default" w:ascii="Times New Roman" w:hAnsi="Times New Roman" w:eastAsia="微软雅黑" w:cs="Times New Roman"/>
          <w:i w:val="0"/>
          <w:iCs w:val="0"/>
          <w:caps w:val="0"/>
          <w:color w:val="auto"/>
          <w:spacing w:val="0"/>
          <w:sz w:val="24"/>
          <w:szCs w:val="24"/>
          <w:u w:val="none"/>
          <w:shd w:val="clear" w:fill="FFFFFF"/>
        </w:rPr>
        <w:fldChar w:fldCharType="begin"/>
      </w:r>
      <w:r>
        <w:rPr>
          <w:rFonts w:hint="default" w:ascii="Times New Roman" w:hAnsi="Times New Roman" w:eastAsia="微软雅黑" w:cs="Times New Roman"/>
          <w:i w:val="0"/>
          <w:iCs w:val="0"/>
          <w:caps w:val="0"/>
          <w:color w:val="auto"/>
          <w:spacing w:val="0"/>
          <w:sz w:val="24"/>
          <w:szCs w:val="24"/>
          <w:u w:val="none"/>
          <w:shd w:val="clear" w:fill="FFFFFF"/>
        </w:rPr>
        <w:instrText xml:space="preserve"> HYPERLINK "https://www.zhangqiaokeyan.com/conference-foreign-292172/" \t "https://www.zhangqiaokeyan.com/academic-journal-foreign_journal-small-business-and-enterprise-development_thesis/_blank" </w:instrText>
      </w:r>
      <w:r>
        <w:rPr>
          <w:rFonts w:hint="default" w:ascii="Times New Roman" w:hAnsi="Times New Roman" w:eastAsia="微软雅黑" w:cs="Times New Roman"/>
          <w:i w:val="0"/>
          <w:iCs w:val="0"/>
          <w:caps w:val="0"/>
          <w:color w:val="auto"/>
          <w:spacing w:val="0"/>
          <w:sz w:val="24"/>
          <w:szCs w:val="24"/>
          <w:u w:val="none"/>
          <w:shd w:val="clear" w:fill="FFFFFF"/>
        </w:rPr>
        <w:fldChar w:fldCharType="separate"/>
      </w:r>
      <w:r>
        <w:rPr>
          <w:rStyle w:val="7"/>
          <w:rFonts w:hint="default" w:ascii="Times New Roman" w:hAnsi="Times New Roman" w:eastAsia="微软雅黑" w:cs="Times New Roman"/>
          <w:i w:val="0"/>
          <w:iCs w:val="0"/>
          <w:caps w:val="0"/>
          <w:color w:val="auto"/>
          <w:spacing w:val="0"/>
          <w:sz w:val="24"/>
          <w:szCs w:val="24"/>
          <w:u w:val="none"/>
          <w:shd w:val="clear" w:fill="FFFFFF"/>
        </w:rPr>
        <w:t>Global Conference on Business, Management and Entrepreneurship .</w:t>
      </w:r>
      <w:r>
        <w:rPr>
          <w:rFonts w:hint="default" w:ascii="Times New Roman" w:hAnsi="Times New Roman" w:eastAsia="微软雅黑" w:cs="Times New Roman"/>
          <w:i w:val="0"/>
          <w:iCs w:val="0"/>
          <w:caps w:val="0"/>
          <w:color w:val="auto"/>
          <w:spacing w:val="0"/>
          <w:sz w:val="24"/>
          <w:szCs w:val="24"/>
          <w:u w:val="none"/>
          <w:shd w:val="clear" w:fill="FFFFFF"/>
        </w:rPr>
        <w:fldChar w:fldCharType="end"/>
      </w:r>
      <w:r>
        <w:rPr>
          <w:rFonts w:hint="default" w:ascii="Times New Roman" w:hAnsi="Times New Roman" w:eastAsia="微软雅黑" w:cs="Times New Roman"/>
          <w:i w:val="0"/>
          <w:iCs w:val="0"/>
          <w:caps w:val="0"/>
          <w:color w:val="auto"/>
          <w:spacing w:val="0"/>
          <w:sz w:val="24"/>
          <w:szCs w:val="24"/>
          <w:shd w:val="clear" w:fill="FFFFFF"/>
        </w:rPr>
        <w:t> 20202019</w:t>
      </w:r>
      <w:r>
        <w:rPr>
          <w:rFonts w:hint="default" w:ascii="Times New Roman" w:hAnsi="Times New Roman" w:eastAsia="微软雅黑" w:cs="Times New Roman"/>
          <w:i w:val="0"/>
          <w:iCs w:val="0"/>
          <w:caps w:val="0"/>
          <w:color w:val="auto"/>
          <w:spacing w:val="0"/>
          <w:sz w:val="24"/>
          <w:szCs w:val="24"/>
          <w:shd w:val="clear" w:fill="FFFFFF"/>
          <w:lang w:eastAsia="zh-CN"/>
        </w:rPr>
        <w:t>，</w:t>
      </w:r>
      <w:r>
        <w:rPr>
          <w:rFonts w:hint="default" w:ascii="Times New Roman" w:hAnsi="Times New Roman" w:cs="Times New Roman"/>
          <w:color w:val="auto"/>
          <w:sz w:val="24"/>
          <w:szCs w:val="24"/>
        </w:rPr>
        <w:t xml:space="preserve">47(1), pp. </w:t>
      </w:r>
      <w:r>
        <w:rPr>
          <w:rFonts w:hint="default" w:ascii="Times New Roman" w:hAnsi="Times New Roman" w:cs="Times New Roman"/>
          <w:color w:val="auto"/>
          <w:sz w:val="24"/>
          <w:szCs w:val="24"/>
          <w:lang w:val="en-US" w:eastAsia="zh-CN"/>
        </w:rPr>
        <w:t>7</w:t>
      </w:r>
      <w:r>
        <w:rPr>
          <w:rFonts w:hint="default" w:ascii="Times New Roman" w:hAnsi="Times New Roman" w:cs="Times New Roman"/>
          <w:color w:val="auto"/>
          <w:sz w:val="24"/>
          <w:szCs w:val="24"/>
        </w:rPr>
        <w:t xml:space="preserve">-18. </w:t>
      </w:r>
    </w:p>
    <w:p>
      <w:pPr>
        <w:numPr>
          <w:ilvl w:val="0"/>
          <w:numId w:val="0"/>
        </w:numPr>
        <w:spacing w:before="69" w:line="233" w:lineRule="auto"/>
        <w:ind w:right="961" w:rightChars="0"/>
        <w:rPr>
          <w:rFonts w:hint="default" w:ascii="Times New Roman" w:hAnsi="Times New Roman" w:eastAsia="Times New Roman" w:cs="Times New Roman"/>
          <w:i w:val="0"/>
          <w:iCs w:val="0"/>
          <w:color w:val="auto"/>
          <w:spacing w:val="-1"/>
          <w:sz w:val="24"/>
          <w:szCs w:val="24"/>
          <w:u w:val="none"/>
        </w:rPr>
      </w:pP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9.Cheng, R,,2023.</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Segoe UI" w:cs="Times New Roman"/>
          <w:i w:val="0"/>
          <w:iCs w:val="0"/>
          <w:caps w:val="0"/>
          <w:color w:val="auto"/>
          <w:spacing w:val="0"/>
          <w:sz w:val="24"/>
          <w:szCs w:val="24"/>
          <w:u w:val="none"/>
        </w:rPr>
        <w:fldChar w:fldCharType="begin"/>
      </w:r>
      <w:r>
        <w:rPr>
          <w:rFonts w:hint="default" w:ascii="Times New Roman" w:hAnsi="Times New Roman" w:eastAsia="Segoe UI" w:cs="Times New Roman"/>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val="0"/>
          <w:iCs w:val="0"/>
          <w:caps w:val="0"/>
          <w:color w:val="auto"/>
          <w:spacing w:val="0"/>
          <w:sz w:val="24"/>
          <w:szCs w:val="24"/>
          <w:u w:val="none"/>
        </w:rPr>
        <w:fldChar w:fldCharType="separate"/>
      </w:r>
      <w:r>
        <w:rPr>
          <w:rStyle w:val="7"/>
          <w:rFonts w:hint="default" w:ascii="Times New Roman" w:hAnsi="Times New Roman" w:eastAsia="Segoe UI" w:cs="Times New Roman"/>
          <w:i w:val="0"/>
          <w:iCs w:val="0"/>
          <w:caps w:val="0"/>
          <w:color w:val="auto"/>
          <w:spacing w:val="0"/>
          <w:sz w:val="24"/>
          <w:szCs w:val="24"/>
          <w:u w:val="none"/>
        </w:rPr>
        <w:t>“Educating graduates for marketing in SMEs</w:t>
      </w:r>
      <w:r>
        <w:rPr>
          <w:rFonts w:hint="default" w:ascii="Times New Roman" w:hAnsi="Times New Roman" w:eastAsia="ff1" w:cs="Times New Roman"/>
          <w:i w:val="0"/>
          <w:iCs w:val="0"/>
          <w:caps w:val="0"/>
          <w:color w:val="auto"/>
          <w:spacing w:val="0"/>
          <w:sz w:val="24"/>
          <w:szCs w:val="24"/>
          <w:shd w:val="clear" w:fill="FFFFFF"/>
        </w:rPr>
        <w:t>.</w:t>
      </w:r>
      <w:r>
        <w:rPr>
          <w:rStyle w:val="7"/>
          <w:rFonts w:hint="default" w:ascii="Times New Roman" w:hAnsi="Times New Roman" w:eastAsia="Segoe UI" w:cs="Times New Roman"/>
          <w:i w:val="0"/>
          <w:iCs w:val="0"/>
          <w:caps w:val="0"/>
          <w:color w:val="auto"/>
          <w:spacing w:val="0"/>
          <w:sz w:val="24"/>
          <w:szCs w:val="24"/>
          <w:u w:val="none"/>
        </w:rPr>
        <w:t>”</w:t>
      </w:r>
      <w:r>
        <w:rPr>
          <w:rFonts w:hint="default" w:ascii="Times New Roman" w:hAnsi="Times New Roman" w:eastAsia="Segoe UI" w:cs="Times New Roman"/>
          <w:i w:val="0"/>
          <w:iCs w:val="0"/>
          <w:caps w:val="0"/>
          <w:color w:val="auto"/>
          <w:spacing w:val="0"/>
          <w:sz w:val="24"/>
          <w:szCs w:val="24"/>
          <w:u w:val="none"/>
        </w:rPr>
        <w:fldChar w:fldCharType="end"/>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Times New Roman" w:cs="Times New Roman"/>
          <w:i w:val="0"/>
          <w:iCs w:val="0"/>
          <w:color w:val="auto"/>
          <w:spacing w:val="-17"/>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default"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宋体" w:cs="Times New Roman"/>
          <w:i w:val="0"/>
          <w:iCs w:val="0"/>
          <w:color w:val="auto"/>
          <w:sz w:val="24"/>
          <w:szCs w:val="24"/>
          <w:u w:val="none"/>
          <w:lang w:eastAsia="zh-CN"/>
        </w:rPr>
        <w:t xml:space="preserve">，an update for the traditional marketing curriculum </w:t>
      </w:r>
      <w:r>
        <w:rPr>
          <w:rFonts w:hint="default" w:ascii="Times New Roman" w:hAnsi="Times New Roman" w:eastAsia="宋体" w:cs="Times New Roman"/>
          <w:i w:val="0"/>
          <w:iCs w:val="0"/>
          <w:color w:val="auto"/>
          <w:sz w:val="24"/>
          <w:szCs w:val="24"/>
          <w:u w:val="none"/>
          <w:lang w:val="en-US" w:eastAsia="zh-CN"/>
        </w:rPr>
        <w:t xml:space="preserve">, 2023, 20(4): 90-160 </w:t>
      </w:r>
    </w:p>
    <w:p>
      <w:pPr>
        <w:spacing w:before="69" w:line="233" w:lineRule="auto"/>
        <w:ind w:right="961"/>
        <w:rPr>
          <w:rFonts w:hint="default" w:ascii="Times New Roman" w:hAnsi="Times New Roman" w:eastAsia="宋体" w:cs="Times New Roman"/>
          <w:i w:val="0"/>
          <w:iCs w:val="0"/>
          <w:color w:val="auto"/>
          <w:sz w:val="24"/>
          <w:szCs w:val="24"/>
          <w:lang w:val="en-US" w:eastAsia="zh-CN"/>
        </w:rPr>
      </w:pP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10.Qi Tian,2021.</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Segoe UI" w:cs="Times New Roman"/>
          <w:i w:val="0"/>
          <w:iCs w:val="0"/>
          <w:caps w:val="0"/>
          <w:color w:val="auto"/>
          <w:spacing w:val="0"/>
          <w:sz w:val="24"/>
          <w:szCs w:val="24"/>
          <w:u w:val="none"/>
        </w:rPr>
        <w:fldChar w:fldCharType="begin"/>
      </w:r>
      <w:r>
        <w:rPr>
          <w:rFonts w:hint="default" w:ascii="Times New Roman" w:hAnsi="Times New Roman" w:eastAsia="Segoe UI" w:cs="Times New Roman"/>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val="0"/>
          <w:iCs w:val="0"/>
          <w:caps w:val="0"/>
          <w:color w:val="auto"/>
          <w:spacing w:val="0"/>
          <w:sz w:val="24"/>
          <w:szCs w:val="24"/>
          <w:u w:val="none"/>
        </w:rPr>
        <w:fldChar w:fldCharType="separate"/>
      </w:r>
      <w:r>
        <w:rPr>
          <w:rStyle w:val="7"/>
          <w:rFonts w:hint="default" w:ascii="Times New Roman" w:hAnsi="Times New Roman" w:eastAsia="Segoe UI" w:cs="Times New Roman"/>
          <w:i w:val="0"/>
          <w:iCs w:val="0"/>
          <w:caps w:val="0"/>
          <w:color w:val="auto"/>
          <w:spacing w:val="0"/>
          <w:sz w:val="24"/>
          <w:szCs w:val="24"/>
          <w:u w:val="none"/>
        </w:rPr>
        <w:t>“Analysis on the Business Strategy of Tesco in the Chinese Market”</w:t>
      </w:r>
      <w:r>
        <w:rPr>
          <w:rFonts w:hint="default" w:ascii="Times New Roman" w:hAnsi="Times New Roman" w:eastAsia="Segoe UI" w:cs="Times New Roman"/>
          <w:i w:val="0"/>
          <w:iCs w:val="0"/>
          <w:caps w:val="0"/>
          <w:color w:val="auto"/>
          <w:spacing w:val="0"/>
          <w:sz w:val="24"/>
          <w:szCs w:val="24"/>
          <w:u w:val="none"/>
        </w:rPr>
        <w:fldChar w:fldCharType="end"/>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Times New Roman" w:cs="Times New Roman"/>
          <w:i w:val="0"/>
          <w:iCs w:val="0"/>
          <w:color w:val="auto"/>
          <w:spacing w:val="-17"/>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default"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宋体" w:cs="Times New Roman"/>
          <w:i w:val="0"/>
          <w:iCs w:val="0"/>
          <w:color w:val="auto"/>
          <w:sz w:val="24"/>
          <w:szCs w:val="24"/>
          <w:u w:val="none"/>
          <w:lang w:eastAsia="zh-CN"/>
        </w:rPr>
        <w:t>，Modern Economics &amp; Management Forum</w:t>
      </w:r>
      <w:r>
        <w:rPr>
          <w:rFonts w:hint="default" w:ascii="Times New Roman" w:hAnsi="Times New Roman" w:eastAsia="宋体" w:cs="Times New Roman"/>
          <w:i w:val="0"/>
          <w:iCs w:val="0"/>
          <w:color w:val="auto"/>
          <w:sz w:val="24"/>
          <w:szCs w:val="24"/>
          <w:u w:val="none"/>
          <w:lang w:val="en-US" w:eastAsia="zh-CN"/>
        </w:rPr>
        <w:t>, 2021, 2(1)</w:t>
      </w:r>
    </w:p>
    <w:p>
      <w:pPr>
        <w:rPr>
          <w:rFonts w:hint="default" w:ascii="Times New Roman" w:hAnsi="Times New Roman" w:cs="Times New Roman"/>
          <w:color w:val="auto"/>
          <w:sz w:val="24"/>
          <w:szCs w:val="24"/>
        </w:rPr>
      </w:pP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11.Levy, M.2017. Retailing research: Past, present, and future. Journal of Retailing. 2017; 83(4): 447-464.</w:t>
      </w: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p>
    <w:p>
      <w:pPr>
        <w:numPr>
          <w:ilvl w:val="0"/>
          <w:numId w:val="0"/>
        </w:numPr>
        <w:spacing w:before="69" w:line="233" w:lineRule="auto"/>
        <w:ind w:leftChars="0" w:right="961" w:righ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 xml:space="preserve">12.Kwon, W., Lennon, S.2019. “Reciprocal Effects Between Multichannel Retailers Ofine and Online Brand Images.”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default"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宋体" w:cs="Times New Roman"/>
          <w:i w:val="0"/>
          <w:iCs w:val="0"/>
          <w:color w:val="auto"/>
          <w:sz w:val="24"/>
          <w:szCs w:val="24"/>
          <w:u w:val="none"/>
          <w:lang w:eastAsia="zh-CN"/>
        </w:rPr>
        <w:t>，</w:t>
      </w:r>
      <w:r>
        <w:rPr>
          <w:rFonts w:hint="default" w:ascii="Times New Roman" w:hAnsi="Times New Roman" w:eastAsia="宋体" w:cs="Times New Roman"/>
          <w:i w:val="0"/>
          <w:iCs w:val="0"/>
          <w:color w:val="auto"/>
          <w:sz w:val="24"/>
          <w:szCs w:val="24"/>
          <w:u w:val="none"/>
          <w:lang w:val="en-US" w:eastAsia="zh-CN"/>
        </w:rPr>
        <w:t>Journal of Retailing. 2019; 85.200-307</w:t>
      </w:r>
    </w:p>
    <w:p>
      <w:pPr>
        <w:rPr>
          <w:rFonts w:hint="default" w:ascii="Times New Roman" w:hAnsi="Times New Roman" w:cs="Times New Roman"/>
          <w:color w:val="auto"/>
          <w:sz w:val="24"/>
          <w:szCs w:val="24"/>
        </w:rPr>
      </w:pPr>
    </w:p>
    <w:p>
      <w:pPr>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13.TESCO ，2024.“Tesco announces biggest ever single investment in store colleague pay, bringing hourly rate up to £12.02 per hour”. Available at: online,https://www.tescoplc.com/tesco-announces-biggest-ever-single-investment-in-store-colleague-pay-bringing-hourly-rate-up-to-1202-per-hour/ (Accessed: 8 March 2024).</w:t>
      </w:r>
    </w:p>
    <w:p>
      <w:pPr>
        <w:rPr>
          <w:rFonts w:hint="default" w:ascii="Times New Roman" w:hAnsi="Times New Roman" w:cs="Times New Roman"/>
          <w:color w:val="auto"/>
          <w:sz w:val="24"/>
          <w:szCs w:val="24"/>
        </w:rPr>
      </w:pPr>
    </w:p>
    <w:p>
      <w:pPr>
        <w:numPr>
          <w:ilvl w:val="0"/>
          <w:numId w:val="0"/>
        </w:numPr>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14.YouGov,2024.“The most popular supermarket chains in the UK”. Available at: online,https://yougov.co.uk/topics/consumer/explore/brand/Tesco (Accessed: 8 March 2024).</w:t>
      </w:r>
    </w:p>
    <w:p>
      <w:pPr>
        <w:numPr>
          <w:ilvl w:val="0"/>
          <w:numId w:val="0"/>
        </w:numPr>
        <w:rPr>
          <w:rFonts w:hint="default" w:ascii="Times New Roman" w:hAnsi="Times New Roman" w:eastAsia="宋体" w:cs="Times New Roman"/>
          <w:i w:val="0"/>
          <w:iCs w:val="0"/>
          <w:color w:val="auto"/>
          <w:sz w:val="24"/>
          <w:szCs w:val="24"/>
          <w:u w:val="none"/>
          <w:lang w:val="en-US" w:eastAsia="zh-CN"/>
        </w:rPr>
      </w:pPr>
    </w:p>
    <w:p>
      <w:pPr>
        <w:numPr>
          <w:ilvl w:val="0"/>
          <w:numId w:val="0"/>
        </w:numPr>
        <w:ind w:lef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15.Shin, S., Kim, H. and Kim, W. 2020‘Transnational corporations’ localization strategies via retail attributes: Focus on Chinese Market’, Journal of Retailing and Consumer Services, 55, pp. 102088. Available at: online,https://doi.org/10.1016/j.jretconser.2020.102088</w:t>
      </w:r>
    </w:p>
    <w:p>
      <w:pPr>
        <w:numPr>
          <w:ilvl w:val="0"/>
          <w:numId w:val="0"/>
        </w:numPr>
        <w:ind w:leftChars="0"/>
        <w:rPr>
          <w:rFonts w:hint="default" w:ascii="Times New Roman" w:hAnsi="Times New Roman" w:eastAsia="宋体" w:cs="Times New Roman"/>
          <w:i w:val="0"/>
          <w:iCs w:val="0"/>
          <w:color w:val="auto"/>
          <w:sz w:val="24"/>
          <w:szCs w:val="24"/>
          <w:u w:val="none"/>
          <w:lang w:val="en-US" w:eastAsia="zh-CN"/>
        </w:rPr>
      </w:pPr>
    </w:p>
    <w:p>
      <w:pPr>
        <w:numPr>
          <w:ilvl w:val="0"/>
          <w:numId w:val="1"/>
        </w:numPr>
        <w:ind w:lef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Jeson, 2023. "Supermarket Sales Development from a Customer Feedback Perspective". In article: marketing framework, vol. 10, 2023, pp. 40-45.</w:t>
      </w:r>
    </w:p>
    <w:p>
      <w:pPr>
        <w:widowControl w:val="0"/>
        <w:numPr>
          <w:ilvl w:val="0"/>
          <w:numId w:val="0"/>
        </w:numPr>
        <w:jc w:val="both"/>
        <w:rPr>
          <w:rFonts w:hint="default" w:ascii="Times New Roman" w:hAnsi="Times New Roman" w:eastAsia="宋体" w:cs="Times New Roman"/>
          <w:i w:val="0"/>
          <w:iCs w:val="0"/>
          <w:color w:val="auto"/>
          <w:sz w:val="24"/>
          <w:szCs w:val="24"/>
          <w:u w:val="none"/>
          <w:lang w:val="en-US" w:eastAsia="zh-CN"/>
        </w:rPr>
      </w:pP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 xml:space="preserve">17.Shelman M.2011 “KFC’s Radical Approach to China.Harvard Business Review”.Available from: </w:t>
      </w:r>
      <w:r>
        <w:rPr>
          <w:rFonts w:hint="default" w:ascii="Times New Roman" w:hAnsi="Times New Roman" w:eastAsia="宋体" w:cs="Times New Roman"/>
          <w:i w:val="0"/>
          <w:iCs w:val="0"/>
          <w:color w:val="auto"/>
          <w:sz w:val="24"/>
          <w:szCs w:val="24"/>
          <w:u w:val="none"/>
          <w:lang w:val="en-US" w:eastAsia="zh-CN"/>
        </w:rPr>
        <w:fldChar w:fldCharType="begin"/>
      </w:r>
      <w:r>
        <w:rPr>
          <w:rFonts w:hint="default" w:ascii="Times New Roman" w:hAnsi="Times New Roman" w:eastAsia="宋体" w:cs="Times New Roman"/>
          <w:i w:val="0"/>
          <w:iCs w:val="0"/>
          <w:color w:val="auto"/>
          <w:sz w:val="24"/>
          <w:szCs w:val="24"/>
          <w:u w:val="none"/>
          <w:lang w:val="en-US" w:eastAsia="zh-CN"/>
        </w:rPr>
        <w:instrText xml:space="preserve"> HYPERLINK "https://hbr.org/2011/11/kfcs-radical-approach-to-china." </w:instrText>
      </w:r>
      <w:r>
        <w:rPr>
          <w:rFonts w:hint="default" w:ascii="Times New Roman" w:hAnsi="Times New Roman" w:eastAsia="宋体" w:cs="Times New Roman"/>
          <w:i w:val="0"/>
          <w:iCs w:val="0"/>
          <w:color w:val="auto"/>
          <w:sz w:val="24"/>
          <w:szCs w:val="24"/>
          <w:u w:val="none"/>
          <w:lang w:val="en-US" w:eastAsia="zh-CN"/>
        </w:rPr>
        <w:fldChar w:fldCharType="separate"/>
      </w:r>
      <w:r>
        <w:rPr>
          <w:rStyle w:val="7"/>
          <w:rFonts w:hint="default" w:ascii="Times New Roman" w:hAnsi="Times New Roman" w:eastAsia="宋体" w:cs="Times New Roman"/>
          <w:i w:val="0"/>
          <w:iCs w:val="0"/>
          <w:color w:val="auto"/>
          <w:sz w:val="24"/>
          <w:szCs w:val="24"/>
          <w:lang w:val="en-US" w:eastAsia="zh-CN"/>
        </w:rPr>
        <w:t>https://hbr.org/2011/11/kfcs-radical-approach-to-china.</w:t>
      </w:r>
      <w:r>
        <w:rPr>
          <w:rFonts w:hint="default" w:ascii="Times New Roman" w:hAnsi="Times New Roman" w:eastAsia="宋体" w:cs="Times New Roman"/>
          <w:i w:val="0"/>
          <w:iCs w:val="0"/>
          <w:color w:val="auto"/>
          <w:sz w:val="24"/>
          <w:szCs w:val="24"/>
          <w:u w:val="none"/>
          <w:lang w:val="en-US" w:eastAsia="zh-CN"/>
        </w:rPr>
        <w:fldChar w:fldCharType="end"/>
      </w: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 xml:space="preserve">18.Chaney I,  Gamble J.2018. “Retail  store ownership inuences on Chinese  consumers.”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default"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宋体" w:cs="Times New Roman"/>
          <w:i w:val="0"/>
          <w:iCs w:val="0"/>
          <w:color w:val="auto"/>
          <w:sz w:val="24"/>
          <w:szCs w:val="24"/>
          <w:u w:val="none"/>
          <w:lang w:eastAsia="zh-CN"/>
        </w:rPr>
        <w:t>，</w:t>
      </w:r>
      <w:r>
        <w:rPr>
          <w:rFonts w:hint="default" w:ascii="Times New Roman" w:hAnsi="Times New Roman" w:eastAsia="宋体" w:cs="Times New Roman"/>
          <w:i w:val="0"/>
          <w:iCs w:val="0"/>
          <w:color w:val="auto"/>
          <w:sz w:val="24"/>
          <w:szCs w:val="24"/>
          <w:u w:val="none"/>
          <w:lang w:val="en-US" w:eastAsia="zh-CN"/>
        </w:rPr>
        <w:t>International Business Review. 2018; 17(2): 170-183.</w:t>
      </w: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19.GO-Globe,2013. “E-commerce In China — Statistics and Trends .”Tijdschrift voor economische en sociale geografie, 111(3), pp. 543-560. Available at: https://doi.org/10.1111/tesg.12453</w:t>
      </w: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p>
    <w:p>
      <w:pPr>
        <w:numPr>
          <w:ilvl w:val="0"/>
          <w:numId w:val="2"/>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Grewal, D., Ailawadi, K.2011. “Innovations in Retail Pricing and Promotions”.</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default"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宋体" w:cs="Times New Roman"/>
          <w:i w:val="0"/>
          <w:iCs w:val="0"/>
          <w:color w:val="auto"/>
          <w:sz w:val="24"/>
          <w:szCs w:val="24"/>
          <w:u w:val="none"/>
          <w:lang w:eastAsia="zh-CN"/>
        </w:rPr>
        <w:t>，</w:t>
      </w:r>
      <w:r>
        <w:rPr>
          <w:rFonts w:hint="default" w:ascii="Times New Roman" w:hAnsi="Times New Roman" w:eastAsia="宋体" w:cs="Times New Roman"/>
          <w:i w:val="0"/>
          <w:iCs w:val="0"/>
          <w:color w:val="auto"/>
          <w:sz w:val="24"/>
          <w:szCs w:val="24"/>
          <w:u w:val="none"/>
          <w:lang w:val="en-US" w:eastAsia="zh-CN"/>
        </w:rPr>
        <w:t>Journal of Retailing. 87: S43-S52.</w:t>
      </w: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p>
    <w:p>
      <w:pPr>
        <w:spacing w:before="69" w:line="233" w:lineRule="auto"/>
        <w:ind w:right="961"/>
        <w:rPr>
          <w:rFonts w:hint="default" w:ascii="Times New Roman" w:hAnsi="Times New Roman" w:eastAsia="宋体" w:cs="Times New Roman"/>
          <w:i w:val="0"/>
          <w:iCs w:val="0"/>
          <w:color w:val="auto"/>
          <w:sz w:val="24"/>
          <w:szCs w:val="24"/>
          <w:lang w:val="en-US" w:eastAsia="zh-CN"/>
        </w:rPr>
      </w:pPr>
      <w:r>
        <w:rPr>
          <w:rFonts w:hint="default" w:ascii="Times New Roman" w:hAnsi="Times New Roman" w:eastAsia="宋体" w:cs="Times New Roman"/>
          <w:i w:val="0"/>
          <w:iCs w:val="0"/>
          <w:color w:val="auto"/>
          <w:sz w:val="24"/>
          <w:szCs w:val="24"/>
          <w:u w:val="none"/>
          <w:lang w:val="en-US" w:eastAsia="zh-CN"/>
        </w:rPr>
        <w:t xml:space="preserve">21.Roth, K.2022. “Advancing the country image construct.”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default"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宋体" w:cs="Times New Roman"/>
          <w:i w:val="0"/>
          <w:iCs w:val="0"/>
          <w:color w:val="auto"/>
          <w:sz w:val="24"/>
          <w:szCs w:val="24"/>
          <w:u w:val="none"/>
          <w:lang w:eastAsia="zh-CN"/>
        </w:rPr>
        <w:t>，</w:t>
      </w:r>
      <w:r>
        <w:rPr>
          <w:rFonts w:hint="default" w:ascii="Times New Roman" w:hAnsi="Times New Roman" w:eastAsia="宋体" w:cs="Times New Roman"/>
          <w:i w:val="0"/>
          <w:iCs w:val="0"/>
          <w:color w:val="auto"/>
          <w:sz w:val="24"/>
          <w:szCs w:val="24"/>
          <w:u w:val="none"/>
          <w:lang w:val="en-US" w:eastAsia="zh-CN"/>
        </w:rPr>
        <w:t>Journal of Business Research.  2009; 62(7): 726-740</w:t>
      </w: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p>
    <w:p>
      <w:pPr>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22.TESCO，2023 “Core Purpose and Values”. Available at: online,https://www.tescoplc.com/about/how-we-do-business/core-purpose-and-values (Accessed: 8 March 2024).</w:t>
      </w:r>
    </w:p>
    <w:p>
      <w:pPr>
        <w:rPr>
          <w:rFonts w:hint="default" w:ascii="Times New Roman" w:hAnsi="Times New Roman" w:eastAsia="宋体" w:cs="Times New Roman"/>
          <w:i w:val="0"/>
          <w:iCs w:val="0"/>
          <w:color w:val="auto"/>
          <w:sz w:val="24"/>
          <w:szCs w:val="24"/>
          <w:u w:val="none"/>
          <w:lang w:val="en-US" w:eastAsia="zh-CN"/>
        </w:rPr>
      </w:pPr>
    </w:p>
    <w:p>
      <w:pPr>
        <w:rPr>
          <w:rFonts w:hint="default" w:ascii="Times New Roman" w:hAnsi="Times New Roman" w:eastAsia="宋体" w:cs="Times New Roman"/>
          <w:i w:val="0"/>
          <w:iCs w:val="0"/>
          <w:color w:val="auto"/>
          <w:sz w:val="24"/>
          <w:szCs w:val="24"/>
          <w:u w:val="none"/>
          <w:lang w:val="en-US" w:eastAsia="zh-CN"/>
        </w:rPr>
      </w:pPr>
    </w:p>
    <w:p>
      <w:pPr>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23.Gabler, C. B., Limongi, R., Costa, M. and Pires da Costa, M. 2022.“Optimising digital marketing and social media strategy: from push to pull to performance”, Journal of Marketing Management, 38(7), pp. 709-739. Available at: online,https://doi.org/10.1080/0267257X.2021.1996444</w:t>
      </w:r>
    </w:p>
    <w:p>
      <w:pPr>
        <w:rPr>
          <w:rFonts w:hint="default" w:ascii="Times New Roman" w:hAnsi="Times New Roman" w:eastAsia="宋体" w:cs="Times New Roman"/>
          <w:i w:val="0"/>
          <w:iCs w:val="0"/>
          <w:color w:val="auto"/>
          <w:sz w:val="24"/>
          <w:szCs w:val="24"/>
          <w:u w:val="none"/>
          <w:lang w:val="en-US" w:eastAsia="zh-CN"/>
        </w:rPr>
      </w:pPr>
    </w:p>
    <w:p>
      <w:pPr>
        <w:numPr>
          <w:ilvl w:val="0"/>
          <w:numId w:val="3"/>
        </w:numPr>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Xia, Y. ,2023.“The 4Ps of Marketing and Applications in Various Brands”, Journal of Education, Humanities and Social Sciences, 16, pp. 165-170. Available at: online,https://doi.org/10.54097/ehss.v16i.9601</w:t>
      </w:r>
    </w:p>
    <w:p>
      <w:pPr>
        <w:numPr>
          <w:ilvl w:val="0"/>
          <w:numId w:val="0"/>
        </w:numPr>
        <w:rPr>
          <w:rFonts w:hint="default" w:ascii="Times New Roman" w:hAnsi="Times New Roman" w:eastAsia="宋体" w:cs="Times New Roman"/>
          <w:i w:val="0"/>
          <w:iCs w:val="0"/>
          <w:color w:val="auto"/>
          <w:sz w:val="24"/>
          <w:szCs w:val="24"/>
          <w:u w:val="none"/>
          <w:lang w:val="en-US" w:eastAsia="zh-CN"/>
        </w:rPr>
      </w:pPr>
    </w:p>
    <w:p>
      <w:pPr>
        <w:numPr>
          <w:ilvl w:val="0"/>
          <w:numId w:val="0"/>
        </w:numPr>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u w:val="none"/>
          <w:lang w:val="en-US" w:eastAsia="zh-CN"/>
        </w:rPr>
        <w:t>25.Vieira, V. A., Severo de Almeida, M. I., Gabler, C. B., Limongi, R., Costa, M. and Pires da Costa, M. (2022) ‘Optimising digital marketing and social media strategy: from push to pull to performance’, Journal of Marketing Management, 38(7), pp. 709-739. Available at: https://doi.org/10.1080/0267257X.2021.1996444</w:t>
      </w:r>
    </w:p>
    <w:p>
      <w:pPr>
        <w:numPr>
          <w:ilvl w:val="0"/>
          <w:numId w:val="0"/>
        </w:numPr>
        <w:spacing w:before="69" w:line="233" w:lineRule="auto"/>
        <w:ind w:right="961" w:rightChars="0"/>
        <w:rPr>
          <w:rFonts w:hint="default" w:ascii="Times New Roman" w:hAnsi="Times New Roman" w:eastAsia="宋体" w:cs="Times New Roman"/>
          <w:i w:val="0"/>
          <w:iCs w:val="0"/>
          <w:color w:val="0000FF"/>
          <w:sz w:val="24"/>
          <w:szCs w:val="24"/>
          <w:u w:val="none"/>
          <w:lang w:val="en-US" w:eastAsia="zh-CN"/>
        </w:rPr>
      </w:pPr>
    </w:p>
    <w:p>
      <w:pPr>
        <w:widowControl w:val="0"/>
        <w:numPr>
          <w:ilvl w:val="0"/>
          <w:numId w:val="0"/>
        </w:numPr>
        <w:jc w:val="both"/>
        <w:rPr>
          <w:rFonts w:hint="eastAsia" w:ascii="Times New Roman" w:hAnsi="Times New Roman" w:eastAsia="宋体" w:cs="Times New Roman"/>
          <w:i w:val="0"/>
          <w:iCs w:val="0"/>
          <w:color w:val="0000FF"/>
          <w:sz w:val="24"/>
          <w:szCs w:val="24"/>
          <w:u w:val="none"/>
          <w:lang w:val="en-US" w:eastAsia="zh-CN"/>
        </w:rPr>
      </w:pPr>
    </w:p>
    <w:p>
      <w:pPr>
        <w:rPr>
          <w:rFonts w:hint="default" w:ascii="Times New Roman" w:hAnsi="Times New Roman" w:cs="Times New Roman"/>
          <w:color w:val="0000FF"/>
          <w:sz w:val="24"/>
          <w:szCs w:val="24"/>
        </w:rPr>
      </w:pPr>
    </w:p>
    <w:p>
      <w:pPr>
        <w:rPr>
          <w:rFonts w:hint="default" w:ascii="Times New Roman" w:hAnsi="Times New Roman" w:cs="Times New Roman"/>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ff1">
    <w:altName w:val="Segoe Print"/>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EFF" w:usb1="C000605B" w:usb2="00000029" w:usb3="00000000" w:csb0="200101FF" w:csb1="2028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auto"/>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14602A0"/>
    <w:multiLevelType w:val="singleLevel"/>
    <w:tmpl w:val="814602A0"/>
    <w:lvl w:ilvl="0" w:tentative="0">
      <w:start w:val="24"/>
      <w:numFmt w:val="decimal"/>
      <w:lvlText w:val="%1."/>
      <w:lvlJc w:val="left"/>
      <w:pPr>
        <w:tabs>
          <w:tab w:val="left" w:pos="312"/>
        </w:tabs>
      </w:pPr>
    </w:lvl>
  </w:abstractNum>
  <w:abstractNum w:abstractNumId="1">
    <w:nsid w:val="8D694372"/>
    <w:multiLevelType w:val="singleLevel"/>
    <w:tmpl w:val="8D694372"/>
    <w:lvl w:ilvl="0" w:tentative="0">
      <w:start w:val="20"/>
      <w:numFmt w:val="decimal"/>
      <w:lvlText w:val="%1."/>
      <w:lvlJc w:val="left"/>
      <w:pPr>
        <w:tabs>
          <w:tab w:val="left" w:pos="312"/>
        </w:tabs>
      </w:pPr>
    </w:lvl>
  </w:abstractNum>
  <w:abstractNum w:abstractNumId="2">
    <w:nsid w:val="1E845F55"/>
    <w:multiLevelType w:val="singleLevel"/>
    <w:tmpl w:val="1E845F55"/>
    <w:lvl w:ilvl="0" w:tentative="0">
      <w:start w:val="16"/>
      <w:numFmt w:val="decimal"/>
      <w:lvlText w:val="%1."/>
      <w:lvlJc w:val="left"/>
      <w:pPr>
        <w:tabs>
          <w:tab w:val="left" w:pos="312"/>
        </w:tabs>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jJiYzRjZDg4ODIxMmZkMzVjYzYxNzIzMDEwYjJjY2IifQ=="/>
  </w:docVars>
  <w:rsids>
    <w:rsidRoot w:val="58B45EB3"/>
    <w:rsid w:val="00081C2B"/>
    <w:rsid w:val="0192652E"/>
    <w:rsid w:val="062B0BD1"/>
    <w:rsid w:val="07AD2313"/>
    <w:rsid w:val="07DC1776"/>
    <w:rsid w:val="0ACC71D6"/>
    <w:rsid w:val="12A97CC8"/>
    <w:rsid w:val="161377E5"/>
    <w:rsid w:val="1AB53AAF"/>
    <w:rsid w:val="1DE54AEC"/>
    <w:rsid w:val="20A3774E"/>
    <w:rsid w:val="236314EA"/>
    <w:rsid w:val="23B10A13"/>
    <w:rsid w:val="23F520EE"/>
    <w:rsid w:val="24DB71C8"/>
    <w:rsid w:val="252C4420"/>
    <w:rsid w:val="2777710F"/>
    <w:rsid w:val="280166D5"/>
    <w:rsid w:val="2F520F27"/>
    <w:rsid w:val="312132A7"/>
    <w:rsid w:val="31B61C41"/>
    <w:rsid w:val="340B0ED4"/>
    <w:rsid w:val="342A2472"/>
    <w:rsid w:val="4A392FB7"/>
    <w:rsid w:val="50E74B8B"/>
    <w:rsid w:val="58B45EB3"/>
    <w:rsid w:val="5C43633B"/>
    <w:rsid w:val="5E0B581F"/>
    <w:rsid w:val="5F411F70"/>
    <w:rsid w:val="60D11E95"/>
    <w:rsid w:val="63A97E2A"/>
    <w:rsid w:val="68FA63BC"/>
    <w:rsid w:val="69CE5400"/>
    <w:rsid w:val="6A6652AB"/>
    <w:rsid w:val="6D9E4D5C"/>
    <w:rsid w:val="74192A57"/>
    <w:rsid w:val="7C833AE4"/>
    <w:rsid w:val="7D0842C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Hyperlink"/>
    <w:basedOn w:val="6"/>
    <w:unhideWhenUsed/>
    <w:qFormat/>
    <w:uiPriority w:val="99"/>
    <w:rPr>
      <w:color w:val="0026E5" w:themeColor="hyperlink"/>
      <w:u w:val="single"/>
      <w14:textFill>
        <w14:solidFill>
          <w14:schemeClr w14:val="hlink"/>
        </w14:solidFill>
      </w14:textFill>
    </w:rPr>
  </w:style>
  <w:style w:type="paragraph" w:customStyle="1" w:styleId="8">
    <w:name w:val="WPSOffice手动目录 1"/>
    <w:uiPriority w:val="0"/>
    <w:pPr>
      <w:ind w:leftChars="0"/>
    </w:pPr>
    <w:rPr>
      <w:sz w:val="20"/>
      <w:szCs w:val="20"/>
    </w:rPr>
  </w:style>
  <w:style w:type="paragraph" w:customStyle="1" w:styleId="9">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27</TotalTime>
  <ScaleCrop>false</ScaleCrop>
  <LinksUpToDate>false</LinksUpToDate>
  <CharactersWithSpaces>0</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2024-03-13T17:23:00Z</dcterms:created>
  <dc:creator>L.</dc:creator>
  <cp:lastModifiedBy>L.</cp:lastModifiedBy>
  <dcterms:modified xsi:type="dcterms:W3CDTF">2024-03-22T18:10:30Z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3164F4EB6E2140B393112D45C2ED2C26_11</vt:lpwstr>
  </property>
</Properties>
</file>