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C3A7F" w14:textId="5A9CF0E8" w:rsidR="0013135C" w:rsidRPr="005F73C7" w:rsidRDefault="00292302" w:rsidP="00590796">
      <w:pPr>
        <w:tabs>
          <w:tab w:val="left" w:pos="1908"/>
        </w:tabs>
        <w:spacing w:before="100" w:beforeAutospacing="1" w:after="100" w:afterAutospacing="1"/>
        <w:ind w:right="0"/>
        <w:jc w:val="both"/>
        <w:rPr>
          <w:rFonts w:ascii="Arial" w:hAnsi="Arial" w:cs="Arial"/>
          <w:sz w:val="32"/>
          <w:szCs w:val="32"/>
        </w:rPr>
      </w:pPr>
      <w:r>
        <w:rPr>
          <w:rFonts w:ascii="Arial" w:hAnsi="Arial" w:cs="Arial"/>
          <w:sz w:val="32"/>
          <w:szCs w:val="32"/>
        </w:rPr>
        <w:tab/>
      </w:r>
    </w:p>
    <w:p w14:paraId="7D6E9DAC" w14:textId="3EF2A4D1" w:rsidR="0013135C" w:rsidRPr="005F73C7" w:rsidRDefault="0075504E" w:rsidP="0005225A">
      <w:pPr>
        <w:spacing w:before="100" w:beforeAutospacing="1" w:after="100" w:afterAutospacing="1"/>
        <w:ind w:right="0"/>
        <w:jc w:val="both"/>
        <w:rPr>
          <w:rFonts w:ascii="Arial" w:hAnsi="Arial" w:cs="Arial"/>
          <w:sz w:val="32"/>
          <w:szCs w:val="32"/>
        </w:rPr>
      </w:pPr>
      <w:r w:rsidRPr="005F73C7">
        <w:rPr>
          <w:rFonts w:ascii="Arial" w:hAnsi="Arial" w:cs="Arial"/>
          <w:noProof/>
          <w:sz w:val="32"/>
          <w:szCs w:val="32"/>
        </w:rPr>
        <w:drawing>
          <wp:anchor distT="0" distB="0" distL="114300" distR="114300" simplePos="0" relativeHeight="251659264" behindDoc="0" locked="0" layoutInCell="1" allowOverlap="1" wp14:anchorId="3EF40BD0" wp14:editId="1883554A">
            <wp:simplePos x="0" y="0"/>
            <wp:positionH relativeFrom="margin">
              <wp:align>center</wp:align>
            </wp:positionH>
            <wp:positionV relativeFrom="paragraph">
              <wp:posOffset>402407</wp:posOffset>
            </wp:positionV>
            <wp:extent cx="6466041" cy="1255363"/>
            <wp:effectExtent l="0" t="0" r="0" b="2540"/>
            <wp:wrapSquare wrapText="bothSides"/>
            <wp:docPr id="15406820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66041" cy="1255363"/>
                    </a:xfrm>
                    <a:prstGeom prst="rect">
                      <a:avLst/>
                    </a:prstGeom>
                    <a:noFill/>
                  </pic:spPr>
                </pic:pic>
              </a:graphicData>
            </a:graphic>
            <wp14:sizeRelH relativeFrom="margin">
              <wp14:pctWidth>0</wp14:pctWidth>
            </wp14:sizeRelH>
            <wp14:sizeRelV relativeFrom="margin">
              <wp14:pctHeight>0</wp14:pctHeight>
            </wp14:sizeRelV>
          </wp:anchor>
        </w:drawing>
      </w:r>
    </w:p>
    <w:p w14:paraId="4036713B" w14:textId="0D7452B8" w:rsidR="0013135C" w:rsidRPr="005F73C7" w:rsidRDefault="0013135C" w:rsidP="0005225A">
      <w:pPr>
        <w:spacing w:before="100" w:beforeAutospacing="1" w:after="100" w:afterAutospacing="1"/>
        <w:ind w:right="0"/>
        <w:jc w:val="both"/>
        <w:rPr>
          <w:rFonts w:ascii="Arial" w:hAnsi="Arial" w:cs="Arial"/>
          <w:sz w:val="32"/>
          <w:szCs w:val="32"/>
        </w:rPr>
      </w:pPr>
    </w:p>
    <w:p w14:paraId="1294E55F" w14:textId="77777777" w:rsidR="00292302" w:rsidRDefault="00292302" w:rsidP="0005225A">
      <w:pPr>
        <w:spacing w:before="100" w:beforeAutospacing="1" w:after="100" w:afterAutospacing="1"/>
        <w:ind w:right="0"/>
        <w:jc w:val="both"/>
        <w:rPr>
          <w:rFonts w:ascii="Arial" w:hAnsi="Arial" w:cs="Arial"/>
          <w:b/>
          <w:bCs/>
          <w:color w:val="156082" w:themeColor="accent1"/>
          <w:sz w:val="32"/>
          <w:szCs w:val="32"/>
        </w:rPr>
      </w:pPr>
    </w:p>
    <w:p w14:paraId="522F1E6D" w14:textId="77777777" w:rsidR="00292302" w:rsidRDefault="00292302" w:rsidP="0005225A">
      <w:pPr>
        <w:spacing w:before="100" w:beforeAutospacing="1" w:after="100" w:afterAutospacing="1"/>
        <w:ind w:right="0"/>
        <w:jc w:val="both"/>
        <w:rPr>
          <w:rFonts w:ascii="Arial" w:hAnsi="Arial" w:cs="Arial"/>
          <w:b/>
          <w:bCs/>
          <w:color w:val="156082" w:themeColor="accent1"/>
          <w:sz w:val="32"/>
          <w:szCs w:val="32"/>
        </w:rPr>
      </w:pPr>
    </w:p>
    <w:p w14:paraId="228D26A8" w14:textId="77777777" w:rsidR="00292302" w:rsidRDefault="00292302" w:rsidP="0005225A">
      <w:pPr>
        <w:spacing w:before="100" w:beforeAutospacing="1" w:after="100" w:afterAutospacing="1"/>
        <w:ind w:right="0"/>
        <w:jc w:val="both"/>
        <w:rPr>
          <w:rFonts w:ascii="Arial" w:hAnsi="Arial" w:cs="Arial"/>
          <w:b/>
          <w:bCs/>
          <w:color w:val="156082" w:themeColor="accent1"/>
          <w:sz w:val="32"/>
          <w:szCs w:val="32"/>
        </w:rPr>
      </w:pPr>
    </w:p>
    <w:p w14:paraId="14D4DBD4" w14:textId="75301F56" w:rsidR="0013135C" w:rsidRPr="005F73C7" w:rsidRDefault="00C46D56" w:rsidP="0005225A">
      <w:pPr>
        <w:spacing w:before="100" w:beforeAutospacing="1" w:after="100" w:afterAutospacing="1"/>
        <w:ind w:right="0"/>
        <w:jc w:val="both"/>
        <w:rPr>
          <w:rFonts w:ascii="Arial" w:hAnsi="Arial" w:cs="Arial"/>
          <w:b/>
          <w:bCs/>
          <w:color w:val="156082" w:themeColor="accent1"/>
          <w:sz w:val="32"/>
          <w:szCs w:val="32"/>
        </w:rPr>
      </w:pPr>
      <w:r w:rsidRPr="005F73C7">
        <w:rPr>
          <w:rFonts w:ascii="Arial" w:hAnsi="Arial" w:cs="Arial"/>
          <w:b/>
          <w:bCs/>
          <w:color w:val="156082" w:themeColor="accent1"/>
          <w:sz w:val="32"/>
          <w:szCs w:val="32"/>
        </w:rPr>
        <w:t xml:space="preserve">NAME: </w:t>
      </w:r>
      <w:r w:rsidR="00B31119" w:rsidRPr="005F73C7">
        <w:rPr>
          <w:rFonts w:ascii="Arial" w:hAnsi="Arial" w:cs="Arial"/>
          <w:b/>
          <w:bCs/>
          <w:color w:val="156082" w:themeColor="accent1"/>
          <w:sz w:val="32"/>
          <w:szCs w:val="32"/>
        </w:rPr>
        <w:t>Jamuthra Srikumar</w:t>
      </w:r>
    </w:p>
    <w:p w14:paraId="7D20E427" w14:textId="15048B17" w:rsidR="00C46D56" w:rsidRPr="005F73C7" w:rsidRDefault="00B31119" w:rsidP="0005225A">
      <w:pPr>
        <w:spacing w:before="100" w:beforeAutospacing="1" w:after="100" w:afterAutospacing="1"/>
        <w:ind w:right="0"/>
        <w:jc w:val="both"/>
        <w:rPr>
          <w:rFonts w:ascii="Arial" w:hAnsi="Arial" w:cs="Arial"/>
          <w:b/>
          <w:bCs/>
          <w:color w:val="156082" w:themeColor="accent1"/>
          <w:sz w:val="32"/>
          <w:szCs w:val="32"/>
        </w:rPr>
      </w:pPr>
      <w:r w:rsidRPr="005F73C7">
        <w:rPr>
          <w:rFonts w:ascii="Arial" w:hAnsi="Arial" w:cs="Arial"/>
          <w:b/>
          <w:bCs/>
          <w:color w:val="156082" w:themeColor="accent1"/>
          <w:sz w:val="32"/>
          <w:szCs w:val="32"/>
        </w:rPr>
        <w:t>MODULE: Design Thinking and innovation</w:t>
      </w:r>
    </w:p>
    <w:p w14:paraId="016244EB" w14:textId="519F86A4" w:rsidR="00B31119" w:rsidRPr="005F73C7" w:rsidRDefault="00B31119" w:rsidP="0005225A">
      <w:pPr>
        <w:spacing w:before="100" w:beforeAutospacing="1" w:after="100" w:afterAutospacing="1"/>
        <w:ind w:right="0"/>
        <w:jc w:val="both"/>
        <w:rPr>
          <w:rFonts w:ascii="Arial" w:hAnsi="Arial" w:cs="Arial"/>
          <w:b/>
          <w:bCs/>
          <w:color w:val="156082" w:themeColor="accent1"/>
          <w:sz w:val="32"/>
          <w:szCs w:val="32"/>
        </w:rPr>
      </w:pPr>
      <w:r w:rsidRPr="005F73C7">
        <w:rPr>
          <w:rFonts w:ascii="Arial" w:hAnsi="Arial" w:cs="Arial"/>
          <w:b/>
          <w:bCs/>
          <w:color w:val="156082" w:themeColor="accent1"/>
          <w:sz w:val="32"/>
          <w:szCs w:val="32"/>
        </w:rPr>
        <w:t xml:space="preserve">LECTURER: Dr. Akash </w:t>
      </w:r>
      <w:r w:rsidR="00C1305C" w:rsidRPr="005F73C7">
        <w:rPr>
          <w:rFonts w:ascii="Arial" w:hAnsi="Arial" w:cs="Arial"/>
          <w:b/>
          <w:bCs/>
          <w:color w:val="156082" w:themeColor="accent1"/>
          <w:sz w:val="32"/>
          <w:szCs w:val="32"/>
        </w:rPr>
        <w:t>Puranik</w:t>
      </w:r>
    </w:p>
    <w:p w14:paraId="7E0E7302" w14:textId="1C0A18CD" w:rsidR="00B31119" w:rsidRPr="005F73C7" w:rsidRDefault="00B31119" w:rsidP="0005225A">
      <w:pPr>
        <w:spacing w:before="100" w:beforeAutospacing="1" w:after="100" w:afterAutospacing="1"/>
        <w:ind w:right="0"/>
        <w:jc w:val="both"/>
        <w:rPr>
          <w:rFonts w:ascii="Arial" w:hAnsi="Arial" w:cs="Arial"/>
          <w:b/>
          <w:bCs/>
          <w:color w:val="156082" w:themeColor="accent1"/>
          <w:sz w:val="32"/>
          <w:szCs w:val="32"/>
        </w:rPr>
      </w:pPr>
      <w:r w:rsidRPr="005F73C7">
        <w:rPr>
          <w:rFonts w:ascii="Arial" w:hAnsi="Arial" w:cs="Arial"/>
          <w:b/>
          <w:bCs/>
          <w:color w:val="156082" w:themeColor="accent1"/>
          <w:sz w:val="32"/>
          <w:szCs w:val="32"/>
        </w:rPr>
        <w:t xml:space="preserve">TITLE: </w:t>
      </w:r>
      <w:r w:rsidR="008A1884" w:rsidRPr="005F73C7">
        <w:rPr>
          <w:rFonts w:ascii="Arial" w:hAnsi="Arial" w:cs="Arial"/>
          <w:b/>
          <w:bCs/>
          <w:color w:val="156082" w:themeColor="accent1"/>
          <w:sz w:val="32"/>
          <w:szCs w:val="32"/>
        </w:rPr>
        <w:t>LCLM</w:t>
      </w:r>
      <w:r w:rsidR="008333C5" w:rsidRPr="005F73C7">
        <w:rPr>
          <w:rFonts w:ascii="Arial" w:hAnsi="Arial" w:cs="Arial"/>
          <w:b/>
          <w:bCs/>
          <w:color w:val="156082" w:themeColor="accent1"/>
          <w:sz w:val="32"/>
          <w:szCs w:val="32"/>
        </w:rPr>
        <w:t>600</w:t>
      </w:r>
      <w:r w:rsidR="00DF2A04" w:rsidRPr="005F73C7">
        <w:rPr>
          <w:rFonts w:ascii="Arial" w:hAnsi="Arial" w:cs="Arial"/>
          <w:b/>
          <w:bCs/>
          <w:color w:val="156082" w:themeColor="accent1"/>
          <w:sz w:val="32"/>
          <w:szCs w:val="32"/>
        </w:rPr>
        <w:t>2</w:t>
      </w:r>
    </w:p>
    <w:p w14:paraId="7D33586C" w14:textId="07263B21" w:rsidR="0013135C" w:rsidRPr="005F73C7" w:rsidRDefault="0013135C" w:rsidP="0005225A">
      <w:pPr>
        <w:spacing w:before="100" w:beforeAutospacing="1" w:after="100" w:afterAutospacing="1"/>
        <w:ind w:right="0"/>
        <w:jc w:val="both"/>
        <w:rPr>
          <w:rFonts w:ascii="Arial" w:hAnsi="Arial" w:cs="Arial"/>
          <w:sz w:val="32"/>
          <w:szCs w:val="32"/>
        </w:rPr>
      </w:pPr>
    </w:p>
    <w:p w14:paraId="238FECC0" w14:textId="2090344E" w:rsidR="0013135C" w:rsidRPr="005F73C7" w:rsidRDefault="0013135C" w:rsidP="0005225A">
      <w:pPr>
        <w:spacing w:before="100" w:beforeAutospacing="1" w:after="100" w:afterAutospacing="1"/>
        <w:ind w:right="0"/>
        <w:jc w:val="both"/>
        <w:rPr>
          <w:rFonts w:ascii="Arial" w:hAnsi="Arial" w:cs="Arial"/>
          <w:sz w:val="32"/>
          <w:szCs w:val="32"/>
        </w:rPr>
      </w:pPr>
    </w:p>
    <w:p w14:paraId="6718AD09" w14:textId="67ECDE20" w:rsidR="0013135C" w:rsidRPr="005F73C7" w:rsidRDefault="0013135C" w:rsidP="0005225A">
      <w:pPr>
        <w:spacing w:before="100" w:beforeAutospacing="1" w:after="100" w:afterAutospacing="1"/>
        <w:ind w:right="0"/>
        <w:jc w:val="both"/>
        <w:rPr>
          <w:rFonts w:ascii="Arial" w:hAnsi="Arial" w:cs="Arial"/>
          <w:sz w:val="32"/>
          <w:szCs w:val="32"/>
        </w:rPr>
      </w:pPr>
    </w:p>
    <w:p w14:paraId="4B0C1B81" w14:textId="2FCC5A24" w:rsidR="0013135C" w:rsidRPr="005F73C7" w:rsidRDefault="0013135C" w:rsidP="0005225A">
      <w:pPr>
        <w:spacing w:before="100" w:beforeAutospacing="1" w:after="100" w:afterAutospacing="1"/>
        <w:ind w:right="0"/>
        <w:jc w:val="both"/>
        <w:rPr>
          <w:rFonts w:ascii="Arial" w:hAnsi="Arial" w:cs="Arial"/>
          <w:sz w:val="32"/>
          <w:szCs w:val="32"/>
        </w:rPr>
      </w:pPr>
    </w:p>
    <w:p w14:paraId="3CFA6120" w14:textId="0DB3DEE2" w:rsidR="0013135C" w:rsidRPr="005F73C7" w:rsidRDefault="00DF2A04" w:rsidP="0005225A">
      <w:pPr>
        <w:spacing w:before="100" w:beforeAutospacing="1" w:after="100" w:afterAutospacing="1"/>
        <w:ind w:right="0"/>
        <w:jc w:val="both"/>
        <w:rPr>
          <w:rFonts w:ascii="Arial" w:hAnsi="Arial" w:cs="Arial"/>
          <w:sz w:val="32"/>
          <w:szCs w:val="32"/>
        </w:rPr>
      </w:pPr>
      <w:r w:rsidRPr="005F73C7">
        <w:rPr>
          <w:rFonts w:ascii="Arial" w:hAnsi="Arial" w:cs="Arial"/>
          <w:noProof/>
          <w:sz w:val="32"/>
          <w:szCs w:val="32"/>
        </w:rPr>
        <w:drawing>
          <wp:anchor distT="0" distB="0" distL="114300" distR="114300" simplePos="0" relativeHeight="251658240" behindDoc="0" locked="0" layoutInCell="1" allowOverlap="1" wp14:anchorId="27C58D61" wp14:editId="43A26C40">
            <wp:simplePos x="0" y="0"/>
            <wp:positionH relativeFrom="column">
              <wp:posOffset>2994843</wp:posOffset>
            </wp:positionH>
            <wp:positionV relativeFrom="paragraph">
              <wp:posOffset>-1127501</wp:posOffset>
            </wp:positionV>
            <wp:extent cx="2816860" cy="1840865"/>
            <wp:effectExtent l="0" t="0" r="2540" b="6985"/>
            <wp:wrapSquare wrapText="bothSides"/>
            <wp:docPr id="1012853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6860" cy="1840865"/>
                    </a:xfrm>
                    <a:prstGeom prst="rect">
                      <a:avLst/>
                    </a:prstGeom>
                    <a:noFill/>
                  </pic:spPr>
                </pic:pic>
              </a:graphicData>
            </a:graphic>
            <wp14:sizeRelH relativeFrom="page">
              <wp14:pctWidth>0</wp14:pctWidth>
            </wp14:sizeRelH>
            <wp14:sizeRelV relativeFrom="page">
              <wp14:pctHeight>0</wp14:pctHeight>
            </wp14:sizeRelV>
          </wp:anchor>
        </w:drawing>
      </w:r>
    </w:p>
    <w:p w14:paraId="274A2BA3" w14:textId="261F4810" w:rsidR="0013135C" w:rsidRPr="005F73C7" w:rsidRDefault="0013135C" w:rsidP="0005225A">
      <w:pPr>
        <w:spacing w:before="100" w:beforeAutospacing="1" w:after="100" w:afterAutospacing="1"/>
        <w:ind w:right="0"/>
        <w:jc w:val="both"/>
        <w:rPr>
          <w:rFonts w:ascii="Arial" w:hAnsi="Arial" w:cs="Arial"/>
          <w:sz w:val="32"/>
          <w:szCs w:val="32"/>
        </w:rPr>
      </w:pPr>
    </w:p>
    <w:p w14:paraId="50CC37A0" w14:textId="77777777" w:rsidR="0013135C" w:rsidRPr="005F73C7" w:rsidRDefault="0013135C" w:rsidP="0005225A">
      <w:pPr>
        <w:spacing w:before="100" w:beforeAutospacing="1" w:after="100" w:afterAutospacing="1"/>
        <w:ind w:right="0"/>
        <w:jc w:val="both"/>
        <w:rPr>
          <w:rFonts w:ascii="Arial" w:hAnsi="Arial" w:cs="Arial"/>
          <w:sz w:val="32"/>
          <w:szCs w:val="32"/>
        </w:rPr>
      </w:pPr>
    </w:p>
    <w:p w14:paraId="7A3B6C62" w14:textId="77777777" w:rsidR="00101A5D" w:rsidRDefault="00101A5D" w:rsidP="0005225A">
      <w:pPr>
        <w:spacing w:before="100" w:beforeAutospacing="1" w:after="100" w:afterAutospacing="1"/>
        <w:ind w:right="0"/>
        <w:jc w:val="both"/>
        <w:rPr>
          <w:rFonts w:ascii="Arial" w:hAnsi="Arial" w:cs="Arial"/>
          <w:sz w:val="32"/>
          <w:szCs w:val="32"/>
        </w:rPr>
      </w:pPr>
    </w:p>
    <w:p w14:paraId="61BEE7AE" w14:textId="0F4C3935" w:rsidR="00FA634A" w:rsidRPr="00101A5D" w:rsidRDefault="00534687" w:rsidP="0005225A">
      <w:pPr>
        <w:spacing w:before="100" w:beforeAutospacing="1" w:after="100" w:afterAutospacing="1"/>
        <w:ind w:right="0"/>
        <w:jc w:val="both"/>
        <w:rPr>
          <w:rFonts w:ascii="Arial" w:hAnsi="Arial" w:cs="Arial"/>
          <w:b/>
          <w:bCs/>
          <w:color w:val="156082" w:themeColor="accent1"/>
          <w:sz w:val="32"/>
          <w:szCs w:val="32"/>
        </w:rPr>
      </w:pPr>
      <w:r w:rsidRPr="00101A5D">
        <w:rPr>
          <w:rFonts w:ascii="Arial" w:hAnsi="Arial" w:cs="Arial"/>
          <w:b/>
          <w:bCs/>
          <w:color w:val="156082" w:themeColor="accent1"/>
          <w:sz w:val="32"/>
          <w:szCs w:val="32"/>
        </w:rPr>
        <w:lastRenderedPageBreak/>
        <w:t xml:space="preserve">Introduction of </w:t>
      </w:r>
      <w:r w:rsidR="00DF2A04" w:rsidRPr="00101A5D">
        <w:rPr>
          <w:rFonts w:ascii="Arial" w:hAnsi="Arial" w:cs="Arial"/>
          <w:b/>
          <w:bCs/>
          <w:color w:val="156082" w:themeColor="accent1"/>
          <w:sz w:val="32"/>
          <w:szCs w:val="32"/>
        </w:rPr>
        <w:t>BYTES software solutions</w:t>
      </w:r>
    </w:p>
    <w:p w14:paraId="7AFE2B3A" w14:textId="63DCBA16" w:rsidR="00A050FC" w:rsidRPr="0023308E" w:rsidRDefault="00A050FC" w:rsidP="0005225A">
      <w:pPr>
        <w:spacing w:before="100" w:beforeAutospacing="1" w:after="100" w:afterAutospacing="1"/>
        <w:ind w:right="0"/>
        <w:jc w:val="both"/>
        <w:rPr>
          <w:rFonts w:ascii="Arial" w:hAnsi="Arial" w:cs="Arial"/>
        </w:rPr>
      </w:pPr>
      <w:r w:rsidRPr="0023308E">
        <w:rPr>
          <w:rFonts w:ascii="Arial" w:hAnsi="Arial" w:cs="Arial"/>
        </w:rPr>
        <w:t>Bytes Software Solutions was established in 1982, beginning with its first computer</w:t>
      </w:r>
      <w:r w:rsidRPr="0023308E">
        <w:rPr>
          <w:rFonts w:ascii="Arial" w:hAnsi="Arial" w:cs="Arial"/>
        </w:rPr>
        <w:noBreakHyphen/>
        <w:t>supplies shop in Surrey, United Kingdom. In 1998, the company was acquired by the South African–based Allied Electronics Corporation (Altron) Group, marking the start of a period of steady and significant growth. Over the following decades, Bytes expanded its capabilities in IT solutions and developed strong partnerships in the cybersecurity sector, becoming recognised as a specialist provider in this field. The company’s headquarters are in Leatherhead, Surrey.</w:t>
      </w:r>
    </w:p>
    <w:p w14:paraId="03CD43D7" w14:textId="77777777" w:rsidR="00A050FC" w:rsidRPr="0023308E" w:rsidRDefault="00A050FC" w:rsidP="0005225A">
      <w:pPr>
        <w:spacing w:before="100" w:beforeAutospacing="1" w:after="100" w:afterAutospacing="1"/>
        <w:ind w:right="0"/>
        <w:jc w:val="both"/>
        <w:rPr>
          <w:rFonts w:ascii="Arial" w:hAnsi="Arial" w:cs="Arial"/>
        </w:rPr>
      </w:pPr>
      <w:r w:rsidRPr="0023308E">
        <w:rPr>
          <w:rFonts w:ascii="Arial" w:hAnsi="Arial" w:cs="Arial"/>
        </w:rPr>
        <w:t>Following a strategic restructuring, Bytes Technology Group was demerged from Altron and successfully listed on both the London Stock Exchange and the Johannesburg Stock Exchange through an Initial Public Offering (IPO) in December. In 2021, Bytes was admitted to the FTSE 250 Index, reflecting its strong market performance and growing investor confidence.</w:t>
      </w:r>
    </w:p>
    <w:p w14:paraId="74B034A4" w14:textId="77777777" w:rsidR="00A050FC" w:rsidRPr="0023308E" w:rsidRDefault="00A050FC" w:rsidP="0005225A">
      <w:pPr>
        <w:spacing w:before="100" w:beforeAutospacing="1" w:after="100" w:afterAutospacing="1"/>
        <w:ind w:right="0"/>
        <w:jc w:val="both"/>
        <w:rPr>
          <w:rFonts w:ascii="Arial" w:hAnsi="Arial" w:cs="Arial"/>
        </w:rPr>
      </w:pPr>
      <w:r w:rsidRPr="0023308E">
        <w:rPr>
          <w:rFonts w:ascii="Arial" w:hAnsi="Arial" w:cs="Arial"/>
        </w:rPr>
        <w:t>Today, Bytes operates through two principal divisions: Bytes Software Services, which serves both public</w:t>
      </w:r>
      <w:r w:rsidRPr="0023308E">
        <w:rPr>
          <w:rFonts w:ascii="Arial" w:hAnsi="Arial" w:cs="Arial"/>
        </w:rPr>
        <w:noBreakHyphen/>
        <w:t>sector and corporate clients, and Phoenix Software, which focuses primarily on the public sector. The company has evolved into one of the UK’s leading IT solutions providers, specialising in software, cybersecurity, licensing, software asset management (SAM), storage, virtualisation, and cloud services. Bytes employs more than 700 staff across the UK and Ireland. Its employees are known for their commitment to supporting clients as they navigate technological change, helping hundreds of major organisations to transform, grow, and remain competitive.</w:t>
      </w:r>
    </w:p>
    <w:p w14:paraId="26E077DB" w14:textId="77777777" w:rsidR="00A050FC" w:rsidRPr="0023308E" w:rsidRDefault="00A050FC" w:rsidP="0005225A">
      <w:pPr>
        <w:spacing w:before="100" w:beforeAutospacing="1" w:after="100" w:afterAutospacing="1"/>
        <w:ind w:right="0"/>
        <w:jc w:val="both"/>
        <w:rPr>
          <w:rFonts w:ascii="Arial" w:hAnsi="Arial" w:cs="Arial"/>
        </w:rPr>
      </w:pPr>
      <w:r w:rsidRPr="0023308E">
        <w:rPr>
          <w:rFonts w:ascii="Arial" w:hAnsi="Arial" w:cs="Arial"/>
        </w:rPr>
        <w:t>Bytes emphasises innovation in IT, software, and security, recognising that its fast</w:t>
      </w:r>
      <w:r w:rsidRPr="0023308E">
        <w:rPr>
          <w:rFonts w:ascii="Arial" w:hAnsi="Arial" w:cs="Arial"/>
        </w:rPr>
        <w:noBreakHyphen/>
        <w:t>moving industry continually presents new challenges and opportunities. The company works closely with customers to understand their needs and deliver solutions that create competitive advantage. Customer success remains central to Bytes’ mission.</w:t>
      </w:r>
    </w:p>
    <w:p w14:paraId="0C62E534" w14:textId="2A084E4C" w:rsidR="00A050FC" w:rsidRPr="0023308E" w:rsidRDefault="00A050FC" w:rsidP="0005225A">
      <w:pPr>
        <w:spacing w:before="100" w:beforeAutospacing="1" w:after="100" w:afterAutospacing="1"/>
        <w:ind w:right="0"/>
        <w:jc w:val="both"/>
        <w:rPr>
          <w:rFonts w:ascii="Arial" w:hAnsi="Arial" w:cs="Arial"/>
        </w:rPr>
      </w:pPr>
      <w:r w:rsidRPr="0023308E">
        <w:rPr>
          <w:rFonts w:ascii="Arial" w:hAnsi="Arial" w:cs="Arial"/>
        </w:rPr>
        <w:t xml:space="preserve">The organisation has also earned longstanding recognition for its corporate social responsibility and positive working environment. Bytes considers its employees to be its most </w:t>
      </w:r>
      <w:r w:rsidR="0005225A" w:rsidRPr="0023308E">
        <w:rPr>
          <w:rFonts w:ascii="Arial" w:hAnsi="Arial" w:cs="Arial"/>
        </w:rPr>
        <w:t>asset</w:t>
      </w:r>
      <w:r w:rsidRPr="0023308E">
        <w:rPr>
          <w:rFonts w:ascii="Arial" w:hAnsi="Arial" w:cs="Arial"/>
        </w:rPr>
        <w:t xml:space="preserve"> and ensures they are supported and rewarded for their contributions. In 2024, the company was officially recognised as a “Great Place to Work,” reinforcing its reputation as an ethical, healthy, and enjoyable workplace.</w:t>
      </w:r>
    </w:p>
    <w:p w14:paraId="48FFAACC" w14:textId="77777777" w:rsidR="00A050FC" w:rsidRPr="0023308E" w:rsidRDefault="00A050FC" w:rsidP="0005225A">
      <w:pPr>
        <w:spacing w:before="100" w:beforeAutospacing="1" w:after="100" w:afterAutospacing="1"/>
        <w:ind w:right="0"/>
        <w:jc w:val="both"/>
        <w:rPr>
          <w:rFonts w:ascii="Arial" w:hAnsi="Arial" w:cs="Arial"/>
        </w:rPr>
      </w:pPr>
      <w:r w:rsidRPr="0023308E">
        <w:rPr>
          <w:rFonts w:ascii="Arial" w:hAnsi="Arial" w:cs="Arial"/>
        </w:rPr>
        <w:t>As a large and influential business, Bytes is committed to supporting its community and reducing its environmental impact. The company acknowledges that its operations can contribute to waste, energy consumption, and emissions. To address this, Bytes has implemented strong sustainability policies and is committed to reducing its carbon footprint wherever possible.</w:t>
      </w:r>
    </w:p>
    <w:p w14:paraId="134822B6" w14:textId="77777777" w:rsidR="00A050FC" w:rsidRPr="0023308E" w:rsidRDefault="00A050FC" w:rsidP="0005225A">
      <w:pPr>
        <w:spacing w:before="100" w:beforeAutospacing="1" w:after="100" w:afterAutospacing="1"/>
        <w:ind w:right="0"/>
        <w:jc w:val="both"/>
        <w:rPr>
          <w:rFonts w:ascii="Arial" w:hAnsi="Arial" w:cs="Arial"/>
        </w:rPr>
      </w:pPr>
      <w:r w:rsidRPr="0023308E">
        <w:rPr>
          <w:rFonts w:ascii="Arial" w:hAnsi="Arial" w:cs="Arial"/>
          <w:b/>
          <w:bCs/>
        </w:rPr>
        <w:t>Core Values of Bytes Technology Group:</w:t>
      </w:r>
    </w:p>
    <w:p w14:paraId="51686859" w14:textId="77777777" w:rsidR="00A050FC" w:rsidRPr="0023308E" w:rsidRDefault="00A050FC" w:rsidP="0005225A">
      <w:pPr>
        <w:numPr>
          <w:ilvl w:val="0"/>
          <w:numId w:val="21"/>
        </w:numPr>
        <w:spacing w:before="100" w:beforeAutospacing="1" w:after="100" w:afterAutospacing="1"/>
        <w:ind w:right="0"/>
        <w:jc w:val="both"/>
        <w:rPr>
          <w:rFonts w:ascii="Arial" w:hAnsi="Arial" w:cs="Arial"/>
        </w:rPr>
      </w:pPr>
      <w:r w:rsidRPr="0023308E">
        <w:rPr>
          <w:rFonts w:ascii="Arial" w:hAnsi="Arial" w:cs="Arial"/>
        </w:rPr>
        <w:t>Demonstrate passion for employees, vendors, and customers.</w:t>
      </w:r>
    </w:p>
    <w:p w14:paraId="2D77FC12" w14:textId="3369BDA1" w:rsidR="00A050FC" w:rsidRPr="0023308E" w:rsidRDefault="00A050FC" w:rsidP="0005225A">
      <w:pPr>
        <w:numPr>
          <w:ilvl w:val="0"/>
          <w:numId w:val="21"/>
        </w:numPr>
        <w:spacing w:before="100" w:beforeAutospacing="1" w:after="100" w:afterAutospacing="1"/>
        <w:ind w:right="0"/>
        <w:jc w:val="both"/>
        <w:rPr>
          <w:rFonts w:ascii="Arial" w:hAnsi="Arial" w:cs="Arial"/>
        </w:rPr>
      </w:pPr>
      <w:r w:rsidRPr="0023308E">
        <w:rPr>
          <w:rFonts w:ascii="Arial" w:hAnsi="Arial" w:cs="Arial"/>
        </w:rPr>
        <w:t>Always act with integrity.</w:t>
      </w:r>
    </w:p>
    <w:p w14:paraId="6F0DFAEE" w14:textId="77777777" w:rsidR="00A050FC" w:rsidRPr="0023308E" w:rsidRDefault="00A050FC" w:rsidP="0005225A">
      <w:pPr>
        <w:numPr>
          <w:ilvl w:val="0"/>
          <w:numId w:val="21"/>
        </w:numPr>
        <w:spacing w:before="100" w:beforeAutospacing="1" w:after="100" w:afterAutospacing="1"/>
        <w:ind w:right="0"/>
        <w:jc w:val="both"/>
        <w:rPr>
          <w:rFonts w:ascii="Arial" w:hAnsi="Arial" w:cs="Arial"/>
        </w:rPr>
      </w:pPr>
      <w:r w:rsidRPr="0023308E">
        <w:rPr>
          <w:rFonts w:ascii="Arial" w:hAnsi="Arial" w:cs="Arial"/>
        </w:rPr>
        <w:t>Collaborate effectively across teams.</w:t>
      </w:r>
    </w:p>
    <w:p w14:paraId="066065BD" w14:textId="77777777" w:rsidR="00A050FC" w:rsidRPr="0023308E" w:rsidRDefault="00A050FC" w:rsidP="0005225A">
      <w:pPr>
        <w:numPr>
          <w:ilvl w:val="0"/>
          <w:numId w:val="21"/>
        </w:numPr>
        <w:spacing w:before="100" w:beforeAutospacing="1" w:after="100" w:afterAutospacing="1"/>
        <w:ind w:right="0"/>
        <w:jc w:val="both"/>
        <w:rPr>
          <w:rFonts w:ascii="Arial" w:hAnsi="Arial" w:cs="Arial"/>
        </w:rPr>
      </w:pPr>
      <w:r w:rsidRPr="0023308E">
        <w:rPr>
          <w:rFonts w:ascii="Arial" w:hAnsi="Arial" w:cs="Arial"/>
        </w:rPr>
        <w:t>Treat all individuals with kindness and respect.</w:t>
      </w:r>
    </w:p>
    <w:p w14:paraId="3B2BBF14" w14:textId="77777777" w:rsidR="00A050FC" w:rsidRPr="0023308E" w:rsidRDefault="00A050FC" w:rsidP="0005225A">
      <w:pPr>
        <w:numPr>
          <w:ilvl w:val="0"/>
          <w:numId w:val="21"/>
        </w:numPr>
        <w:spacing w:before="100" w:beforeAutospacing="1" w:after="100" w:afterAutospacing="1"/>
        <w:ind w:right="0"/>
        <w:jc w:val="both"/>
        <w:rPr>
          <w:rFonts w:ascii="Arial" w:hAnsi="Arial" w:cs="Arial"/>
        </w:rPr>
      </w:pPr>
      <w:r w:rsidRPr="0023308E">
        <w:rPr>
          <w:rFonts w:ascii="Arial" w:hAnsi="Arial" w:cs="Arial"/>
        </w:rPr>
        <w:t>Deliver business outcomes while maintaining a sense of enjoyment.</w:t>
      </w:r>
    </w:p>
    <w:p w14:paraId="13D08FDD" w14:textId="77777777" w:rsidR="00D25F73" w:rsidRPr="0023308E" w:rsidRDefault="00D25F73" w:rsidP="0005225A">
      <w:pPr>
        <w:spacing w:before="100" w:beforeAutospacing="1" w:after="100" w:afterAutospacing="1"/>
        <w:ind w:right="0"/>
        <w:jc w:val="both"/>
        <w:rPr>
          <w:rFonts w:ascii="Arial" w:hAnsi="Arial" w:cs="Arial"/>
        </w:rPr>
      </w:pPr>
    </w:p>
    <w:p w14:paraId="75E87555" w14:textId="64ECDC4A" w:rsidR="00D25F73" w:rsidRPr="0023308E" w:rsidRDefault="00D25F73" w:rsidP="0005225A">
      <w:pPr>
        <w:spacing w:before="100" w:beforeAutospacing="1" w:after="100" w:afterAutospacing="1"/>
        <w:ind w:right="0"/>
        <w:jc w:val="both"/>
        <w:rPr>
          <w:rFonts w:ascii="Arial" w:hAnsi="Arial" w:cs="Arial"/>
          <w:b/>
          <w:bCs/>
          <w:color w:val="156082" w:themeColor="accent1"/>
          <w:sz w:val="28"/>
          <w:szCs w:val="28"/>
          <w:u w:val="single"/>
        </w:rPr>
      </w:pPr>
      <w:r w:rsidRPr="0023308E">
        <w:rPr>
          <w:rFonts w:ascii="Arial" w:hAnsi="Arial" w:cs="Arial"/>
          <w:b/>
          <w:bCs/>
          <w:color w:val="156082" w:themeColor="accent1"/>
          <w:sz w:val="28"/>
          <w:szCs w:val="28"/>
          <w:u w:val="single"/>
        </w:rPr>
        <w:lastRenderedPageBreak/>
        <w:t xml:space="preserve"> Key Consumer and Industry Trends Affecting Bytes Technology Group</w:t>
      </w:r>
    </w:p>
    <w:p w14:paraId="1B086E52"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 xml:space="preserve">Bytes Technology Group’s key consumers are primarily UK organisations in the </w:t>
      </w:r>
      <w:r w:rsidRPr="0023308E">
        <w:rPr>
          <w:rFonts w:ascii="Arial" w:hAnsi="Arial" w:cs="Arial"/>
          <w:i/>
          <w:iCs/>
        </w:rPr>
        <w:t>public sector</w:t>
      </w:r>
      <w:r w:rsidRPr="0023308E">
        <w:rPr>
          <w:rFonts w:ascii="Arial" w:hAnsi="Arial" w:cs="Arial"/>
        </w:rPr>
        <w:t xml:space="preserve"> and </w:t>
      </w:r>
      <w:r w:rsidRPr="0023308E">
        <w:rPr>
          <w:rFonts w:ascii="Arial" w:hAnsi="Arial" w:cs="Arial"/>
          <w:i/>
          <w:iCs/>
        </w:rPr>
        <w:t>private sector</w:t>
      </w:r>
      <w:r w:rsidRPr="0023308E">
        <w:rPr>
          <w:rFonts w:ascii="Arial" w:hAnsi="Arial" w:cs="Arial"/>
        </w:rPr>
        <w:t>, especially those requiring Microsoft</w:t>
      </w:r>
      <w:r w:rsidRPr="0023308E">
        <w:rPr>
          <w:rFonts w:ascii="Arial" w:hAnsi="Arial" w:cs="Arial"/>
        </w:rPr>
        <w:noBreakHyphen/>
        <w:t>based cloud, security, and digital</w:t>
      </w:r>
      <w:r w:rsidRPr="0023308E">
        <w:rPr>
          <w:rFonts w:ascii="Arial" w:hAnsi="Arial" w:cs="Arial"/>
        </w:rPr>
        <w:noBreakHyphen/>
        <w:t>transformation solutions. Evidence from case studies, corporate disclosures, and industry profiles shows that Bytes serves government bodies, councils, NHS trusts, universities, large enterprises, SMEs, and regulated industries.</w:t>
      </w:r>
    </w:p>
    <w:p w14:paraId="2D7CEF85"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Below is an academic</w:t>
      </w:r>
      <w:r w:rsidRPr="0023308E">
        <w:rPr>
          <w:rFonts w:ascii="Arial" w:hAnsi="Arial" w:cs="Arial"/>
        </w:rPr>
        <w:noBreakHyphen/>
        <w:t>style breakdown with in</w:t>
      </w:r>
      <w:r w:rsidRPr="0023308E">
        <w:rPr>
          <w:rFonts w:ascii="Arial" w:hAnsi="Arial" w:cs="Arial"/>
        </w:rPr>
        <w:noBreakHyphen/>
        <w:t>text citations using the sources retrieved.</w:t>
      </w:r>
    </w:p>
    <w:p w14:paraId="2CFD8FD8" w14:textId="452DDDF4" w:rsidR="0041657A" w:rsidRPr="0023308E" w:rsidRDefault="0041657A" w:rsidP="0005225A">
      <w:pPr>
        <w:spacing w:before="100" w:beforeAutospacing="1" w:after="100" w:afterAutospacing="1"/>
        <w:ind w:right="0"/>
        <w:jc w:val="both"/>
        <w:rPr>
          <w:rFonts w:ascii="Arial" w:hAnsi="Arial" w:cs="Arial"/>
          <w:u w:val="single"/>
        </w:rPr>
      </w:pPr>
      <w:r w:rsidRPr="0023308E">
        <w:rPr>
          <w:rFonts w:ascii="Arial" w:hAnsi="Arial" w:cs="Arial"/>
          <w:u w:val="single"/>
        </w:rPr>
        <w:t xml:space="preserve">Key Consumers of Bytes Technology Group </w:t>
      </w:r>
    </w:p>
    <w:p w14:paraId="168412BC" w14:textId="5E3A48D9"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1. Public Sector Organisations</w:t>
      </w:r>
      <w:r w:rsidR="0023308E" w:rsidRPr="0023308E">
        <w:rPr>
          <w:rFonts w:ascii="Arial" w:hAnsi="Arial" w:cs="Arial"/>
        </w:rPr>
        <w:t>:</w:t>
      </w:r>
    </w:p>
    <w:p w14:paraId="63CF71CA" w14:textId="1686216B"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Bytes has a major footprint in the UK public sector through its Phoenix Software division, which “focuses primarily on the public sector” (Bytes PLC, 2026). Public</w:t>
      </w:r>
      <w:r w:rsidRPr="0023308E">
        <w:rPr>
          <w:rFonts w:ascii="Arial" w:hAnsi="Arial" w:cs="Arial"/>
        </w:rPr>
        <w:noBreakHyphen/>
        <w:t>sector consumers include:</w:t>
      </w:r>
    </w:p>
    <w:p w14:paraId="284D34C4" w14:textId="0BC17A2E" w:rsidR="0041657A" w:rsidRPr="0023308E" w:rsidRDefault="0041657A" w:rsidP="0005225A">
      <w:pPr>
        <w:numPr>
          <w:ilvl w:val="0"/>
          <w:numId w:val="17"/>
        </w:numPr>
        <w:spacing w:before="100" w:beforeAutospacing="1" w:after="100" w:afterAutospacing="1"/>
        <w:ind w:right="0"/>
        <w:jc w:val="both"/>
        <w:rPr>
          <w:rFonts w:ascii="Arial" w:hAnsi="Arial" w:cs="Arial"/>
        </w:rPr>
      </w:pPr>
      <w:r w:rsidRPr="0023308E">
        <w:rPr>
          <w:rFonts w:ascii="Arial" w:hAnsi="Arial" w:cs="Arial"/>
        </w:rPr>
        <w:t>Local authorities – e.g., Norfolk County Council, Somerset County Council, and other councils using Bytes for security, cloud migration, and digital strategy execution (Bytes Case Studies, 2026).</w:t>
      </w:r>
    </w:p>
    <w:p w14:paraId="34EE09A3" w14:textId="24A1B4F9" w:rsidR="0041657A" w:rsidRPr="0023308E" w:rsidRDefault="0041657A" w:rsidP="0005225A">
      <w:pPr>
        <w:numPr>
          <w:ilvl w:val="0"/>
          <w:numId w:val="17"/>
        </w:numPr>
        <w:spacing w:before="100" w:beforeAutospacing="1" w:after="100" w:afterAutospacing="1"/>
        <w:ind w:right="0"/>
        <w:jc w:val="both"/>
        <w:rPr>
          <w:rFonts w:ascii="Arial" w:hAnsi="Arial" w:cs="Arial"/>
        </w:rPr>
      </w:pPr>
      <w:r w:rsidRPr="0023308E">
        <w:rPr>
          <w:rFonts w:ascii="Arial" w:hAnsi="Arial" w:cs="Arial"/>
        </w:rPr>
        <w:t>NHS trusts – multiple NHS organisations rely on Bytes for Microsoft Defender, cloud governance, and cyber</w:t>
      </w:r>
      <w:r w:rsidRPr="0023308E">
        <w:rPr>
          <w:rFonts w:ascii="Arial" w:hAnsi="Arial" w:cs="Arial"/>
        </w:rPr>
        <w:noBreakHyphen/>
        <w:t>defence modernisation (Bytes Case Studies, 2026).</w:t>
      </w:r>
    </w:p>
    <w:p w14:paraId="2AF4822A" w14:textId="713BF616" w:rsidR="0041657A" w:rsidRPr="0023308E" w:rsidRDefault="0041657A" w:rsidP="0005225A">
      <w:pPr>
        <w:numPr>
          <w:ilvl w:val="0"/>
          <w:numId w:val="17"/>
        </w:numPr>
        <w:spacing w:before="100" w:beforeAutospacing="1" w:after="100" w:afterAutospacing="1"/>
        <w:ind w:right="0"/>
        <w:jc w:val="both"/>
        <w:rPr>
          <w:rFonts w:ascii="Arial" w:hAnsi="Arial" w:cs="Arial"/>
        </w:rPr>
      </w:pPr>
      <w:r w:rsidRPr="0023308E">
        <w:rPr>
          <w:rFonts w:ascii="Arial" w:hAnsi="Arial" w:cs="Arial"/>
        </w:rPr>
        <w:t>Universities and colleges – e.g., University College Birmingham uses Bytes for cloud foundation and governance (Bytes Case Studies, 2026).</w:t>
      </w:r>
    </w:p>
    <w:p w14:paraId="013257D5" w14:textId="75312D96" w:rsidR="0041657A" w:rsidRPr="0023308E" w:rsidRDefault="0041657A" w:rsidP="0005225A">
      <w:pPr>
        <w:numPr>
          <w:ilvl w:val="0"/>
          <w:numId w:val="17"/>
        </w:numPr>
        <w:spacing w:before="100" w:beforeAutospacing="1" w:after="100" w:afterAutospacing="1"/>
        <w:ind w:right="0"/>
        <w:jc w:val="both"/>
        <w:rPr>
          <w:rFonts w:ascii="Arial" w:hAnsi="Arial" w:cs="Arial"/>
        </w:rPr>
      </w:pPr>
      <w:r w:rsidRPr="0023308E">
        <w:rPr>
          <w:rFonts w:ascii="Arial" w:hAnsi="Arial" w:cs="Arial"/>
        </w:rPr>
        <w:t>Public agencies and non</w:t>
      </w:r>
      <w:r w:rsidRPr="0023308E">
        <w:rPr>
          <w:rFonts w:ascii="Arial" w:hAnsi="Arial" w:cs="Arial"/>
        </w:rPr>
        <w:noBreakHyphen/>
        <w:t>profits – such as the Energy Saving Trust and Methodist Homes (Bytes Case Studies, 2026).</w:t>
      </w:r>
    </w:p>
    <w:p w14:paraId="0360404D"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u w:val="single"/>
        </w:rPr>
        <w:t>Why they consume Bytes services:</w:t>
      </w:r>
      <w:r w:rsidRPr="0023308E">
        <w:rPr>
          <w:rFonts w:ascii="Arial" w:hAnsi="Arial" w:cs="Arial"/>
        </w:rPr>
        <w:t xml:space="preserve"> Public bodies require secure, compliant, cost</w:t>
      </w:r>
      <w:r w:rsidRPr="0023308E">
        <w:rPr>
          <w:rFonts w:ascii="Arial" w:hAnsi="Arial" w:cs="Arial"/>
        </w:rPr>
        <w:noBreakHyphen/>
        <w:t>efficient IT systems, and Bytes’ Microsoft specialisation aligns with government digital</w:t>
      </w:r>
      <w:r w:rsidRPr="0023308E">
        <w:rPr>
          <w:rFonts w:ascii="Arial" w:hAnsi="Arial" w:cs="Arial"/>
        </w:rPr>
        <w:noBreakHyphen/>
        <w:t>transformation priorities.</w:t>
      </w:r>
    </w:p>
    <w:p w14:paraId="5309DC9C" w14:textId="77777777" w:rsidR="0041657A" w:rsidRPr="0023308E" w:rsidRDefault="0041657A" w:rsidP="0005225A">
      <w:pPr>
        <w:spacing w:before="100" w:beforeAutospacing="1" w:after="100" w:afterAutospacing="1"/>
        <w:ind w:right="0"/>
        <w:jc w:val="both"/>
        <w:rPr>
          <w:rFonts w:ascii="Arial" w:hAnsi="Arial" w:cs="Arial"/>
        </w:rPr>
      </w:pPr>
    </w:p>
    <w:p w14:paraId="781789DA" w14:textId="77777777" w:rsidR="0041657A" w:rsidRPr="0023308E" w:rsidRDefault="0041657A" w:rsidP="0005225A">
      <w:pPr>
        <w:spacing w:before="100" w:beforeAutospacing="1" w:after="100" w:afterAutospacing="1"/>
        <w:ind w:right="0"/>
        <w:jc w:val="both"/>
        <w:rPr>
          <w:rFonts w:ascii="Arial" w:hAnsi="Arial" w:cs="Arial"/>
        </w:rPr>
      </w:pPr>
    </w:p>
    <w:p w14:paraId="1E8F8D1D" w14:textId="77777777" w:rsidR="0041657A" w:rsidRPr="0023308E" w:rsidRDefault="0041657A" w:rsidP="0005225A">
      <w:pPr>
        <w:spacing w:before="100" w:beforeAutospacing="1" w:after="100" w:afterAutospacing="1"/>
        <w:ind w:right="0"/>
        <w:jc w:val="both"/>
        <w:rPr>
          <w:rFonts w:ascii="Arial" w:hAnsi="Arial" w:cs="Arial"/>
          <w:b/>
          <w:bCs/>
        </w:rPr>
      </w:pPr>
      <w:r w:rsidRPr="0023308E">
        <w:rPr>
          <w:rFonts w:ascii="Arial" w:hAnsi="Arial" w:cs="Arial"/>
          <w:b/>
          <w:bCs/>
        </w:rPr>
        <w:t>2. Private Sector Enterprises</w:t>
      </w:r>
    </w:p>
    <w:p w14:paraId="3EF00536"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 xml:space="preserve">Bytes Software Services supports “corporate and private sector organisations” (Bytes PLC, 2026). </w:t>
      </w:r>
    </w:p>
    <w:p w14:paraId="042546EC" w14:textId="2DE82C16"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Examples include:</w:t>
      </w:r>
    </w:p>
    <w:p w14:paraId="251E7476" w14:textId="4D459C85" w:rsidR="0041657A" w:rsidRPr="0023308E" w:rsidRDefault="0041657A" w:rsidP="0005225A">
      <w:pPr>
        <w:numPr>
          <w:ilvl w:val="0"/>
          <w:numId w:val="18"/>
        </w:numPr>
        <w:spacing w:before="100" w:beforeAutospacing="1" w:after="100" w:afterAutospacing="1"/>
        <w:ind w:right="0"/>
        <w:jc w:val="both"/>
        <w:rPr>
          <w:rFonts w:ascii="Arial" w:hAnsi="Arial" w:cs="Arial"/>
        </w:rPr>
      </w:pPr>
      <w:r w:rsidRPr="0023308E">
        <w:rPr>
          <w:rFonts w:ascii="Arial" w:hAnsi="Arial" w:cs="Arial"/>
        </w:rPr>
        <w:t>Large enterprises – e.g., ABP Food Group, Impellam Group, and Hollywood Bowl, which use Bytes for Microsoft 365, cloud migration, and security posture improvement (Bytes Case Studies, 2026).</w:t>
      </w:r>
    </w:p>
    <w:p w14:paraId="1C668EDA" w14:textId="6C4B0872" w:rsidR="0041657A" w:rsidRPr="0023308E" w:rsidRDefault="0041657A" w:rsidP="0005225A">
      <w:pPr>
        <w:numPr>
          <w:ilvl w:val="0"/>
          <w:numId w:val="18"/>
        </w:numPr>
        <w:spacing w:before="100" w:beforeAutospacing="1" w:after="100" w:afterAutospacing="1"/>
        <w:ind w:right="0"/>
        <w:jc w:val="both"/>
        <w:rPr>
          <w:rFonts w:ascii="Arial" w:hAnsi="Arial" w:cs="Arial"/>
        </w:rPr>
      </w:pPr>
      <w:r w:rsidRPr="0023308E">
        <w:rPr>
          <w:rFonts w:ascii="Arial" w:hAnsi="Arial" w:cs="Arial"/>
        </w:rPr>
        <w:t>Financial and professional services – e.g., CHL Mortgages, Farrer &amp; Co LLP, and insurance firms using Bytes for security and compliance (Bytes Case Studies, 2026).</w:t>
      </w:r>
    </w:p>
    <w:p w14:paraId="2582F0F7" w14:textId="1DFB9F4E" w:rsidR="0041657A" w:rsidRPr="0023308E" w:rsidRDefault="0041657A" w:rsidP="0005225A">
      <w:pPr>
        <w:numPr>
          <w:ilvl w:val="0"/>
          <w:numId w:val="18"/>
        </w:numPr>
        <w:spacing w:before="100" w:beforeAutospacing="1" w:after="100" w:afterAutospacing="1"/>
        <w:ind w:right="0"/>
        <w:jc w:val="both"/>
        <w:rPr>
          <w:rFonts w:ascii="Arial" w:hAnsi="Arial" w:cs="Arial"/>
        </w:rPr>
      </w:pPr>
      <w:r w:rsidRPr="0023308E">
        <w:rPr>
          <w:rFonts w:ascii="Arial" w:hAnsi="Arial" w:cs="Arial"/>
        </w:rPr>
        <w:lastRenderedPageBreak/>
        <w:t>Technology and communications firms – e.g., G. Network and Blue Prism, which rely on Bytes for cloud commercial models and endpoint management (Featured Customers, 2026).</w:t>
      </w:r>
    </w:p>
    <w:p w14:paraId="2B62F28F" w14:textId="1375AB0C" w:rsidR="0041657A" w:rsidRPr="0023308E" w:rsidRDefault="0041657A" w:rsidP="0005225A">
      <w:pPr>
        <w:numPr>
          <w:ilvl w:val="0"/>
          <w:numId w:val="18"/>
        </w:numPr>
        <w:spacing w:before="100" w:beforeAutospacing="1" w:after="100" w:afterAutospacing="1"/>
        <w:ind w:right="0"/>
        <w:jc w:val="both"/>
        <w:rPr>
          <w:rFonts w:ascii="Arial" w:hAnsi="Arial" w:cs="Arial"/>
        </w:rPr>
      </w:pPr>
      <w:r w:rsidRPr="0023308E">
        <w:rPr>
          <w:rFonts w:ascii="Arial" w:hAnsi="Arial" w:cs="Arial"/>
        </w:rPr>
        <w:t>Manufacturing and industrial clients – e.g., Corex and Aurivo, using Bytes for device security and licensing optimisation (Bytes Case Studies, 2026).</w:t>
      </w:r>
    </w:p>
    <w:p w14:paraId="0E002A56"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Why they consume Bytes services: Private enterprises seek scalable cloud solutions, cybersecurity, licensing optimisation, and digital</w:t>
      </w:r>
      <w:r w:rsidRPr="0023308E">
        <w:rPr>
          <w:rFonts w:ascii="Arial" w:hAnsi="Arial" w:cs="Arial"/>
        </w:rPr>
        <w:noBreakHyphen/>
        <w:t>workplace modernisation—areas where Bytes is a leading Microsoft partner.</w:t>
      </w:r>
    </w:p>
    <w:p w14:paraId="3764E0EC" w14:textId="77777777" w:rsidR="0041657A" w:rsidRPr="0023308E" w:rsidRDefault="0041657A" w:rsidP="0005225A">
      <w:pPr>
        <w:spacing w:before="100" w:beforeAutospacing="1" w:after="100" w:afterAutospacing="1"/>
        <w:ind w:right="0"/>
        <w:jc w:val="both"/>
        <w:rPr>
          <w:rFonts w:ascii="Arial" w:hAnsi="Arial" w:cs="Arial"/>
          <w:b/>
          <w:bCs/>
        </w:rPr>
      </w:pPr>
      <w:r w:rsidRPr="0023308E">
        <w:rPr>
          <w:rFonts w:ascii="Arial" w:hAnsi="Arial" w:cs="Arial"/>
          <w:b/>
          <w:bCs/>
        </w:rPr>
        <w:t>3. Small and Medium</w:t>
      </w:r>
      <w:r w:rsidRPr="0023308E">
        <w:rPr>
          <w:rFonts w:ascii="Arial" w:hAnsi="Arial" w:cs="Arial"/>
          <w:b/>
          <w:bCs/>
        </w:rPr>
        <w:noBreakHyphen/>
        <w:t>Sized Enterprises (SMEs)</w:t>
      </w:r>
    </w:p>
    <w:p w14:paraId="34159E5B"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Bytes serves SMEs across sectors, as confirmed by customer reviews showing adoption by “SMEs, corporates and public sector organisations” (Featured Customers, 2026</w:t>
      </w:r>
      <w:proofErr w:type="gramStart"/>
      <w:r w:rsidRPr="0023308E">
        <w:rPr>
          <w:rFonts w:ascii="Arial" w:hAnsi="Arial" w:cs="Arial"/>
        </w:rPr>
        <w:t>) .</w:t>
      </w:r>
      <w:proofErr w:type="gramEnd"/>
    </w:p>
    <w:p w14:paraId="3C68D855"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Typical SME needs include:</w:t>
      </w:r>
    </w:p>
    <w:p w14:paraId="1D401577" w14:textId="77777777" w:rsidR="0041657A" w:rsidRPr="0023308E" w:rsidRDefault="0041657A" w:rsidP="0005225A">
      <w:pPr>
        <w:numPr>
          <w:ilvl w:val="0"/>
          <w:numId w:val="19"/>
        </w:numPr>
        <w:spacing w:before="100" w:beforeAutospacing="1" w:after="100" w:afterAutospacing="1"/>
        <w:ind w:right="0"/>
        <w:jc w:val="both"/>
        <w:rPr>
          <w:rFonts w:ascii="Arial" w:hAnsi="Arial" w:cs="Arial"/>
        </w:rPr>
      </w:pPr>
      <w:r w:rsidRPr="0023308E">
        <w:rPr>
          <w:rFonts w:ascii="Arial" w:hAnsi="Arial" w:cs="Arial"/>
        </w:rPr>
        <w:t>Cloud migration and cost optimisation</w:t>
      </w:r>
    </w:p>
    <w:p w14:paraId="3E842EE0" w14:textId="77777777" w:rsidR="0041657A" w:rsidRPr="0023308E" w:rsidRDefault="0041657A" w:rsidP="0005225A">
      <w:pPr>
        <w:numPr>
          <w:ilvl w:val="0"/>
          <w:numId w:val="19"/>
        </w:numPr>
        <w:spacing w:before="100" w:beforeAutospacing="1" w:after="100" w:afterAutospacing="1"/>
        <w:ind w:right="0"/>
        <w:jc w:val="both"/>
        <w:rPr>
          <w:rFonts w:ascii="Arial" w:hAnsi="Arial" w:cs="Arial"/>
        </w:rPr>
      </w:pPr>
      <w:r w:rsidRPr="0023308E">
        <w:rPr>
          <w:rFonts w:ascii="Arial" w:hAnsi="Arial" w:cs="Arial"/>
        </w:rPr>
        <w:t>Security hardening</w:t>
      </w:r>
    </w:p>
    <w:p w14:paraId="70072D80" w14:textId="77777777" w:rsidR="0041657A" w:rsidRPr="0023308E" w:rsidRDefault="0041657A" w:rsidP="0005225A">
      <w:pPr>
        <w:numPr>
          <w:ilvl w:val="0"/>
          <w:numId w:val="19"/>
        </w:numPr>
        <w:spacing w:before="100" w:beforeAutospacing="1" w:after="100" w:afterAutospacing="1"/>
        <w:ind w:right="0"/>
        <w:jc w:val="both"/>
        <w:rPr>
          <w:rFonts w:ascii="Arial" w:hAnsi="Arial" w:cs="Arial"/>
        </w:rPr>
      </w:pPr>
      <w:r w:rsidRPr="0023308E">
        <w:rPr>
          <w:rFonts w:ascii="Arial" w:hAnsi="Arial" w:cs="Arial"/>
        </w:rPr>
        <w:t>Licensing management</w:t>
      </w:r>
    </w:p>
    <w:p w14:paraId="5E697771" w14:textId="77777777" w:rsidR="0041657A" w:rsidRPr="0023308E" w:rsidRDefault="0041657A" w:rsidP="0005225A">
      <w:pPr>
        <w:numPr>
          <w:ilvl w:val="0"/>
          <w:numId w:val="19"/>
        </w:numPr>
        <w:spacing w:before="100" w:beforeAutospacing="1" w:after="100" w:afterAutospacing="1"/>
        <w:ind w:right="0"/>
        <w:jc w:val="both"/>
        <w:rPr>
          <w:rFonts w:ascii="Arial" w:hAnsi="Arial" w:cs="Arial"/>
        </w:rPr>
      </w:pPr>
      <w:r w:rsidRPr="0023308E">
        <w:rPr>
          <w:rFonts w:ascii="Arial" w:hAnsi="Arial" w:cs="Arial"/>
        </w:rPr>
        <w:t>End</w:t>
      </w:r>
      <w:r w:rsidRPr="0023308E">
        <w:rPr>
          <w:rFonts w:ascii="Arial" w:hAnsi="Arial" w:cs="Arial"/>
        </w:rPr>
        <w:noBreakHyphen/>
        <w:t>user computing and device management</w:t>
      </w:r>
    </w:p>
    <w:p w14:paraId="0F181248"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SMEs often lack in</w:t>
      </w:r>
      <w:r w:rsidRPr="0023308E">
        <w:rPr>
          <w:rFonts w:ascii="Arial" w:hAnsi="Arial" w:cs="Arial"/>
        </w:rPr>
        <w:noBreakHyphen/>
        <w:t>house IT capacity, making Bytes’ managed services attractive.</w:t>
      </w:r>
    </w:p>
    <w:p w14:paraId="2981FAAC" w14:textId="77777777" w:rsidR="0041657A" w:rsidRPr="0023308E" w:rsidRDefault="0041657A" w:rsidP="0005225A">
      <w:pPr>
        <w:spacing w:before="100" w:beforeAutospacing="1" w:after="100" w:afterAutospacing="1"/>
        <w:ind w:right="0"/>
        <w:jc w:val="both"/>
        <w:rPr>
          <w:rFonts w:ascii="Arial" w:hAnsi="Arial" w:cs="Arial"/>
          <w:b/>
          <w:bCs/>
        </w:rPr>
      </w:pPr>
      <w:r w:rsidRPr="0023308E">
        <w:rPr>
          <w:rFonts w:ascii="Arial" w:hAnsi="Arial" w:cs="Arial"/>
          <w:b/>
          <w:bCs/>
        </w:rPr>
        <w:t>4. Regulated and High</w:t>
      </w:r>
      <w:r w:rsidRPr="0023308E">
        <w:rPr>
          <w:rFonts w:ascii="Arial" w:hAnsi="Arial" w:cs="Arial"/>
          <w:b/>
          <w:bCs/>
        </w:rPr>
        <w:noBreakHyphen/>
        <w:t>Security Industries</w:t>
      </w:r>
    </w:p>
    <w:p w14:paraId="7A7A59E5"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Case studies show Bytes supporting organisations with strict compliance requirements, such as:</w:t>
      </w:r>
    </w:p>
    <w:p w14:paraId="42D795FC" w14:textId="77777777" w:rsidR="0041657A" w:rsidRPr="0023308E" w:rsidRDefault="0041657A" w:rsidP="0005225A">
      <w:pPr>
        <w:numPr>
          <w:ilvl w:val="0"/>
          <w:numId w:val="20"/>
        </w:numPr>
        <w:spacing w:before="100" w:beforeAutospacing="1" w:after="100" w:afterAutospacing="1"/>
        <w:ind w:right="0"/>
        <w:jc w:val="both"/>
        <w:rPr>
          <w:rFonts w:ascii="Arial" w:hAnsi="Arial" w:cs="Arial"/>
        </w:rPr>
      </w:pPr>
      <w:r w:rsidRPr="0023308E">
        <w:rPr>
          <w:rFonts w:ascii="Arial" w:hAnsi="Arial" w:cs="Arial"/>
        </w:rPr>
        <w:t>Legal firms (e.g., Howard Kennedy, Farrer &amp; Co LLP)</w:t>
      </w:r>
    </w:p>
    <w:p w14:paraId="63A1BEAF" w14:textId="77777777" w:rsidR="0041657A" w:rsidRPr="0023308E" w:rsidRDefault="0041657A" w:rsidP="0005225A">
      <w:pPr>
        <w:numPr>
          <w:ilvl w:val="0"/>
          <w:numId w:val="20"/>
        </w:numPr>
        <w:spacing w:before="100" w:beforeAutospacing="1" w:after="100" w:afterAutospacing="1"/>
        <w:ind w:right="0"/>
        <w:jc w:val="both"/>
        <w:rPr>
          <w:rFonts w:ascii="Arial" w:hAnsi="Arial" w:cs="Arial"/>
        </w:rPr>
      </w:pPr>
      <w:r w:rsidRPr="0023308E">
        <w:rPr>
          <w:rFonts w:ascii="Arial" w:hAnsi="Arial" w:cs="Arial"/>
        </w:rPr>
        <w:t>Financial services (e.g., A</w:t>
      </w:r>
      <w:r w:rsidRPr="0023308E">
        <w:rPr>
          <w:rFonts w:ascii="Arial" w:hAnsi="Arial" w:cs="Arial"/>
        </w:rPr>
        <w:noBreakHyphen/>
        <w:t>Plan Insurance, CHL Mortgages)</w:t>
      </w:r>
    </w:p>
    <w:p w14:paraId="4F1D2D1E" w14:textId="77777777" w:rsidR="0041657A" w:rsidRPr="0023308E" w:rsidRDefault="0041657A" w:rsidP="0005225A">
      <w:pPr>
        <w:numPr>
          <w:ilvl w:val="0"/>
          <w:numId w:val="20"/>
        </w:numPr>
        <w:spacing w:before="100" w:beforeAutospacing="1" w:after="100" w:afterAutospacing="1"/>
        <w:ind w:right="0"/>
        <w:jc w:val="both"/>
        <w:rPr>
          <w:rFonts w:ascii="Arial" w:hAnsi="Arial" w:cs="Arial"/>
        </w:rPr>
      </w:pPr>
      <w:r w:rsidRPr="0023308E">
        <w:rPr>
          <w:rFonts w:ascii="Arial" w:hAnsi="Arial" w:cs="Arial"/>
        </w:rPr>
        <w:t>Healthcare and social care providers</w:t>
      </w:r>
    </w:p>
    <w:p w14:paraId="2D58C72B" w14:textId="77777777"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rPr>
        <w:t>These sectors require advanced security, governance, and audit</w:t>
      </w:r>
      <w:r w:rsidRPr="0023308E">
        <w:rPr>
          <w:rFonts w:ascii="Arial" w:hAnsi="Arial" w:cs="Arial"/>
        </w:rPr>
        <w:noBreakHyphen/>
        <w:t>ready systems—services central to Bytes’ portfolio.</w:t>
      </w:r>
    </w:p>
    <w:p w14:paraId="41DD8C58" w14:textId="4D48CC80" w:rsidR="0041657A" w:rsidRPr="0023308E" w:rsidRDefault="0041657A" w:rsidP="0005225A">
      <w:pPr>
        <w:spacing w:before="100" w:beforeAutospacing="1" w:after="100" w:afterAutospacing="1"/>
        <w:ind w:right="0"/>
        <w:jc w:val="both"/>
        <w:rPr>
          <w:rFonts w:ascii="Arial" w:hAnsi="Arial" w:cs="Arial"/>
        </w:rPr>
      </w:pPr>
      <w:r w:rsidRPr="0023308E">
        <w:rPr>
          <w:rFonts w:ascii="Arial" w:hAnsi="Arial" w:cs="Arial"/>
          <w:i/>
          <w:iCs/>
        </w:rPr>
        <w:t>Evidence:</w:t>
      </w:r>
      <w:r w:rsidRPr="0023308E">
        <w:rPr>
          <w:rFonts w:ascii="Arial" w:hAnsi="Arial" w:cs="Arial"/>
        </w:rPr>
        <w:t xml:space="preserve"> Bytes provides managed Microsoft Sentinel, managed firewall protection, and penetration testing (FT Company Profile, 2026).</w:t>
      </w:r>
    </w:p>
    <w:p w14:paraId="3BAD297D" w14:textId="77777777" w:rsidR="0041657A" w:rsidRPr="0023308E" w:rsidRDefault="0041657A" w:rsidP="0005225A">
      <w:pPr>
        <w:spacing w:before="100" w:beforeAutospacing="1" w:after="100" w:afterAutospacing="1"/>
        <w:ind w:right="0"/>
        <w:jc w:val="both"/>
        <w:rPr>
          <w:rFonts w:ascii="Arial" w:hAnsi="Arial" w:cs="Arial"/>
          <w:b/>
          <w:bCs/>
        </w:rPr>
      </w:pPr>
    </w:p>
    <w:p w14:paraId="71EA377C" w14:textId="77777777" w:rsidR="00D25F73" w:rsidRDefault="00D25F73" w:rsidP="0005225A">
      <w:pPr>
        <w:spacing w:before="100" w:beforeAutospacing="1" w:after="100" w:afterAutospacing="1"/>
        <w:ind w:right="0"/>
        <w:jc w:val="both"/>
        <w:rPr>
          <w:rFonts w:ascii="Arial" w:hAnsi="Arial" w:cs="Arial"/>
        </w:rPr>
      </w:pPr>
      <w:r w:rsidRPr="0023308E">
        <w:rPr>
          <w:rFonts w:ascii="Arial" w:hAnsi="Arial" w:cs="Arial"/>
        </w:rPr>
        <w:t>Bytes Technology Group (BTG) operates within the UK’s software, cloud, and cybersecurity services ecosystem. The following trends—supported by government, industry, and statistical sources—represent the most significant external forces shaping demand for BTG’s products and services.</w:t>
      </w:r>
    </w:p>
    <w:p w14:paraId="3499F5CE" w14:textId="77777777" w:rsidR="0061605F" w:rsidRPr="0023308E" w:rsidRDefault="0061605F" w:rsidP="0005225A">
      <w:pPr>
        <w:spacing w:before="100" w:beforeAutospacing="1" w:after="100" w:afterAutospacing="1"/>
        <w:ind w:right="0"/>
        <w:jc w:val="both"/>
        <w:rPr>
          <w:rFonts w:ascii="Arial" w:hAnsi="Arial" w:cs="Arial"/>
        </w:rPr>
      </w:pPr>
    </w:p>
    <w:p w14:paraId="7BAB76A1" w14:textId="77777777" w:rsidR="00A050FC" w:rsidRPr="0023308E" w:rsidRDefault="00A050FC" w:rsidP="0005225A">
      <w:pPr>
        <w:spacing w:before="100" w:beforeAutospacing="1" w:after="100" w:afterAutospacing="1"/>
        <w:ind w:right="0"/>
        <w:jc w:val="both"/>
        <w:rPr>
          <w:rFonts w:ascii="Arial" w:hAnsi="Arial" w:cs="Arial"/>
        </w:rPr>
      </w:pPr>
    </w:p>
    <w:p w14:paraId="415F88C2" w14:textId="77777777" w:rsidR="00D25F73" w:rsidRPr="0023308E" w:rsidRDefault="00D25F73" w:rsidP="0005225A">
      <w:pPr>
        <w:spacing w:before="100" w:beforeAutospacing="1" w:after="100" w:afterAutospacing="1"/>
        <w:ind w:right="0"/>
        <w:jc w:val="both"/>
        <w:rPr>
          <w:rFonts w:ascii="Arial" w:hAnsi="Arial" w:cs="Arial"/>
          <w:b/>
          <w:bCs/>
        </w:rPr>
      </w:pPr>
      <w:r w:rsidRPr="0023308E">
        <w:rPr>
          <w:rFonts w:ascii="Arial" w:hAnsi="Arial" w:cs="Arial"/>
          <w:b/>
          <w:bCs/>
        </w:rPr>
        <w:lastRenderedPageBreak/>
        <w:t>1. Expansion of Cybersecurity Demand</w:t>
      </w:r>
    </w:p>
    <w:p w14:paraId="090E45EF"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The UK cybersecurity sector continues to grow rapidly, driven by rising threat levels and increased organisational dependence on digital infrastructure. The 2024 Cyber Security Sectoral Analysis reports 2,091 active cybersecurity firms in the UK and an annual sector revenue of £11.86 billion, marking a 13% year</w:t>
      </w:r>
      <w:r w:rsidRPr="0023308E">
        <w:rPr>
          <w:rFonts w:ascii="Arial" w:hAnsi="Arial" w:cs="Arial"/>
        </w:rPr>
        <w:noBreakHyphen/>
        <w:t>on</w:t>
      </w:r>
      <w:r w:rsidRPr="0023308E">
        <w:rPr>
          <w:rFonts w:ascii="Arial" w:hAnsi="Arial" w:cs="Arial"/>
        </w:rPr>
        <w:noBreakHyphen/>
        <w:t>year increase (techUK, 2024). This growth is accompanied by increased investment in managed security services and advanced threat</w:t>
      </w:r>
      <w:r w:rsidRPr="0023308E">
        <w:rPr>
          <w:rFonts w:ascii="Arial" w:hAnsi="Arial" w:cs="Arial"/>
        </w:rPr>
        <w:noBreakHyphen/>
        <w:t>detection capabilities.</w:t>
      </w:r>
    </w:p>
    <w:p w14:paraId="4EF42277" w14:textId="13805BFD"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For Bytes, which derives a significant portion of revenue from security licensing and services, this expanding market directly increases demand for identity management, endpoint protection, and cloud security solutions.</w:t>
      </w:r>
    </w:p>
    <w:p w14:paraId="06DB0241" w14:textId="77777777" w:rsidR="00D25F73" w:rsidRPr="0023308E" w:rsidRDefault="00D25F73" w:rsidP="0005225A">
      <w:pPr>
        <w:spacing w:before="100" w:beforeAutospacing="1" w:after="100" w:afterAutospacing="1"/>
        <w:ind w:right="0"/>
        <w:jc w:val="both"/>
        <w:rPr>
          <w:rFonts w:ascii="Arial" w:hAnsi="Arial" w:cs="Arial"/>
          <w:b/>
          <w:bCs/>
        </w:rPr>
      </w:pPr>
      <w:r w:rsidRPr="0023308E">
        <w:rPr>
          <w:rFonts w:ascii="Arial" w:hAnsi="Arial" w:cs="Arial"/>
          <w:b/>
          <w:bCs/>
        </w:rPr>
        <w:t>2. Integration of Artificial Intelligence in Cybersecurity Operations</w:t>
      </w:r>
    </w:p>
    <w:p w14:paraId="1AF234FB"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AI adoption is transforming cybersecurity operations across UK organisations. According to IDC’s 2023 European Security and Technology Survey, 69% of UK organisations report that AI significantly improves automation in security operations (SCC/IDC, 2024). AI</w:t>
      </w:r>
      <w:r w:rsidRPr="0023308E">
        <w:rPr>
          <w:rFonts w:ascii="Arial" w:hAnsi="Arial" w:cs="Arial"/>
        </w:rPr>
        <w:noBreakHyphen/>
        <w:t>driven SOCs (Security Operations Centres) are becoming standard, increasing demand for AI</w:t>
      </w:r>
      <w:r w:rsidRPr="0023308E">
        <w:rPr>
          <w:rFonts w:ascii="Arial" w:hAnsi="Arial" w:cs="Arial"/>
        </w:rPr>
        <w:noBreakHyphen/>
        <w:t>compatible security tools and managed services.</w:t>
      </w:r>
    </w:p>
    <w:p w14:paraId="3D3FF680" w14:textId="74C96560"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 xml:space="preserve">Bytes benefits from this trend through its partnerships with Microsoft and other vendors integrating AI into security </w:t>
      </w:r>
      <w:r w:rsidR="00A050FC" w:rsidRPr="0023308E">
        <w:rPr>
          <w:rFonts w:ascii="Arial" w:hAnsi="Arial" w:cs="Arial"/>
        </w:rPr>
        <w:t>platforms. (</w:t>
      </w:r>
      <w:r w:rsidRPr="0023308E">
        <w:rPr>
          <w:rFonts w:ascii="Arial" w:hAnsi="Arial" w:cs="Arial"/>
        </w:rPr>
        <w:t>SCC UK</w:t>
      </w:r>
      <w:r w:rsidR="00A050FC" w:rsidRPr="0023308E">
        <w:rPr>
          <w:rFonts w:ascii="Arial" w:hAnsi="Arial" w:cs="Arial"/>
        </w:rPr>
        <w:t>,</w:t>
      </w:r>
      <w:r w:rsidRPr="0023308E">
        <w:rPr>
          <w:rFonts w:ascii="Arial" w:hAnsi="Arial" w:cs="Arial"/>
        </w:rPr>
        <w:t xml:space="preserve"> 2024)</w:t>
      </w:r>
      <w:r w:rsidRPr="0023308E">
        <w:rPr>
          <w:rFonts w:ascii="Arial" w:hAnsi="Arial" w:cs="Arial"/>
          <w:i/>
          <w:iCs/>
        </w:rPr>
        <w:t xml:space="preserve"> </w:t>
      </w:r>
    </w:p>
    <w:p w14:paraId="59E065D0" w14:textId="77777777" w:rsidR="00D25F73" w:rsidRPr="0023308E" w:rsidRDefault="00D25F73" w:rsidP="0005225A">
      <w:pPr>
        <w:spacing w:before="100" w:beforeAutospacing="1" w:after="100" w:afterAutospacing="1"/>
        <w:ind w:right="0"/>
        <w:jc w:val="both"/>
        <w:rPr>
          <w:rFonts w:ascii="Arial" w:hAnsi="Arial" w:cs="Arial"/>
          <w:b/>
          <w:bCs/>
        </w:rPr>
      </w:pPr>
      <w:r w:rsidRPr="0023308E">
        <w:rPr>
          <w:rFonts w:ascii="Arial" w:hAnsi="Arial" w:cs="Arial"/>
          <w:b/>
          <w:bCs/>
        </w:rPr>
        <w:t>3. Growth in AI and Technology Adoption Across UK Firms</w:t>
      </w:r>
    </w:p>
    <w:p w14:paraId="10AECA30"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The Office for National Statistics (ONS) reports that AI was adopted by 9% of UK firms in 2023, while cloud</w:t>
      </w:r>
      <w:r w:rsidRPr="0023308E">
        <w:rPr>
          <w:rFonts w:ascii="Arial" w:hAnsi="Arial" w:cs="Arial"/>
        </w:rPr>
        <w:noBreakHyphen/>
        <w:t>based computing systems were adopted by 69% (ONS, 2025). Firms with stronger management practices were significantly more likely to adopt advanced technologies, suggesting continued digital transformation across the UK economy.</w:t>
      </w:r>
    </w:p>
    <w:p w14:paraId="3E2201E1" w14:textId="65964929"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This trend supports Bytes’ core business in cloud licensing, digital workplace solutions, and AI</w:t>
      </w:r>
      <w:r w:rsidRPr="0023308E">
        <w:rPr>
          <w:rFonts w:ascii="Arial" w:hAnsi="Arial" w:cs="Arial"/>
        </w:rPr>
        <w:noBreakHyphen/>
        <w:t>enabled productivity tools.</w:t>
      </w:r>
      <w:r w:rsidR="00A050FC" w:rsidRPr="0023308E">
        <w:rPr>
          <w:rFonts w:ascii="Arial" w:hAnsi="Arial" w:cs="Arial"/>
        </w:rPr>
        <w:t xml:space="preserve"> (</w:t>
      </w:r>
      <w:r w:rsidRPr="0023308E">
        <w:rPr>
          <w:rFonts w:ascii="Arial" w:hAnsi="Arial" w:cs="Arial"/>
        </w:rPr>
        <w:t>ONS</w:t>
      </w:r>
      <w:r w:rsidR="00A050FC" w:rsidRPr="0023308E">
        <w:rPr>
          <w:rFonts w:ascii="Arial" w:hAnsi="Arial" w:cs="Arial"/>
        </w:rPr>
        <w:t>,</w:t>
      </w:r>
      <w:r w:rsidRPr="0023308E">
        <w:rPr>
          <w:rFonts w:ascii="Arial" w:hAnsi="Arial" w:cs="Arial"/>
        </w:rPr>
        <w:t>2025</w:t>
      </w:r>
      <w:r w:rsidRPr="0023308E">
        <w:rPr>
          <w:rFonts w:ascii="Arial" w:hAnsi="Arial" w:cs="Arial"/>
          <w:i/>
          <w:iCs/>
        </w:rPr>
        <w:t xml:space="preserve">) </w:t>
      </w:r>
    </w:p>
    <w:p w14:paraId="39AEF925" w14:textId="77777777" w:rsidR="00D25F73" w:rsidRPr="0023308E" w:rsidRDefault="00D25F73" w:rsidP="0005225A">
      <w:pPr>
        <w:spacing w:before="100" w:beforeAutospacing="1" w:after="100" w:afterAutospacing="1"/>
        <w:ind w:right="0"/>
        <w:jc w:val="both"/>
        <w:rPr>
          <w:rFonts w:ascii="Arial" w:hAnsi="Arial" w:cs="Arial"/>
          <w:b/>
          <w:bCs/>
        </w:rPr>
      </w:pPr>
      <w:r w:rsidRPr="0023308E">
        <w:rPr>
          <w:rFonts w:ascii="Arial" w:hAnsi="Arial" w:cs="Arial"/>
          <w:b/>
          <w:bCs/>
        </w:rPr>
        <w:t>4. Increasing Complexity and Specialisation in Software and AI Security</w:t>
      </w:r>
    </w:p>
    <w:p w14:paraId="0898C335"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A 2025 UK government analysis identifies 66 firms specialising in AI cybersecurity and 960 firms providing software security services, reflecting the rapid emergence of specialised security needs (DSIT, 2025). These include application security, DevSecOps, and AI</w:t>
      </w:r>
      <w:r w:rsidRPr="0023308E">
        <w:rPr>
          <w:rFonts w:ascii="Arial" w:hAnsi="Arial" w:cs="Arial"/>
        </w:rPr>
        <w:noBreakHyphen/>
        <w:t>system protection.</w:t>
      </w:r>
    </w:p>
    <w:p w14:paraId="05FFB116" w14:textId="390D4B80"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As organisations adopt more AI</w:t>
      </w:r>
      <w:r w:rsidRPr="0023308E">
        <w:rPr>
          <w:rFonts w:ascii="Arial" w:hAnsi="Arial" w:cs="Arial"/>
        </w:rPr>
        <w:noBreakHyphen/>
        <w:t>driven tools, the need for secure software environments grows—an area where Bytes’ vendor</w:t>
      </w:r>
      <w:r w:rsidRPr="0023308E">
        <w:rPr>
          <w:rFonts w:ascii="Arial" w:hAnsi="Arial" w:cs="Arial"/>
        </w:rPr>
        <w:noBreakHyphen/>
        <w:t>aligned security offerings are well positioned.</w:t>
      </w:r>
      <w:r w:rsidR="00A050FC" w:rsidRPr="0023308E">
        <w:rPr>
          <w:rFonts w:ascii="Arial" w:hAnsi="Arial" w:cs="Arial"/>
        </w:rPr>
        <w:t xml:space="preserve"> </w:t>
      </w:r>
    </w:p>
    <w:p w14:paraId="3D39408E" w14:textId="77777777" w:rsidR="00D25F73" w:rsidRPr="0023308E" w:rsidRDefault="00D25F73" w:rsidP="0005225A">
      <w:pPr>
        <w:spacing w:before="100" w:beforeAutospacing="1" w:after="100" w:afterAutospacing="1"/>
        <w:ind w:right="0"/>
        <w:jc w:val="both"/>
        <w:rPr>
          <w:rFonts w:ascii="Arial" w:hAnsi="Arial" w:cs="Arial"/>
          <w:b/>
          <w:bCs/>
        </w:rPr>
      </w:pPr>
      <w:r w:rsidRPr="0023308E">
        <w:rPr>
          <w:rFonts w:ascii="Arial" w:hAnsi="Arial" w:cs="Arial"/>
          <w:b/>
          <w:bCs/>
        </w:rPr>
        <w:t>5. Rising Adoption of AI</w:t>
      </w:r>
      <w:r w:rsidRPr="0023308E">
        <w:rPr>
          <w:rFonts w:ascii="Arial" w:hAnsi="Arial" w:cs="Arial"/>
          <w:b/>
          <w:bCs/>
        </w:rPr>
        <w:noBreakHyphen/>
        <w:t>Driven Cybersecurity Tools Among UK Businesses</w:t>
      </w:r>
    </w:p>
    <w:p w14:paraId="586E5DD4"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A 2025 report highlights that 48% of UK businesses now use AI</w:t>
      </w:r>
      <w:r w:rsidRPr="0023308E">
        <w:rPr>
          <w:rFonts w:ascii="Arial" w:hAnsi="Arial" w:cs="Arial"/>
        </w:rPr>
        <w:noBreakHyphen/>
        <w:t>driven cybersecurity solutions, reflecting a major shift toward automated threat detection and response (Fortray, 2025). Government initiatives, including NCSC partnerships, further accelerate adoption.</w:t>
      </w:r>
    </w:p>
    <w:p w14:paraId="668BA9B4" w14:textId="389E590F"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lastRenderedPageBreak/>
        <w:t>This trend increases demand for integrated AI</w:t>
      </w:r>
      <w:r w:rsidRPr="0023308E">
        <w:rPr>
          <w:rFonts w:ascii="Arial" w:hAnsi="Arial" w:cs="Arial"/>
        </w:rPr>
        <w:noBreakHyphen/>
        <w:t>security stacks—an area where Bytes’ partnerships with Microsoft Security and other vendors provide competitive advantage.</w:t>
      </w:r>
    </w:p>
    <w:p w14:paraId="16FA4100" w14:textId="77777777" w:rsidR="00D25F73" w:rsidRPr="0023308E" w:rsidRDefault="00D25F73" w:rsidP="0005225A">
      <w:pPr>
        <w:spacing w:before="100" w:beforeAutospacing="1" w:after="100" w:afterAutospacing="1"/>
        <w:ind w:right="0"/>
        <w:jc w:val="both"/>
        <w:rPr>
          <w:rFonts w:ascii="Arial" w:hAnsi="Arial" w:cs="Arial"/>
          <w:b/>
          <w:bCs/>
        </w:rPr>
      </w:pPr>
      <w:r w:rsidRPr="0023308E">
        <w:rPr>
          <w:rFonts w:ascii="Arial" w:hAnsi="Arial" w:cs="Arial"/>
          <w:b/>
          <w:bCs/>
        </w:rPr>
        <w:t>Synthesis: Implications for Bytes Technology Group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8"/>
        <w:gridCol w:w="3096"/>
        <w:gridCol w:w="3832"/>
      </w:tblGrid>
      <w:tr w:rsidR="00D25F73" w:rsidRPr="0023308E" w14:paraId="439E620A" w14:textId="77777777">
        <w:trPr>
          <w:tblHeader/>
          <w:tblCellSpacing w:w="15" w:type="dxa"/>
        </w:trPr>
        <w:tc>
          <w:tcPr>
            <w:tcW w:w="0" w:type="auto"/>
            <w:vAlign w:val="center"/>
            <w:hideMark/>
          </w:tcPr>
          <w:p w14:paraId="199C51FA" w14:textId="77777777" w:rsidR="00D25F73" w:rsidRPr="0023308E" w:rsidRDefault="00D25F73" w:rsidP="0005225A">
            <w:pPr>
              <w:spacing w:before="100" w:beforeAutospacing="1" w:after="100" w:afterAutospacing="1"/>
              <w:ind w:right="0"/>
              <w:jc w:val="both"/>
              <w:rPr>
                <w:rFonts w:ascii="Arial" w:hAnsi="Arial" w:cs="Arial"/>
                <w:b/>
                <w:bCs/>
              </w:rPr>
            </w:pPr>
            <w:r w:rsidRPr="0023308E">
              <w:rPr>
                <w:rFonts w:ascii="Arial" w:hAnsi="Arial" w:cs="Arial"/>
                <w:b/>
                <w:bCs/>
              </w:rPr>
              <w:t>Trend</w:t>
            </w:r>
          </w:p>
        </w:tc>
        <w:tc>
          <w:tcPr>
            <w:tcW w:w="0" w:type="auto"/>
            <w:vAlign w:val="center"/>
            <w:hideMark/>
          </w:tcPr>
          <w:p w14:paraId="1D01A768" w14:textId="77777777" w:rsidR="00D25F73" w:rsidRPr="0023308E" w:rsidRDefault="00D25F73" w:rsidP="0005225A">
            <w:pPr>
              <w:spacing w:before="100" w:beforeAutospacing="1" w:after="100" w:afterAutospacing="1"/>
              <w:ind w:right="0"/>
              <w:jc w:val="both"/>
              <w:rPr>
                <w:rFonts w:ascii="Arial" w:hAnsi="Arial" w:cs="Arial"/>
                <w:b/>
                <w:bCs/>
              </w:rPr>
            </w:pPr>
            <w:r w:rsidRPr="0023308E">
              <w:rPr>
                <w:rFonts w:ascii="Arial" w:hAnsi="Arial" w:cs="Arial"/>
                <w:b/>
                <w:bCs/>
              </w:rPr>
              <w:t>Evidence</w:t>
            </w:r>
          </w:p>
        </w:tc>
        <w:tc>
          <w:tcPr>
            <w:tcW w:w="0" w:type="auto"/>
            <w:vAlign w:val="center"/>
            <w:hideMark/>
          </w:tcPr>
          <w:p w14:paraId="63801479" w14:textId="77777777" w:rsidR="00D25F73" w:rsidRPr="0023308E" w:rsidRDefault="00D25F73" w:rsidP="0005225A">
            <w:pPr>
              <w:spacing w:before="100" w:beforeAutospacing="1" w:after="100" w:afterAutospacing="1"/>
              <w:ind w:right="0"/>
              <w:jc w:val="both"/>
              <w:rPr>
                <w:rFonts w:ascii="Arial" w:hAnsi="Arial" w:cs="Arial"/>
                <w:b/>
                <w:bCs/>
              </w:rPr>
            </w:pPr>
            <w:r w:rsidRPr="0023308E">
              <w:rPr>
                <w:rFonts w:ascii="Arial" w:hAnsi="Arial" w:cs="Arial"/>
                <w:b/>
                <w:bCs/>
              </w:rPr>
              <w:t>Strategic Impact on Bytes</w:t>
            </w:r>
          </w:p>
        </w:tc>
      </w:tr>
      <w:tr w:rsidR="00D25F73" w:rsidRPr="0023308E" w14:paraId="54D1EFE0" w14:textId="77777777">
        <w:trPr>
          <w:tblCellSpacing w:w="15" w:type="dxa"/>
        </w:trPr>
        <w:tc>
          <w:tcPr>
            <w:tcW w:w="0" w:type="auto"/>
            <w:vAlign w:val="center"/>
            <w:hideMark/>
          </w:tcPr>
          <w:p w14:paraId="2E23EBAE"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Cybersecurity sector growth</w:t>
            </w:r>
          </w:p>
        </w:tc>
        <w:tc>
          <w:tcPr>
            <w:tcW w:w="0" w:type="auto"/>
            <w:vAlign w:val="center"/>
            <w:hideMark/>
          </w:tcPr>
          <w:p w14:paraId="33154814"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£11.86bn revenue; 13% YoY growth</w:t>
            </w:r>
          </w:p>
        </w:tc>
        <w:tc>
          <w:tcPr>
            <w:tcW w:w="0" w:type="auto"/>
            <w:vAlign w:val="center"/>
            <w:hideMark/>
          </w:tcPr>
          <w:p w14:paraId="527B073F"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Expands demand for Bytes’ security licensing and managed services</w:t>
            </w:r>
          </w:p>
        </w:tc>
      </w:tr>
      <w:tr w:rsidR="00D25F73" w:rsidRPr="0023308E" w14:paraId="5A273D54" w14:textId="77777777">
        <w:trPr>
          <w:tblCellSpacing w:w="15" w:type="dxa"/>
        </w:trPr>
        <w:tc>
          <w:tcPr>
            <w:tcW w:w="0" w:type="auto"/>
            <w:vAlign w:val="center"/>
            <w:hideMark/>
          </w:tcPr>
          <w:p w14:paraId="14EC451C"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AI in cybersecurity</w:t>
            </w:r>
          </w:p>
        </w:tc>
        <w:tc>
          <w:tcPr>
            <w:tcW w:w="0" w:type="auto"/>
            <w:vAlign w:val="center"/>
            <w:hideMark/>
          </w:tcPr>
          <w:p w14:paraId="472409C1"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69% of UK organisations see AI improving SOC automation</w:t>
            </w:r>
          </w:p>
        </w:tc>
        <w:tc>
          <w:tcPr>
            <w:tcW w:w="0" w:type="auto"/>
            <w:vAlign w:val="center"/>
            <w:hideMark/>
          </w:tcPr>
          <w:p w14:paraId="4C970EFF"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Drives adoption of AI</w:t>
            </w:r>
            <w:r w:rsidRPr="0023308E">
              <w:rPr>
                <w:rFonts w:ascii="Arial" w:hAnsi="Arial" w:cs="Arial"/>
              </w:rPr>
              <w:noBreakHyphen/>
              <w:t>enabled security tools Bytes resells</w:t>
            </w:r>
          </w:p>
        </w:tc>
      </w:tr>
      <w:tr w:rsidR="00D25F73" w:rsidRPr="0023308E" w14:paraId="5CA665EB" w14:textId="77777777">
        <w:trPr>
          <w:tblCellSpacing w:w="15" w:type="dxa"/>
        </w:trPr>
        <w:tc>
          <w:tcPr>
            <w:tcW w:w="0" w:type="auto"/>
            <w:vAlign w:val="center"/>
            <w:hideMark/>
          </w:tcPr>
          <w:p w14:paraId="2E68A08D"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AI &amp; cloud adoption in UK firms</w:t>
            </w:r>
          </w:p>
        </w:tc>
        <w:tc>
          <w:tcPr>
            <w:tcW w:w="0" w:type="auto"/>
            <w:vAlign w:val="center"/>
            <w:hideMark/>
          </w:tcPr>
          <w:p w14:paraId="7EE3FD50"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9% AI adoption; 69% cloud adoption</w:t>
            </w:r>
          </w:p>
        </w:tc>
        <w:tc>
          <w:tcPr>
            <w:tcW w:w="0" w:type="auto"/>
            <w:vAlign w:val="center"/>
            <w:hideMark/>
          </w:tcPr>
          <w:p w14:paraId="0B79D9D5"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Strengthens demand for cloud licensing, AI</w:t>
            </w:r>
            <w:r w:rsidRPr="0023308E">
              <w:rPr>
                <w:rFonts w:ascii="Arial" w:hAnsi="Arial" w:cs="Arial"/>
              </w:rPr>
              <w:noBreakHyphen/>
              <w:t>productivity tools, and consulting</w:t>
            </w:r>
          </w:p>
        </w:tc>
      </w:tr>
      <w:tr w:rsidR="00D25F73" w:rsidRPr="0023308E" w14:paraId="5CDC66BA" w14:textId="77777777">
        <w:trPr>
          <w:tblCellSpacing w:w="15" w:type="dxa"/>
        </w:trPr>
        <w:tc>
          <w:tcPr>
            <w:tcW w:w="0" w:type="auto"/>
            <w:vAlign w:val="center"/>
            <w:hideMark/>
          </w:tcPr>
          <w:p w14:paraId="76A0C248"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Specialised software/AI security</w:t>
            </w:r>
          </w:p>
        </w:tc>
        <w:tc>
          <w:tcPr>
            <w:tcW w:w="0" w:type="auto"/>
            <w:vAlign w:val="center"/>
            <w:hideMark/>
          </w:tcPr>
          <w:p w14:paraId="104A432A"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960 software security firms; 66 AI</w:t>
            </w:r>
            <w:r w:rsidRPr="0023308E">
              <w:rPr>
                <w:rFonts w:ascii="Arial" w:hAnsi="Arial" w:cs="Arial"/>
              </w:rPr>
              <w:noBreakHyphen/>
              <w:t>security specialists</w:t>
            </w:r>
          </w:p>
        </w:tc>
        <w:tc>
          <w:tcPr>
            <w:tcW w:w="0" w:type="auto"/>
            <w:vAlign w:val="center"/>
            <w:hideMark/>
          </w:tcPr>
          <w:p w14:paraId="0BFF513E"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Increases need for integrated, vendor</w:t>
            </w:r>
            <w:r w:rsidRPr="0023308E">
              <w:rPr>
                <w:rFonts w:ascii="Arial" w:hAnsi="Arial" w:cs="Arial"/>
              </w:rPr>
              <w:noBreakHyphen/>
              <w:t>aligned security solutions</w:t>
            </w:r>
          </w:p>
        </w:tc>
      </w:tr>
      <w:tr w:rsidR="00D25F73" w:rsidRPr="0023308E" w14:paraId="0584B5AB" w14:textId="77777777">
        <w:trPr>
          <w:tblCellSpacing w:w="15" w:type="dxa"/>
        </w:trPr>
        <w:tc>
          <w:tcPr>
            <w:tcW w:w="0" w:type="auto"/>
            <w:vAlign w:val="center"/>
            <w:hideMark/>
          </w:tcPr>
          <w:p w14:paraId="0E5DD80C"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AI</w:t>
            </w:r>
            <w:r w:rsidRPr="0023308E">
              <w:rPr>
                <w:rFonts w:ascii="Arial" w:hAnsi="Arial" w:cs="Arial"/>
              </w:rPr>
              <w:noBreakHyphen/>
              <w:t>driven cybersecurity uptake</w:t>
            </w:r>
          </w:p>
        </w:tc>
        <w:tc>
          <w:tcPr>
            <w:tcW w:w="0" w:type="auto"/>
            <w:vAlign w:val="center"/>
            <w:hideMark/>
          </w:tcPr>
          <w:p w14:paraId="4135FC1B"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48% of UK firms using AI</w:t>
            </w:r>
            <w:r w:rsidRPr="0023308E">
              <w:rPr>
                <w:rFonts w:ascii="Arial" w:hAnsi="Arial" w:cs="Arial"/>
              </w:rPr>
              <w:noBreakHyphen/>
              <w:t>security tools</w:t>
            </w:r>
          </w:p>
        </w:tc>
        <w:tc>
          <w:tcPr>
            <w:tcW w:w="0" w:type="auto"/>
            <w:vAlign w:val="center"/>
            <w:hideMark/>
          </w:tcPr>
          <w:p w14:paraId="4F15770B" w14:textId="77777777" w:rsidR="00D25F73" w:rsidRPr="0023308E" w:rsidRDefault="00D25F73" w:rsidP="0005225A">
            <w:pPr>
              <w:spacing w:before="100" w:beforeAutospacing="1" w:after="100" w:afterAutospacing="1"/>
              <w:ind w:right="0"/>
              <w:jc w:val="both"/>
              <w:rPr>
                <w:rFonts w:ascii="Arial" w:hAnsi="Arial" w:cs="Arial"/>
              </w:rPr>
            </w:pPr>
            <w:r w:rsidRPr="0023308E">
              <w:rPr>
                <w:rFonts w:ascii="Arial" w:hAnsi="Arial" w:cs="Arial"/>
              </w:rPr>
              <w:t>Supports Bytes’ role as a security integrator and Microsoft partner</w:t>
            </w:r>
          </w:p>
        </w:tc>
      </w:tr>
    </w:tbl>
    <w:p w14:paraId="085B0011" w14:textId="77777777" w:rsidR="00D25F73" w:rsidRPr="0023308E" w:rsidRDefault="00D25F73" w:rsidP="0005225A">
      <w:pPr>
        <w:spacing w:before="100" w:beforeAutospacing="1" w:after="100" w:afterAutospacing="1"/>
        <w:ind w:right="0"/>
        <w:jc w:val="both"/>
        <w:rPr>
          <w:rFonts w:ascii="Arial" w:hAnsi="Arial" w:cs="Arial"/>
        </w:rPr>
      </w:pPr>
    </w:p>
    <w:p w14:paraId="128A068F" w14:textId="77777777" w:rsidR="00D369C1" w:rsidRPr="00AC19FC" w:rsidRDefault="00D369C1" w:rsidP="0005225A">
      <w:pPr>
        <w:spacing w:before="100" w:beforeAutospacing="1" w:after="100" w:afterAutospacing="1"/>
        <w:ind w:right="0"/>
        <w:jc w:val="both"/>
        <w:rPr>
          <w:rFonts w:ascii="Arial" w:hAnsi="Arial" w:cs="Arial"/>
          <w:sz w:val="28"/>
          <w:szCs w:val="28"/>
        </w:rPr>
      </w:pPr>
    </w:p>
    <w:p w14:paraId="0FB8BC56" w14:textId="77777777" w:rsidR="00D25F73" w:rsidRDefault="00D25F73" w:rsidP="0005225A">
      <w:pPr>
        <w:spacing w:before="100" w:beforeAutospacing="1" w:after="100" w:afterAutospacing="1"/>
        <w:ind w:right="0"/>
        <w:jc w:val="both"/>
        <w:rPr>
          <w:rFonts w:ascii="Arial" w:hAnsi="Arial" w:cs="Arial"/>
          <w:b/>
          <w:bCs/>
          <w:sz w:val="28"/>
          <w:szCs w:val="28"/>
          <w:u w:val="single"/>
        </w:rPr>
      </w:pPr>
    </w:p>
    <w:p w14:paraId="3E45C400" w14:textId="27C2FAEC" w:rsidR="00464171" w:rsidRPr="0005225A" w:rsidRDefault="00156B44" w:rsidP="0005225A">
      <w:pPr>
        <w:spacing w:before="100" w:beforeAutospacing="1" w:after="100" w:afterAutospacing="1"/>
        <w:ind w:right="0"/>
        <w:jc w:val="both"/>
        <w:rPr>
          <w:rFonts w:ascii="Arial" w:hAnsi="Arial" w:cs="Arial"/>
          <w:b/>
          <w:bCs/>
          <w:sz w:val="28"/>
          <w:szCs w:val="28"/>
          <w:u w:val="single"/>
        </w:rPr>
      </w:pPr>
      <w:r w:rsidRPr="0005225A">
        <w:rPr>
          <w:rFonts w:ascii="Arial" w:hAnsi="Arial" w:cs="Arial"/>
          <w:b/>
          <w:bCs/>
          <w:sz w:val="28"/>
          <w:szCs w:val="28"/>
          <w:u w:val="single"/>
        </w:rPr>
        <w:t xml:space="preserve">CUSTOMER JOUNEY MAP: </w:t>
      </w:r>
    </w:p>
    <w:p w14:paraId="51824037" w14:textId="3E50E5D7" w:rsidR="00156B44" w:rsidRPr="0023308E" w:rsidRDefault="00156B44" w:rsidP="0005225A">
      <w:pPr>
        <w:spacing w:before="100" w:beforeAutospacing="1" w:after="100" w:afterAutospacing="1"/>
        <w:ind w:right="0"/>
        <w:jc w:val="both"/>
        <w:rPr>
          <w:rFonts w:ascii="Arial" w:hAnsi="Arial" w:cs="Arial"/>
        </w:rPr>
      </w:pPr>
      <w:r w:rsidRPr="0023308E">
        <w:rPr>
          <w:rFonts w:ascii="Arial" w:hAnsi="Arial" w:cs="Arial"/>
        </w:rPr>
        <w:t xml:space="preserve">Every business has </w:t>
      </w:r>
      <w:r w:rsidR="00F252CC" w:rsidRPr="0023308E">
        <w:rPr>
          <w:rFonts w:ascii="Arial" w:hAnsi="Arial" w:cs="Arial"/>
        </w:rPr>
        <w:t xml:space="preserve">different customer journey map. </w:t>
      </w:r>
      <w:r w:rsidR="00453402" w:rsidRPr="0023308E">
        <w:rPr>
          <w:rFonts w:ascii="Arial" w:hAnsi="Arial" w:cs="Arial"/>
        </w:rPr>
        <w:t xml:space="preserve">This customer journey map </w:t>
      </w:r>
      <w:r w:rsidR="00EF4A28" w:rsidRPr="0023308E">
        <w:rPr>
          <w:rFonts w:ascii="Arial" w:hAnsi="Arial" w:cs="Arial"/>
        </w:rPr>
        <w:t xml:space="preserve">will show the status of the company. It is called as </w:t>
      </w:r>
      <w:r w:rsidR="00875CC8" w:rsidRPr="0023308E">
        <w:rPr>
          <w:rFonts w:ascii="Arial" w:hAnsi="Arial" w:cs="Arial"/>
        </w:rPr>
        <w:t xml:space="preserve">visual story or how a consumer interacts with </w:t>
      </w:r>
      <w:r w:rsidR="00470626" w:rsidRPr="0023308E">
        <w:rPr>
          <w:rFonts w:ascii="Arial" w:hAnsi="Arial" w:cs="Arial"/>
        </w:rPr>
        <w:t>a brand</w:t>
      </w:r>
      <w:r w:rsidR="00875CC8" w:rsidRPr="0023308E">
        <w:rPr>
          <w:rFonts w:ascii="Arial" w:hAnsi="Arial" w:cs="Arial"/>
        </w:rPr>
        <w:t xml:space="preserve"> from start to finish. </w:t>
      </w:r>
      <w:r w:rsidR="00484EA4" w:rsidRPr="0023308E">
        <w:rPr>
          <w:rFonts w:ascii="Arial" w:hAnsi="Arial" w:cs="Arial"/>
        </w:rPr>
        <w:t xml:space="preserve">It shows every step they take from first discovering the product </w:t>
      </w:r>
      <w:r w:rsidR="00E53F0D" w:rsidRPr="0023308E">
        <w:rPr>
          <w:rFonts w:ascii="Arial" w:hAnsi="Arial" w:cs="Arial"/>
        </w:rPr>
        <w:t xml:space="preserve">to making a purchase and beyond – along with what they think, feel and experience </w:t>
      </w:r>
      <w:r w:rsidR="009B1339" w:rsidRPr="0023308E">
        <w:rPr>
          <w:rFonts w:ascii="Arial" w:hAnsi="Arial" w:cs="Arial"/>
        </w:rPr>
        <w:t xml:space="preserve">along the way. Instead of focusing on what business does, a journey map looks at the experience through the customer’s eyes. It highlights key stages </w:t>
      </w:r>
      <w:r w:rsidR="00F96D8D" w:rsidRPr="0023308E">
        <w:rPr>
          <w:rFonts w:ascii="Arial" w:hAnsi="Arial" w:cs="Arial"/>
        </w:rPr>
        <w:t>like awareness, consideration, purchase and retention as well as the touch points and cha</w:t>
      </w:r>
      <w:r w:rsidR="0059033A" w:rsidRPr="0023308E">
        <w:rPr>
          <w:rFonts w:ascii="Arial" w:hAnsi="Arial" w:cs="Arial"/>
        </w:rPr>
        <w:t xml:space="preserve">nnels where those interactions happen such as websites, advertisements, emails </w:t>
      </w:r>
      <w:r w:rsidR="00182F95" w:rsidRPr="0023308E">
        <w:rPr>
          <w:rFonts w:ascii="Arial" w:hAnsi="Arial" w:cs="Arial"/>
        </w:rPr>
        <w:t xml:space="preserve">or customer support. </w:t>
      </w:r>
      <w:r w:rsidR="00470626" w:rsidRPr="0023308E">
        <w:rPr>
          <w:rFonts w:ascii="Arial" w:hAnsi="Arial" w:cs="Arial"/>
        </w:rPr>
        <w:t>There are so many benefits to cr</w:t>
      </w:r>
      <w:r w:rsidR="007758EA" w:rsidRPr="0023308E">
        <w:rPr>
          <w:rFonts w:ascii="Arial" w:hAnsi="Arial" w:cs="Arial"/>
        </w:rPr>
        <w:t xml:space="preserve">eate a customer journey map. </w:t>
      </w:r>
    </w:p>
    <w:p w14:paraId="606AEBE6" w14:textId="628709FC" w:rsidR="00502947" w:rsidRPr="0023308E" w:rsidRDefault="00DC17EA" w:rsidP="0005225A">
      <w:pPr>
        <w:pStyle w:val="ListParagraph"/>
        <w:numPr>
          <w:ilvl w:val="0"/>
          <w:numId w:val="14"/>
        </w:numPr>
        <w:spacing w:before="100" w:beforeAutospacing="1" w:after="100" w:afterAutospacing="1"/>
        <w:ind w:right="0"/>
        <w:jc w:val="both"/>
        <w:rPr>
          <w:rFonts w:ascii="Arial" w:hAnsi="Arial" w:cs="Arial"/>
        </w:rPr>
      </w:pPr>
      <w:r w:rsidRPr="0023308E">
        <w:rPr>
          <w:rFonts w:ascii="Arial" w:hAnsi="Arial" w:cs="Arial"/>
        </w:rPr>
        <w:t xml:space="preserve">Customer journey map give a clear picture of what a customer </w:t>
      </w:r>
      <w:r w:rsidR="006C3252" w:rsidRPr="0023308E">
        <w:rPr>
          <w:rFonts w:ascii="Arial" w:hAnsi="Arial" w:cs="Arial"/>
        </w:rPr>
        <w:t>feel, think and do each stage and empathize with their needs</w:t>
      </w:r>
      <w:r w:rsidR="00D429BE" w:rsidRPr="0023308E">
        <w:rPr>
          <w:rFonts w:ascii="Arial" w:hAnsi="Arial" w:cs="Arial"/>
        </w:rPr>
        <w:t xml:space="preserve">, goals and frustrations. Company will understand the customer in better </w:t>
      </w:r>
      <w:r w:rsidR="00646FE8" w:rsidRPr="0023308E">
        <w:rPr>
          <w:rFonts w:ascii="Arial" w:hAnsi="Arial" w:cs="Arial"/>
        </w:rPr>
        <w:t xml:space="preserve">ways. </w:t>
      </w:r>
    </w:p>
    <w:p w14:paraId="462CADFB" w14:textId="05293184" w:rsidR="00646FE8" w:rsidRPr="0023308E" w:rsidRDefault="00646FE8" w:rsidP="0005225A">
      <w:pPr>
        <w:pStyle w:val="ListParagraph"/>
        <w:numPr>
          <w:ilvl w:val="0"/>
          <w:numId w:val="14"/>
        </w:numPr>
        <w:spacing w:before="100" w:beforeAutospacing="1" w:after="100" w:afterAutospacing="1"/>
        <w:ind w:right="0"/>
        <w:jc w:val="both"/>
        <w:rPr>
          <w:rFonts w:ascii="Arial" w:hAnsi="Arial" w:cs="Arial"/>
        </w:rPr>
      </w:pPr>
      <w:r w:rsidRPr="0023308E">
        <w:rPr>
          <w:rFonts w:ascii="Arial" w:hAnsi="Arial" w:cs="Arial"/>
        </w:rPr>
        <w:t xml:space="preserve">It will identify the pain points </w:t>
      </w:r>
      <w:r w:rsidR="006D3E37" w:rsidRPr="0023308E">
        <w:rPr>
          <w:rFonts w:ascii="Arial" w:hAnsi="Arial" w:cs="Arial"/>
        </w:rPr>
        <w:t>and gaps. If you identify the p</w:t>
      </w:r>
      <w:r w:rsidR="00700D22" w:rsidRPr="0023308E">
        <w:rPr>
          <w:rFonts w:ascii="Arial" w:hAnsi="Arial" w:cs="Arial"/>
        </w:rPr>
        <w:t xml:space="preserve">ain points you can fix it before it become as big issue. </w:t>
      </w:r>
      <w:r w:rsidR="00D66F3A" w:rsidRPr="0023308E">
        <w:rPr>
          <w:rFonts w:ascii="Arial" w:hAnsi="Arial" w:cs="Arial"/>
        </w:rPr>
        <w:t xml:space="preserve">When you fix your </w:t>
      </w:r>
      <w:r w:rsidR="000D03A2" w:rsidRPr="0023308E">
        <w:rPr>
          <w:rFonts w:ascii="Arial" w:hAnsi="Arial" w:cs="Arial"/>
        </w:rPr>
        <w:t>issues,</w:t>
      </w:r>
      <w:r w:rsidR="00D66F3A" w:rsidRPr="0023308E">
        <w:rPr>
          <w:rFonts w:ascii="Arial" w:hAnsi="Arial" w:cs="Arial"/>
        </w:rPr>
        <w:t xml:space="preserve"> it will help you to hold your customers</w:t>
      </w:r>
      <w:r w:rsidR="000D03A2" w:rsidRPr="0023308E">
        <w:rPr>
          <w:rFonts w:ascii="Arial" w:hAnsi="Arial" w:cs="Arial"/>
        </w:rPr>
        <w:t xml:space="preserve"> in decently. </w:t>
      </w:r>
    </w:p>
    <w:p w14:paraId="63871E1D" w14:textId="3058001B" w:rsidR="000D03A2" w:rsidRPr="0023308E" w:rsidRDefault="00CB0CC3" w:rsidP="0005225A">
      <w:pPr>
        <w:pStyle w:val="ListParagraph"/>
        <w:numPr>
          <w:ilvl w:val="0"/>
          <w:numId w:val="14"/>
        </w:numPr>
        <w:spacing w:before="100" w:beforeAutospacing="1" w:after="100" w:afterAutospacing="1"/>
        <w:ind w:right="0"/>
        <w:jc w:val="both"/>
        <w:rPr>
          <w:rFonts w:ascii="Arial" w:hAnsi="Arial" w:cs="Arial"/>
        </w:rPr>
      </w:pPr>
      <w:r w:rsidRPr="0023308E">
        <w:rPr>
          <w:rFonts w:ascii="Arial" w:hAnsi="Arial" w:cs="Arial"/>
        </w:rPr>
        <w:t>Customer journey map brings all departments together to solve a problem in</w:t>
      </w:r>
      <w:r w:rsidR="003B7ED8" w:rsidRPr="0023308E">
        <w:rPr>
          <w:rFonts w:ascii="Arial" w:hAnsi="Arial" w:cs="Arial"/>
        </w:rPr>
        <w:t xml:space="preserve"> a productive way. </w:t>
      </w:r>
    </w:p>
    <w:p w14:paraId="2A636C8C" w14:textId="40B373AB" w:rsidR="007A4EDC" w:rsidRPr="0023308E" w:rsidRDefault="007A4EDC" w:rsidP="0005225A">
      <w:pPr>
        <w:pStyle w:val="ListParagraph"/>
        <w:numPr>
          <w:ilvl w:val="0"/>
          <w:numId w:val="14"/>
        </w:numPr>
        <w:spacing w:before="100" w:beforeAutospacing="1" w:after="100" w:afterAutospacing="1"/>
        <w:ind w:right="0"/>
        <w:jc w:val="both"/>
        <w:rPr>
          <w:rFonts w:ascii="Arial" w:hAnsi="Arial" w:cs="Arial"/>
        </w:rPr>
      </w:pPr>
      <w:r w:rsidRPr="0023308E">
        <w:rPr>
          <w:rFonts w:ascii="Arial" w:hAnsi="Arial" w:cs="Arial"/>
        </w:rPr>
        <w:t>This customer journey map will enhance the customer</w:t>
      </w:r>
      <w:r w:rsidR="00037377" w:rsidRPr="0023308E">
        <w:rPr>
          <w:rFonts w:ascii="Arial" w:hAnsi="Arial" w:cs="Arial"/>
        </w:rPr>
        <w:t xml:space="preserve"> experience and improve the communication</w:t>
      </w:r>
      <w:r w:rsidR="00473BF9" w:rsidRPr="0023308E">
        <w:rPr>
          <w:rFonts w:ascii="Arial" w:hAnsi="Arial" w:cs="Arial"/>
        </w:rPr>
        <w:t xml:space="preserve">, processes and interactions, making every touch </w:t>
      </w:r>
      <w:r w:rsidR="00D52B66" w:rsidRPr="0023308E">
        <w:rPr>
          <w:rFonts w:ascii="Arial" w:hAnsi="Arial" w:cs="Arial"/>
        </w:rPr>
        <w:t>point</w:t>
      </w:r>
      <w:r w:rsidR="00473BF9" w:rsidRPr="0023308E">
        <w:rPr>
          <w:rFonts w:ascii="Arial" w:hAnsi="Arial" w:cs="Arial"/>
        </w:rPr>
        <w:t xml:space="preserve"> </w:t>
      </w:r>
      <w:r w:rsidR="0046643C" w:rsidRPr="0023308E">
        <w:rPr>
          <w:rFonts w:ascii="Arial" w:hAnsi="Arial" w:cs="Arial"/>
        </w:rPr>
        <w:t xml:space="preserve">will smoother and more enjoyable. </w:t>
      </w:r>
    </w:p>
    <w:p w14:paraId="041C9F0B" w14:textId="3806FFF0" w:rsidR="0046643C" w:rsidRPr="0023308E" w:rsidRDefault="0046643C" w:rsidP="0005225A">
      <w:pPr>
        <w:pStyle w:val="ListParagraph"/>
        <w:numPr>
          <w:ilvl w:val="0"/>
          <w:numId w:val="14"/>
        </w:numPr>
        <w:spacing w:before="100" w:beforeAutospacing="1" w:after="100" w:afterAutospacing="1"/>
        <w:ind w:right="0"/>
        <w:jc w:val="both"/>
        <w:rPr>
          <w:rFonts w:ascii="Arial" w:hAnsi="Arial" w:cs="Arial"/>
        </w:rPr>
      </w:pPr>
      <w:r w:rsidRPr="0023308E">
        <w:rPr>
          <w:rFonts w:ascii="Arial" w:hAnsi="Arial" w:cs="Arial"/>
        </w:rPr>
        <w:lastRenderedPageBreak/>
        <w:t xml:space="preserve">When a customer </w:t>
      </w:r>
      <w:r w:rsidR="0079259B" w:rsidRPr="0023308E">
        <w:rPr>
          <w:rFonts w:ascii="Arial" w:hAnsi="Arial" w:cs="Arial"/>
        </w:rPr>
        <w:t>feel satisfaction, it will help to drive the business growth</w:t>
      </w:r>
      <w:r w:rsidR="00561CCB" w:rsidRPr="0023308E">
        <w:rPr>
          <w:rFonts w:ascii="Arial" w:hAnsi="Arial" w:cs="Arial"/>
        </w:rPr>
        <w:t xml:space="preserve"> and make customers to purchases </w:t>
      </w:r>
      <w:r w:rsidR="00D52B66" w:rsidRPr="0023308E">
        <w:rPr>
          <w:rFonts w:ascii="Arial" w:hAnsi="Arial" w:cs="Arial"/>
        </w:rPr>
        <w:t>repeatedly</w:t>
      </w:r>
      <w:r w:rsidR="00167191" w:rsidRPr="0023308E">
        <w:rPr>
          <w:rFonts w:ascii="Arial" w:hAnsi="Arial" w:cs="Arial"/>
        </w:rPr>
        <w:t xml:space="preserve">, will recommend your brand verbally or social media, and it will contribute for a </w:t>
      </w:r>
      <w:r w:rsidR="0061605F" w:rsidRPr="0023308E">
        <w:rPr>
          <w:rFonts w:ascii="Arial" w:hAnsi="Arial" w:cs="Arial"/>
        </w:rPr>
        <w:t>long-term</w:t>
      </w:r>
      <w:r w:rsidR="00167191" w:rsidRPr="0023308E">
        <w:rPr>
          <w:rFonts w:ascii="Arial" w:hAnsi="Arial" w:cs="Arial"/>
        </w:rPr>
        <w:t xml:space="preserve"> success of a company. </w:t>
      </w:r>
    </w:p>
    <w:p w14:paraId="75FAF89F" w14:textId="28CA0944" w:rsidR="00116052" w:rsidRPr="0023308E" w:rsidRDefault="00116052" w:rsidP="0005225A">
      <w:pPr>
        <w:spacing w:before="100" w:beforeAutospacing="1" w:after="100" w:afterAutospacing="1"/>
        <w:ind w:left="360" w:right="0"/>
        <w:jc w:val="both"/>
        <w:rPr>
          <w:rFonts w:ascii="Arial" w:hAnsi="Arial" w:cs="Arial"/>
        </w:rPr>
      </w:pPr>
      <w:r w:rsidRPr="0023308E">
        <w:rPr>
          <w:rFonts w:ascii="Arial" w:hAnsi="Arial" w:cs="Arial"/>
        </w:rPr>
        <w:t>There are some kinds of customer journey map.</w:t>
      </w:r>
    </w:p>
    <w:p w14:paraId="7333EF16" w14:textId="113F9538" w:rsidR="00116052" w:rsidRPr="0023308E" w:rsidRDefault="00116052" w:rsidP="0005225A">
      <w:pPr>
        <w:pStyle w:val="ListParagraph"/>
        <w:numPr>
          <w:ilvl w:val="0"/>
          <w:numId w:val="16"/>
        </w:numPr>
        <w:spacing w:before="100" w:beforeAutospacing="1" w:after="100" w:afterAutospacing="1"/>
        <w:ind w:right="0"/>
        <w:jc w:val="both"/>
        <w:rPr>
          <w:rFonts w:ascii="Arial" w:hAnsi="Arial" w:cs="Arial"/>
        </w:rPr>
      </w:pPr>
      <w:r w:rsidRPr="0023308E">
        <w:rPr>
          <w:rFonts w:ascii="Arial" w:hAnsi="Arial" w:cs="Arial"/>
        </w:rPr>
        <w:t>Current customer journey map</w:t>
      </w:r>
      <w:r w:rsidR="00B52E83" w:rsidRPr="0023308E">
        <w:rPr>
          <w:rFonts w:ascii="Arial" w:hAnsi="Arial" w:cs="Arial"/>
        </w:rPr>
        <w:t xml:space="preserve">: It is a common type and capture </w:t>
      </w:r>
      <w:r w:rsidR="00BA411E" w:rsidRPr="0023308E">
        <w:rPr>
          <w:rFonts w:ascii="Arial" w:hAnsi="Arial" w:cs="Arial"/>
        </w:rPr>
        <w:t>how customers currently experience the brands and their actions, thoughts, emotions</w:t>
      </w:r>
      <w:r w:rsidR="009823E2" w:rsidRPr="0023308E">
        <w:rPr>
          <w:rFonts w:ascii="Arial" w:hAnsi="Arial" w:cs="Arial"/>
        </w:rPr>
        <w:t xml:space="preserve"> and pain points at every stage. </w:t>
      </w:r>
    </w:p>
    <w:p w14:paraId="3B717359" w14:textId="444B4815" w:rsidR="009823E2" w:rsidRPr="0023308E" w:rsidRDefault="006136CC" w:rsidP="0005225A">
      <w:pPr>
        <w:pStyle w:val="ListParagraph"/>
        <w:numPr>
          <w:ilvl w:val="0"/>
          <w:numId w:val="16"/>
        </w:numPr>
        <w:spacing w:before="100" w:beforeAutospacing="1" w:after="100" w:afterAutospacing="1"/>
        <w:ind w:right="0"/>
        <w:jc w:val="both"/>
        <w:rPr>
          <w:rFonts w:ascii="Arial" w:hAnsi="Arial" w:cs="Arial"/>
        </w:rPr>
      </w:pPr>
      <w:r w:rsidRPr="0023308E">
        <w:rPr>
          <w:rFonts w:ascii="Arial" w:hAnsi="Arial" w:cs="Arial"/>
        </w:rPr>
        <w:t xml:space="preserve">Future customer journey map (enhanced): </w:t>
      </w:r>
      <w:r w:rsidR="001D4FA3" w:rsidRPr="0023308E">
        <w:rPr>
          <w:rFonts w:ascii="Arial" w:hAnsi="Arial" w:cs="Arial"/>
        </w:rPr>
        <w:t xml:space="preserve">It focuses on how the journey should look once </w:t>
      </w:r>
      <w:r w:rsidR="003533BA" w:rsidRPr="0023308E">
        <w:rPr>
          <w:rFonts w:ascii="Arial" w:hAnsi="Arial" w:cs="Arial"/>
        </w:rPr>
        <w:t xml:space="preserve">company have made improvements or introduced new services. </w:t>
      </w:r>
      <w:r w:rsidR="00B716FE" w:rsidRPr="0023308E">
        <w:rPr>
          <w:rFonts w:ascii="Arial" w:hAnsi="Arial" w:cs="Arial"/>
        </w:rPr>
        <w:t xml:space="preserve">It is a </w:t>
      </w:r>
      <w:r w:rsidR="00821117" w:rsidRPr="0023308E">
        <w:rPr>
          <w:rFonts w:ascii="Arial" w:hAnsi="Arial" w:cs="Arial"/>
        </w:rPr>
        <w:t>long-term</w:t>
      </w:r>
      <w:r w:rsidR="00B716FE" w:rsidRPr="0023308E">
        <w:rPr>
          <w:rFonts w:ascii="Arial" w:hAnsi="Arial" w:cs="Arial"/>
        </w:rPr>
        <w:t xml:space="preserve"> strategy and great for teams to share </w:t>
      </w:r>
      <w:r w:rsidR="00821117" w:rsidRPr="0023308E">
        <w:rPr>
          <w:rFonts w:ascii="Arial" w:hAnsi="Arial" w:cs="Arial"/>
        </w:rPr>
        <w:t>their visions.</w:t>
      </w:r>
    </w:p>
    <w:p w14:paraId="67ACD6CB" w14:textId="7F997907" w:rsidR="00821117" w:rsidRPr="0023308E" w:rsidRDefault="00821117" w:rsidP="0005225A">
      <w:pPr>
        <w:pStyle w:val="ListParagraph"/>
        <w:numPr>
          <w:ilvl w:val="0"/>
          <w:numId w:val="16"/>
        </w:numPr>
        <w:spacing w:before="100" w:beforeAutospacing="1" w:after="100" w:afterAutospacing="1"/>
        <w:ind w:right="0"/>
        <w:jc w:val="both"/>
        <w:rPr>
          <w:rFonts w:ascii="Arial" w:hAnsi="Arial" w:cs="Arial"/>
        </w:rPr>
      </w:pPr>
      <w:r w:rsidRPr="0023308E">
        <w:rPr>
          <w:rFonts w:ascii="Arial" w:hAnsi="Arial" w:cs="Arial"/>
        </w:rPr>
        <w:t xml:space="preserve">Day in the life customer journey map: </w:t>
      </w:r>
      <w:r w:rsidR="006C512A" w:rsidRPr="0023308E">
        <w:rPr>
          <w:rFonts w:ascii="Arial" w:hAnsi="Arial" w:cs="Arial"/>
        </w:rPr>
        <w:t xml:space="preserve">This type of customer journey map </w:t>
      </w:r>
      <w:r w:rsidR="00585ED7" w:rsidRPr="0023308E">
        <w:rPr>
          <w:rFonts w:ascii="Arial" w:hAnsi="Arial" w:cs="Arial"/>
        </w:rPr>
        <w:t xml:space="preserve">looks beyond the product or service </w:t>
      </w:r>
      <w:r w:rsidR="0027029C" w:rsidRPr="0023308E">
        <w:rPr>
          <w:rFonts w:ascii="Arial" w:hAnsi="Arial" w:cs="Arial"/>
        </w:rPr>
        <w:t>and explores a customer overall daily experiences, challenges</w:t>
      </w:r>
      <w:r w:rsidR="00A12D25" w:rsidRPr="0023308E">
        <w:rPr>
          <w:rFonts w:ascii="Arial" w:hAnsi="Arial" w:cs="Arial"/>
        </w:rPr>
        <w:t xml:space="preserve"> and routines. </w:t>
      </w:r>
    </w:p>
    <w:p w14:paraId="4A6DA7B9" w14:textId="5EAE301D" w:rsidR="00A12D25" w:rsidRPr="0023308E" w:rsidRDefault="00F72C35" w:rsidP="0005225A">
      <w:pPr>
        <w:pStyle w:val="ListParagraph"/>
        <w:numPr>
          <w:ilvl w:val="0"/>
          <w:numId w:val="16"/>
        </w:numPr>
        <w:spacing w:before="100" w:beforeAutospacing="1" w:after="100" w:afterAutospacing="1"/>
        <w:ind w:right="0"/>
        <w:jc w:val="both"/>
        <w:rPr>
          <w:rFonts w:ascii="Arial" w:hAnsi="Arial" w:cs="Arial"/>
        </w:rPr>
      </w:pPr>
      <w:r w:rsidRPr="0023308E">
        <w:rPr>
          <w:rFonts w:ascii="Arial" w:hAnsi="Arial" w:cs="Arial"/>
        </w:rPr>
        <w:t xml:space="preserve">Service blueprint customer journey map: It expands the customer journey map </w:t>
      </w:r>
      <w:r w:rsidR="00CA0513" w:rsidRPr="0023308E">
        <w:rPr>
          <w:rFonts w:ascii="Arial" w:hAnsi="Arial" w:cs="Arial"/>
        </w:rPr>
        <w:t xml:space="preserve">by adding what happens behind the scenes – like internal processes, systems and team interactions that support </w:t>
      </w:r>
      <w:r w:rsidR="000633DA" w:rsidRPr="0023308E">
        <w:rPr>
          <w:rFonts w:ascii="Arial" w:hAnsi="Arial" w:cs="Arial"/>
        </w:rPr>
        <w:t xml:space="preserve">the customer journey. Especially, it is useful </w:t>
      </w:r>
      <w:r w:rsidR="0076405D" w:rsidRPr="0023308E">
        <w:rPr>
          <w:rFonts w:ascii="Arial" w:hAnsi="Arial" w:cs="Arial"/>
        </w:rPr>
        <w:t xml:space="preserve">for improving operations and ensuring that internal workflows align with what </w:t>
      </w:r>
      <w:r w:rsidR="00BF3B24" w:rsidRPr="0023308E">
        <w:rPr>
          <w:rFonts w:ascii="Arial" w:hAnsi="Arial" w:cs="Arial"/>
        </w:rPr>
        <w:t xml:space="preserve">customers </w:t>
      </w:r>
      <w:r w:rsidR="0005225A" w:rsidRPr="0023308E">
        <w:rPr>
          <w:rFonts w:ascii="Arial" w:hAnsi="Arial" w:cs="Arial"/>
        </w:rPr>
        <w:t>experience</w:t>
      </w:r>
      <w:r w:rsidR="00BF3B24" w:rsidRPr="0023308E">
        <w:rPr>
          <w:rFonts w:ascii="Arial" w:hAnsi="Arial" w:cs="Arial"/>
        </w:rPr>
        <w:t xml:space="preserve">. </w:t>
      </w:r>
    </w:p>
    <w:p w14:paraId="39854CE9" w14:textId="35B4FC5A" w:rsidR="00B46C7B" w:rsidRDefault="00FA3399" w:rsidP="0005225A">
      <w:pPr>
        <w:spacing w:before="100" w:beforeAutospacing="1" w:after="100" w:afterAutospacing="1"/>
        <w:ind w:right="0"/>
        <w:jc w:val="both"/>
        <w:rPr>
          <w:rFonts w:ascii="Arial" w:hAnsi="Arial" w:cs="Arial"/>
          <w:b/>
          <w:bCs/>
          <w:sz w:val="28"/>
          <w:szCs w:val="28"/>
          <w:u w:val="single"/>
        </w:rPr>
      </w:pPr>
      <w:r>
        <w:rPr>
          <w:rFonts w:ascii="Arial" w:hAnsi="Arial" w:cs="Arial"/>
          <w:b/>
          <w:bCs/>
          <w:sz w:val="28"/>
          <w:szCs w:val="28"/>
          <w:u w:val="single"/>
        </w:rPr>
        <w:t>C</w:t>
      </w:r>
      <w:r w:rsidR="0074575E" w:rsidRPr="000F6125">
        <w:rPr>
          <w:rFonts w:ascii="Arial" w:hAnsi="Arial" w:cs="Arial"/>
          <w:b/>
          <w:bCs/>
          <w:sz w:val="28"/>
          <w:szCs w:val="28"/>
          <w:u w:val="single"/>
        </w:rPr>
        <w:t>USTOMER JOURNEY MAP</w:t>
      </w:r>
    </w:p>
    <w:tbl>
      <w:tblPr>
        <w:tblStyle w:val="TableGrid"/>
        <w:tblpPr w:leftFromText="180" w:rightFromText="180" w:vertAnchor="text" w:horzAnchor="margin" w:tblpXSpec="center" w:tblpY="364"/>
        <w:tblW w:w="11619" w:type="dxa"/>
        <w:tblLook w:val="04A0" w:firstRow="1" w:lastRow="0" w:firstColumn="1" w:lastColumn="0" w:noHBand="0" w:noVBand="1"/>
      </w:tblPr>
      <w:tblGrid>
        <w:gridCol w:w="1337"/>
        <w:gridCol w:w="1635"/>
        <w:gridCol w:w="1559"/>
        <w:gridCol w:w="1701"/>
        <w:gridCol w:w="1701"/>
        <w:gridCol w:w="1843"/>
        <w:gridCol w:w="1843"/>
      </w:tblGrid>
      <w:tr w:rsidR="00FA3399" w:rsidRPr="00AC19FC" w14:paraId="32784ED6" w14:textId="77777777" w:rsidTr="0094414F">
        <w:trPr>
          <w:trHeight w:val="800"/>
        </w:trPr>
        <w:tc>
          <w:tcPr>
            <w:tcW w:w="1337" w:type="dxa"/>
          </w:tcPr>
          <w:p w14:paraId="1FA27E40" w14:textId="77777777" w:rsidR="00FA3399" w:rsidRPr="00AC19FC" w:rsidRDefault="00FA3399" w:rsidP="0005225A">
            <w:pPr>
              <w:spacing w:before="100" w:beforeAutospacing="1" w:after="100" w:afterAutospacing="1"/>
              <w:ind w:right="0"/>
              <w:jc w:val="both"/>
              <w:rPr>
                <w:rFonts w:ascii="Arial" w:hAnsi="Arial" w:cs="Arial"/>
                <w:sz w:val="28"/>
                <w:szCs w:val="28"/>
              </w:rPr>
            </w:pPr>
          </w:p>
        </w:tc>
        <w:tc>
          <w:tcPr>
            <w:tcW w:w="1635" w:type="dxa"/>
          </w:tcPr>
          <w:p w14:paraId="37D231EB" w14:textId="77777777" w:rsidR="00FA3399" w:rsidRPr="0094414F" w:rsidRDefault="00FA3399" w:rsidP="0005225A">
            <w:pPr>
              <w:spacing w:before="100" w:beforeAutospacing="1" w:after="100" w:afterAutospacing="1"/>
              <w:ind w:right="0"/>
              <w:jc w:val="both"/>
              <w:rPr>
                <w:rFonts w:ascii="Arial" w:hAnsi="Arial" w:cs="Arial"/>
                <w:b/>
                <w:bCs/>
                <w:sz w:val="16"/>
                <w:szCs w:val="16"/>
              </w:rPr>
            </w:pPr>
            <w:r w:rsidRPr="0094414F">
              <w:rPr>
                <w:rFonts w:ascii="Arial" w:hAnsi="Arial" w:cs="Arial"/>
                <w:b/>
                <w:bCs/>
                <w:sz w:val="16"/>
                <w:szCs w:val="16"/>
              </w:rPr>
              <w:t>Awareness Stage</w:t>
            </w:r>
          </w:p>
        </w:tc>
        <w:tc>
          <w:tcPr>
            <w:tcW w:w="1559" w:type="dxa"/>
          </w:tcPr>
          <w:p w14:paraId="15D1E7F4" w14:textId="77777777" w:rsidR="00FA3399" w:rsidRPr="0094414F" w:rsidRDefault="00FA3399" w:rsidP="0005225A">
            <w:pPr>
              <w:spacing w:before="100" w:beforeAutospacing="1" w:after="100" w:afterAutospacing="1"/>
              <w:ind w:right="0"/>
              <w:jc w:val="both"/>
              <w:rPr>
                <w:rFonts w:ascii="Arial" w:hAnsi="Arial" w:cs="Arial"/>
                <w:b/>
                <w:bCs/>
                <w:sz w:val="16"/>
                <w:szCs w:val="16"/>
              </w:rPr>
            </w:pPr>
            <w:r w:rsidRPr="0094414F">
              <w:rPr>
                <w:rFonts w:ascii="Arial" w:hAnsi="Arial" w:cs="Arial"/>
                <w:b/>
                <w:bCs/>
                <w:sz w:val="16"/>
                <w:szCs w:val="16"/>
              </w:rPr>
              <w:t>Consideration stage</w:t>
            </w:r>
          </w:p>
        </w:tc>
        <w:tc>
          <w:tcPr>
            <w:tcW w:w="1701" w:type="dxa"/>
          </w:tcPr>
          <w:p w14:paraId="30BC3E7A" w14:textId="77777777" w:rsidR="00FA3399" w:rsidRPr="0094414F" w:rsidRDefault="00FA3399" w:rsidP="0005225A">
            <w:pPr>
              <w:spacing w:before="100" w:beforeAutospacing="1" w:after="100" w:afterAutospacing="1"/>
              <w:ind w:right="0"/>
              <w:jc w:val="both"/>
              <w:rPr>
                <w:rFonts w:ascii="Arial" w:hAnsi="Arial" w:cs="Arial"/>
                <w:b/>
                <w:bCs/>
                <w:sz w:val="16"/>
                <w:szCs w:val="16"/>
              </w:rPr>
            </w:pPr>
            <w:r w:rsidRPr="0094414F">
              <w:rPr>
                <w:rFonts w:ascii="Arial" w:hAnsi="Arial" w:cs="Arial"/>
                <w:b/>
                <w:bCs/>
                <w:sz w:val="16"/>
                <w:szCs w:val="16"/>
              </w:rPr>
              <w:t>Decision Stage</w:t>
            </w:r>
          </w:p>
        </w:tc>
        <w:tc>
          <w:tcPr>
            <w:tcW w:w="1701" w:type="dxa"/>
          </w:tcPr>
          <w:p w14:paraId="40B5A90F" w14:textId="77777777" w:rsidR="00FA3399" w:rsidRPr="0094414F" w:rsidRDefault="00FA3399" w:rsidP="0005225A">
            <w:pPr>
              <w:spacing w:before="100" w:beforeAutospacing="1" w:after="100" w:afterAutospacing="1"/>
              <w:ind w:right="0"/>
              <w:jc w:val="both"/>
              <w:rPr>
                <w:rFonts w:ascii="Arial" w:hAnsi="Arial" w:cs="Arial"/>
                <w:b/>
                <w:bCs/>
                <w:sz w:val="16"/>
                <w:szCs w:val="16"/>
              </w:rPr>
            </w:pPr>
            <w:r w:rsidRPr="0094414F">
              <w:rPr>
                <w:rFonts w:ascii="Arial" w:hAnsi="Arial" w:cs="Arial"/>
                <w:b/>
                <w:bCs/>
                <w:sz w:val="16"/>
                <w:szCs w:val="16"/>
              </w:rPr>
              <w:t>Implementation Stage</w:t>
            </w:r>
          </w:p>
        </w:tc>
        <w:tc>
          <w:tcPr>
            <w:tcW w:w="1843" w:type="dxa"/>
          </w:tcPr>
          <w:p w14:paraId="14237D04" w14:textId="77777777" w:rsidR="00FA3399" w:rsidRPr="0094414F" w:rsidRDefault="00FA3399" w:rsidP="0005225A">
            <w:pPr>
              <w:spacing w:before="100" w:beforeAutospacing="1" w:after="100" w:afterAutospacing="1"/>
              <w:ind w:right="0"/>
              <w:jc w:val="both"/>
              <w:rPr>
                <w:rFonts w:ascii="Arial" w:hAnsi="Arial" w:cs="Arial"/>
                <w:b/>
                <w:bCs/>
                <w:sz w:val="16"/>
                <w:szCs w:val="16"/>
              </w:rPr>
            </w:pPr>
            <w:r w:rsidRPr="0094414F">
              <w:rPr>
                <w:rFonts w:ascii="Arial" w:hAnsi="Arial" w:cs="Arial"/>
                <w:b/>
                <w:bCs/>
                <w:sz w:val="16"/>
                <w:szCs w:val="16"/>
              </w:rPr>
              <w:t xml:space="preserve">Retention Stage </w:t>
            </w:r>
          </w:p>
        </w:tc>
        <w:tc>
          <w:tcPr>
            <w:tcW w:w="1843" w:type="dxa"/>
          </w:tcPr>
          <w:p w14:paraId="307FD0C1" w14:textId="77777777" w:rsidR="00FA3399" w:rsidRPr="0094414F" w:rsidRDefault="00FA3399" w:rsidP="0005225A">
            <w:pPr>
              <w:spacing w:before="100" w:beforeAutospacing="1" w:after="100" w:afterAutospacing="1"/>
              <w:ind w:right="0"/>
              <w:jc w:val="both"/>
              <w:rPr>
                <w:rFonts w:ascii="Arial" w:hAnsi="Arial" w:cs="Arial"/>
                <w:b/>
                <w:bCs/>
                <w:sz w:val="16"/>
                <w:szCs w:val="16"/>
              </w:rPr>
            </w:pPr>
            <w:r w:rsidRPr="0094414F">
              <w:rPr>
                <w:rFonts w:ascii="Arial" w:hAnsi="Arial" w:cs="Arial"/>
                <w:b/>
                <w:bCs/>
                <w:sz w:val="16"/>
                <w:szCs w:val="16"/>
              </w:rPr>
              <w:t>Advocacy Stage</w:t>
            </w:r>
          </w:p>
        </w:tc>
      </w:tr>
      <w:tr w:rsidR="00FA3399" w:rsidRPr="00AC19FC" w14:paraId="179F2BD4" w14:textId="77777777" w:rsidTr="0094414F">
        <w:trPr>
          <w:trHeight w:val="1288"/>
        </w:trPr>
        <w:tc>
          <w:tcPr>
            <w:tcW w:w="1337" w:type="dxa"/>
          </w:tcPr>
          <w:p w14:paraId="4C752F99" w14:textId="77777777" w:rsidR="00FA3399" w:rsidRPr="00CF18ED" w:rsidRDefault="00FA3399" w:rsidP="0005225A">
            <w:pPr>
              <w:spacing w:before="100" w:beforeAutospacing="1" w:after="100" w:afterAutospacing="1"/>
              <w:ind w:right="0"/>
              <w:jc w:val="both"/>
              <w:rPr>
                <w:rFonts w:ascii="Arial" w:hAnsi="Arial" w:cs="Arial"/>
                <w:b/>
                <w:bCs/>
                <w:sz w:val="24"/>
                <w:szCs w:val="24"/>
              </w:rPr>
            </w:pPr>
            <w:r w:rsidRPr="00CF18ED">
              <w:rPr>
                <w:rFonts w:ascii="Arial" w:hAnsi="Arial" w:cs="Arial"/>
                <w:b/>
                <w:bCs/>
                <w:sz w:val="24"/>
                <w:szCs w:val="24"/>
              </w:rPr>
              <w:t>Customer actions</w:t>
            </w:r>
          </w:p>
        </w:tc>
        <w:tc>
          <w:tcPr>
            <w:tcW w:w="1635" w:type="dxa"/>
          </w:tcPr>
          <w:p w14:paraId="46AFE1D7"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 xml:space="preserve">Research providers online, read reviews and rating, Visit BYTES webpage. </w:t>
            </w:r>
          </w:p>
        </w:tc>
        <w:tc>
          <w:tcPr>
            <w:tcW w:w="1559" w:type="dxa"/>
          </w:tcPr>
          <w:p w14:paraId="6477C61A"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Engage with sales rep, Read brochures and flyers and request product demos and consultations.</w:t>
            </w:r>
          </w:p>
        </w:tc>
        <w:tc>
          <w:tcPr>
            <w:tcW w:w="1701" w:type="dxa"/>
          </w:tcPr>
          <w:p w14:paraId="61F7BAD8"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Negotiation of price and terms, finalise agreements.</w:t>
            </w:r>
          </w:p>
        </w:tc>
        <w:tc>
          <w:tcPr>
            <w:tcW w:w="1701" w:type="dxa"/>
          </w:tcPr>
          <w:p w14:paraId="77C7E3C8"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Participate onboarding and training sessions, collaborate with project team. Test and give feedback</w:t>
            </w:r>
          </w:p>
        </w:tc>
        <w:tc>
          <w:tcPr>
            <w:tcW w:w="1843" w:type="dxa"/>
          </w:tcPr>
          <w:p w14:paraId="4A7A5E66"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Use software regularly, report issues and seeking enhancements</w:t>
            </w:r>
          </w:p>
        </w:tc>
        <w:tc>
          <w:tcPr>
            <w:tcW w:w="1843" w:type="dxa"/>
          </w:tcPr>
          <w:p w14:paraId="53845AE0"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Refer new customers, engage partner events and provide success stories.</w:t>
            </w:r>
          </w:p>
        </w:tc>
      </w:tr>
      <w:tr w:rsidR="00FA3399" w:rsidRPr="00AC19FC" w14:paraId="69A49697" w14:textId="77777777" w:rsidTr="0094414F">
        <w:trPr>
          <w:trHeight w:val="1347"/>
        </w:trPr>
        <w:tc>
          <w:tcPr>
            <w:tcW w:w="1337" w:type="dxa"/>
          </w:tcPr>
          <w:p w14:paraId="50611F6F" w14:textId="77777777" w:rsidR="00FA3399" w:rsidRPr="00CF18ED" w:rsidRDefault="00FA3399" w:rsidP="0005225A">
            <w:pPr>
              <w:spacing w:before="100" w:beforeAutospacing="1" w:after="100" w:afterAutospacing="1"/>
              <w:ind w:right="0"/>
              <w:jc w:val="both"/>
              <w:rPr>
                <w:rFonts w:ascii="Arial" w:hAnsi="Arial" w:cs="Arial"/>
                <w:b/>
                <w:bCs/>
                <w:sz w:val="24"/>
                <w:szCs w:val="24"/>
              </w:rPr>
            </w:pPr>
            <w:r w:rsidRPr="00CF18ED">
              <w:rPr>
                <w:rFonts w:ascii="Arial" w:hAnsi="Arial" w:cs="Arial"/>
                <w:b/>
                <w:bCs/>
                <w:sz w:val="24"/>
                <w:szCs w:val="24"/>
              </w:rPr>
              <w:t>Touch points</w:t>
            </w:r>
          </w:p>
        </w:tc>
        <w:tc>
          <w:tcPr>
            <w:tcW w:w="1635" w:type="dxa"/>
          </w:tcPr>
          <w:p w14:paraId="38FFC0BD"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Social media, YouTube, events and fairs</w:t>
            </w:r>
          </w:p>
        </w:tc>
        <w:tc>
          <w:tcPr>
            <w:tcW w:w="1559" w:type="dxa"/>
          </w:tcPr>
          <w:p w14:paraId="4691DD37"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Mail and email, Live chat and chatbot, Website product pages.</w:t>
            </w:r>
          </w:p>
        </w:tc>
        <w:tc>
          <w:tcPr>
            <w:tcW w:w="1701" w:type="dxa"/>
          </w:tcPr>
          <w:p w14:paraId="64E0568D"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Quotation, meetings and follow ups</w:t>
            </w:r>
          </w:p>
        </w:tc>
        <w:tc>
          <w:tcPr>
            <w:tcW w:w="1701" w:type="dxa"/>
          </w:tcPr>
          <w:p w14:paraId="0D655BAF"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Technical support channels, Training sessions and documentation</w:t>
            </w:r>
          </w:p>
        </w:tc>
        <w:tc>
          <w:tcPr>
            <w:tcW w:w="1843" w:type="dxa"/>
          </w:tcPr>
          <w:p w14:paraId="047AF0BD"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Product updates and newsletters. Customer support and helpdesk active</w:t>
            </w:r>
          </w:p>
        </w:tc>
        <w:tc>
          <w:tcPr>
            <w:tcW w:w="1843" w:type="dxa"/>
          </w:tcPr>
          <w:p w14:paraId="7B7243EB"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Referral programs and case study collaborations.</w:t>
            </w:r>
          </w:p>
        </w:tc>
      </w:tr>
      <w:tr w:rsidR="00FA3399" w:rsidRPr="00AC19FC" w14:paraId="6F487CEA" w14:textId="77777777" w:rsidTr="0094414F">
        <w:trPr>
          <w:trHeight w:val="1288"/>
        </w:trPr>
        <w:tc>
          <w:tcPr>
            <w:tcW w:w="1337" w:type="dxa"/>
          </w:tcPr>
          <w:p w14:paraId="6A320162" w14:textId="77777777" w:rsidR="00FA3399" w:rsidRPr="00CF18ED" w:rsidRDefault="00FA3399" w:rsidP="0005225A">
            <w:pPr>
              <w:spacing w:before="100" w:beforeAutospacing="1" w:after="100" w:afterAutospacing="1"/>
              <w:ind w:right="0"/>
              <w:jc w:val="both"/>
              <w:rPr>
                <w:rFonts w:ascii="Arial" w:hAnsi="Arial" w:cs="Arial"/>
                <w:b/>
                <w:bCs/>
                <w:sz w:val="24"/>
                <w:szCs w:val="24"/>
              </w:rPr>
            </w:pPr>
            <w:r w:rsidRPr="00CF18ED">
              <w:rPr>
                <w:rFonts w:ascii="Arial" w:hAnsi="Arial" w:cs="Arial"/>
                <w:b/>
                <w:bCs/>
                <w:sz w:val="24"/>
                <w:szCs w:val="24"/>
              </w:rPr>
              <w:t>Pain point</w:t>
            </w:r>
          </w:p>
        </w:tc>
        <w:tc>
          <w:tcPr>
            <w:tcW w:w="1635" w:type="dxa"/>
          </w:tcPr>
          <w:p w14:paraId="1B6C0756"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Trustworthiness</w:t>
            </w:r>
          </w:p>
          <w:p w14:paraId="1A6235F4"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 xml:space="preserve">reliability </w:t>
            </w:r>
          </w:p>
        </w:tc>
        <w:tc>
          <w:tcPr>
            <w:tcW w:w="1559" w:type="dxa"/>
          </w:tcPr>
          <w:p w14:paraId="44BC7E99"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Price comparison and features</w:t>
            </w:r>
          </w:p>
        </w:tc>
        <w:tc>
          <w:tcPr>
            <w:tcW w:w="1701" w:type="dxa"/>
          </w:tcPr>
          <w:p w14:paraId="0E518CD3"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Assurance of delivery and support</w:t>
            </w:r>
          </w:p>
        </w:tc>
        <w:tc>
          <w:tcPr>
            <w:tcW w:w="1701" w:type="dxa"/>
          </w:tcPr>
          <w:p w14:paraId="69943AF0"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Expecting disruptions and concerned about customers</w:t>
            </w:r>
          </w:p>
        </w:tc>
        <w:tc>
          <w:tcPr>
            <w:tcW w:w="1843" w:type="dxa"/>
          </w:tcPr>
          <w:p w14:paraId="76A6038B"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Evaluation of long-term performance</w:t>
            </w:r>
          </w:p>
        </w:tc>
        <w:tc>
          <w:tcPr>
            <w:tcW w:w="1843" w:type="dxa"/>
          </w:tcPr>
          <w:p w14:paraId="59E2DD16"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Proud to be associated with BYTES. Strongly believe in partner with them.</w:t>
            </w:r>
          </w:p>
        </w:tc>
      </w:tr>
      <w:tr w:rsidR="00FA3399" w:rsidRPr="000F6125" w14:paraId="358B72AF" w14:textId="77777777" w:rsidTr="0094414F">
        <w:trPr>
          <w:trHeight w:val="1831"/>
        </w:trPr>
        <w:tc>
          <w:tcPr>
            <w:tcW w:w="1337" w:type="dxa"/>
          </w:tcPr>
          <w:p w14:paraId="4AED1ABD" w14:textId="77777777" w:rsidR="00FA3399" w:rsidRPr="000F6125" w:rsidRDefault="00FA3399" w:rsidP="0005225A">
            <w:pPr>
              <w:spacing w:before="100" w:beforeAutospacing="1" w:after="100" w:afterAutospacing="1"/>
              <w:ind w:right="0"/>
              <w:jc w:val="both"/>
              <w:rPr>
                <w:rFonts w:ascii="Arial" w:hAnsi="Arial" w:cs="Arial"/>
                <w:b/>
                <w:bCs/>
                <w:sz w:val="24"/>
                <w:szCs w:val="24"/>
                <w:u w:val="single"/>
              </w:rPr>
            </w:pPr>
            <w:r w:rsidRPr="000F6125">
              <w:rPr>
                <w:rFonts w:ascii="Arial" w:hAnsi="Arial" w:cs="Arial"/>
                <w:b/>
                <w:bCs/>
                <w:sz w:val="24"/>
                <w:szCs w:val="24"/>
                <w:u w:val="single"/>
              </w:rPr>
              <w:t>Solutions</w:t>
            </w:r>
          </w:p>
        </w:tc>
        <w:tc>
          <w:tcPr>
            <w:tcW w:w="1635" w:type="dxa"/>
          </w:tcPr>
          <w:p w14:paraId="052796B6"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Success stories, customer testimonials.</w:t>
            </w:r>
          </w:p>
        </w:tc>
        <w:tc>
          <w:tcPr>
            <w:tcW w:w="1559" w:type="dxa"/>
          </w:tcPr>
          <w:p w14:paraId="5ACD739F"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Transparency on pricing and promotion</w:t>
            </w:r>
          </w:p>
        </w:tc>
        <w:tc>
          <w:tcPr>
            <w:tcW w:w="1701" w:type="dxa"/>
          </w:tcPr>
          <w:p w14:paraId="16D97ABF"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Understand the contract, Keep in touch for updates</w:t>
            </w:r>
          </w:p>
        </w:tc>
        <w:tc>
          <w:tcPr>
            <w:tcW w:w="1701" w:type="dxa"/>
          </w:tcPr>
          <w:p w14:paraId="3046BF04"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Find out the smooth implementation</w:t>
            </w:r>
          </w:p>
        </w:tc>
        <w:tc>
          <w:tcPr>
            <w:tcW w:w="1843" w:type="dxa"/>
          </w:tcPr>
          <w:p w14:paraId="251AB6D3"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Appreciates responsive support. Maintain consistent communication</w:t>
            </w:r>
          </w:p>
        </w:tc>
        <w:tc>
          <w:tcPr>
            <w:tcW w:w="1843" w:type="dxa"/>
          </w:tcPr>
          <w:p w14:paraId="0CE4833D" w14:textId="77777777" w:rsidR="00FA3399" w:rsidRPr="0094414F" w:rsidRDefault="00FA3399" w:rsidP="0005225A">
            <w:pPr>
              <w:spacing w:before="100" w:beforeAutospacing="1" w:after="100" w:afterAutospacing="1"/>
              <w:ind w:right="0"/>
              <w:jc w:val="both"/>
              <w:rPr>
                <w:rFonts w:ascii="Arial" w:hAnsi="Arial" w:cs="Arial"/>
                <w:sz w:val="16"/>
                <w:szCs w:val="16"/>
              </w:rPr>
            </w:pPr>
            <w:r w:rsidRPr="0094414F">
              <w:rPr>
                <w:rFonts w:ascii="Arial" w:hAnsi="Arial" w:cs="Arial"/>
                <w:sz w:val="16"/>
                <w:szCs w:val="16"/>
              </w:rPr>
              <w:t>Build community ambassadors and showcase successful stories. Encourage advocacy through incentives.</w:t>
            </w:r>
          </w:p>
        </w:tc>
      </w:tr>
    </w:tbl>
    <w:p w14:paraId="5DE7C52E" w14:textId="77777777" w:rsidR="00EA1B37" w:rsidRDefault="00EA1B37" w:rsidP="0005225A">
      <w:pPr>
        <w:spacing w:before="100" w:beforeAutospacing="1" w:after="100" w:afterAutospacing="1"/>
        <w:ind w:right="0"/>
        <w:jc w:val="both"/>
        <w:rPr>
          <w:rFonts w:ascii="Arial" w:hAnsi="Arial" w:cs="Arial"/>
          <w:sz w:val="28"/>
          <w:szCs w:val="28"/>
        </w:rPr>
      </w:pPr>
    </w:p>
    <w:p w14:paraId="5C0D492F" w14:textId="77777777" w:rsidR="00EA1B37" w:rsidRDefault="00EA1B37" w:rsidP="0005225A">
      <w:pPr>
        <w:spacing w:before="100" w:beforeAutospacing="1" w:after="100" w:afterAutospacing="1"/>
        <w:ind w:right="0"/>
        <w:jc w:val="both"/>
        <w:rPr>
          <w:rFonts w:ascii="Arial" w:hAnsi="Arial" w:cs="Arial"/>
          <w:sz w:val="28"/>
          <w:szCs w:val="28"/>
        </w:rPr>
      </w:pPr>
    </w:p>
    <w:p w14:paraId="7368FB61" w14:textId="66E8397B" w:rsidR="00DD58CD" w:rsidRPr="00DD58CD" w:rsidRDefault="00DD58CD" w:rsidP="00DD58CD">
      <w:pPr>
        <w:spacing w:before="100" w:beforeAutospacing="1" w:after="100" w:afterAutospacing="1"/>
        <w:ind w:right="0"/>
        <w:jc w:val="both"/>
        <w:rPr>
          <w:rFonts w:ascii="Arial" w:hAnsi="Arial" w:cs="Arial"/>
          <w:b/>
          <w:bCs/>
          <w:sz w:val="28"/>
          <w:szCs w:val="28"/>
          <w:u w:val="single"/>
        </w:rPr>
      </w:pPr>
      <w:r w:rsidRPr="00DD58CD">
        <w:rPr>
          <w:rFonts w:ascii="Arial" w:hAnsi="Arial" w:cs="Arial"/>
          <w:b/>
          <w:bCs/>
          <w:sz w:val="28"/>
          <w:szCs w:val="28"/>
          <w:u w:val="single"/>
        </w:rPr>
        <w:lastRenderedPageBreak/>
        <w:t xml:space="preserve"> Innovation Ambition Matrix for Bytes Technology</w:t>
      </w:r>
    </w:p>
    <w:p w14:paraId="42F757A6" w14:textId="1BA197D9" w:rsidR="00DD58CD" w:rsidRPr="0023308E" w:rsidRDefault="00DD58CD" w:rsidP="00DD58CD">
      <w:pPr>
        <w:spacing w:before="100" w:beforeAutospacing="1" w:after="100" w:afterAutospacing="1"/>
        <w:ind w:right="0"/>
        <w:jc w:val="both"/>
        <w:rPr>
          <w:rFonts w:ascii="Arial" w:hAnsi="Arial" w:cs="Arial"/>
        </w:rPr>
      </w:pPr>
      <w:r w:rsidRPr="0023308E">
        <w:rPr>
          <w:rFonts w:ascii="Arial" w:hAnsi="Arial" w:cs="Arial"/>
        </w:rPr>
        <w:t xml:space="preserve">The Innovation Ambition Matrix is a portfolio framework that classifies innovation initiatives into core, adjacent, and transformational based on the newness of both offerings and markets. It was popularised by Bansi Nagi and Geoff Tuff in Harvard Business Review to deliberately balance innovation investments rather than allowing them to emerge in an ad hoc manner. </w:t>
      </w:r>
    </w:p>
    <w:p w14:paraId="25EA4350" w14:textId="77777777" w:rsidR="00DD58CD" w:rsidRPr="0023308E" w:rsidRDefault="00DD58CD" w:rsidP="00DD58CD">
      <w:pPr>
        <w:spacing w:before="100" w:beforeAutospacing="1" w:after="100" w:afterAutospacing="1"/>
        <w:ind w:right="0"/>
        <w:jc w:val="both"/>
        <w:rPr>
          <w:rFonts w:ascii="Arial" w:hAnsi="Arial" w:cs="Arial"/>
          <w:b/>
          <w:bCs/>
        </w:rPr>
      </w:pPr>
      <w:r w:rsidRPr="0023308E">
        <w:rPr>
          <w:rFonts w:ascii="Arial" w:hAnsi="Arial" w:cs="Arial"/>
          <w:b/>
          <w:bCs/>
        </w:rPr>
        <w:t>Conceptual foundations</w:t>
      </w:r>
    </w:p>
    <w:p w14:paraId="27251CE5" w14:textId="2401A1B6" w:rsidR="00DD58CD" w:rsidRPr="0023308E" w:rsidRDefault="00DD58CD" w:rsidP="00DD58CD">
      <w:pPr>
        <w:spacing w:before="100" w:beforeAutospacing="1" w:after="100" w:afterAutospacing="1"/>
        <w:ind w:right="0"/>
        <w:jc w:val="both"/>
        <w:rPr>
          <w:rFonts w:ascii="Arial" w:hAnsi="Arial" w:cs="Arial"/>
        </w:rPr>
      </w:pPr>
      <w:r w:rsidRPr="0023308E">
        <w:rPr>
          <w:rFonts w:ascii="Arial" w:hAnsi="Arial" w:cs="Arial"/>
        </w:rPr>
        <w:t xml:space="preserve">Nagji and Tuff argue that firms should manage an integrated portfolio of innovation initiatives across three ambition levels: </w:t>
      </w:r>
      <w:r w:rsidR="00BF32E9" w:rsidRPr="0023308E">
        <w:rPr>
          <w:rFonts w:ascii="Arial" w:hAnsi="Arial" w:cs="Arial"/>
        </w:rPr>
        <w:t>(Nagji, B &amp; Tuff</w:t>
      </w:r>
      <w:r w:rsidR="001C2EB6" w:rsidRPr="0023308E">
        <w:rPr>
          <w:rFonts w:ascii="Arial" w:hAnsi="Arial" w:cs="Arial"/>
        </w:rPr>
        <w:t xml:space="preserve">, </w:t>
      </w:r>
      <w:r w:rsidR="00BF32E9" w:rsidRPr="0023308E">
        <w:rPr>
          <w:rFonts w:ascii="Arial" w:hAnsi="Arial" w:cs="Arial"/>
        </w:rPr>
        <w:t>2012)</w:t>
      </w:r>
    </w:p>
    <w:p w14:paraId="55D245F2" w14:textId="77777777" w:rsidR="00DD58CD" w:rsidRPr="0023308E" w:rsidRDefault="00DD58CD" w:rsidP="00DD58CD">
      <w:pPr>
        <w:numPr>
          <w:ilvl w:val="0"/>
          <w:numId w:val="22"/>
        </w:numPr>
        <w:spacing w:before="100" w:beforeAutospacing="1" w:after="100" w:afterAutospacing="1"/>
        <w:ind w:right="0"/>
        <w:jc w:val="both"/>
        <w:rPr>
          <w:rFonts w:ascii="Arial" w:hAnsi="Arial" w:cs="Arial"/>
        </w:rPr>
      </w:pPr>
      <w:r w:rsidRPr="0023308E">
        <w:rPr>
          <w:rFonts w:ascii="Arial" w:hAnsi="Arial" w:cs="Arial"/>
        </w:rPr>
        <w:t>Core innovation: Existing offerings for existing markets; incremental improvements that exploit current capabilities and generate today’s revenues.</w:t>
      </w:r>
    </w:p>
    <w:p w14:paraId="7ED23D10" w14:textId="77777777" w:rsidR="00DD58CD" w:rsidRPr="0023308E" w:rsidRDefault="00DD58CD" w:rsidP="00DD58CD">
      <w:pPr>
        <w:numPr>
          <w:ilvl w:val="0"/>
          <w:numId w:val="22"/>
        </w:numPr>
        <w:spacing w:before="100" w:beforeAutospacing="1" w:after="100" w:afterAutospacing="1"/>
        <w:ind w:right="0"/>
        <w:jc w:val="both"/>
        <w:rPr>
          <w:rFonts w:ascii="Arial" w:hAnsi="Arial" w:cs="Arial"/>
        </w:rPr>
      </w:pPr>
      <w:r w:rsidRPr="0023308E">
        <w:rPr>
          <w:rFonts w:ascii="Arial" w:hAnsi="Arial" w:cs="Arial"/>
        </w:rPr>
        <w:t>Adjacent innovation: Extensions into “new-to-the-firm” spaces—either new markets for existing capabilities or new offerings for existing markets.</w:t>
      </w:r>
    </w:p>
    <w:p w14:paraId="627D7B15" w14:textId="5BC865FC" w:rsidR="00DD58CD" w:rsidRPr="0023308E" w:rsidRDefault="00DD58CD" w:rsidP="00DD58CD">
      <w:pPr>
        <w:numPr>
          <w:ilvl w:val="0"/>
          <w:numId w:val="22"/>
        </w:numPr>
        <w:spacing w:before="100" w:beforeAutospacing="1" w:after="100" w:afterAutospacing="1"/>
        <w:ind w:right="0"/>
        <w:jc w:val="both"/>
        <w:rPr>
          <w:rFonts w:ascii="Arial" w:hAnsi="Arial" w:cs="Arial"/>
        </w:rPr>
      </w:pPr>
      <w:r w:rsidRPr="0023308E">
        <w:rPr>
          <w:rFonts w:ascii="Arial" w:hAnsi="Arial" w:cs="Arial"/>
        </w:rPr>
        <w:t>Transformational innovation: Creation of fundamentally new offerings and business models for new markets, often involving high uncertainty and long-time horizons.</w:t>
      </w:r>
    </w:p>
    <w:p w14:paraId="02E7C09B" w14:textId="77777777" w:rsidR="00DD58CD" w:rsidRPr="0023308E" w:rsidRDefault="00DD58CD" w:rsidP="00DD58CD">
      <w:pPr>
        <w:spacing w:before="100" w:beforeAutospacing="1" w:after="100" w:afterAutospacing="1"/>
        <w:ind w:right="0"/>
        <w:jc w:val="both"/>
        <w:rPr>
          <w:rFonts w:ascii="Arial" w:hAnsi="Arial" w:cs="Arial"/>
        </w:rPr>
      </w:pPr>
      <w:r w:rsidRPr="0023308E">
        <w:rPr>
          <w:rFonts w:ascii="Arial" w:hAnsi="Arial" w:cs="Arial"/>
        </w:rPr>
        <w:t xml:space="preserve">The matrix is typically represented with “where to play” (market newness) on the vertical axis and “how to win” (offering/asset newness) on the horizontal axis. </w:t>
      </w:r>
    </w:p>
    <w:p w14:paraId="0FD4A3F9" w14:textId="77777777" w:rsidR="00DD58CD" w:rsidRPr="0023308E" w:rsidRDefault="00DD58CD" w:rsidP="00DD58CD">
      <w:pPr>
        <w:spacing w:before="100" w:beforeAutospacing="1" w:after="100" w:afterAutospacing="1"/>
        <w:ind w:right="0"/>
        <w:jc w:val="both"/>
        <w:rPr>
          <w:rFonts w:ascii="Arial" w:hAnsi="Arial" w:cs="Arial"/>
        </w:rPr>
      </w:pPr>
      <w:r w:rsidRPr="0023308E">
        <w:rPr>
          <w:rFonts w:ascii="Arial" w:hAnsi="Arial" w:cs="Arial"/>
        </w:rPr>
        <w:t xml:space="preserve">A frequently cited heuristic suggests that outperforming firms often allocate roughly 70% of resources to core, 20% to adjacent, and 10% to transformational initiatives, while returns tend to be inversely distributed. This ratio is not prescriptive but illustrates the need for a balanced portfolio. </w:t>
      </w:r>
    </w:p>
    <w:p w14:paraId="613B9507" w14:textId="77777777" w:rsidR="00DD58CD" w:rsidRPr="0023308E" w:rsidRDefault="00DD58CD" w:rsidP="00DD58CD">
      <w:pPr>
        <w:spacing w:before="100" w:beforeAutospacing="1" w:after="100" w:afterAutospacing="1"/>
        <w:ind w:right="0"/>
        <w:jc w:val="both"/>
        <w:rPr>
          <w:rFonts w:ascii="Arial" w:hAnsi="Arial" w:cs="Arial"/>
        </w:rPr>
      </w:pPr>
    </w:p>
    <w:p w14:paraId="6BA33AA2" w14:textId="77777777" w:rsidR="00DD58CD" w:rsidRPr="0023308E" w:rsidRDefault="00DD58CD" w:rsidP="00DD58CD">
      <w:pPr>
        <w:spacing w:before="100" w:beforeAutospacing="1" w:after="100" w:afterAutospacing="1"/>
        <w:ind w:right="0"/>
        <w:jc w:val="both"/>
        <w:rPr>
          <w:rFonts w:ascii="Arial" w:hAnsi="Arial" w:cs="Arial"/>
          <w:b/>
          <w:bCs/>
        </w:rPr>
      </w:pPr>
      <w:r w:rsidRPr="0023308E">
        <w:rPr>
          <w:rFonts w:ascii="Arial" w:hAnsi="Arial" w:cs="Arial"/>
          <w:b/>
          <w:bCs/>
        </w:rPr>
        <w:t>Applying the matrix to Bytes Technology</w:t>
      </w:r>
    </w:p>
    <w:p w14:paraId="700D4C04" w14:textId="77777777" w:rsidR="00DD58CD" w:rsidRPr="0023308E" w:rsidRDefault="00DD58CD" w:rsidP="00DD58CD">
      <w:pPr>
        <w:spacing w:before="100" w:beforeAutospacing="1" w:after="100" w:afterAutospacing="1"/>
        <w:ind w:right="0"/>
        <w:jc w:val="both"/>
        <w:rPr>
          <w:rFonts w:ascii="Arial" w:hAnsi="Arial" w:cs="Arial"/>
        </w:rPr>
      </w:pPr>
      <w:r w:rsidRPr="0023308E">
        <w:rPr>
          <w:rFonts w:ascii="Arial" w:hAnsi="Arial" w:cs="Arial"/>
        </w:rPr>
        <w:t>Assuming Bytes Technology operates as a digital</w:t>
      </w:r>
      <w:r w:rsidRPr="0023308E">
        <w:rPr>
          <w:rFonts w:ascii="Arial" w:hAnsi="Arial" w:cs="Arial"/>
        </w:rPr>
        <w:noBreakHyphen/>
        <w:t>services and IT</w:t>
      </w:r>
      <w:r w:rsidRPr="0023308E">
        <w:rPr>
          <w:rFonts w:ascii="Arial" w:hAnsi="Arial" w:cs="Arial"/>
        </w:rPr>
        <w:noBreakHyphen/>
        <w:t>solutions provider (e.g., software licensing, cloud, cybersecurity, and managed services), its innovation portfolio can be mapped as follows.</w:t>
      </w:r>
    </w:p>
    <w:p w14:paraId="6EA7B5D5" w14:textId="1242D699" w:rsidR="00DD58CD" w:rsidRPr="0023308E" w:rsidRDefault="00DD58CD" w:rsidP="00DD58CD">
      <w:pPr>
        <w:spacing w:before="100" w:beforeAutospacing="1" w:after="100" w:afterAutospacing="1"/>
        <w:ind w:right="0"/>
        <w:jc w:val="both"/>
        <w:rPr>
          <w:rFonts w:ascii="Arial" w:hAnsi="Arial" w:cs="Arial"/>
          <w:b/>
          <w:bCs/>
        </w:rPr>
      </w:pPr>
      <w:r w:rsidRPr="0023308E">
        <w:rPr>
          <w:rFonts w:ascii="Arial" w:hAnsi="Arial" w:cs="Arial"/>
          <w:b/>
          <w:bCs/>
        </w:rPr>
        <w:t>Core innovation</w:t>
      </w:r>
      <w:r w:rsidR="00B526F6" w:rsidRPr="0023308E">
        <w:rPr>
          <w:rFonts w:ascii="Arial" w:hAnsi="Arial" w:cs="Arial"/>
          <w:b/>
          <w:bCs/>
        </w:rPr>
        <w:t>.</w:t>
      </w:r>
    </w:p>
    <w:p w14:paraId="32F7AF5B" w14:textId="77777777" w:rsidR="00DD58CD" w:rsidRPr="0023308E" w:rsidRDefault="00DD58CD" w:rsidP="00DD58CD">
      <w:pPr>
        <w:numPr>
          <w:ilvl w:val="1"/>
          <w:numId w:val="23"/>
        </w:numPr>
        <w:spacing w:before="100" w:beforeAutospacing="1" w:after="100" w:afterAutospacing="1"/>
        <w:ind w:right="0"/>
        <w:jc w:val="both"/>
        <w:rPr>
          <w:rFonts w:ascii="Arial" w:hAnsi="Arial" w:cs="Arial"/>
        </w:rPr>
      </w:pPr>
      <w:r w:rsidRPr="0023308E">
        <w:rPr>
          <w:rFonts w:ascii="Arial" w:hAnsi="Arial" w:cs="Arial"/>
        </w:rPr>
        <w:t>Optimisation of software licensing management platforms (e.g., improved dashboards, reporting, and compliance features).</w:t>
      </w:r>
    </w:p>
    <w:p w14:paraId="630EFD04" w14:textId="77777777" w:rsidR="00DD58CD" w:rsidRPr="0023308E" w:rsidRDefault="00DD58CD" w:rsidP="00DD58CD">
      <w:pPr>
        <w:numPr>
          <w:ilvl w:val="1"/>
          <w:numId w:val="23"/>
        </w:numPr>
        <w:spacing w:before="100" w:beforeAutospacing="1" w:after="100" w:afterAutospacing="1"/>
        <w:ind w:right="0"/>
        <w:jc w:val="both"/>
        <w:rPr>
          <w:rFonts w:ascii="Arial" w:hAnsi="Arial" w:cs="Arial"/>
        </w:rPr>
      </w:pPr>
      <w:r w:rsidRPr="0023308E">
        <w:rPr>
          <w:rFonts w:ascii="Arial" w:hAnsi="Arial" w:cs="Arial"/>
        </w:rPr>
        <w:t>Incremental enhancement of cloud cost</w:t>
      </w:r>
      <w:r w:rsidRPr="0023308E">
        <w:rPr>
          <w:rFonts w:ascii="Arial" w:hAnsi="Arial" w:cs="Arial"/>
        </w:rPr>
        <w:noBreakHyphen/>
        <w:t>optimisation tools for existing Azure or multi</w:t>
      </w:r>
      <w:r w:rsidRPr="0023308E">
        <w:rPr>
          <w:rFonts w:ascii="Arial" w:hAnsi="Arial" w:cs="Arial"/>
        </w:rPr>
        <w:noBreakHyphen/>
        <w:t>cloud clients.</w:t>
      </w:r>
    </w:p>
    <w:p w14:paraId="510D5CD1" w14:textId="77777777" w:rsidR="00DD58CD" w:rsidRPr="0023308E" w:rsidRDefault="00DD58CD" w:rsidP="00DD58CD">
      <w:pPr>
        <w:numPr>
          <w:ilvl w:val="1"/>
          <w:numId w:val="23"/>
        </w:numPr>
        <w:spacing w:before="100" w:beforeAutospacing="1" w:after="100" w:afterAutospacing="1"/>
        <w:ind w:right="0"/>
        <w:jc w:val="both"/>
        <w:rPr>
          <w:rFonts w:ascii="Arial" w:hAnsi="Arial" w:cs="Arial"/>
        </w:rPr>
      </w:pPr>
      <w:r w:rsidRPr="0023308E">
        <w:rPr>
          <w:rFonts w:ascii="Arial" w:hAnsi="Arial" w:cs="Arial"/>
        </w:rPr>
        <w:t>Refinement of cybersecurity monitoring and incident</w:t>
      </w:r>
      <w:r w:rsidRPr="0023308E">
        <w:rPr>
          <w:rFonts w:ascii="Arial" w:hAnsi="Arial" w:cs="Arial"/>
        </w:rPr>
        <w:noBreakHyphen/>
        <w:t>response workflows within current managed security services.</w:t>
      </w:r>
    </w:p>
    <w:p w14:paraId="08AE9A04" w14:textId="77777777" w:rsidR="00DD58CD" w:rsidRPr="0023308E" w:rsidRDefault="00DD58CD" w:rsidP="00DD58CD">
      <w:pPr>
        <w:numPr>
          <w:ilvl w:val="1"/>
          <w:numId w:val="23"/>
        </w:numPr>
        <w:spacing w:before="100" w:beforeAutospacing="1" w:after="100" w:afterAutospacing="1"/>
        <w:ind w:right="0"/>
        <w:jc w:val="both"/>
        <w:rPr>
          <w:rFonts w:ascii="Arial" w:hAnsi="Arial" w:cs="Arial"/>
        </w:rPr>
      </w:pPr>
      <w:r w:rsidRPr="0023308E">
        <w:rPr>
          <w:rFonts w:ascii="Arial" w:hAnsi="Arial" w:cs="Arial"/>
        </w:rPr>
        <w:t>Automation of routine managed</w:t>
      </w:r>
      <w:r w:rsidRPr="0023308E">
        <w:rPr>
          <w:rFonts w:ascii="Arial" w:hAnsi="Arial" w:cs="Arial"/>
        </w:rPr>
        <w:noBreakHyphen/>
        <w:t>services tasks (patching, backup, compliance checks) for current enterprise customers.</w:t>
      </w:r>
    </w:p>
    <w:p w14:paraId="2D5747FF" w14:textId="77777777" w:rsidR="00DD58CD" w:rsidRPr="0023308E" w:rsidRDefault="00DD58CD" w:rsidP="00DD58CD">
      <w:pPr>
        <w:numPr>
          <w:ilvl w:val="0"/>
          <w:numId w:val="23"/>
        </w:numPr>
        <w:spacing w:before="100" w:beforeAutospacing="1" w:after="100" w:afterAutospacing="1"/>
        <w:ind w:right="0"/>
        <w:jc w:val="both"/>
        <w:rPr>
          <w:rFonts w:ascii="Arial" w:hAnsi="Arial" w:cs="Arial"/>
        </w:rPr>
      </w:pPr>
      <w:r w:rsidRPr="0023308E">
        <w:rPr>
          <w:rFonts w:ascii="Arial" w:hAnsi="Arial" w:cs="Arial"/>
        </w:rPr>
        <w:t xml:space="preserve">Academic interpretation: These initiatives exploit existing capabilities and customer relationships, focusing on efficiency, reliability, and incremental value creation—consistent with the definition of core innovation as optimisation of existing products for established markets. </w:t>
      </w:r>
    </w:p>
    <w:p w14:paraId="11A4B884" w14:textId="6EEDDC37" w:rsidR="00DD58CD" w:rsidRPr="0023308E" w:rsidRDefault="00DD58CD" w:rsidP="00DD58CD">
      <w:pPr>
        <w:spacing w:before="100" w:beforeAutospacing="1" w:after="100" w:afterAutospacing="1"/>
        <w:ind w:right="0"/>
        <w:jc w:val="both"/>
        <w:rPr>
          <w:rFonts w:ascii="Arial" w:hAnsi="Arial" w:cs="Arial"/>
          <w:b/>
          <w:bCs/>
        </w:rPr>
      </w:pPr>
      <w:r w:rsidRPr="0023308E">
        <w:rPr>
          <w:rFonts w:ascii="Arial" w:hAnsi="Arial" w:cs="Arial"/>
          <w:b/>
          <w:bCs/>
        </w:rPr>
        <w:lastRenderedPageBreak/>
        <w:t>Adjacent innovation</w:t>
      </w:r>
      <w:r w:rsidR="00B526F6" w:rsidRPr="0023308E">
        <w:rPr>
          <w:rFonts w:ascii="Arial" w:hAnsi="Arial" w:cs="Arial"/>
          <w:b/>
          <w:bCs/>
        </w:rPr>
        <w:t>.</w:t>
      </w:r>
    </w:p>
    <w:p w14:paraId="77474EC8" w14:textId="77777777" w:rsidR="00DD58CD" w:rsidRPr="0023308E" w:rsidRDefault="00DD58CD" w:rsidP="00DD58CD">
      <w:pPr>
        <w:numPr>
          <w:ilvl w:val="1"/>
          <w:numId w:val="24"/>
        </w:numPr>
        <w:spacing w:before="100" w:beforeAutospacing="1" w:after="100" w:afterAutospacing="1"/>
        <w:ind w:right="0"/>
        <w:jc w:val="both"/>
        <w:rPr>
          <w:rFonts w:ascii="Arial" w:hAnsi="Arial" w:cs="Arial"/>
        </w:rPr>
      </w:pPr>
      <w:r w:rsidRPr="0023308E">
        <w:rPr>
          <w:rFonts w:ascii="Arial" w:hAnsi="Arial" w:cs="Arial"/>
        </w:rPr>
        <w:t>AI</w:t>
      </w:r>
      <w:r w:rsidRPr="0023308E">
        <w:rPr>
          <w:rFonts w:ascii="Arial" w:hAnsi="Arial" w:cs="Arial"/>
        </w:rPr>
        <w:noBreakHyphen/>
        <w:t>assisted cloud migration and modernisation services targeted at new industry verticals (e.g., healthcare, public sector).</w:t>
      </w:r>
    </w:p>
    <w:p w14:paraId="05A63CA8" w14:textId="77777777" w:rsidR="00DD58CD" w:rsidRPr="0023308E" w:rsidRDefault="00DD58CD" w:rsidP="00DD58CD">
      <w:pPr>
        <w:numPr>
          <w:ilvl w:val="1"/>
          <w:numId w:val="24"/>
        </w:numPr>
        <w:spacing w:before="100" w:beforeAutospacing="1" w:after="100" w:afterAutospacing="1"/>
        <w:ind w:right="0"/>
        <w:jc w:val="both"/>
        <w:rPr>
          <w:rFonts w:ascii="Arial" w:hAnsi="Arial" w:cs="Arial"/>
        </w:rPr>
      </w:pPr>
      <w:r w:rsidRPr="0023308E">
        <w:rPr>
          <w:rFonts w:ascii="Arial" w:hAnsi="Arial" w:cs="Arial"/>
        </w:rPr>
        <w:t>New analytics and governance products (e.g., SaaS dashboards for software spend, security posture, or ESG reporting) for existing enterprise clients.</w:t>
      </w:r>
    </w:p>
    <w:p w14:paraId="55719F05" w14:textId="77777777" w:rsidR="00DD58CD" w:rsidRPr="0023308E" w:rsidRDefault="00DD58CD" w:rsidP="00DD58CD">
      <w:pPr>
        <w:numPr>
          <w:ilvl w:val="1"/>
          <w:numId w:val="24"/>
        </w:numPr>
        <w:spacing w:before="100" w:beforeAutospacing="1" w:after="100" w:afterAutospacing="1"/>
        <w:ind w:right="0"/>
        <w:jc w:val="both"/>
        <w:rPr>
          <w:rFonts w:ascii="Arial" w:hAnsi="Arial" w:cs="Arial"/>
        </w:rPr>
      </w:pPr>
      <w:r w:rsidRPr="0023308E">
        <w:rPr>
          <w:rFonts w:ascii="Arial" w:hAnsi="Arial" w:cs="Arial"/>
        </w:rPr>
        <w:t>Geographic expansion of existing cybersecurity and cloud services into new regions.</w:t>
      </w:r>
    </w:p>
    <w:p w14:paraId="02EE602E" w14:textId="77777777" w:rsidR="00DD58CD" w:rsidRPr="0023308E" w:rsidRDefault="00DD58CD" w:rsidP="00DD58CD">
      <w:pPr>
        <w:numPr>
          <w:ilvl w:val="1"/>
          <w:numId w:val="24"/>
        </w:numPr>
        <w:spacing w:before="100" w:beforeAutospacing="1" w:after="100" w:afterAutospacing="1"/>
        <w:ind w:right="0"/>
        <w:jc w:val="both"/>
        <w:rPr>
          <w:rFonts w:ascii="Arial" w:hAnsi="Arial" w:cs="Arial"/>
        </w:rPr>
      </w:pPr>
      <w:r w:rsidRPr="0023308E">
        <w:rPr>
          <w:rFonts w:ascii="Arial" w:hAnsi="Arial" w:cs="Arial"/>
        </w:rPr>
        <w:t>Zero</w:t>
      </w:r>
      <w:r w:rsidRPr="0023308E">
        <w:rPr>
          <w:rFonts w:ascii="Arial" w:hAnsi="Arial" w:cs="Arial"/>
        </w:rPr>
        <w:noBreakHyphen/>
        <w:t>trust and identity</w:t>
      </w:r>
      <w:r w:rsidRPr="0023308E">
        <w:rPr>
          <w:rFonts w:ascii="Arial" w:hAnsi="Arial" w:cs="Arial"/>
        </w:rPr>
        <w:noBreakHyphen/>
        <w:t>centric consulting for mid</w:t>
      </w:r>
      <w:r w:rsidRPr="0023308E">
        <w:rPr>
          <w:rFonts w:ascii="Arial" w:hAnsi="Arial" w:cs="Arial"/>
        </w:rPr>
        <w:noBreakHyphen/>
        <w:t>market organisations (new segment, leveraging existing security expertise).</w:t>
      </w:r>
    </w:p>
    <w:p w14:paraId="0DEC84A1" w14:textId="77777777" w:rsidR="00DD58CD" w:rsidRPr="0023308E" w:rsidRDefault="00DD58CD" w:rsidP="00DD58CD">
      <w:pPr>
        <w:numPr>
          <w:ilvl w:val="0"/>
          <w:numId w:val="24"/>
        </w:numPr>
        <w:spacing w:before="100" w:beforeAutospacing="1" w:after="100" w:afterAutospacing="1"/>
        <w:ind w:right="0"/>
        <w:jc w:val="both"/>
        <w:rPr>
          <w:rFonts w:ascii="Arial" w:hAnsi="Arial" w:cs="Arial"/>
        </w:rPr>
      </w:pPr>
      <w:r w:rsidRPr="0023308E">
        <w:rPr>
          <w:rFonts w:ascii="Arial" w:hAnsi="Arial" w:cs="Arial"/>
        </w:rPr>
        <w:t xml:space="preserve">Academic interpretation: These initiatives extend Bytes’ current capabilities into adjacent markets or add new offerings for existing markets, aligning with the notion of adjacent innovation as “taking something the company does well into a new space.” </w:t>
      </w:r>
    </w:p>
    <w:p w14:paraId="76B31B69" w14:textId="307FECC8" w:rsidR="00DD58CD" w:rsidRPr="0023308E" w:rsidRDefault="00DD58CD" w:rsidP="00DD58CD">
      <w:pPr>
        <w:spacing w:before="100" w:beforeAutospacing="1" w:after="100" w:afterAutospacing="1"/>
        <w:ind w:right="0"/>
        <w:jc w:val="both"/>
        <w:rPr>
          <w:rFonts w:ascii="Arial" w:hAnsi="Arial" w:cs="Arial"/>
          <w:b/>
          <w:bCs/>
        </w:rPr>
      </w:pPr>
      <w:r w:rsidRPr="0023308E">
        <w:rPr>
          <w:rFonts w:ascii="Arial" w:hAnsi="Arial" w:cs="Arial"/>
          <w:b/>
          <w:bCs/>
        </w:rPr>
        <w:t>Transformational innovati</w:t>
      </w:r>
      <w:r w:rsidR="00B526F6" w:rsidRPr="0023308E">
        <w:rPr>
          <w:rFonts w:ascii="Arial" w:hAnsi="Arial" w:cs="Arial"/>
          <w:b/>
          <w:bCs/>
        </w:rPr>
        <w:t>on</w:t>
      </w:r>
    </w:p>
    <w:p w14:paraId="502F8E7E" w14:textId="77777777" w:rsidR="00DD58CD" w:rsidRPr="0023308E" w:rsidRDefault="00DD58CD" w:rsidP="00DD58CD">
      <w:pPr>
        <w:numPr>
          <w:ilvl w:val="1"/>
          <w:numId w:val="25"/>
        </w:numPr>
        <w:spacing w:before="100" w:beforeAutospacing="1" w:after="100" w:afterAutospacing="1"/>
        <w:ind w:right="0"/>
        <w:jc w:val="both"/>
        <w:rPr>
          <w:rFonts w:ascii="Arial" w:hAnsi="Arial" w:cs="Arial"/>
        </w:rPr>
      </w:pPr>
      <w:r w:rsidRPr="0023308E">
        <w:rPr>
          <w:rFonts w:ascii="Arial" w:hAnsi="Arial" w:cs="Arial"/>
        </w:rPr>
        <w:t>Development of a proprietary AI</w:t>
      </w:r>
      <w:r w:rsidRPr="0023308E">
        <w:rPr>
          <w:rFonts w:ascii="Arial" w:hAnsi="Arial" w:cs="Arial"/>
        </w:rPr>
        <w:noBreakHyphen/>
        <w:t>driven security and operations platform, moving beyond resale/integration into owning a scalable product.</w:t>
      </w:r>
    </w:p>
    <w:p w14:paraId="4B7A61A6" w14:textId="77777777" w:rsidR="00DD58CD" w:rsidRPr="0023308E" w:rsidRDefault="00DD58CD" w:rsidP="00DD58CD">
      <w:pPr>
        <w:numPr>
          <w:ilvl w:val="1"/>
          <w:numId w:val="25"/>
        </w:numPr>
        <w:spacing w:before="100" w:beforeAutospacing="1" w:after="100" w:afterAutospacing="1"/>
        <w:ind w:right="0"/>
        <w:jc w:val="both"/>
        <w:rPr>
          <w:rFonts w:ascii="Arial" w:hAnsi="Arial" w:cs="Arial"/>
        </w:rPr>
      </w:pPr>
      <w:r w:rsidRPr="0023308E">
        <w:rPr>
          <w:rFonts w:ascii="Arial" w:hAnsi="Arial" w:cs="Arial"/>
        </w:rPr>
        <w:t>Creation of industry</w:t>
      </w:r>
      <w:r w:rsidRPr="0023308E">
        <w:rPr>
          <w:rFonts w:ascii="Arial" w:hAnsi="Arial" w:cs="Arial"/>
        </w:rPr>
        <w:noBreakHyphen/>
        <w:t>specific digital ecosystems (e.g., a regulated</w:t>
      </w:r>
      <w:r w:rsidRPr="0023308E">
        <w:rPr>
          <w:rFonts w:ascii="Arial" w:hAnsi="Arial" w:cs="Arial"/>
        </w:rPr>
        <w:noBreakHyphen/>
        <w:t>industry compliance cloud combining identity, data governance, and partner apps).</w:t>
      </w:r>
    </w:p>
    <w:p w14:paraId="3100EA08" w14:textId="77777777" w:rsidR="00DD58CD" w:rsidRPr="0023308E" w:rsidRDefault="00DD58CD" w:rsidP="00DD58CD">
      <w:pPr>
        <w:numPr>
          <w:ilvl w:val="1"/>
          <w:numId w:val="25"/>
        </w:numPr>
        <w:spacing w:before="100" w:beforeAutospacing="1" w:after="100" w:afterAutospacing="1"/>
        <w:ind w:right="0"/>
        <w:jc w:val="both"/>
        <w:rPr>
          <w:rFonts w:ascii="Arial" w:hAnsi="Arial" w:cs="Arial"/>
        </w:rPr>
      </w:pPr>
      <w:r w:rsidRPr="0023308E">
        <w:rPr>
          <w:rFonts w:ascii="Arial" w:hAnsi="Arial" w:cs="Arial"/>
        </w:rPr>
        <w:t>Launch of a cyber</w:t>
      </w:r>
      <w:r w:rsidRPr="0023308E">
        <w:rPr>
          <w:rFonts w:ascii="Arial" w:hAnsi="Arial" w:cs="Arial"/>
        </w:rPr>
        <w:noBreakHyphen/>
        <w:t>resilience marketplace that orchestrates vendors, partners, and customers around shared data and automation.</w:t>
      </w:r>
    </w:p>
    <w:p w14:paraId="0B1F0EC0" w14:textId="77777777" w:rsidR="00DD58CD" w:rsidRPr="0023308E" w:rsidRDefault="00DD58CD" w:rsidP="00DD58CD">
      <w:pPr>
        <w:numPr>
          <w:ilvl w:val="1"/>
          <w:numId w:val="25"/>
        </w:numPr>
        <w:spacing w:before="100" w:beforeAutospacing="1" w:after="100" w:afterAutospacing="1"/>
        <w:ind w:right="0"/>
        <w:jc w:val="both"/>
        <w:rPr>
          <w:rFonts w:ascii="Arial" w:hAnsi="Arial" w:cs="Arial"/>
        </w:rPr>
      </w:pPr>
      <w:r w:rsidRPr="0023308E">
        <w:rPr>
          <w:rFonts w:ascii="Arial" w:hAnsi="Arial" w:cs="Arial"/>
        </w:rPr>
        <w:t>Exploration of decentralised identity or privacy</w:t>
      </w:r>
      <w:r w:rsidRPr="0023308E">
        <w:rPr>
          <w:rFonts w:ascii="Arial" w:hAnsi="Arial" w:cs="Arial"/>
        </w:rPr>
        <w:noBreakHyphen/>
        <w:t>preserving architectures as the basis for new business models.</w:t>
      </w:r>
    </w:p>
    <w:p w14:paraId="4185870F" w14:textId="77777777" w:rsidR="00DD58CD" w:rsidRPr="0023308E" w:rsidRDefault="00DD58CD" w:rsidP="00DD58CD">
      <w:pPr>
        <w:numPr>
          <w:ilvl w:val="0"/>
          <w:numId w:val="25"/>
        </w:numPr>
        <w:spacing w:before="100" w:beforeAutospacing="1" w:after="100" w:afterAutospacing="1"/>
        <w:ind w:right="0"/>
        <w:jc w:val="both"/>
        <w:rPr>
          <w:rFonts w:ascii="Arial" w:hAnsi="Arial" w:cs="Arial"/>
        </w:rPr>
      </w:pPr>
      <w:r w:rsidRPr="0023308E">
        <w:rPr>
          <w:rFonts w:ascii="Arial" w:hAnsi="Arial" w:cs="Arial"/>
        </w:rPr>
        <w:t>Academic interpretation: These initiatives represent high</w:t>
      </w:r>
      <w:r w:rsidRPr="0023308E">
        <w:rPr>
          <w:rFonts w:ascii="Arial" w:hAnsi="Arial" w:cs="Arial"/>
        </w:rPr>
        <w:noBreakHyphen/>
        <w:t>uncertainty, high</w:t>
      </w:r>
      <w:r w:rsidRPr="0023308E">
        <w:rPr>
          <w:rFonts w:ascii="Arial" w:hAnsi="Arial" w:cs="Arial"/>
        </w:rPr>
        <w:noBreakHyphen/>
        <w:t xml:space="preserve">potential bets that may require new capabilities, governance structures, and funding models—consistent with transformational innovation as the creation of new offerings for new markets. </w:t>
      </w:r>
    </w:p>
    <w:p w14:paraId="3A9B23D7" w14:textId="77777777" w:rsidR="00DD58CD" w:rsidRPr="0023308E" w:rsidRDefault="00DD58CD" w:rsidP="00DD58CD">
      <w:pPr>
        <w:spacing w:before="100" w:beforeAutospacing="1" w:after="100" w:afterAutospacing="1"/>
        <w:ind w:right="0"/>
        <w:jc w:val="both"/>
        <w:rPr>
          <w:rFonts w:ascii="Arial" w:hAnsi="Arial" w:cs="Arial"/>
          <w:b/>
          <w:bCs/>
        </w:rPr>
      </w:pPr>
      <w:r w:rsidRPr="0023308E">
        <w:rPr>
          <w:rFonts w:ascii="Arial" w:hAnsi="Arial" w:cs="Arial"/>
          <w:b/>
          <w:bCs/>
        </w:rPr>
        <w:t>Portfolio and governance implications for Bytes Technology</w:t>
      </w:r>
    </w:p>
    <w:p w14:paraId="6CBABD54" w14:textId="77777777" w:rsidR="00DD58CD" w:rsidRPr="0023308E" w:rsidRDefault="00DD58CD" w:rsidP="00DD58CD">
      <w:pPr>
        <w:numPr>
          <w:ilvl w:val="0"/>
          <w:numId w:val="26"/>
        </w:numPr>
        <w:spacing w:before="100" w:beforeAutospacing="1" w:after="100" w:afterAutospacing="1"/>
        <w:ind w:right="0"/>
        <w:jc w:val="both"/>
        <w:rPr>
          <w:rFonts w:ascii="Arial" w:hAnsi="Arial" w:cs="Arial"/>
        </w:rPr>
      </w:pPr>
      <w:r w:rsidRPr="0023308E">
        <w:rPr>
          <w:rFonts w:ascii="Arial" w:hAnsi="Arial" w:cs="Arial"/>
        </w:rPr>
        <w:t>Balanced portfolio: Drawing on Nagji and Tuff, Bytes Technology should avoid over</w:t>
      </w:r>
      <w:r w:rsidRPr="0023308E">
        <w:rPr>
          <w:rFonts w:ascii="Arial" w:hAnsi="Arial" w:cs="Arial"/>
        </w:rPr>
        <w:noBreakHyphen/>
        <w:t>indexing on low</w:t>
      </w:r>
      <w:r w:rsidRPr="0023308E">
        <w:rPr>
          <w:rFonts w:ascii="Arial" w:hAnsi="Arial" w:cs="Arial"/>
        </w:rPr>
        <w:noBreakHyphen/>
        <w:t xml:space="preserve">risk core projects and instead manage a deliberate mix of core, adjacent, and transformational initiatives, calibrated to its risk appetite and industry dynamics. </w:t>
      </w:r>
    </w:p>
    <w:p w14:paraId="52FE31A1" w14:textId="77777777" w:rsidR="00DD58CD" w:rsidRPr="0023308E" w:rsidRDefault="00DD58CD" w:rsidP="00DD58CD">
      <w:pPr>
        <w:numPr>
          <w:ilvl w:val="0"/>
          <w:numId w:val="26"/>
        </w:numPr>
        <w:spacing w:before="100" w:beforeAutospacing="1" w:after="100" w:afterAutospacing="1"/>
        <w:ind w:right="0"/>
        <w:jc w:val="both"/>
        <w:rPr>
          <w:rFonts w:ascii="Arial" w:hAnsi="Arial" w:cs="Arial"/>
        </w:rPr>
      </w:pPr>
      <w:r w:rsidRPr="0023308E">
        <w:rPr>
          <w:rFonts w:ascii="Arial" w:hAnsi="Arial" w:cs="Arial"/>
        </w:rPr>
        <w:t>Differentiated governance: Core projects can be evaluated with traditional financial metrics and operational KPIs, whereas transformational initiatives may require separate structures, staged funding, and learning</w:t>
      </w:r>
      <w:r w:rsidRPr="0023308E">
        <w:rPr>
          <w:rFonts w:ascii="Arial" w:hAnsi="Arial" w:cs="Arial"/>
        </w:rPr>
        <w:noBreakHyphen/>
        <w:t xml:space="preserve">oriented metrics in early phases. </w:t>
      </w:r>
    </w:p>
    <w:p w14:paraId="7CC2DFE7" w14:textId="77777777" w:rsidR="00DD58CD" w:rsidRPr="0023308E" w:rsidRDefault="00DD58CD" w:rsidP="00DD58CD">
      <w:pPr>
        <w:numPr>
          <w:ilvl w:val="0"/>
          <w:numId w:val="26"/>
        </w:numPr>
        <w:spacing w:before="100" w:beforeAutospacing="1" w:after="100" w:afterAutospacing="1"/>
        <w:ind w:right="0"/>
        <w:jc w:val="both"/>
        <w:rPr>
          <w:rFonts w:ascii="Arial" w:hAnsi="Arial" w:cs="Arial"/>
        </w:rPr>
      </w:pPr>
      <w:r w:rsidRPr="0023308E">
        <w:rPr>
          <w:rFonts w:ascii="Arial" w:hAnsi="Arial" w:cs="Arial"/>
        </w:rPr>
        <w:t xml:space="preserve">Strategic clarity: Explicitly classifying initiatives by ambition level helps Bytes align leadership, product, and sales teams, and prevents mislabelling incremental improvements as “transformational” innovation. </w:t>
      </w:r>
    </w:p>
    <w:p w14:paraId="2F84EDAD" w14:textId="77777777" w:rsidR="005538AB" w:rsidRDefault="005538AB" w:rsidP="005538AB">
      <w:pPr>
        <w:spacing w:before="100" w:beforeAutospacing="1" w:after="100" w:afterAutospacing="1"/>
        <w:ind w:left="360" w:right="0"/>
        <w:jc w:val="both"/>
        <w:rPr>
          <w:rFonts w:ascii="Arial" w:hAnsi="Arial" w:cs="Arial"/>
        </w:rPr>
      </w:pPr>
    </w:p>
    <w:p w14:paraId="448A35EF" w14:textId="77777777" w:rsidR="0061605F" w:rsidRDefault="0061605F" w:rsidP="005538AB">
      <w:pPr>
        <w:spacing w:before="100" w:beforeAutospacing="1" w:after="100" w:afterAutospacing="1"/>
        <w:ind w:left="360" w:right="0"/>
        <w:jc w:val="both"/>
        <w:rPr>
          <w:rFonts w:ascii="Arial" w:hAnsi="Arial" w:cs="Arial"/>
        </w:rPr>
      </w:pPr>
    </w:p>
    <w:p w14:paraId="1B723663" w14:textId="77777777" w:rsidR="0061605F" w:rsidRPr="0023308E" w:rsidRDefault="0061605F" w:rsidP="005538AB">
      <w:pPr>
        <w:spacing w:before="100" w:beforeAutospacing="1" w:after="100" w:afterAutospacing="1"/>
        <w:ind w:left="360" w:right="0"/>
        <w:jc w:val="both"/>
        <w:rPr>
          <w:rFonts w:ascii="Arial" w:hAnsi="Arial" w:cs="Arial"/>
        </w:rPr>
      </w:pPr>
    </w:p>
    <w:p w14:paraId="5FEA3ED5" w14:textId="079D3468" w:rsidR="008654F3" w:rsidRPr="008654F3" w:rsidRDefault="008654F3" w:rsidP="0023308E">
      <w:pPr>
        <w:spacing w:before="100" w:beforeAutospacing="1" w:after="100" w:afterAutospacing="1"/>
        <w:ind w:right="0"/>
        <w:jc w:val="both"/>
        <w:rPr>
          <w:rFonts w:ascii="Arial" w:hAnsi="Arial" w:cs="Arial"/>
          <w:b/>
          <w:bCs/>
        </w:rPr>
      </w:pPr>
      <w:r w:rsidRPr="008654F3">
        <w:rPr>
          <w:rFonts w:ascii="Arial" w:hAnsi="Arial" w:cs="Arial"/>
          <w:b/>
          <w:bCs/>
        </w:rPr>
        <w:t xml:space="preserve"> </w:t>
      </w:r>
    </w:p>
    <w:p w14:paraId="7E3B80AE" w14:textId="5416012A" w:rsidR="0061605F" w:rsidRPr="0061605F" w:rsidRDefault="0061605F" w:rsidP="008654F3">
      <w:pPr>
        <w:spacing w:before="100" w:beforeAutospacing="1" w:after="100" w:afterAutospacing="1"/>
        <w:ind w:left="360" w:right="0"/>
        <w:jc w:val="both"/>
        <w:rPr>
          <w:rFonts w:ascii="Arial" w:hAnsi="Arial" w:cs="Arial"/>
          <w:b/>
          <w:bCs/>
          <w:color w:val="156082" w:themeColor="accent1"/>
          <w:sz w:val="28"/>
          <w:szCs w:val="28"/>
          <w:u w:val="single"/>
        </w:rPr>
      </w:pPr>
      <w:r w:rsidRPr="0061605F">
        <w:rPr>
          <w:rFonts w:ascii="Arial" w:hAnsi="Arial" w:cs="Arial"/>
          <w:b/>
          <w:bCs/>
          <w:color w:val="156082" w:themeColor="accent1"/>
          <w:sz w:val="28"/>
          <w:szCs w:val="28"/>
          <w:u w:val="single"/>
        </w:rPr>
        <w:lastRenderedPageBreak/>
        <w:t xml:space="preserve">Analysis of BYTE’S approach to innovation </w:t>
      </w:r>
      <w:r w:rsidR="00057AEC">
        <w:rPr>
          <w:rFonts w:ascii="Arial" w:hAnsi="Arial" w:cs="Arial"/>
          <w:b/>
          <w:bCs/>
          <w:color w:val="156082" w:themeColor="accent1"/>
          <w:sz w:val="28"/>
          <w:szCs w:val="28"/>
          <w:u w:val="single"/>
        </w:rPr>
        <w:t xml:space="preserve"> (Innovation Ambition Matrix and enhanced customer journey map)</w:t>
      </w:r>
    </w:p>
    <w:p w14:paraId="4BD183DD" w14:textId="77777777" w:rsidR="0061605F" w:rsidRDefault="0061605F" w:rsidP="008654F3">
      <w:pPr>
        <w:spacing w:before="100" w:beforeAutospacing="1" w:after="100" w:afterAutospacing="1"/>
        <w:ind w:left="360" w:right="0"/>
        <w:jc w:val="both"/>
        <w:rPr>
          <w:rFonts w:ascii="Arial" w:hAnsi="Arial" w:cs="Arial"/>
          <w:b/>
          <w:bCs/>
          <w:sz w:val="28"/>
          <w:szCs w:val="28"/>
        </w:rPr>
      </w:pPr>
    </w:p>
    <w:p w14:paraId="38795615" w14:textId="4BC47BE3" w:rsidR="008654F3" w:rsidRPr="008654F3" w:rsidRDefault="008654F3" w:rsidP="008654F3">
      <w:pPr>
        <w:spacing w:before="100" w:beforeAutospacing="1" w:after="100" w:afterAutospacing="1"/>
        <w:ind w:left="360" w:right="0"/>
        <w:jc w:val="both"/>
        <w:rPr>
          <w:rFonts w:ascii="Arial" w:hAnsi="Arial" w:cs="Arial"/>
          <w:b/>
          <w:bCs/>
          <w:sz w:val="28"/>
          <w:szCs w:val="28"/>
        </w:rPr>
      </w:pPr>
      <w:r w:rsidRPr="008654F3">
        <w:rPr>
          <w:rFonts w:ascii="Arial" w:hAnsi="Arial" w:cs="Arial"/>
          <w:b/>
          <w:bCs/>
          <w:sz w:val="28"/>
          <w:szCs w:val="28"/>
        </w:rPr>
        <w:t>1. Strategic Investment in Capabilities and Customer Value</w:t>
      </w:r>
    </w:p>
    <w:p w14:paraId="21E84244"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Recent disclosures indicate that BYTES has prioritised investment in both its workforce and technical capabilities as part of its long</w:t>
      </w:r>
      <w:r w:rsidRPr="008654F3">
        <w:rPr>
          <w:rFonts w:ascii="Arial" w:hAnsi="Arial" w:cs="Arial"/>
        </w:rPr>
        <w:noBreakHyphen/>
        <w:t>term growth strategy (Bytes Annual Report, 2024/2025). The expansion of sales teams, alongside the recruitment of specialised technical staff, demonstrates a deliberate attempt to strengthen customer engagement and enhance service delivery. The opening of a new office in Portsmouth further signals the organisation’s anticipation of future growth and its commitment to regional expansion.</w:t>
      </w:r>
    </w:p>
    <w:p w14:paraId="6642EDFD"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From a critical perspective, this strategy aligns with contemporary organisational theory, which emphasises capability-building as a key driver of competitive advantage. However, rapid expansion also carries risks—particularly the potential for cultural dilution, resource strain, and integration challenges. BYTES’ emphasis on a “culture blueprint” centred on diversity and inclusion appears to be a proactive attempt to mitigate these risks by embedding shared values across a growing workforce.</w:t>
      </w:r>
    </w:p>
    <w:p w14:paraId="30B0E119" w14:textId="77777777" w:rsidR="008654F3" w:rsidRPr="008654F3" w:rsidRDefault="008654F3" w:rsidP="008654F3">
      <w:pPr>
        <w:spacing w:before="100" w:beforeAutospacing="1" w:after="100" w:afterAutospacing="1"/>
        <w:ind w:left="360" w:right="0"/>
        <w:jc w:val="both"/>
        <w:rPr>
          <w:rFonts w:ascii="Arial" w:hAnsi="Arial" w:cs="Arial"/>
          <w:b/>
          <w:bCs/>
        </w:rPr>
      </w:pPr>
      <w:r w:rsidRPr="008654F3">
        <w:rPr>
          <w:rFonts w:ascii="Arial" w:hAnsi="Arial" w:cs="Arial"/>
          <w:b/>
          <w:bCs/>
        </w:rPr>
        <w:t>2. Cybersecurity Growth and Market Positioning</w:t>
      </w:r>
    </w:p>
    <w:p w14:paraId="0CB83BED"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BYTES’ cybersecurity division has experienced significant expansion, positioning the company as a trusted advisor in integrated IT security solutions (Bytes Annual Report, 2024/2025). With nearly 80 specialists and partnerships with over 75 security vendors, the company offers consultancy, managed services, and end</w:t>
      </w:r>
      <w:r w:rsidRPr="008654F3">
        <w:rPr>
          <w:rFonts w:ascii="Arial" w:hAnsi="Arial" w:cs="Arial"/>
        </w:rPr>
        <w:noBreakHyphen/>
        <w:t>to</w:t>
      </w:r>
      <w:r w:rsidRPr="008654F3">
        <w:rPr>
          <w:rFonts w:ascii="Arial" w:hAnsi="Arial" w:cs="Arial"/>
        </w:rPr>
        <w:noBreakHyphen/>
        <w:t>end security solutions. The reported revenue growth—from $36 billion in 2024 to a projected $76 billion by 2029—illustrates both market demand and BYTES’ strategic positioning.</w:t>
      </w:r>
    </w:p>
    <w:p w14:paraId="12DF9D49"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Critically, while these projections are ambitious, they reflect broader global trends in cybersecurity investment driven by increasing digital threats. Nevertheless, reliance on vendor partnerships may expose BYTES to supply</w:t>
      </w:r>
      <w:r w:rsidRPr="008654F3">
        <w:rPr>
          <w:rFonts w:ascii="Arial" w:hAnsi="Arial" w:cs="Arial"/>
        </w:rPr>
        <w:noBreakHyphen/>
        <w:t>chain vulnerabilities and competitive pressures. Sustaining growth will require continuous innovation and differentiation in a rapidly evolving market.</w:t>
      </w:r>
    </w:p>
    <w:p w14:paraId="27A1B71D" w14:textId="77777777" w:rsidR="008654F3" w:rsidRPr="008654F3" w:rsidRDefault="008654F3" w:rsidP="008654F3">
      <w:pPr>
        <w:spacing w:before="100" w:beforeAutospacing="1" w:after="100" w:afterAutospacing="1"/>
        <w:ind w:left="360" w:right="0"/>
        <w:jc w:val="both"/>
        <w:rPr>
          <w:rFonts w:ascii="Arial" w:hAnsi="Arial" w:cs="Arial"/>
          <w:b/>
          <w:bCs/>
        </w:rPr>
      </w:pPr>
      <w:r w:rsidRPr="008654F3">
        <w:rPr>
          <w:rFonts w:ascii="Arial" w:hAnsi="Arial" w:cs="Arial"/>
          <w:b/>
          <w:bCs/>
        </w:rPr>
        <w:t>3. Income Structure and Sectoral Performance</w:t>
      </w:r>
    </w:p>
    <w:p w14:paraId="01FA92DB"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The company’s income analysis reveals a heavy reliance on software sales, which account for 96.5% of Gross Invoice Income (GII) and 91% of Gross Profit (GP) (Bytes Annual Report, 2024/2025). Hardware sales have declined to just 1% of GII and 2% of GP, while services contribute 2.5% of GII and 7% of GP. Public sector sales represent 70.1% of GII, significantly outperforming corporate sector sales.</w:t>
      </w:r>
    </w:p>
    <w:p w14:paraId="04E07B55"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This income distribution highlights two critical issues:</w:t>
      </w:r>
    </w:p>
    <w:p w14:paraId="32E81FF5" w14:textId="77777777" w:rsidR="008654F3" w:rsidRPr="008654F3" w:rsidRDefault="008654F3" w:rsidP="008654F3">
      <w:pPr>
        <w:numPr>
          <w:ilvl w:val="0"/>
          <w:numId w:val="27"/>
        </w:numPr>
        <w:spacing w:before="100" w:beforeAutospacing="1" w:after="100" w:afterAutospacing="1"/>
        <w:ind w:right="0"/>
        <w:jc w:val="both"/>
        <w:rPr>
          <w:rFonts w:ascii="Arial" w:hAnsi="Arial" w:cs="Arial"/>
        </w:rPr>
      </w:pPr>
      <w:r w:rsidRPr="008654F3">
        <w:rPr>
          <w:rFonts w:ascii="Arial" w:hAnsi="Arial" w:cs="Arial"/>
        </w:rPr>
        <w:t>Strength: Software</w:t>
      </w:r>
      <w:r w:rsidRPr="008654F3">
        <w:rPr>
          <w:rFonts w:ascii="Arial" w:hAnsi="Arial" w:cs="Arial"/>
        </w:rPr>
        <w:noBreakHyphen/>
        <w:t>driven revenue provides high margins and scalability.</w:t>
      </w:r>
    </w:p>
    <w:p w14:paraId="0E1ECDB1" w14:textId="77777777" w:rsidR="008654F3" w:rsidRPr="008654F3" w:rsidRDefault="008654F3" w:rsidP="008654F3">
      <w:pPr>
        <w:numPr>
          <w:ilvl w:val="0"/>
          <w:numId w:val="27"/>
        </w:numPr>
        <w:spacing w:before="100" w:beforeAutospacing="1" w:after="100" w:afterAutospacing="1"/>
        <w:ind w:right="0"/>
        <w:jc w:val="both"/>
        <w:rPr>
          <w:rFonts w:ascii="Arial" w:hAnsi="Arial" w:cs="Arial"/>
        </w:rPr>
      </w:pPr>
      <w:r w:rsidRPr="008654F3">
        <w:rPr>
          <w:rFonts w:ascii="Arial" w:hAnsi="Arial" w:cs="Arial"/>
        </w:rPr>
        <w:lastRenderedPageBreak/>
        <w:t>Risk: Over</w:t>
      </w:r>
      <w:r w:rsidRPr="008654F3">
        <w:rPr>
          <w:rFonts w:ascii="Arial" w:hAnsi="Arial" w:cs="Arial"/>
        </w:rPr>
        <w:noBreakHyphen/>
        <w:t>dependence on a single revenue stream and a single sector (public sector) may expose the company to policy changes, procurement cycles, and budget fluctuations.</w:t>
      </w:r>
    </w:p>
    <w:p w14:paraId="4EC5C5C5"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Diversification—particularly through services—could strengthen long</w:t>
      </w:r>
      <w:r w:rsidRPr="008654F3">
        <w:rPr>
          <w:rFonts w:ascii="Arial" w:hAnsi="Arial" w:cs="Arial"/>
        </w:rPr>
        <w:noBreakHyphen/>
        <w:t>term resilience.</w:t>
      </w:r>
    </w:p>
    <w:p w14:paraId="1440FD2F" w14:textId="77777777" w:rsidR="008654F3" w:rsidRPr="008654F3" w:rsidRDefault="008654F3" w:rsidP="008654F3">
      <w:pPr>
        <w:spacing w:before="100" w:beforeAutospacing="1" w:after="100" w:afterAutospacing="1"/>
        <w:ind w:left="360" w:right="0"/>
        <w:jc w:val="both"/>
        <w:rPr>
          <w:rFonts w:ascii="Arial" w:hAnsi="Arial" w:cs="Arial"/>
          <w:b/>
          <w:bCs/>
        </w:rPr>
      </w:pPr>
      <w:r w:rsidRPr="008654F3">
        <w:rPr>
          <w:rFonts w:ascii="Arial" w:hAnsi="Arial" w:cs="Arial"/>
          <w:b/>
          <w:bCs/>
        </w:rPr>
        <w:t>4. Environmental Commitments and Sustainability Practices</w:t>
      </w:r>
    </w:p>
    <w:p w14:paraId="1C3DB15E"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BYTES has articulated a strong environmental agenda, including a target of achieving zero carbon emissions and the expansion of an electric vehicle scheme across the organisation (Bytes Annual Report, 2024/2025). The installation of solar panels and investment in self</w:t>
      </w:r>
      <w:r w:rsidRPr="008654F3">
        <w:rPr>
          <w:rFonts w:ascii="Arial" w:hAnsi="Arial" w:cs="Arial"/>
        </w:rPr>
        <w:noBreakHyphen/>
        <w:t>generated renewable energy demonstrate a commitment to reducing operational emissions.</w:t>
      </w:r>
    </w:p>
    <w:p w14:paraId="05CA2CF5"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The company’s environmental policy emphasises transparency, responsible management of environmental impacts, and annual reporting of greenhouse gas emissions, energy use, water consumption, and waste generation. Although BYTES acknowledges that its operations have limited direct impact on nature restoration, it voluntarily supports restoration initiatives—an approach consistent with corporate social responsibility (CSR) frameworks.</w:t>
      </w:r>
    </w:p>
    <w:p w14:paraId="382B6342"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Critically, while these initiatives are commendable, the report does not specify measurable milestones or third</w:t>
      </w:r>
      <w:r w:rsidRPr="008654F3">
        <w:rPr>
          <w:rFonts w:ascii="Arial" w:hAnsi="Arial" w:cs="Arial"/>
        </w:rPr>
        <w:noBreakHyphen/>
        <w:t>party verification mechanisms. Without such indicators, assessing the effectiveness of these environmental commitments remains challenging.</w:t>
      </w:r>
    </w:p>
    <w:p w14:paraId="738BB3EA" w14:textId="77777777" w:rsidR="008654F3" w:rsidRPr="008654F3" w:rsidRDefault="008654F3" w:rsidP="008654F3">
      <w:pPr>
        <w:spacing w:before="100" w:beforeAutospacing="1" w:after="100" w:afterAutospacing="1"/>
        <w:ind w:left="360" w:right="0"/>
        <w:jc w:val="both"/>
        <w:rPr>
          <w:rFonts w:ascii="Arial" w:hAnsi="Arial" w:cs="Arial"/>
          <w:b/>
          <w:bCs/>
        </w:rPr>
      </w:pPr>
      <w:r w:rsidRPr="008654F3">
        <w:rPr>
          <w:rFonts w:ascii="Arial" w:hAnsi="Arial" w:cs="Arial"/>
          <w:b/>
          <w:bCs/>
        </w:rPr>
        <w:t>5. Waste Reduction, Recycling, and Circular Economy Practices</w:t>
      </w:r>
    </w:p>
    <w:p w14:paraId="51820926"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BYTES supports environmental sustainability through several operational practices, including:</w:t>
      </w:r>
    </w:p>
    <w:p w14:paraId="04A5DB70" w14:textId="77777777" w:rsidR="008654F3" w:rsidRPr="008654F3" w:rsidRDefault="008654F3" w:rsidP="008654F3">
      <w:pPr>
        <w:numPr>
          <w:ilvl w:val="0"/>
          <w:numId w:val="28"/>
        </w:numPr>
        <w:spacing w:before="100" w:beforeAutospacing="1" w:after="100" w:afterAutospacing="1"/>
        <w:ind w:right="0"/>
        <w:jc w:val="both"/>
        <w:rPr>
          <w:rFonts w:ascii="Arial" w:hAnsi="Arial" w:cs="Arial"/>
        </w:rPr>
      </w:pPr>
      <w:r w:rsidRPr="008654F3">
        <w:rPr>
          <w:rFonts w:ascii="Arial" w:hAnsi="Arial" w:cs="Arial"/>
        </w:rPr>
        <w:t>purchasing 100% renewable energy for owned offices</w:t>
      </w:r>
    </w:p>
    <w:p w14:paraId="69E008FD" w14:textId="77777777" w:rsidR="008654F3" w:rsidRPr="008654F3" w:rsidRDefault="008654F3" w:rsidP="008654F3">
      <w:pPr>
        <w:numPr>
          <w:ilvl w:val="0"/>
          <w:numId w:val="28"/>
        </w:numPr>
        <w:spacing w:before="100" w:beforeAutospacing="1" w:after="100" w:afterAutospacing="1"/>
        <w:ind w:right="0"/>
        <w:jc w:val="both"/>
        <w:rPr>
          <w:rFonts w:ascii="Arial" w:hAnsi="Arial" w:cs="Arial"/>
        </w:rPr>
      </w:pPr>
      <w:r w:rsidRPr="008654F3">
        <w:rPr>
          <w:rFonts w:ascii="Arial" w:hAnsi="Arial" w:cs="Arial"/>
        </w:rPr>
        <w:t>promoting active travel and public transport</w:t>
      </w:r>
    </w:p>
    <w:p w14:paraId="52C5BFAE" w14:textId="77777777" w:rsidR="008654F3" w:rsidRPr="008654F3" w:rsidRDefault="008654F3" w:rsidP="008654F3">
      <w:pPr>
        <w:numPr>
          <w:ilvl w:val="0"/>
          <w:numId w:val="28"/>
        </w:numPr>
        <w:spacing w:before="100" w:beforeAutospacing="1" w:after="100" w:afterAutospacing="1"/>
        <w:ind w:right="0"/>
        <w:jc w:val="both"/>
        <w:rPr>
          <w:rFonts w:ascii="Arial" w:hAnsi="Arial" w:cs="Arial"/>
        </w:rPr>
      </w:pPr>
      <w:r w:rsidRPr="008654F3">
        <w:rPr>
          <w:rFonts w:ascii="Arial" w:hAnsi="Arial" w:cs="Arial"/>
        </w:rPr>
        <w:t>eliminating single</w:t>
      </w:r>
      <w:r w:rsidRPr="008654F3">
        <w:rPr>
          <w:rFonts w:ascii="Arial" w:hAnsi="Arial" w:cs="Arial"/>
        </w:rPr>
        <w:noBreakHyphen/>
        <w:t>use plastics</w:t>
      </w:r>
    </w:p>
    <w:p w14:paraId="07575406" w14:textId="77777777" w:rsidR="008654F3" w:rsidRPr="008654F3" w:rsidRDefault="008654F3" w:rsidP="008654F3">
      <w:pPr>
        <w:numPr>
          <w:ilvl w:val="0"/>
          <w:numId w:val="28"/>
        </w:numPr>
        <w:spacing w:before="100" w:beforeAutospacing="1" w:after="100" w:afterAutospacing="1"/>
        <w:ind w:right="0"/>
        <w:jc w:val="both"/>
        <w:rPr>
          <w:rFonts w:ascii="Arial" w:hAnsi="Arial" w:cs="Arial"/>
        </w:rPr>
      </w:pPr>
      <w:r w:rsidRPr="008654F3">
        <w:rPr>
          <w:rFonts w:ascii="Arial" w:hAnsi="Arial" w:cs="Arial"/>
        </w:rPr>
        <w:t>donating used laptops to charities to support digital inclusion</w:t>
      </w:r>
    </w:p>
    <w:p w14:paraId="3C3F2D8A" w14:textId="77777777" w:rsidR="008654F3" w:rsidRPr="008654F3" w:rsidRDefault="008654F3" w:rsidP="008654F3">
      <w:pPr>
        <w:numPr>
          <w:ilvl w:val="0"/>
          <w:numId w:val="28"/>
        </w:numPr>
        <w:spacing w:before="100" w:beforeAutospacing="1" w:after="100" w:afterAutospacing="1"/>
        <w:ind w:right="0"/>
        <w:jc w:val="both"/>
        <w:rPr>
          <w:rFonts w:ascii="Arial" w:hAnsi="Arial" w:cs="Arial"/>
        </w:rPr>
      </w:pPr>
      <w:r w:rsidRPr="008654F3">
        <w:rPr>
          <w:rFonts w:ascii="Arial" w:hAnsi="Arial" w:cs="Arial"/>
        </w:rPr>
        <w:t>promoting carbon literacy among employees</w:t>
      </w:r>
    </w:p>
    <w:p w14:paraId="5EC2EC49"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These initiatives reflect a shift towards circular economy principles, particularly through the reuse of IT equipment. However, the success of such programmes depends on consistent employee engagement and robust monitoring systems.</w:t>
      </w:r>
    </w:p>
    <w:p w14:paraId="76EF8E99" w14:textId="77777777" w:rsidR="008654F3" w:rsidRPr="008654F3" w:rsidRDefault="008654F3" w:rsidP="008654F3">
      <w:pPr>
        <w:spacing w:before="100" w:beforeAutospacing="1" w:after="100" w:afterAutospacing="1"/>
        <w:ind w:left="360" w:right="0"/>
        <w:jc w:val="both"/>
        <w:rPr>
          <w:rFonts w:ascii="Arial" w:hAnsi="Arial" w:cs="Arial"/>
          <w:b/>
          <w:bCs/>
        </w:rPr>
      </w:pPr>
      <w:r w:rsidRPr="008654F3">
        <w:rPr>
          <w:rFonts w:ascii="Arial" w:hAnsi="Arial" w:cs="Arial"/>
          <w:b/>
          <w:bCs/>
        </w:rPr>
        <w:t>6. Social Responsibility and Workforce Development</w:t>
      </w:r>
    </w:p>
    <w:p w14:paraId="5F3E7ADE"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BYTES positions its workforce as a core organisational asset, emphasising wellbeing, career development, flexible working, and inclusive leadership (Bytes Annual Report, 2024/2025). The expansion of apprenticeship programmes—including degree</w:t>
      </w:r>
      <w:r w:rsidRPr="008654F3">
        <w:rPr>
          <w:rFonts w:ascii="Arial" w:hAnsi="Arial" w:cs="Arial"/>
        </w:rPr>
        <w:noBreakHyphen/>
        <w:t>level apprenticeships—demonstrates a commitment to long</w:t>
      </w:r>
      <w:r w:rsidRPr="008654F3">
        <w:rPr>
          <w:rFonts w:ascii="Arial" w:hAnsi="Arial" w:cs="Arial"/>
        </w:rPr>
        <w:noBreakHyphen/>
        <w:t>term talent development.</w:t>
      </w:r>
    </w:p>
    <w:p w14:paraId="7AFC7714"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 xml:space="preserve">From a critical standpoint, these initiatives align with best practices in human capital management. However, the report provides limited evidence of outcomes, such as </w:t>
      </w:r>
      <w:r w:rsidRPr="008654F3">
        <w:rPr>
          <w:rFonts w:ascii="Arial" w:hAnsi="Arial" w:cs="Arial"/>
        </w:rPr>
        <w:lastRenderedPageBreak/>
        <w:t>retention rates, employee satisfaction metrics, or diversity statistics. Future reporting could strengthen credibility by including such performance indicators.</w:t>
      </w:r>
    </w:p>
    <w:p w14:paraId="427131B4" w14:textId="77777777" w:rsidR="008654F3" w:rsidRPr="008654F3" w:rsidRDefault="008654F3" w:rsidP="008654F3">
      <w:pPr>
        <w:spacing w:before="100" w:beforeAutospacing="1" w:after="100" w:afterAutospacing="1"/>
        <w:ind w:left="360" w:right="0"/>
        <w:jc w:val="both"/>
        <w:rPr>
          <w:rFonts w:ascii="Arial" w:hAnsi="Arial" w:cs="Arial"/>
          <w:b/>
          <w:bCs/>
        </w:rPr>
      </w:pPr>
      <w:r w:rsidRPr="008654F3">
        <w:rPr>
          <w:rFonts w:ascii="Arial" w:hAnsi="Arial" w:cs="Arial"/>
          <w:b/>
          <w:bCs/>
        </w:rPr>
        <w:t>7. Governance and Oversight</w:t>
      </w:r>
    </w:p>
    <w:p w14:paraId="0B8C8E8D"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The company’s sustainability strategy is overseen by its ESG (Environmental, Social, and Governance) Committee, which is responsible for monitoring progress and ensuring alignment with corporate objectives (Bytes Annual Report, 2024/2025). Effective governance is essential for ensuring that sustainability commitments translate into measurable action.</w:t>
      </w:r>
    </w:p>
    <w:p w14:paraId="2A4567A1" w14:textId="77777777" w:rsidR="008654F3" w:rsidRPr="008654F3" w:rsidRDefault="008654F3" w:rsidP="008654F3">
      <w:pPr>
        <w:spacing w:before="100" w:beforeAutospacing="1" w:after="100" w:afterAutospacing="1"/>
        <w:ind w:left="360" w:right="0"/>
        <w:jc w:val="both"/>
        <w:rPr>
          <w:rFonts w:ascii="Arial" w:hAnsi="Arial" w:cs="Arial"/>
        </w:rPr>
      </w:pPr>
      <w:r w:rsidRPr="008654F3">
        <w:rPr>
          <w:rFonts w:ascii="Arial" w:hAnsi="Arial" w:cs="Arial"/>
        </w:rPr>
        <w:t>A critical observation is that while governance structures are in place, the report does not detail the committee’s decision</w:t>
      </w:r>
      <w:r w:rsidRPr="008654F3">
        <w:rPr>
          <w:rFonts w:ascii="Arial" w:hAnsi="Arial" w:cs="Arial"/>
        </w:rPr>
        <w:noBreakHyphen/>
        <w:t>making processes, accountability mechanisms, or integration with broader corporate governance frameworks. Greater transparency would enhance stakeholder confidence</w:t>
      </w:r>
    </w:p>
    <w:p w14:paraId="414DC6D0" w14:textId="77777777" w:rsidR="00DD58CD" w:rsidRPr="0023308E" w:rsidRDefault="00DD58CD" w:rsidP="0005225A">
      <w:pPr>
        <w:spacing w:before="100" w:beforeAutospacing="1" w:after="100" w:afterAutospacing="1"/>
        <w:ind w:right="0"/>
        <w:jc w:val="both"/>
        <w:rPr>
          <w:rFonts w:ascii="Arial" w:hAnsi="Arial" w:cs="Arial"/>
        </w:rPr>
      </w:pPr>
    </w:p>
    <w:p w14:paraId="151BB4A6" w14:textId="20CB82DC" w:rsidR="00A6694B" w:rsidRPr="0023308E" w:rsidRDefault="002F0574" w:rsidP="0005225A">
      <w:pPr>
        <w:spacing w:before="100" w:beforeAutospacing="1" w:after="100" w:afterAutospacing="1"/>
        <w:ind w:right="0"/>
        <w:jc w:val="both"/>
        <w:rPr>
          <w:rFonts w:ascii="Arial" w:hAnsi="Arial" w:cs="Arial"/>
          <w:b/>
          <w:bCs/>
          <w:color w:val="0E2841" w:themeColor="text2"/>
          <w:u w:val="single"/>
        </w:rPr>
      </w:pPr>
      <w:r w:rsidRPr="0023308E">
        <w:rPr>
          <w:rFonts w:ascii="Arial" w:hAnsi="Arial" w:cs="Arial"/>
          <w:b/>
          <w:bCs/>
          <w:color w:val="0E2841" w:themeColor="text2"/>
          <w:u w:val="single"/>
        </w:rPr>
        <w:t>New and enhanced customer journey map (Recommendations)</w:t>
      </w:r>
    </w:p>
    <w:p w14:paraId="4B1F291B" w14:textId="2C904CEC" w:rsidR="002F0574" w:rsidRPr="0023308E" w:rsidRDefault="002F0574" w:rsidP="0005225A">
      <w:pPr>
        <w:spacing w:before="100" w:beforeAutospacing="1" w:after="100" w:afterAutospacing="1"/>
        <w:ind w:right="0"/>
        <w:jc w:val="both"/>
        <w:rPr>
          <w:rFonts w:ascii="Arial" w:hAnsi="Arial" w:cs="Arial"/>
        </w:rPr>
      </w:pPr>
      <w:r w:rsidRPr="0023308E">
        <w:rPr>
          <w:rFonts w:ascii="Arial" w:hAnsi="Arial" w:cs="Arial"/>
        </w:rPr>
        <w:t xml:space="preserve">Learning and implementing the technology in 2025 in BYTES software make improvements in below ways. Software businesses in 2026, will face rapidly evolving expectations shaped by Artificial Intelligence (AI), personalization and immersive digital experiences. I will recommend this enhanced, futuristic map tailored to BYTES. </w:t>
      </w:r>
    </w:p>
    <w:tbl>
      <w:tblPr>
        <w:tblStyle w:val="TableGrid"/>
        <w:tblW w:w="0" w:type="auto"/>
        <w:tblInd w:w="279" w:type="dxa"/>
        <w:tblLook w:val="04A0" w:firstRow="1" w:lastRow="0" w:firstColumn="1" w:lastColumn="0" w:noHBand="0" w:noVBand="1"/>
      </w:tblPr>
      <w:tblGrid>
        <w:gridCol w:w="1559"/>
        <w:gridCol w:w="1559"/>
        <w:gridCol w:w="2160"/>
        <w:gridCol w:w="1624"/>
        <w:gridCol w:w="1835"/>
      </w:tblGrid>
      <w:tr w:rsidR="001D403F" w:rsidRPr="0023308E" w14:paraId="551BD0A4" w14:textId="77777777" w:rsidTr="0061605F">
        <w:tc>
          <w:tcPr>
            <w:tcW w:w="1559" w:type="dxa"/>
          </w:tcPr>
          <w:p w14:paraId="5ECCB263" w14:textId="2CC815DD" w:rsidR="001D403F" w:rsidRPr="0023308E" w:rsidRDefault="001D403F" w:rsidP="0005225A">
            <w:pPr>
              <w:spacing w:before="100" w:beforeAutospacing="1" w:after="100" w:afterAutospacing="1"/>
              <w:ind w:right="0"/>
              <w:jc w:val="both"/>
              <w:rPr>
                <w:rFonts w:ascii="Arial" w:hAnsi="Arial" w:cs="Arial"/>
                <w:b/>
                <w:bCs/>
                <w:color w:val="0E2841" w:themeColor="text2"/>
              </w:rPr>
            </w:pPr>
            <w:r w:rsidRPr="0023308E">
              <w:rPr>
                <w:rFonts w:ascii="Arial" w:hAnsi="Arial" w:cs="Arial"/>
                <w:b/>
                <w:bCs/>
                <w:color w:val="0E2841" w:themeColor="text2"/>
              </w:rPr>
              <w:t>Stage</w:t>
            </w:r>
          </w:p>
        </w:tc>
        <w:tc>
          <w:tcPr>
            <w:tcW w:w="1559" w:type="dxa"/>
          </w:tcPr>
          <w:p w14:paraId="6DE46138" w14:textId="6699A2FE" w:rsidR="001D403F" w:rsidRPr="0023308E" w:rsidRDefault="001D403F" w:rsidP="0005225A">
            <w:pPr>
              <w:spacing w:before="100" w:beforeAutospacing="1" w:after="100" w:afterAutospacing="1"/>
              <w:ind w:right="0"/>
              <w:jc w:val="both"/>
              <w:rPr>
                <w:rFonts w:ascii="Arial" w:hAnsi="Arial" w:cs="Arial"/>
                <w:b/>
                <w:bCs/>
                <w:color w:val="0E2841" w:themeColor="text2"/>
              </w:rPr>
            </w:pPr>
            <w:r w:rsidRPr="0023308E">
              <w:rPr>
                <w:rFonts w:ascii="Arial" w:hAnsi="Arial" w:cs="Arial"/>
                <w:b/>
                <w:bCs/>
                <w:color w:val="0E2841" w:themeColor="text2"/>
              </w:rPr>
              <w:t>Customer Aims</w:t>
            </w:r>
          </w:p>
        </w:tc>
        <w:tc>
          <w:tcPr>
            <w:tcW w:w="2160" w:type="dxa"/>
          </w:tcPr>
          <w:p w14:paraId="6D7298B4" w14:textId="60E95AB7" w:rsidR="001D403F" w:rsidRPr="0023308E" w:rsidRDefault="001D403F" w:rsidP="0005225A">
            <w:pPr>
              <w:spacing w:before="100" w:beforeAutospacing="1" w:after="100" w:afterAutospacing="1"/>
              <w:ind w:right="0"/>
              <w:jc w:val="both"/>
              <w:rPr>
                <w:rFonts w:ascii="Arial" w:hAnsi="Arial" w:cs="Arial"/>
                <w:b/>
                <w:bCs/>
                <w:color w:val="0E2841" w:themeColor="text2"/>
              </w:rPr>
            </w:pPr>
            <w:r w:rsidRPr="0023308E">
              <w:rPr>
                <w:rFonts w:ascii="Arial" w:hAnsi="Arial" w:cs="Arial"/>
                <w:b/>
                <w:bCs/>
                <w:color w:val="0E2841" w:themeColor="text2"/>
              </w:rPr>
              <w:t>BYTES actions</w:t>
            </w:r>
          </w:p>
        </w:tc>
        <w:tc>
          <w:tcPr>
            <w:tcW w:w="1624" w:type="dxa"/>
          </w:tcPr>
          <w:p w14:paraId="75D0E195" w14:textId="52622D6C" w:rsidR="001D403F" w:rsidRPr="0023308E" w:rsidRDefault="001D403F" w:rsidP="0005225A">
            <w:pPr>
              <w:spacing w:before="100" w:beforeAutospacing="1" w:after="100" w:afterAutospacing="1"/>
              <w:ind w:right="0"/>
              <w:jc w:val="both"/>
              <w:rPr>
                <w:rFonts w:ascii="Arial" w:hAnsi="Arial" w:cs="Arial"/>
                <w:b/>
                <w:bCs/>
                <w:color w:val="0E2841" w:themeColor="text2"/>
              </w:rPr>
            </w:pPr>
            <w:r w:rsidRPr="0023308E">
              <w:rPr>
                <w:rFonts w:ascii="Arial" w:hAnsi="Arial" w:cs="Arial"/>
                <w:b/>
                <w:bCs/>
                <w:color w:val="0E2841" w:themeColor="text2"/>
              </w:rPr>
              <w:t>Touch points</w:t>
            </w:r>
          </w:p>
        </w:tc>
        <w:tc>
          <w:tcPr>
            <w:tcW w:w="1835" w:type="dxa"/>
          </w:tcPr>
          <w:p w14:paraId="605918DD" w14:textId="644EEDFC" w:rsidR="001D403F" w:rsidRPr="0023308E" w:rsidRDefault="001D403F" w:rsidP="0005225A">
            <w:pPr>
              <w:spacing w:before="100" w:beforeAutospacing="1" w:after="100" w:afterAutospacing="1"/>
              <w:ind w:right="0"/>
              <w:jc w:val="both"/>
              <w:rPr>
                <w:rFonts w:ascii="Arial" w:hAnsi="Arial" w:cs="Arial"/>
                <w:b/>
                <w:bCs/>
                <w:color w:val="0E2841" w:themeColor="text2"/>
              </w:rPr>
            </w:pPr>
            <w:r w:rsidRPr="0023308E">
              <w:rPr>
                <w:rFonts w:ascii="Arial" w:hAnsi="Arial" w:cs="Arial"/>
                <w:b/>
                <w:bCs/>
                <w:color w:val="0E2841" w:themeColor="text2"/>
              </w:rPr>
              <w:t>Opportunities</w:t>
            </w:r>
          </w:p>
        </w:tc>
      </w:tr>
      <w:tr w:rsidR="001D403F" w:rsidRPr="0023308E" w14:paraId="1072F007" w14:textId="77777777" w:rsidTr="0061605F">
        <w:tc>
          <w:tcPr>
            <w:tcW w:w="1559" w:type="dxa"/>
          </w:tcPr>
          <w:p w14:paraId="2720152C" w14:textId="50C51B53" w:rsidR="001D403F" w:rsidRPr="0023308E" w:rsidRDefault="001D403F" w:rsidP="0005225A">
            <w:pPr>
              <w:spacing w:before="100" w:beforeAutospacing="1" w:after="100" w:afterAutospacing="1"/>
              <w:ind w:right="0"/>
              <w:jc w:val="both"/>
              <w:rPr>
                <w:rFonts w:ascii="Arial" w:hAnsi="Arial" w:cs="Arial"/>
                <w:color w:val="0E2841" w:themeColor="text2"/>
                <w:sz w:val="16"/>
                <w:szCs w:val="16"/>
              </w:rPr>
            </w:pPr>
            <w:r w:rsidRPr="0023308E">
              <w:rPr>
                <w:rFonts w:ascii="Arial" w:hAnsi="Arial" w:cs="Arial"/>
                <w:color w:val="0E2841" w:themeColor="text2"/>
                <w:sz w:val="16"/>
                <w:szCs w:val="16"/>
              </w:rPr>
              <w:t>Awareness</w:t>
            </w:r>
          </w:p>
        </w:tc>
        <w:tc>
          <w:tcPr>
            <w:tcW w:w="1559" w:type="dxa"/>
          </w:tcPr>
          <w:p w14:paraId="14D8FA8D" w14:textId="048EC0E6"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 xml:space="preserve">Discover solutions to pain points. </w:t>
            </w:r>
          </w:p>
        </w:tc>
        <w:tc>
          <w:tcPr>
            <w:tcW w:w="2160" w:type="dxa"/>
          </w:tcPr>
          <w:p w14:paraId="6310A439" w14:textId="5EEB99A0"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 xml:space="preserve">AI driven marketing campaigns, thought leadership content </w:t>
            </w:r>
          </w:p>
        </w:tc>
        <w:tc>
          <w:tcPr>
            <w:tcW w:w="1624" w:type="dxa"/>
          </w:tcPr>
          <w:p w14:paraId="4A93467D" w14:textId="5F88E48E"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Website,</w:t>
            </w:r>
            <w:r w:rsidR="0027447E" w:rsidRPr="0023308E">
              <w:rPr>
                <w:rFonts w:ascii="Arial" w:hAnsi="Arial" w:cs="Arial"/>
                <w:sz w:val="16"/>
                <w:szCs w:val="16"/>
              </w:rPr>
              <w:t xml:space="preserve"> </w:t>
            </w:r>
            <w:r w:rsidRPr="0023308E">
              <w:rPr>
                <w:rFonts w:ascii="Arial" w:hAnsi="Arial" w:cs="Arial"/>
                <w:sz w:val="16"/>
                <w:szCs w:val="16"/>
              </w:rPr>
              <w:t>podcasts,</w:t>
            </w:r>
            <w:r w:rsidR="0027447E" w:rsidRPr="0023308E">
              <w:rPr>
                <w:rFonts w:ascii="Arial" w:hAnsi="Arial" w:cs="Arial"/>
                <w:sz w:val="16"/>
                <w:szCs w:val="16"/>
              </w:rPr>
              <w:t xml:space="preserve"> webinars</w:t>
            </w:r>
            <w:r w:rsidRPr="0023308E">
              <w:rPr>
                <w:rFonts w:ascii="Arial" w:hAnsi="Arial" w:cs="Arial"/>
                <w:sz w:val="16"/>
                <w:szCs w:val="16"/>
              </w:rPr>
              <w:t xml:space="preserve"> and linked in.</w:t>
            </w:r>
          </w:p>
        </w:tc>
        <w:tc>
          <w:tcPr>
            <w:tcW w:w="1835" w:type="dxa"/>
          </w:tcPr>
          <w:p w14:paraId="107916F8" w14:textId="400CB42D" w:rsidR="001D403F" w:rsidRPr="0023308E" w:rsidRDefault="0027447E"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 xml:space="preserve">Use AI personalization to target industries. </w:t>
            </w:r>
          </w:p>
        </w:tc>
      </w:tr>
      <w:tr w:rsidR="001D403F" w:rsidRPr="0023308E" w14:paraId="7539CCA0" w14:textId="77777777" w:rsidTr="0061605F">
        <w:tc>
          <w:tcPr>
            <w:tcW w:w="1559" w:type="dxa"/>
          </w:tcPr>
          <w:p w14:paraId="246EFE68" w14:textId="76A0B158" w:rsidR="001D403F" w:rsidRPr="0023308E" w:rsidRDefault="001D403F" w:rsidP="0005225A">
            <w:pPr>
              <w:spacing w:before="100" w:beforeAutospacing="1" w:after="100" w:afterAutospacing="1"/>
              <w:ind w:right="0"/>
              <w:jc w:val="both"/>
              <w:rPr>
                <w:rFonts w:ascii="Arial" w:hAnsi="Arial" w:cs="Arial"/>
                <w:color w:val="0E2841" w:themeColor="text2"/>
                <w:sz w:val="16"/>
                <w:szCs w:val="16"/>
              </w:rPr>
            </w:pPr>
            <w:r w:rsidRPr="0023308E">
              <w:rPr>
                <w:rFonts w:ascii="Arial" w:hAnsi="Arial" w:cs="Arial"/>
                <w:color w:val="0E2841" w:themeColor="text2"/>
                <w:sz w:val="16"/>
                <w:szCs w:val="16"/>
              </w:rPr>
              <w:t>Consideration</w:t>
            </w:r>
          </w:p>
        </w:tc>
        <w:tc>
          <w:tcPr>
            <w:tcW w:w="1559" w:type="dxa"/>
          </w:tcPr>
          <w:p w14:paraId="5122A8A8" w14:textId="1CCB7039"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Compare providers and evaluate trust</w:t>
            </w:r>
          </w:p>
        </w:tc>
        <w:tc>
          <w:tcPr>
            <w:tcW w:w="2160" w:type="dxa"/>
          </w:tcPr>
          <w:p w14:paraId="39AD1CCF" w14:textId="164C624C"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Case studies, demos and transparent pricing</w:t>
            </w:r>
          </w:p>
        </w:tc>
        <w:tc>
          <w:tcPr>
            <w:tcW w:w="1624" w:type="dxa"/>
          </w:tcPr>
          <w:p w14:paraId="291A131F" w14:textId="3B67C069" w:rsidR="001D403F" w:rsidRPr="0023308E" w:rsidRDefault="0027447E"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Bytes.co.uk case studies sales consultations</w:t>
            </w:r>
          </w:p>
        </w:tc>
        <w:tc>
          <w:tcPr>
            <w:tcW w:w="1835" w:type="dxa"/>
          </w:tcPr>
          <w:p w14:paraId="4136FAA1" w14:textId="4093EBB1" w:rsidR="001D403F" w:rsidRPr="0023308E" w:rsidRDefault="0027447E"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Highlight security first approach and sustainability commitments.</w:t>
            </w:r>
          </w:p>
        </w:tc>
      </w:tr>
      <w:tr w:rsidR="001D403F" w:rsidRPr="0023308E" w14:paraId="33357ACD" w14:textId="77777777" w:rsidTr="0061605F">
        <w:tc>
          <w:tcPr>
            <w:tcW w:w="1559" w:type="dxa"/>
          </w:tcPr>
          <w:p w14:paraId="456C03AC" w14:textId="0AA3178B" w:rsidR="001D403F" w:rsidRPr="0023308E" w:rsidRDefault="001D403F" w:rsidP="0005225A">
            <w:pPr>
              <w:spacing w:before="100" w:beforeAutospacing="1" w:after="100" w:afterAutospacing="1"/>
              <w:ind w:right="0"/>
              <w:jc w:val="both"/>
              <w:rPr>
                <w:rFonts w:ascii="Arial" w:hAnsi="Arial" w:cs="Arial"/>
                <w:color w:val="0E2841" w:themeColor="text2"/>
                <w:sz w:val="16"/>
                <w:szCs w:val="16"/>
              </w:rPr>
            </w:pPr>
            <w:r w:rsidRPr="0023308E">
              <w:rPr>
                <w:rFonts w:ascii="Arial" w:hAnsi="Arial" w:cs="Arial"/>
                <w:color w:val="0E2841" w:themeColor="text2"/>
                <w:sz w:val="16"/>
                <w:szCs w:val="16"/>
              </w:rPr>
              <w:t>Onboarding</w:t>
            </w:r>
          </w:p>
        </w:tc>
        <w:tc>
          <w:tcPr>
            <w:tcW w:w="1559" w:type="dxa"/>
          </w:tcPr>
          <w:p w14:paraId="5BD5A68A" w14:textId="426388AF"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Smooth setup of services</w:t>
            </w:r>
          </w:p>
        </w:tc>
        <w:tc>
          <w:tcPr>
            <w:tcW w:w="2160" w:type="dxa"/>
          </w:tcPr>
          <w:p w14:paraId="2E62D9CB" w14:textId="09D78F60"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Guide onboarding with copilot AI, dedicated success managers</w:t>
            </w:r>
          </w:p>
        </w:tc>
        <w:tc>
          <w:tcPr>
            <w:tcW w:w="1624" w:type="dxa"/>
          </w:tcPr>
          <w:p w14:paraId="380E4FED" w14:textId="4A50DAB4" w:rsidR="001D403F" w:rsidRPr="0023308E" w:rsidRDefault="0027447E"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Digital workplace setup and licencing portal.</w:t>
            </w:r>
          </w:p>
        </w:tc>
        <w:tc>
          <w:tcPr>
            <w:tcW w:w="1835" w:type="dxa"/>
          </w:tcPr>
          <w:p w14:paraId="214A1C89" w14:textId="5FEF5BAC" w:rsidR="001D403F" w:rsidRPr="0023308E" w:rsidRDefault="0027447E"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Reduce handoff friction with unified digital assistants.</w:t>
            </w:r>
          </w:p>
        </w:tc>
      </w:tr>
      <w:tr w:rsidR="001D403F" w:rsidRPr="0023308E" w14:paraId="79B304E8" w14:textId="77777777" w:rsidTr="0061605F">
        <w:tc>
          <w:tcPr>
            <w:tcW w:w="1559" w:type="dxa"/>
          </w:tcPr>
          <w:p w14:paraId="25B4EBCE" w14:textId="4BA4D6C5" w:rsidR="001D403F" w:rsidRPr="0023308E" w:rsidRDefault="001D403F" w:rsidP="0005225A">
            <w:pPr>
              <w:spacing w:before="100" w:beforeAutospacing="1" w:after="100" w:afterAutospacing="1"/>
              <w:ind w:right="0"/>
              <w:jc w:val="both"/>
              <w:rPr>
                <w:rFonts w:ascii="Arial" w:hAnsi="Arial" w:cs="Arial"/>
                <w:color w:val="0E2841" w:themeColor="text2"/>
                <w:sz w:val="16"/>
                <w:szCs w:val="16"/>
              </w:rPr>
            </w:pPr>
            <w:r w:rsidRPr="0023308E">
              <w:rPr>
                <w:rFonts w:ascii="Arial" w:hAnsi="Arial" w:cs="Arial"/>
                <w:color w:val="0E2841" w:themeColor="text2"/>
                <w:sz w:val="16"/>
                <w:szCs w:val="16"/>
              </w:rPr>
              <w:t>Engagement</w:t>
            </w:r>
          </w:p>
        </w:tc>
        <w:tc>
          <w:tcPr>
            <w:tcW w:w="1559" w:type="dxa"/>
          </w:tcPr>
          <w:p w14:paraId="28C715CE" w14:textId="61035815"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Maximize productivity and security</w:t>
            </w:r>
          </w:p>
        </w:tc>
        <w:tc>
          <w:tcPr>
            <w:tcW w:w="2160" w:type="dxa"/>
          </w:tcPr>
          <w:p w14:paraId="789C3CC0" w14:textId="0813E0AD"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Proactive monitoring, AI alerts, customer success check-ins</w:t>
            </w:r>
          </w:p>
        </w:tc>
        <w:tc>
          <w:tcPr>
            <w:tcW w:w="1624" w:type="dxa"/>
          </w:tcPr>
          <w:p w14:paraId="2B81D6FE" w14:textId="16432B70" w:rsidR="001D403F" w:rsidRPr="0023308E" w:rsidRDefault="0027447E"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Bytes support portal, Microsoft success check-ins</w:t>
            </w:r>
          </w:p>
        </w:tc>
        <w:tc>
          <w:tcPr>
            <w:tcW w:w="1835" w:type="dxa"/>
          </w:tcPr>
          <w:p w14:paraId="1CD38571" w14:textId="019A7BE8" w:rsidR="001D403F" w:rsidRPr="0023308E" w:rsidRDefault="0027447E"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Deliver situational personalization</w:t>
            </w:r>
          </w:p>
        </w:tc>
      </w:tr>
      <w:tr w:rsidR="001D403F" w:rsidRPr="0023308E" w14:paraId="62E5CFAF" w14:textId="77777777" w:rsidTr="0061605F">
        <w:tc>
          <w:tcPr>
            <w:tcW w:w="1559" w:type="dxa"/>
          </w:tcPr>
          <w:p w14:paraId="63D035B6" w14:textId="6E9FA20A" w:rsidR="001D403F" w:rsidRPr="0023308E" w:rsidRDefault="001D403F" w:rsidP="0005225A">
            <w:pPr>
              <w:spacing w:before="100" w:beforeAutospacing="1" w:after="100" w:afterAutospacing="1"/>
              <w:ind w:right="0"/>
              <w:jc w:val="both"/>
              <w:rPr>
                <w:rFonts w:ascii="Arial" w:hAnsi="Arial" w:cs="Arial"/>
                <w:color w:val="0E2841" w:themeColor="text2"/>
                <w:sz w:val="16"/>
                <w:szCs w:val="16"/>
              </w:rPr>
            </w:pPr>
            <w:r w:rsidRPr="0023308E">
              <w:rPr>
                <w:rFonts w:ascii="Arial" w:hAnsi="Arial" w:cs="Arial"/>
                <w:color w:val="0E2841" w:themeColor="text2"/>
                <w:sz w:val="16"/>
                <w:szCs w:val="16"/>
              </w:rPr>
              <w:t>Retention</w:t>
            </w:r>
          </w:p>
        </w:tc>
        <w:tc>
          <w:tcPr>
            <w:tcW w:w="1559" w:type="dxa"/>
          </w:tcPr>
          <w:p w14:paraId="45A963A7" w14:textId="6BDAA206"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Reliable long-term partnership</w:t>
            </w:r>
          </w:p>
        </w:tc>
        <w:tc>
          <w:tcPr>
            <w:tcW w:w="2160" w:type="dxa"/>
          </w:tcPr>
          <w:p w14:paraId="0E60E406" w14:textId="53AD386E"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Quarterly reviews, loyalty programs and innovation update.</w:t>
            </w:r>
          </w:p>
        </w:tc>
        <w:tc>
          <w:tcPr>
            <w:tcW w:w="1624" w:type="dxa"/>
          </w:tcPr>
          <w:p w14:paraId="3955110B" w14:textId="78EA6E10" w:rsidR="001D403F" w:rsidRPr="0023308E" w:rsidRDefault="0027447E"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Customer success reviews and newsletters</w:t>
            </w:r>
          </w:p>
        </w:tc>
        <w:tc>
          <w:tcPr>
            <w:tcW w:w="1835" w:type="dxa"/>
          </w:tcPr>
          <w:p w14:paraId="3618724D" w14:textId="4D32960D" w:rsidR="001D403F" w:rsidRPr="0023308E" w:rsidRDefault="0027447E"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Build trust-cantered design with transparent governance.</w:t>
            </w:r>
          </w:p>
        </w:tc>
      </w:tr>
      <w:tr w:rsidR="001D403F" w:rsidRPr="0023308E" w14:paraId="6D92055D" w14:textId="77777777" w:rsidTr="0061605F">
        <w:tc>
          <w:tcPr>
            <w:tcW w:w="1559" w:type="dxa"/>
          </w:tcPr>
          <w:p w14:paraId="5FE479C6" w14:textId="6C286552" w:rsidR="001D403F" w:rsidRPr="0023308E" w:rsidRDefault="001D403F" w:rsidP="0005225A">
            <w:pPr>
              <w:spacing w:before="100" w:beforeAutospacing="1" w:after="100" w:afterAutospacing="1"/>
              <w:ind w:right="0"/>
              <w:jc w:val="both"/>
              <w:rPr>
                <w:rFonts w:ascii="Arial" w:hAnsi="Arial" w:cs="Arial"/>
                <w:color w:val="0E2841" w:themeColor="text2"/>
                <w:sz w:val="16"/>
                <w:szCs w:val="16"/>
              </w:rPr>
            </w:pPr>
            <w:r w:rsidRPr="0023308E">
              <w:rPr>
                <w:rFonts w:ascii="Arial" w:hAnsi="Arial" w:cs="Arial"/>
                <w:color w:val="0E2841" w:themeColor="text2"/>
                <w:sz w:val="16"/>
                <w:szCs w:val="16"/>
              </w:rPr>
              <w:t>Advocacy</w:t>
            </w:r>
          </w:p>
        </w:tc>
        <w:tc>
          <w:tcPr>
            <w:tcW w:w="1559" w:type="dxa"/>
          </w:tcPr>
          <w:p w14:paraId="5B2079B8" w14:textId="53ABF2CA"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Share positive experiences</w:t>
            </w:r>
          </w:p>
        </w:tc>
        <w:tc>
          <w:tcPr>
            <w:tcW w:w="2160" w:type="dxa"/>
          </w:tcPr>
          <w:p w14:paraId="07EA6B0D" w14:textId="46701D1F"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 xml:space="preserve"> Encourage testimonials and referral programmes </w:t>
            </w:r>
          </w:p>
        </w:tc>
        <w:tc>
          <w:tcPr>
            <w:tcW w:w="1624" w:type="dxa"/>
          </w:tcPr>
          <w:p w14:paraId="47199815" w14:textId="6D4F7D56"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Social media, conferences and customer councils</w:t>
            </w:r>
          </w:p>
        </w:tc>
        <w:tc>
          <w:tcPr>
            <w:tcW w:w="1835" w:type="dxa"/>
          </w:tcPr>
          <w:p w14:paraId="3BEC269C" w14:textId="2C062C29" w:rsidR="001D403F" w:rsidRPr="0023308E" w:rsidRDefault="001D403F" w:rsidP="0005225A">
            <w:pPr>
              <w:spacing w:before="100" w:beforeAutospacing="1" w:after="100" w:afterAutospacing="1"/>
              <w:ind w:right="0"/>
              <w:jc w:val="both"/>
              <w:rPr>
                <w:rFonts w:ascii="Arial" w:hAnsi="Arial" w:cs="Arial"/>
                <w:sz w:val="16"/>
                <w:szCs w:val="16"/>
              </w:rPr>
            </w:pPr>
            <w:r w:rsidRPr="0023308E">
              <w:rPr>
                <w:rFonts w:ascii="Arial" w:hAnsi="Arial" w:cs="Arial"/>
                <w:sz w:val="16"/>
                <w:szCs w:val="16"/>
              </w:rPr>
              <w:t>Turn loyal clients into brand advocates with measurable ROI stories</w:t>
            </w:r>
          </w:p>
        </w:tc>
      </w:tr>
    </w:tbl>
    <w:p w14:paraId="5BC37983" w14:textId="77777777" w:rsidR="0023308E" w:rsidRPr="0023308E" w:rsidRDefault="0023308E" w:rsidP="0005225A">
      <w:pPr>
        <w:spacing w:before="100" w:beforeAutospacing="1" w:after="100" w:afterAutospacing="1"/>
        <w:ind w:right="0"/>
        <w:jc w:val="both"/>
        <w:rPr>
          <w:rFonts w:ascii="Arial" w:hAnsi="Arial" w:cs="Arial"/>
        </w:rPr>
      </w:pPr>
    </w:p>
    <w:p w14:paraId="00B4250B" w14:textId="6762FE52" w:rsidR="002F0574" w:rsidRPr="0023308E" w:rsidRDefault="008E2913" w:rsidP="0005225A">
      <w:pPr>
        <w:spacing w:before="100" w:beforeAutospacing="1" w:after="100" w:afterAutospacing="1"/>
        <w:ind w:right="0"/>
        <w:jc w:val="both"/>
        <w:rPr>
          <w:rFonts w:ascii="Arial" w:hAnsi="Arial" w:cs="Arial"/>
        </w:rPr>
      </w:pPr>
      <w:r w:rsidRPr="0023308E">
        <w:rPr>
          <w:rFonts w:ascii="Arial" w:hAnsi="Arial" w:cs="Arial"/>
        </w:rPr>
        <w:t>In 2026 is going to change the world massively in technology. Tring AI to prove with AI is going to be one of the trends. So, BYTES must measure ROI in customer success. Hopefully Copilot-AI will guide onboarding and support. Concentrate on situational personalisation with tailoring dashboards and alerts by the industries. Keep maintain transparency in using data and security governance. BYTES ensure smooth transitions between marketing, sales and onboarding. I will</w:t>
      </w:r>
      <w:r w:rsidR="0027447E" w:rsidRPr="0023308E">
        <w:rPr>
          <w:rFonts w:ascii="Arial" w:hAnsi="Arial" w:cs="Arial"/>
        </w:rPr>
        <w:t xml:space="preserve"> highly recommend one of the </w:t>
      </w:r>
      <w:r w:rsidRPr="0023308E">
        <w:rPr>
          <w:rFonts w:ascii="Arial" w:hAnsi="Arial" w:cs="Arial"/>
        </w:rPr>
        <w:t>stages</w:t>
      </w:r>
      <w:r w:rsidR="0027447E" w:rsidRPr="0023308E">
        <w:rPr>
          <w:rFonts w:ascii="Arial" w:hAnsi="Arial" w:cs="Arial"/>
        </w:rPr>
        <w:t xml:space="preserve"> </w:t>
      </w:r>
      <w:r w:rsidRPr="0023308E">
        <w:rPr>
          <w:rFonts w:ascii="Arial" w:hAnsi="Arial" w:cs="Arial"/>
        </w:rPr>
        <w:t xml:space="preserve">of </w:t>
      </w:r>
      <w:r w:rsidR="0027447E" w:rsidRPr="0023308E">
        <w:rPr>
          <w:rFonts w:ascii="Arial" w:hAnsi="Arial" w:cs="Arial"/>
        </w:rPr>
        <w:t xml:space="preserve">engagement. Because </w:t>
      </w:r>
      <w:r w:rsidRPr="0023308E">
        <w:rPr>
          <w:rFonts w:ascii="Arial" w:hAnsi="Arial" w:cs="Arial"/>
        </w:rPr>
        <w:t xml:space="preserve">cyber security </w:t>
      </w:r>
      <w:r w:rsidRPr="0023308E">
        <w:rPr>
          <w:rFonts w:ascii="Arial" w:hAnsi="Arial" w:cs="Arial"/>
        </w:rPr>
        <w:lastRenderedPageBreak/>
        <w:t xml:space="preserve">is an essential part of all industries it doesn’t matter it will be small or corporate level. In 2024 BYTES didn’t have a single data breech or hacking. BYTES has a situation to maintain this in future fir their </w:t>
      </w:r>
      <w:r w:rsidR="000D77C9" w:rsidRPr="0023308E">
        <w:rPr>
          <w:rFonts w:ascii="Arial" w:hAnsi="Arial" w:cs="Arial"/>
        </w:rPr>
        <w:t>sustainability in</w:t>
      </w:r>
      <w:r w:rsidRPr="0023308E">
        <w:rPr>
          <w:rFonts w:ascii="Arial" w:hAnsi="Arial" w:cs="Arial"/>
        </w:rPr>
        <w:t xml:space="preserve"> software business. </w:t>
      </w:r>
      <w:r w:rsidR="000D77C9" w:rsidRPr="0023308E">
        <w:rPr>
          <w:rFonts w:ascii="Arial" w:hAnsi="Arial" w:cs="Arial"/>
        </w:rPr>
        <w:t>Otherwise,</w:t>
      </w:r>
      <w:r w:rsidRPr="0023308E">
        <w:rPr>
          <w:rFonts w:ascii="Arial" w:hAnsi="Arial" w:cs="Arial"/>
        </w:rPr>
        <w:t xml:space="preserve"> day by day the growth of software is dealing and playing important role in all </w:t>
      </w:r>
      <w:r w:rsidR="000D77C9" w:rsidRPr="0023308E">
        <w:rPr>
          <w:rFonts w:ascii="Arial" w:hAnsi="Arial" w:cs="Arial"/>
        </w:rPr>
        <w:t>areas</w:t>
      </w:r>
      <w:r w:rsidRPr="0023308E">
        <w:rPr>
          <w:rFonts w:ascii="Arial" w:hAnsi="Arial" w:cs="Arial"/>
        </w:rPr>
        <w:t>. Especially BYTES work with NHS trust, universities and councils</w:t>
      </w:r>
      <w:r w:rsidR="000D77C9" w:rsidRPr="0023308E">
        <w:rPr>
          <w:rFonts w:ascii="Arial" w:hAnsi="Arial" w:cs="Arial"/>
        </w:rPr>
        <w:t xml:space="preserve"> where these departments store all their customers, clients and patients. </w:t>
      </w:r>
    </w:p>
    <w:p w14:paraId="0F76E198" w14:textId="77777777" w:rsidR="000D77C9" w:rsidRPr="0023308E" w:rsidRDefault="000D77C9" w:rsidP="0005225A">
      <w:pPr>
        <w:spacing w:before="100" w:beforeAutospacing="1" w:after="100" w:afterAutospacing="1"/>
        <w:ind w:right="0"/>
        <w:jc w:val="both"/>
        <w:rPr>
          <w:rFonts w:ascii="Arial" w:hAnsi="Arial" w:cs="Arial"/>
        </w:rPr>
      </w:pPr>
    </w:p>
    <w:p w14:paraId="0335B25B" w14:textId="48E37CA6" w:rsidR="000D77C9" w:rsidRPr="0023308E" w:rsidRDefault="000D77C9" w:rsidP="0005225A">
      <w:pPr>
        <w:spacing w:before="100" w:beforeAutospacing="1" w:after="100" w:afterAutospacing="1"/>
        <w:ind w:right="0"/>
        <w:jc w:val="both"/>
        <w:rPr>
          <w:rFonts w:ascii="Arial" w:hAnsi="Arial" w:cs="Arial"/>
        </w:rPr>
      </w:pPr>
      <w:r w:rsidRPr="0023308E">
        <w:rPr>
          <w:rFonts w:ascii="Arial" w:hAnsi="Arial" w:cs="Arial"/>
        </w:rPr>
        <w:t>Collaboration with NHS, it is a nationwide trust providing service to people in all levels. BYTES delivered a comprehensive consultancy programme, leveraging fast track funding to provide four structured knowledge share sessions. These are the approaches.</w:t>
      </w:r>
    </w:p>
    <w:p w14:paraId="6A280CB5" w14:textId="665C611F" w:rsidR="000D77C9" w:rsidRPr="0023308E" w:rsidRDefault="000D77C9" w:rsidP="0005225A">
      <w:pPr>
        <w:pStyle w:val="ListParagraph"/>
        <w:numPr>
          <w:ilvl w:val="0"/>
          <w:numId w:val="13"/>
        </w:numPr>
        <w:spacing w:before="100" w:beforeAutospacing="1" w:after="100" w:afterAutospacing="1"/>
        <w:ind w:right="0"/>
        <w:jc w:val="both"/>
        <w:rPr>
          <w:rFonts w:ascii="Arial" w:hAnsi="Arial" w:cs="Arial"/>
        </w:rPr>
      </w:pPr>
      <w:r w:rsidRPr="0023308E">
        <w:rPr>
          <w:rFonts w:ascii="Arial" w:hAnsi="Arial" w:cs="Arial"/>
        </w:rPr>
        <w:t>Initial scoping to understand the trust’s requirements and current environment.</w:t>
      </w:r>
    </w:p>
    <w:p w14:paraId="7F280C8A" w14:textId="19CADEF6" w:rsidR="000D77C9" w:rsidRPr="0023308E" w:rsidRDefault="000D77C9" w:rsidP="0005225A">
      <w:pPr>
        <w:pStyle w:val="ListParagraph"/>
        <w:numPr>
          <w:ilvl w:val="0"/>
          <w:numId w:val="13"/>
        </w:numPr>
        <w:spacing w:before="100" w:beforeAutospacing="1" w:after="100" w:afterAutospacing="1"/>
        <w:ind w:right="0"/>
        <w:jc w:val="both"/>
        <w:rPr>
          <w:rFonts w:ascii="Arial" w:hAnsi="Arial" w:cs="Arial"/>
        </w:rPr>
      </w:pPr>
      <w:r w:rsidRPr="0023308E">
        <w:rPr>
          <w:rFonts w:ascii="Arial" w:hAnsi="Arial" w:cs="Arial"/>
        </w:rPr>
        <w:t xml:space="preserve">Workshops covering the capabilities and features of Microsoft Defender for endpoint, comparison with the existing </w:t>
      </w:r>
      <w:r w:rsidR="00BE1125" w:rsidRPr="0023308E">
        <w:rPr>
          <w:rFonts w:ascii="Arial" w:hAnsi="Arial" w:cs="Arial"/>
        </w:rPr>
        <w:t>solution and high-level migration planning.</w:t>
      </w:r>
    </w:p>
    <w:p w14:paraId="576CC83E" w14:textId="1E52F494" w:rsidR="00BE1125" w:rsidRPr="0023308E" w:rsidRDefault="00BE1125" w:rsidP="0005225A">
      <w:pPr>
        <w:pStyle w:val="ListParagraph"/>
        <w:numPr>
          <w:ilvl w:val="0"/>
          <w:numId w:val="13"/>
        </w:numPr>
        <w:spacing w:before="100" w:beforeAutospacing="1" w:after="100" w:afterAutospacing="1"/>
        <w:ind w:right="0"/>
        <w:jc w:val="both"/>
        <w:rPr>
          <w:rFonts w:ascii="Arial" w:hAnsi="Arial" w:cs="Arial"/>
        </w:rPr>
      </w:pPr>
      <w:r w:rsidRPr="0023308E">
        <w:rPr>
          <w:rFonts w:ascii="Arial" w:hAnsi="Arial" w:cs="Arial"/>
        </w:rPr>
        <w:t xml:space="preserve">Guide on networking prerequisites, trouble shooting and deployment methods. </w:t>
      </w:r>
    </w:p>
    <w:p w14:paraId="4158A010" w14:textId="2135C227" w:rsidR="00BE1125" w:rsidRPr="0023308E" w:rsidRDefault="00BE1125" w:rsidP="0005225A">
      <w:pPr>
        <w:pStyle w:val="ListParagraph"/>
        <w:numPr>
          <w:ilvl w:val="0"/>
          <w:numId w:val="13"/>
        </w:numPr>
        <w:spacing w:before="100" w:beforeAutospacing="1" w:after="100" w:afterAutospacing="1"/>
        <w:ind w:right="0"/>
        <w:jc w:val="both"/>
        <w:rPr>
          <w:rFonts w:ascii="Arial" w:hAnsi="Arial" w:cs="Arial"/>
        </w:rPr>
      </w:pPr>
      <w:r w:rsidRPr="0023308E">
        <w:rPr>
          <w:rFonts w:ascii="Arial" w:hAnsi="Arial" w:cs="Arial"/>
        </w:rPr>
        <w:t>Train to administrative staff to use Device tapping and Device groups.</w:t>
      </w:r>
    </w:p>
    <w:p w14:paraId="35FE5991" w14:textId="0CB87CAA" w:rsidR="00BE1125" w:rsidRPr="0023308E" w:rsidRDefault="00BE1125" w:rsidP="0005225A">
      <w:pPr>
        <w:pStyle w:val="ListParagraph"/>
        <w:numPr>
          <w:ilvl w:val="0"/>
          <w:numId w:val="13"/>
        </w:numPr>
        <w:spacing w:before="100" w:beforeAutospacing="1" w:after="100" w:afterAutospacing="1"/>
        <w:ind w:right="0"/>
        <w:jc w:val="both"/>
        <w:rPr>
          <w:rFonts w:ascii="Arial" w:hAnsi="Arial" w:cs="Arial"/>
        </w:rPr>
      </w:pPr>
      <w:r w:rsidRPr="0023308E">
        <w:rPr>
          <w:rFonts w:ascii="Arial" w:hAnsi="Arial" w:cs="Arial"/>
        </w:rPr>
        <w:t xml:space="preserve">Exploration of endpoint security policies in both Microsoft Intune and group policy. </w:t>
      </w:r>
    </w:p>
    <w:p w14:paraId="30BF9139" w14:textId="1339DACB" w:rsidR="00BE1125" w:rsidRPr="0023308E" w:rsidRDefault="00BE1125" w:rsidP="0005225A">
      <w:pPr>
        <w:pStyle w:val="ListParagraph"/>
        <w:numPr>
          <w:ilvl w:val="0"/>
          <w:numId w:val="13"/>
        </w:numPr>
        <w:spacing w:before="100" w:beforeAutospacing="1" w:after="100" w:afterAutospacing="1"/>
        <w:ind w:right="0"/>
        <w:jc w:val="both"/>
        <w:rPr>
          <w:rFonts w:ascii="Arial" w:hAnsi="Arial" w:cs="Arial"/>
        </w:rPr>
      </w:pPr>
      <w:r w:rsidRPr="0023308E">
        <w:rPr>
          <w:rFonts w:ascii="Arial" w:hAnsi="Arial" w:cs="Arial"/>
        </w:rPr>
        <w:t xml:space="preserve">Provided training in incident management training including advanced investigations and hunting with KQL. </w:t>
      </w:r>
    </w:p>
    <w:p w14:paraId="3079AEE3" w14:textId="418D7890" w:rsidR="00BE1125" w:rsidRPr="0023308E" w:rsidRDefault="00BE1125" w:rsidP="0005225A">
      <w:pPr>
        <w:pStyle w:val="ListParagraph"/>
        <w:numPr>
          <w:ilvl w:val="0"/>
          <w:numId w:val="13"/>
        </w:numPr>
        <w:spacing w:before="100" w:beforeAutospacing="1" w:after="100" w:afterAutospacing="1"/>
        <w:ind w:right="0"/>
        <w:jc w:val="both"/>
        <w:rPr>
          <w:rFonts w:ascii="Arial" w:hAnsi="Arial" w:cs="Arial"/>
        </w:rPr>
      </w:pPr>
      <w:r w:rsidRPr="0023308E">
        <w:rPr>
          <w:rFonts w:ascii="Arial" w:hAnsi="Arial" w:cs="Arial"/>
        </w:rPr>
        <w:t xml:space="preserve">Support in creating custom KQL and PowerShell queries. (Using Microsoft Graph API) for device reporting. </w:t>
      </w:r>
    </w:p>
    <w:p w14:paraId="0226F3C7" w14:textId="61CCE00F" w:rsidR="00BE1125" w:rsidRPr="0023308E" w:rsidRDefault="00BE1125" w:rsidP="0005225A">
      <w:pPr>
        <w:spacing w:before="100" w:beforeAutospacing="1" w:after="100" w:afterAutospacing="1"/>
        <w:ind w:right="0"/>
        <w:jc w:val="both"/>
        <w:rPr>
          <w:rFonts w:ascii="Arial" w:hAnsi="Arial" w:cs="Arial"/>
        </w:rPr>
      </w:pPr>
      <w:r w:rsidRPr="0023308E">
        <w:rPr>
          <w:rFonts w:ascii="Arial" w:hAnsi="Arial" w:cs="Arial"/>
        </w:rPr>
        <w:t xml:space="preserve">NHS engagement with BYTES has significantly improved the trust’s cyber security maturity. NHS enhanced the understanding of defender for endpoint’s platform and capabilities. It increased </w:t>
      </w:r>
      <w:r w:rsidR="002A7B82" w:rsidRPr="0023308E">
        <w:rPr>
          <w:rFonts w:ascii="Arial" w:hAnsi="Arial" w:cs="Arial"/>
        </w:rPr>
        <w:t>the confidence and efficiency in incident response and platform usage. BYTES training with staffs transfer the wide knowledge to them according to support adoption and operational autonomy. It has improved ability to investigate incidents and create custom queries, boosting both security and operational efficiency. Finally tap go donate service to the NHS trust, introduced recently.</w:t>
      </w:r>
    </w:p>
    <w:p w14:paraId="5CE9CAFD" w14:textId="2B69C9BA" w:rsidR="002A7B82" w:rsidRPr="0023308E" w:rsidRDefault="002A7B82" w:rsidP="0005225A">
      <w:pPr>
        <w:spacing w:before="100" w:beforeAutospacing="1" w:after="100" w:afterAutospacing="1"/>
        <w:ind w:right="0"/>
        <w:jc w:val="both"/>
        <w:rPr>
          <w:rFonts w:ascii="Arial" w:hAnsi="Arial" w:cs="Arial"/>
        </w:rPr>
      </w:pPr>
      <w:r w:rsidRPr="0023308E">
        <w:rPr>
          <w:rFonts w:ascii="Arial" w:hAnsi="Arial" w:cs="Arial"/>
        </w:rPr>
        <w:t xml:space="preserve">As a team NHS took advantage of the fast track MDE sessions offered by BYTES. Every session covered different topic, they were all informative and well structured, demonstrating functionality within MDE an Intune. One of the staff from NHS Trust said highly recommend BYTES for anyone looking to deepen their understanding or get expert advice and training in the products. (University hospitals of Derby NHS foundation Trust) </w:t>
      </w:r>
    </w:p>
    <w:p w14:paraId="7C13A0DD" w14:textId="77777777" w:rsidR="00BE1125" w:rsidRPr="0023308E" w:rsidRDefault="00BE1125" w:rsidP="0005225A">
      <w:pPr>
        <w:spacing w:before="100" w:beforeAutospacing="1" w:after="100" w:afterAutospacing="1"/>
        <w:ind w:right="0"/>
        <w:jc w:val="both"/>
        <w:rPr>
          <w:rFonts w:ascii="Arial" w:hAnsi="Arial" w:cs="Arial"/>
        </w:rPr>
      </w:pPr>
    </w:p>
    <w:p w14:paraId="09AC3148" w14:textId="6820DCCA" w:rsidR="0013135C" w:rsidRPr="00057AEC" w:rsidRDefault="0013135C" w:rsidP="0005225A">
      <w:pPr>
        <w:spacing w:before="100" w:beforeAutospacing="1" w:after="100" w:afterAutospacing="1"/>
        <w:ind w:right="0"/>
        <w:jc w:val="both"/>
        <w:rPr>
          <w:rFonts w:ascii="Arial" w:hAnsi="Arial" w:cs="Arial"/>
          <w:b/>
          <w:bCs/>
          <w:color w:val="156082" w:themeColor="accent1"/>
          <w:sz w:val="28"/>
          <w:szCs w:val="28"/>
        </w:rPr>
      </w:pPr>
      <w:r w:rsidRPr="00057AEC">
        <w:rPr>
          <w:rFonts w:ascii="Arial" w:hAnsi="Arial" w:cs="Arial"/>
          <w:b/>
          <w:bCs/>
          <w:color w:val="156082" w:themeColor="accent1"/>
          <w:sz w:val="28"/>
          <w:szCs w:val="28"/>
        </w:rPr>
        <w:t>Conclusion.</w:t>
      </w:r>
    </w:p>
    <w:p w14:paraId="55AEE738" w14:textId="793CD9EF" w:rsidR="00BA12E7" w:rsidRPr="0023308E" w:rsidRDefault="000D330F" w:rsidP="0005225A">
      <w:pPr>
        <w:spacing w:before="100" w:beforeAutospacing="1" w:after="100" w:afterAutospacing="1"/>
        <w:ind w:right="0"/>
        <w:jc w:val="both"/>
        <w:rPr>
          <w:rFonts w:ascii="Arial" w:hAnsi="Arial" w:cs="Arial"/>
        </w:rPr>
      </w:pPr>
      <w:r w:rsidRPr="0023308E">
        <w:rPr>
          <w:rFonts w:ascii="Arial" w:hAnsi="Arial" w:cs="Arial"/>
        </w:rPr>
        <w:t>Technology growth</w:t>
      </w:r>
      <w:r w:rsidR="005763B2" w:rsidRPr="0023308E">
        <w:rPr>
          <w:rFonts w:ascii="Arial" w:hAnsi="Arial" w:cs="Arial"/>
        </w:rPr>
        <w:t xml:space="preserve"> endlessly</w:t>
      </w:r>
      <w:r w:rsidRPr="0023308E">
        <w:rPr>
          <w:rFonts w:ascii="Arial" w:hAnsi="Arial" w:cs="Arial"/>
        </w:rPr>
        <w:t xml:space="preserve"> is in this era</w:t>
      </w:r>
      <w:r w:rsidR="005763B2" w:rsidRPr="0023308E">
        <w:rPr>
          <w:rFonts w:ascii="Arial" w:hAnsi="Arial" w:cs="Arial"/>
        </w:rPr>
        <w:t xml:space="preserve">. </w:t>
      </w:r>
      <w:r w:rsidR="00AC62AD" w:rsidRPr="0023308E">
        <w:rPr>
          <w:rFonts w:ascii="Arial" w:hAnsi="Arial" w:cs="Arial"/>
        </w:rPr>
        <w:t xml:space="preserve">You </w:t>
      </w:r>
      <w:r w:rsidR="00E93D4F" w:rsidRPr="0023308E">
        <w:rPr>
          <w:rFonts w:ascii="Arial" w:hAnsi="Arial" w:cs="Arial"/>
        </w:rPr>
        <w:t>must be</w:t>
      </w:r>
      <w:r w:rsidR="00AC62AD" w:rsidRPr="0023308E">
        <w:rPr>
          <w:rFonts w:ascii="Arial" w:hAnsi="Arial" w:cs="Arial"/>
        </w:rPr>
        <w:t xml:space="preserve"> ready to adopt and connect with experts </w:t>
      </w:r>
      <w:r w:rsidR="00B86A53" w:rsidRPr="0023308E">
        <w:rPr>
          <w:rFonts w:ascii="Arial" w:hAnsi="Arial" w:cs="Arial"/>
        </w:rPr>
        <w:t>in software development who will</w:t>
      </w:r>
      <w:r w:rsidR="003206A4" w:rsidRPr="0023308E">
        <w:rPr>
          <w:rFonts w:ascii="Arial" w:hAnsi="Arial" w:cs="Arial"/>
        </w:rPr>
        <w:t xml:space="preserve"> support and guide you in a correct path. </w:t>
      </w:r>
      <w:r w:rsidR="00C37F8D" w:rsidRPr="0023308E">
        <w:rPr>
          <w:rFonts w:ascii="Arial" w:hAnsi="Arial" w:cs="Arial"/>
        </w:rPr>
        <w:t xml:space="preserve">It will help your company to stay successful and strong. </w:t>
      </w:r>
      <w:r w:rsidR="00616759" w:rsidRPr="0023308E">
        <w:rPr>
          <w:rFonts w:ascii="Arial" w:hAnsi="Arial" w:cs="Arial"/>
        </w:rPr>
        <w:t>Always choose a</w:t>
      </w:r>
      <w:r w:rsidR="00515256" w:rsidRPr="0023308E">
        <w:rPr>
          <w:rFonts w:ascii="Arial" w:hAnsi="Arial" w:cs="Arial"/>
        </w:rPr>
        <w:t xml:space="preserve"> right software can lead </w:t>
      </w:r>
      <w:r w:rsidR="0005721A" w:rsidRPr="0023308E">
        <w:rPr>
          <w:rFonts w:ascii="Arial" w:hAnsi="Arial" w:cs="Arial"/>
        </w:rPr>
        <w:t xml:space="preserve">your team </w:t>
      </w:r>
      <w:r w:rsidR="00E62AB6" w:rsidRPr="0023308E">
        <w:rPr>
          <w:rFonts w:ascii="Arial" w:hAnsi="Arial" w:cs="Arial"/>
        </w:rPr>
        <w:t xml:space="preserve">to work better by cutting inefficiencies </w:t>
      </w:r>
      <w:r w:rsidR="00442074" w:rsidRPr="0023308E">
        <w:rPr>
          <w:rFonts w:ascii="Arial" w:hAnsi="Arial" w:cs="Arial"/>
        </w:rPr>
        <w:t>and keeping your company on top</w:t>
      </w:r>
      <w:r w:rsidR="00E93D4F" w:rsidRPr="0023308E">
        <w:rPr>
          <w:rFonts w:ascii="Arial" w:hAnsi="Arial" w:cs="Arial"/>
        </w:rPr>
        <w:t xml:space="preserve"> in today’s</w:t>
      </w:r>
      <w:r w:rsidR="00442074" w:rsidRPr="0023308E">
        <w:rPr>
          <w:rFonts w:ascii="Arial" w:hAnsi="Arial" w:cs="Arial"/>
        </w:rPr>
        <w:t xml:space="preserve"> competitive market. </w:t>
      </w:r>
    </w:p>
    <w:p w14:paraId="7B83EAAE" w14:textId="77777777" w:rsidR="00EF7E72" w:rsidRPr="0023308E" w:rsidRDefault="00EF7E72" w:rsidP="0005225A">
      <w:pPr>
        <w:spacing w:before="100" w:beforeAutospacing="1" w:after="100" w:afterAutospacing="1"/>
        <w:ind w:right="0"/>
        <w:jc w:val="both"/>
        <w:rPr>
          <w:rFonts w:ascii="Arial" w:hAnsi="Arial" w:cs="Arial"/>
        </w:rPr>
      </w:pPr>
    </w:p>
    <w:p w14:paraId="3A35ECAA" w14:textId="77777777" w:rsidR="00EF7E72" w:rsidRPr="0023308E" w:rsidRDefault="00EF7E72" w:rsidP="0005225A">
      <w:pPr>
        <w:spacing w:before="100" w:beforeAutospacing="1" w:after="100" w:afterAutospacing="1"/>
        <w:ind w:right="0"/>
        <w:jc w:val="both"/>
        <w:rPr>
          <w:rFonts w:ascii="Arial" w:hAnsi="Arial" w:cs="Arial"/>
        </w:rPr>
      </w:pPr>
    </w:p>
    <w:p w14:paraId="40D7480A" w14:textId="77777777" w:rsidR="00EF7E72" w:rsidRPr="0023308E" w:rsidRDefault="00EF7E72" w:rsidP="0005225A">
      <w:pPr>
        <w:spacing w:before="100" w:beforeAutospacing="1" w:after="100" w:afterAutospacing="1"/>
        <w:ind w:right="0"/>
        <w:jc w:val="both"/>
        <w:rPr>
          <w:rFonts w:ascii="Arial" w:hAnsi="Arial" w:cs="Arial"/>
        </w:rPr>
      </w:pPr>
    </w:p>
    <w:p w14:paraId="42CC6742" w14:textId="4828B88D" w:rsidR="00EF7E72" w:rsidRPr="00057AEC" w:rsidRDefault="00EF7E72" w:rsidP="0005225A">
      <w:pPr>
        <w:spacing w:before="100" w:beforeAutospacing="1" w:after="100" w:afterAutospacing="1"/>
        <w:ind w:right="0"/>
        <w:jc w:val="both"/>
        <w:rPr>
          <w:rFonts w:ascii="Arial" w:hAnsi="Arial" w:cs="Arial"/>
          <w:b/>
          <w:bCs/>
          <w:color w:val="156082" w:themeColor="accent1"/>
          <w:sz w:val="28"/>
          <w:szCs w:val="28"/>
        </w:rPr>
      </w:pPr>
      <w:r w:rsidRPr="00057AEC">
        <w:rPr>
          <w:rFonts w:ascii="Arial" w:hAnsi="Arial" w:cs="Arial"/>
          <w:b/>
          <w:bCs/>
          <w:color w:val="156082" w:themeColor="accent1"/>
          <w:sz w:val="28"/>
          <w:szCs w:val="28"/>
        </w:rPr>
        <w:t>References</w:t>
      </w:r>
    </w:p>
    <w:p w14:paraId="3957EBA3" w14:textId="22866533" w:rsidR="00EF7E72" w:rsidRPr="0023308E" w:rsidRDefault="000D77C9" w:rsidP="0005225A">
      <w:pPr>
        <w:spacing w:before="100" w:beforeAutospacing="1" w:after="100" w:afterAutospacing="1"/>
        <w:ind w:right="0"/>
        <w:jc w:val="both"/>
        <w:rPr>
          <w:rFonts w:ascii="Arial" w:hAnsi="Arial" w:cs="Arial"/>
        </w:rPr>
      </w:pPr>
      <w:hyperlink r:id="rId10" w:history="1">
        <w:r w:rsidRPr="0023308E">
          <w:rPr>
            <w:rStyle w:val="Hyperlink"/>
            <w:rFonts w:ascii="Arial" w:hAnsi="Arial" w:cs="Arial"/>
          </w:rPr>
          <w:t>http://www.analytics8.com</w:t>
        </w:r>
      </w:hyperlink>
    </w:p>
    <w:p w14:paraId="55C650CB" w14:textId="1EBD4E0B" w:rsidR="000D77C9" w:rsidRPr="0023308E" w:rsidRDefault="000D77C9" w:rsidP="0005225A">
      <w:pPr>
        <w:spacing w:before="100" w:beforeAutospacing="1" w:after="100" w:afterAutospacing="1"/>
        <w:ind w:right="0"/>
        <w:jc w:val="both"/>
        <w:rPr>
          <w:rFonts w:ascii="Arial" w:hAnsi="Arial" w:cs="Arial"/>
        </w:rPr>
      </w:pPr>
      <w:r w:rsidRPr="0023308E">
        <w:rPr>
          <w:rFonts w:ascii="Arial" w:hAnsi="Arial" w:cs="Arial"/>
        </w:rPr>
        <w:t>http;//www.bytes.co.uk/customers/case-study</w:t>
      </w:r>
    </w:p>
    <w:p w14:paraId="0CD970F6" w14:textId="4FB30390" w:rsidR="00C66B1C" w:rsidRPr="0023308E" w:rsidRDefault="00C66B1C" w:rsidP="0005225A">
      <w:pPr>
        <w:spacing w:before="100" w:beforeAutospacing="1" w:after="100" w:afterAutospacing="1"/>
        <w:ind w:right="0"/>
        <w:jc w:val="both"/>
        <w:rPr>
          <w:rFonts w:ascii="Arial" w:hAnsi="Arial" w:cs="Arial"/>
        </w:rPr>
      </w:pPr>
      <w:r w:rsidRPr="0023308E">
        <w:rPr>
          <w:rFonts w:ascii="Arial" w:hAnsi="Arial" w:cs="Arial"/>
        </w:rPr>
        <w:t xml:space="preserve">Razzouk, R. and Shute, V., 2012. What is design thinking and why is it </w:t>
      </w:r>
      <w:r w:rsidR="00057AEC" w:rsidRPr="0023308E">
        <w:rPr>
          <w:rFonts w:ascii="Arial" w:hAnsi="Arial" w:cs="Arial"/>
        </w:rPr>
        <w:t>important?</w:t>
      </w:r>
      <w:r w:rsidRPr="0023308E">
        <w:rPr>
          <w:rFonts w:ascii="Arial" w:hAnsi="Arial" w:cs="Arial"/>
        </w:rPr>
        <w:t> </w:t>
      </w:r>
      <w:r w:rsidRPr="0023308E">
        <w:rPr>
          <w:rFonts w:ascii="Arial" w:hAnsi="Arial" w:cs="Arial"/>
          <w:i/>
          <w:iCs/>
        </w:rPr>
        <w:t>Review of educational research</w:t>
      </w:r>
      <w:r w:rsidRPr="0023308E">
        <w:rPr>
          <w:rFonts w:ascii="Arial" w:hAnsi="Arial" w:cs="Arial"/>
        </w:rPr>
        <w:t>, </w:t>
      </w:r>
      <w:r w:rsidRPr="0023308E">
        <w:rPr>
          <w:rFonts w:ascii="Arial" w:hAnsi="Arial" w:cs="Arial"/>
          <w:i/>
          <w:iCs/>
        </w:rPr>
        <w:t>82</w:t>
      </w:r>
      <w:r w:rsidRPr="0023308E">
        <w:rPr>
          <w:rFonts w:ascii="Arial" w:hAnsi="Arial" w:cs="Arial"/>
        </w:rPr>
        <w:t>(3), pp.330-348.</w:t>
      </w:r>
    </w:p>
    <w:p w14:paraId="71BE2610" w14:textId="50831A61" w:rsidR="00224A29" w:rsidRPr="0023308E" w:rsidRDefault="00224A29" w:rsidP="0005225A">
      <w:pPr>
        <w:spacing w:before="100" w:beforeAutospacing="1" w:after="100" w:afterAutospacing="1"/>
        <w:ind w:right="0"/>
        <w:jc w:val="both"/>
        <w:rPr>
          <w:rFonts w:ascii="Arial" w:hAnsi="Arial" w:cs="Arial"/>
        </w:rPr>
      </w:pPr>
      <w:r w:rsidRPr="0023308E">
        <w:rPr>
          <w:rFonts w:ascii="Arial" w:hAnsi="Arial" w:cs="Arial"/>
        </w:rPr>
        <w:t>Herbig, P.A. and McCarty, C., 1993. The innovation matrix. </w:t>
      </w:r>
      <w:r w:rsidRPr="0023308E">
        <w:rPr>
          <w:rFonts w:ascii="Arial" w:hAnsi="Arial" w:cs="Arial"/>
          <w:i/>
          <w:iCs/>
        </w:rPr>
        <w:t>Journal of Global Marketing</w:t>
      </w:r>
      <w:r w:rsidRPr="0023308E">
        <w:rPr>
          <w:rFonts w:ascii="Arial" w:hAnsi="Arial" w:cs="Arial"/>
        </w:rPr>
        <w:t>, </w:t>
      </w:r>
      <w:r w:rsidRPr="0023308E">
        <w:rPr>
          <w:rFonts w:ascii="Arial" w:hAnsi="Arial" w:cs="Arial"/>
          <w:i/>
          <w:iCs/>
        </w:rPr>
        <w:t>6</w:t>
      </w:r>
      <w:r w:rsidRPr="0023308E">
        <w:rPr>
          <w:rFonts w:ascii="Arial" w:hAnsi="Arial" w:cs="Arial"/>
        </w:rPr>
        <w:t>(4), pp.69-90.</w:t>
      </w:r>
    </w:p>
    <w:p w14:paraId="3634A4A2" w14:textId="6D1A30AE" w:rsidR="00224A29" w:rsidRPr="0023308E" w:rsidRDefault="00DC157C" w:rsidP="0005225A">
      <w:pPr>
        <w:spacing w:before="100" w:beforeAutospacing="1" w:after="100" w:afterAutospacing="1"/>
        <w:ind w:right="0"/>
        <w:jc w:val="both"/>
        <w:rPr>
          <w:rFonts w:ascii="Arial" w:hAnsi="Arial" w:cs="Arial"/>
        </w:rPr>
      </w:pPr>
      <w:r w:rsidRPr="0023308E">
        <w:rPr>
          <w:rFonts w:ascii="Arial" w:hAnsi="Arial" w:cs="Arial"/>
        </w:rPr>
        <w:t>Pontes, G.S., Allocio, G., Miranda, G., Marques, R.L.P. and Dosne, V., 2021. </w:t>
      </w:r>
      <w:r w:rsidRPr="0023308E">
        <w:rPr>
          <w:rFonts w:ascii="Arial" w:hAnsi="Arial" w:cs="Arial"/>
          <w:i/>
          <w:iCs/>
        </w:rPr>
        <w:t>Artificial Intelligence: Implications in the Customer Journey</w:t>
      </w:r>
      <w:r w:rsidRPr="0023308E">
        <w:rPr>
          <w:rFonts w:ascii="Arial" w:hAnsi="Arial" w:cs="Arial"/>
        </w:rPr>
        <w:t> (</w:t>
      </w:r>
      <w:proofErr w:type="gramStart"/>
      <w:r w:rsidRPr="0023308E">
        <w:rPr>
          <w:rFonts w:ascii="Arial" w:hAnsi="Arial" w:cs="Arial"/>
        </w:rPr>
        <w:t>Master's</w:t>
      </w:r>
      <w:proofErr w:type="gramEnd"/>
      <w:r w:rsidRPr="0023308E">
        <w:rPr>
          <w:rFonts w:ascii="Arial" w:hAnsi="Arial" w:cs="Arial"/>
        </w:rPr>
        <w:t xml:space="preserve"> thesis, Universidade NOVA de Lisboa (Portugal)).</w:t>
      </w:r>
    </w:p>
    <w:p w14:paraId="1DDC84A4" w14:textId="59C07721" w:rsidR="00F10D95" w:rsidRPr="0023308E" w:rsidRDefault="00F10D95" w:rsidP="0005225A">
      <w:pPr>
        <w:spacing w:before="100" w:beforeAutospacing="1" w:after="100" w:afterAutospacing="1"/>
        <w:ind w:right="0"/>
        <w:jc w:val="both"/>
        <w:rPr>
          <w:rFonts w:ascii="Arial" w:hAnsi="Arial" w:cs="Arial"/>
        </w:rPr>
      </w:pPr>
      <w:r w:rsidRPr="0023308E">
        <w:rPr>
          <w:rFonts w:ascii="Arial" w:hAnsi="Arial" w:cs="Arial"/>
        </w:rPr>
        <w:t>Paliwal, G., Bunglowala, A., Asthana, N. and Gautam, D., 2026. Innovating health: Design thinking in emerging technologies. In </w:t>
      </w:r>
      <w:r w:rsidRPr="0023308E">
        <w:rPr>
          <w:rFonts w:ascii="Arial" w:hAnsi="Arial" w:cs="Arial"/>
          <w:i/>
          <w:iCs/>
        </w:rPr>
        <w:t>Transforming Healthcare</w:t>
      </w:r>
      <w:r w:rsidRPr="0023308E">
        <w:rPr>
          <w:rFonts w:ascii="Arial" w:hAnsi="Arial" w:cs="Arial"/>
        </w:rPr>
        <w:t> (pp. 1-29). CRC Press.</w:t>
      </w:r>
    </w:p>
    <w:p w14:paraId="790B3A00" w14:textId="7BD9C1A2" w:rsidR="002D76D7" w:rsidRPr="0023308E" w:rsidRDefault="002D76D7" w:rsidP="0005225A">
      <w:pPr>
        <w:spacing w:before="100" w:beforeAutospacing="1" w:after="100" w:afterAutospacing="1"/>
        <w:ind w:right="0"/>
        <w:jc w:val="both"/>
        <w:rPr>
          <w:rFonts w:ascii="Arial" w:hAnsi="Arial" w:cs="Arial"/>
        </w:rPr>
      </w:pPr>
      <w:r w:rsidRPr="0023308E">
        <w:rPr>
          <w:rFonts w:ascii="Arial" w:hAnsi="Arial" w:cs="Arial"/>
        </w:rPr>
        <w:t xml:space="preserve">Ku, K.Y.L. </w:t>
      </w:r>
      <w:r w:rsidRPr="0023308E">
        <w:rPr>
          <w:rFonts w:ascii="Arial" w:hAnsi="Arial" w:cs="Arial"/>
          <w:i/>
          <w:iCs/>
        </w:rPr>
        <w:t>et al.</w:t>
      </w:r>
      <w:r w:rsidRPr="0023308E">
        <w:rPr>
          <w:rFonts w:ascii="Arial" w:hAnsi="Arial" w:cs="Arial"/>
        </w:rPr>
        <w:t xml:space="preserve"> (2026) ‘Empowering critical thinking in combating social media misinformation: Testing efficacy of digital “boost and nudge” interventions’, </w:t>
      </w:r>
      <w:r w:rsidRPr="0023308E">
        <w:rPr>
          <w:rFonts w:ascii="Arial" w:hAnsi="Arial" w:cs="Arial"/>
          <w:i/>
          <w:iCs/>
        </w:rPr>
        <w:t>Computers in human behavior</w:t>
      </w:r>
      <w:r w:rsidRPr="0023308E">
        <w:rPr>
          <w:rFonts w:ascii="Arial" w:hAnsi="Arial" w:cs="Arial"/>
        </w:rPr>
        <w:t xml:space="preserve">, 175. Available at: </w:t>
      </w:r>
      <w:hyperlink r:id="rId11" w:history="1">
        <w:r w:rsidR="001C2EB6" w:rsidRPr="0023308E">
          <w:rPr>
            <w:rStyle w:val="Hyperlink"/>
            <w:rFonts w:ascii="Arial" w:hAnsi="Arial" w:cs="Arial"/>
          </w:rPr>
          <w:t>https://doi.org/10.1016/j.chb.2025.108829</w:t>
        </w:r>
      </w:hyperlink>
      <w:r w:rsidRPr="0023308E">
        <w:rPr>
          <w:rFonts w:ascii="Arial" w:hAnsi="Arial" w:cs="Arial"/>
        </w:rPr>
        <w:t>.</w:t>
      </w:r>
    </w:p>
    <w:p w14:paraId="00CBEAFF" w14:textId="5707EFA5" w:rsidR="001C2EB6" w:rsidRDefault="001C2EB6" w:rsidP="0005225A">
      <w:pPr>
        <w:spacing w:before="100" w:beforeAutospacing="1" w:after="100" w:afterAutospacing="1"/>
        <w:ind w:right="0"/>
        <w:jc w:val="both"/>
        <w:rPr>
          <w:rFonts w:ascii="Arial" w:hAnsi="Arial" w:cs="Arial"/>
        </w:rPr>
      </w:pPr>
      <w:r w:rsidRPr="0023308E">
        <w:rPr>
          <w:rFonts w:ascii="Arial" w:hAnsi="Arial" w:cs="Arial"/>
        </w:rPr>
        <w:t xml:space="preserve">Nagji, B., &amp; Tuff, G. (2012). </w:t>
      </w:r>
      <w:r w:rsidRPr="0023308E">
        <w:rPr>
          <w:rFonts w:ascii="Arial" w:hAnsi="Arial" w:cs="Arial"/>
          <w:i/>
          <w:iCs/>
        </w:rPr>
        <w:t>Managing Your Innovation Portfolio</w:t>
      </w:r>
      <w:r w:rsidRPr="0023308E">
        <w:rPr>
          <w:rFonts w:ascii="Arial" w:hAnsi="Arial" w:cs="Arial"/>
        </w:rPr>
        <w:t>.</w:t>
      </w:r>
    </w:p>
    <w:p w14:paraId="3D048559" w14:textId="0D773389" w:rsidR="00375A3A" w:rsidRDefault="00375A3A" w:rsidP="0005225A">
      <w:pPr>
        <w:spacing w:before="100" w:beforeAutospacing="1" w:after="100" w:afterAutospacing="1"/>
        <w:ind w:right="0"/>
        <w:jc w:val="both"/>
        <w:rPr>
          <w:rFonts w:ascii="Arial" w:hAnsi="Arial" w:cs="Arial"/>
        </w:rPr>
      </w:pPr>
      <w:r w:rsidRPr="00375A3A">
        <w:rPr>
          <w:rFonts w:ascii="Arial" w:hAnsi="Arial" w:cs="Arial"/>
        </w:rPr>
        <w:t>Temkin, B.D., 2010. Mapping the customer journey. </w:t>
      </w:r>
      <w:r w:rsidRPr="00375A3A">
        <w:rPr>
          <w:rFonts w:ascii="Arial" w:hAnsi="Arial" w:cs="Arial"/>
          <w:i/>
          <w:iCs/>
        </w:rPr>
        <w:t>Forrester Research</w:t>
      </w:r>
      <w:r w:rsidRPr="00375A3A">
        <w:rPr>
          <w:rFonts w:ascii="Arial" w:hAnsi="Arial" w:cs="Arial"/>
        </w:rPr>
        <w:t>, </w:t>
      </w:r>
      <w:r w:rsidRPr="00375A3A">
        <w:rPr>
          <w:rFonts w:ascii="Arial" w:hAnsi="Arial" w:cs="Arial"/>
          <w:i/>
          <w:iCs/>
        </w:rPr>
        <w:t>3</w:t>
      </w:r>
      <w:r w:rsidRPr="00375A3A">
        <w:rPr>
          <w:rFonts w:ascii="Arial" w:hAnsi="Arial" w:cs="Arial"/>
        </w:rPr>
        <w:t>, p.20.</w:t>
      </w:r>
    </w:p>
    <w:p w14:paraId="0ED80E59" w14:textId="2BE1AF5A" w:rsidR="00375A3A" w:rsidRDefault="00375A3A" w:rsidP="0005225A">
      <w:pPr>
        <w:spacing w:before="100" w:beforeAutospacing="1" w:after="100" w:afterAutospacing="1"/>
        <w:ind w:right="0"/>
        <w:jc w:val="both"/>
        <w:rPr>
          <w:rFonts w:ascii="Arial" w:hAnsi="Arial" w:cs="Arial"/>
        </w:rPr>
      </w:pPr>
      <w:r w:rsidRPr="00375A3A">
        <w:rPr>
          <w:rFonts w:ascii="Arial" w:hAnsi="Arial" w:cs="Arial"/>
        </w:rPr>
        <w:t>Rosenbaum, M.S., Otalora, M.L. and Ramírez, G.C., 2017. How to create a realistic customer journey map. </w:t>
      </w:r>
      <w:r w:rsidRPr="00375A3A">
        <w:rPr>
          <w:rFonts w:ascii="Arial" w:hAnsi="Arial" w:cs="Arial"/>
          <w:i/>
          <w:iCs/>
        </w:rPr>
        <w:t>Business horizons</w:t>
      </w:r>
      <w:r w:rsidRPr="00375A3A">
        <w:rPr>
          <w:rFonts w:ascii="Arial" w:hAnsi="Arial" w:cs="Arial"/>
        </w:rPr>
        <w:t>, </w:t>
      </w:r>
      <w:r w:rsidRPr="00375A3A">
        <w:rPr>
          <w:rFonts w:ascii="Arial" w:hAnsi="Arial" w:cs="Arial"/>
          <w:i/>
          <w:iCs/>
        </w:rPr>
        <w:t>60</w:t>
      </w:r>
      <w:r w:rsidRPr="00375A3A">
        <w:rPr>
          <w:rFonts w:ascii="Arial" w:hAnsi="Arial" w:cs="Arial"/>
        </w:rPr>
        <w:t>(1), pp.143-150.</w:t>
      </w:r>
    </w:p>
    <w:p w14:paraId="5F72F74E" w14:textId="64367453" w:rsidR="00375A3A" w:rsidRDefault="00375A3A" w:rsidP="0005225A">
      <w:pPr>
        <w:spacing w:before="100" w:beforeAutospacing="1" w:after="100" w:afterAutospacing="1"/>
        <w:ind w:right="0"/>
        <w:jc w:val="both"/>
        <w:rPr>
          <w:rFonts w:ascii="Arial" w:hAnsi="Arial" w:cs="Arial"/>
        </w:rPr>
      </w:pPr>
      <w:proofErr w:type="spellStart"/>
      <w:r w:rsidRPr="00375A3A">
        <w:rPr>
          <w:rFonts w:ascii="Arial" w:hAnsi="Arial" w:cs="Arial"/>
        </w:rPr>
        <w:t>Retkutė</w:t>
      </w:r>
      <w:proofErr w:type="spellEnd"/>
      <w:r w:rsidRPr="00375A3A">
        <w:rPr>
          <w:rFonts w:ascii="Arial" w:hAnsi="Arial" w:cs="Arial"/>
        </w:rPr>
        <w:t xml:space="preserve">, K. and </w:t>
      </w:r>
      <w:proofErr w:type="spellStart"/>
      <w:r w:rsidRPr="00375A3A">
        <w:rPr>
          <w:rFonts w:ascii="Arial" w:hAnsi="Arial" w:cs="Arial"/>
        </w:rPr>
        <w:t>Davidavičienė</w:t>
      </w:r>
      <w:proofErr w:type="spellEnd"/>
      <w:r w:rsidRPr="00375A3A">
        <w:rPr>
          <w:rFonts w:ascii="Arial" w:hAnsi="Arial" w:cs="Arial"/>
        </w:rPr>
        <w:t xml:space="preserve">, V., 2021. Application of multichannel access and customer journey </w:t>
      </w:r>
      <w:proofErr w:type="spellStart"/>
      <w:r w:rsidRPr="00375A3A">
        <w:rPr>
          <w:rFonts w:ascii="Arial" w:hAnsi="Arial" w:cs="Arial"/>
        </w:rPr>
        <w:t>map</w:t>
      </w:r>
      <w:proofErr w:type="spellEnd"/>
      <w:r w:rsidRPr="00375A3A">
        <w:rPr>
          <w:rFonts w:ascii="Arial" w:hAnsi="Arial" w:cs="Arial"/>
        </w:rPr>
        <w:t xml:space="preserve"> in the context of innovative business projects. </w:t>
      </w:r>
      <w:r w:rsidRPr="00375A3A">
        <w:rPr>
          <w:rFonts w:ascii="Arial" w:hAnsi="Arial" w:cs="Arial"/>
          <w:i/>
          <w:iCs/>
        </w:rPr>
        <w:t>Journal of Service, innovation and Sustainable Development</w:t>
      </w:r>
      <w:r w:rsidRPr="00375A3A">
        <w:rPr>
          <w:rFonts w:ascii="Arial" w:hAnsi="Arial" w:cs="Arial"/>
        </w:rPr>
        <w:t>, </w:t>
      </w:r>
      <w:r w:rsidRPr="00375A3A">
        <w:rPr>
          <w:rFonts w:ascii="Arial" w:hAnsi="Arial" w:cs="Arial"/>
          <w:i/>
          <w:iCs/>
        </w:rPr>
        <w:t>2</w:t>
      </w:r>
      <w:r w:rsidRPr="00375A3A">
        <w:rPr>
          <w:rFonts w:ascii="Arial" w:hAnsi="Arial" w:cs="Arial"/>
        </w:rPr>
        <w:t>(1), pp.100-120.</w:t>
      </w:r>
    </w:p>
    <w:p w14:paraId="3E0223BA" w14:textId="0140104E" w:rsidR="00057AEC" w:rsidRDefault="00057AEC" w:rsidP="0005225A">
      <w:pPr>
        <w:spacing w:before="100" w:beforeAutospacing="1" w:after="100" w:afterAutospacing="1"/>
        <w:ind w:right="0"/>
        <w:jc w:val="both"/>
        <w:rPr>
          <w:rFonts w:ascii="Arial" w:hAnsi="Arial" w:cs="Arial"/>
        </w:rPr>
      </w:pPr>
      <w:r w:rsidRPr="00057AEC">
        <w:rPr>
          <w:rFonts w:ascii="Arial" w:hAnsi="Arial" w:cs="Arial"/>
        </w:rPr>
        <w:t>Herbig, P.A. and McCarty, C., 1993. The innovation matrix. </w:t>
      </w:r>
      <w:r w:rsidRPr="00057AEC">
        <w:rPr>
          <w:rFonts w:ascii="Arial" w:hAnsi="Arial" w:cs="Arial"/>
          <w:i/>
          <w:iCs/>
        </w:rPr>
        <w:t>Journal of Global Marketing</w:t>
      </w:r>
      <w:r w:rsidRPr="00057AEC">
        <w:rPr>
          <w:rFonts w:ascii="Arial" w:hAnsi="Arial" w:cs="Arial"/>
        </w:rPr>
        <w:t>, </w:t>
      </w:r>
      <w:r w:rsidRPr="00057AEC">
        <w:rPr>
          <w:rFonts w:ascii="Arial" w:hAnsi="Arial" w:cs="Arial"/>
          <w:i/>
          <w:iCs/>
        </w:rPr>
        <w:t>6</w:t>
      </w:r>
      <w:r w:rsidRPr="00057AEC">
        <w:rPr>
          <w:rFonts w:ascii="Arial" w:hAnsi="Arial" w:cs="Arial"/>
        </w:rPr>
        <w:t>(4), pp.69-90.</w:t>
      </w:r>
    </w:p>
    <w:p w14:paraId="1E487248" w14:textId="77777777" w:rsidR="00375A3A" w:rsidRDefault="00375A3A" w:rsidP="0005225A">
      <w:pPr>
        <w:spacing w:before="100" w:beforeAutospacing="1" w:after="100" w:afterAutospacing="1"/>
        <w:ind w:right="0"/>
        <w:jc w:val="both"/>
        <w:rPr>
          <w:rFonts w:ascii="Arial" w:hAnsi="Arial" w:cs="Arial"/>
        </w:rPr>
      </w:pPr>
    </w:p>
    <w:p w14:paraId="74A24931" w14:textId="77777777" w:rsidR="0061605F" w:rsidRPr="0023308E" w:rsidRDefault="0061605F" w:rsidP="0005225A">
      <w:pPr>
        <w:spacing w:before="100" w:beforeAutospacing="1" w:after="100" w:afterAutospacing="1"/>
        <w:ind w:right="0"/>
        <w:jc w:val="both"/>
        <w:rPr>
          <w:rFonts w:ascii="Arial" w:hAnsi="Arial" w:cs="Arial"/>
        </w:rPr>
      </w:pPr>
    </w:p>
    <w:p w14:paraId="197BDC3F" w14:textId="77777777" w:rsidR="002D76D7" w:rsidRPr="0023308E" w:rsidRDefault="002D76D7" w:rsidP="0005225A">
      <w:pPr>
        <w:spacing w:before="100" w:beforeAutospacing="1" w:after="100" w:afterAutospacing="1"/>
        <w:ind w:right="0"/>
        <w:jc w:val="both"/>
        <w:rPr>
          <w:rFonts w:ascii="Arial" w:hAnsi="Arial" w:cs="Arial"/>
        </w:rPr>
      </w:pPr>
    </w:p>
    <w:p w14:paraId="46E93057" w14:textId="77777777" w:rsidR="00195EDD" w:rsidRPr="0023308E" w:rsidRDefault="00195EDD" w:rsidP="0005225A">
      <w:pPr>
        <w:spacing w:before="100" w:beforeAutospacing="1" w:after="100" w:afterAutospacing="1"/>
        <w:ind w:right="0"/>
        <w:jc w:val="both"/>
        <w:rPr>
          <w:rFonts w:ascii="Arial" w:hAnsi="Arial" w:cs="Arial"/>
        </w:rPr>
      </w:pPr>
    </w:p>
    <w:p w14:paraId="28AF3C07" w14:textId="77777777" w:rsidR="000D77C9" w:rsidRPr="0023308E" w:rsidRDefault="000D77C9" w:rsidP="0005225A">
      <w:pPr>
        <w:spacing w:before="100" w:beforeAutospacing="1" w:after="100" w:afterAutospacing="1"/>
        <w:ind w:right="0"/>
        <w:jc w:val="both"/>
        <w:rPr>
          <w:rFonts w:ascii="Arial" w:hAnsi="Arial" w:cs="Arial"/>
        </w:rPr>
      </w:pPr>
    </w:p>
    <w:p w14:paraId="0AB1A2F1" w14:textId="77777777" w:rsidR="0013135C" w:rsidRPr="0023308E" w:rsidRDefault="0013135C" w:rsidP="0005225A">
      <w:pPr>
        <w:spacing w:before="100" w:beforeAutospacing="1" w:after="100" w:afterAutospacing="1"/>
        <w:ind w:right="0"/>
        <w:jc w:val="both"/>
        <w:rPr>
          <w:rFonts w:ascii="Arial" w:hAnsi="Arial" w:cs="Arial"/>
        </w:rPr>
      </w:pPr>
    </w:p>
    <w:p w14:paraId="076361C1" w14:textId="77777777" w:rsidR="00A023F4" w:rsidRPr="0023308E" w:rsidRDefault="00A023F4" w:rsidP="0005225A">
      <w:pPr>
        <w:spacing w:before="100" w:beforeAutospacing="1" w:after="100" w:afterAutospacing="1"/>
        <w:ind w:right="0"/>
        <w:jc w:val="both"/>
        <w:rPr>
          <w:rFonts w:ascii="Arial" w:hAnsi="Arial" w:cs="Arial"/>
        </w:rPr>
      </w:pPr>
    </w:p>
    <w:p w14:paraId="229528F3" w14:textId="77777777" w:rsidR="00C92F9E" w:rsidRPr="0023308E" w:rsidRDefault="00C92F9E" w:rsidP="0005225A">
      <w:pPr>
        <w:spacing w:before="100" w:beforeAutospacing="1" w:after="100" w:afterAutospacing="1"/>
        <w:ind w:right="0"/>
        <w:jc w:val="both"/>
        <w:rPr>
          <w:rFonts w:ascii="Arial" w:hAnsi="Arial" w:cs="Arial"/>
        </w:rPr>
      </w:pPr>
    </w:p>
    <w:sectPr w:rsidR="00C92F9E" w:rsidRPr="0023308E" w:rsidSect="006160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C0EDC" w14:textId="77777777" w:rsidR="00CA640F" w:rsidRDefault="00CA640F" w:rsidP="007337EC">
      <w:pPr>
        <w:spacing w:after="0" w:line="240" w:lineRule="auto"/>
      </w:pPr>
      <w:r>
        <w:separator/>
      </w:r>
    </w:p>
  </w:endnote>
  <w:endnote w:type="continuationSeparator" w:id="0">
    <w:p w14:paraId="1F11C3EE" w14:textId="77777777" w:rsidR="00CA640F" w:rsidRDefault="00CA640F" w:rsidP="00733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6722E" w14:textId="77777777" w:rsidR="00CA640F" w:rsidRDefault="00CA640F" w:rsidP="007337EC">
      <w:pPr>
        <w:spacing w:after="0" w:line="240" w:lineRule="auto"/>
      </w:pPr>
      <w:r>
        <w:separator/>
      </w:r>
    </w:p>
  </w:footnote>
  <w:footnote w:type="continuationSeparator" w:id="0">
    <w:p w14:paraId="5863980D" w14:textId="77777777" w:rsidR="00CA640F" w:rsidRDefault="00CA640F" w:rsidP="007337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7672"/>
    <w:multiLevelType w:val="hybridMultilevel"/>
    <w:tmpl w:val="90324D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C6ED9"/>
    <w:multiLevelType w:val="hybridMultilevel"/>
    <w:tmpl w:val="B6EACD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B7E07"/>
    <w:multiLevelType w:val="hybridMultilevel"/>
    <w:tmpl w:val="433E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7325A"/>
    <w:multiLevelType w:val="hybridMultilevel"/>
    <w:tmpl w:val="DFDEC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25C5B"/>
    <w:multiLevelType w:val="multilevel"/>
    <w:tmpl w:val="B07A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22011D"/>
    <w:multiLevelType w:val="multilevel"/>
    <w:tmpl w:val="B130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EE1D32"/>
    <w:multiLevelType w:val="hybridMultilevel"/>
    <w:tmpl w:val="60EC9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E03180"/>
    <w:multiLevelType w:val="hybridMultilevel"/>
    <w:tmpl w:val="52305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271F14"/>
    <w:multiLevelType w:val="multilevel"/>
    <w:tmpl w:val="FAF8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3879A8"/>
    <w:multiLevelType w:val="hybridMultilevel"/>
    <w:tmpl w:val="F22E9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880649"/>
    <w:multiLevelType w:val="multilevel"/>
    <w:tmpl w:val="B4A0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903EB1"/>
    <w:multiLevelType w:val="hybridMultilevel"/>
    <w:tmpl w:val="916A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C85EE7"/>
    <w:multiLevelType w:val="hybridMultilevel"/>
    <w:tmpl w:val="3FE494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11139E2"/>
    <w:multiLevelType w:val="hybridMultilevel"/>
    <w:tmpl w:val="A904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1C5627"/>
    <w:multiLevelType w:val="multilevel"/>
    <w:tmpl w:val="CBE45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5B7624"/>
    <w:multiLevelType w:val="multilevel"/>
    <w:tmpl w:val="2B48C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026DE0"/>
    <w:multiLevelType w:val="multilevel"/>
    <w:tmpl w:val="17A2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425EC3"/>
    <w:multiLevelType w:val="multilevel"/>
    <w:tmpl w:val="4238D0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B23A3"/>
    <w:multiLevelType w:val="multilevel"/>
    <w:tmpl w:val="AF12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7D45A7"/>
    <w:multiLevelType w:val="hybridMultilevel"/>
    <w:tmpl w:val="931C14A4"/>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20" w15:restartNumberingAfterBreak="0">
    <w:nsid w:val="5E8A2D75"/>
    <w:multiLevelType w:val="hybridMultilevel"/>
    <w:tmpl w:val="602E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CA304F"/>
    <w:multiLevelType w:val="multilevel"/>
    <w:tmpl w:val="E4A8A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8A5F37"/>
    <w:multiLevelType w:val="multilevel"/>
    <w:tmpl w:val="197C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C13E4D"/>
    <w:multiLevelType w:val="hybridMultilevel"/>
    <w:tmpl w:val="AD541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B401C4"/>
    <w:multiLevelType w:val="hybridMultilevel"/>
    <w:tmpl w:val="BB4C09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88750B"/>
    <w:multiLevelType w:val="hybridMultilevel"/>
    <w:tmpl w:val="DB6C5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5C346D"/>
    <w:multiLevelType w:val="hybridMultilevel"/>
    <w:tmpl w:val="E12CF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DA4A5A"/>
    <w:multiLevelType w:val="multilevel"/>
    <w:tmpl w:val="388CC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656883">
    <w:abstractNumId w:val="26"/>
  </w:num>
  <w:num w:numId="2" w16cid:durableId="1815248850">
    <w:abstractNumId w:val="20"/>
  </w:num>
  <w:num w:numId="3" w16cid:durableId="1473331569">
    <w:abstractNumId w:val="7"/>
  </w:num>
  <w:num w:numId="4" w16cid:durableId="493180135">
    <w:abstractNumId w:val="25"/>
  </w:num>
  <w:num w:numId="5" w16cid:durableId="1877355529">
    <w:abstractNumId w:val="1"/>
  </w:num>
  <w:num w:numId="6" w16cid:durableId="1102610242">
    <w:abstractNumId w:val="24"/>
  </w:num>
  <w:num w:numId="7" w16cid:durableId="1293947097">
    <w:abstractNumId w:val="0"/>
  </w:num>
  <w:num w:numId="8" w16cid:durableId="1585721100">
    <w:abstractNumId w:val="2"/>
  </w:num>
  <w:num w:numId="9" w16cid:durableId="1731419707">
    <w:abstractNumId w:val="6"/>
  </w:num>
  <w:num w:numId="10" w16cid:durableId="599604426">
    <w:abstractNumId w:val="19"/>
  </w:num>
  <w:num w:numId="11" w16cid:durableId="1669753341">
    <w:abstractNumId w:val="23"/>
  </w:num>
  <w:num w:numId="12" w16cid:durableId="1436747359">
    <w:abstractNumId w:val="3"/>
  </w:num>
  <w:num w:numId="13" w16cid:durableId="1724212752">
    <w:abstractNumId w:val="13"/>
  </w:num>
  <w:num w:numId="14" w16cid:durableId="2043283537">
    <w:abstractNumId w:val="11"/>
  </w:num>
  <w:num w:numId="15" w16cid:durableId="834338890">
    <w:abstractNumId w:val="12"/>
  </w:num>
  <w:num w:numId="16" w16cid:durableId="2086877386">
    <w:abstractNumId w:val="9"/>
  </w:num>
  <w:num w:numId="17" w16cid:durableId="643707125">
    <w:abstractNumId w:val="18"/>
  </w:num>
  <w:num w:numId="18" w16cid:durableId="1009716715">
    <w:abstractNumId w:val="21"/>
  </w:num>
  <w:num w:numId="19" w16cid:durableId="1104229574">
    <w:abstractNumId w:val="4"/>
  </w:num>
  <w:num w:numId="20" w16cid:durableId="201284508">
    <w:abstractNumId w:val="16"/>
  </w:num>
  <w:num w:numId="21" w16cid:durableId="1068379009">
    <w:abstractNumId w:val="15"/>
  </w:num>
  <w:num w:numId="22" w16cid:durableId="1547910193">
    <w:abstractNumId w:val="5"/>
  </w:num>
  <w:num w:numId="23" w16cid:durableId="334768129">
    <w:abstractNumId w:val="14"/>
  </w:num>
  <w:num w:numId="24" w16cid:durableId="596522974">
    <w:abstractNumId w:val="17"/>
  </w:num>
  <w:num w:numId="25" w16cid:durableId="1094017779">
    <w:abstractNumId w:val="27"/>
  </w:num>
  <w:num w:numId="26" w16cid:durableId="448745415">
    <w:abstractNumId w:val="10"/>
  </w:num>
  <w:num w:numId="27" w16cid:durableId="1511139085">
    <w:abstractNumId w:val="8"/>
  </w:num>
  <w:num w:numId="28" w16cid:durableId="110927906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80"/>
    <w:rsid w:val="00000BF1"/>
    <w:rsid w:val="00007D8F"/>
    <w:rsid w:val="00015A8A"/>
    <w:rsid w:val="00030495"/>
    <w:rsid w:val="0003329E"/>
    <w:rsid w:val="00035BA7"/>
    <w:rsid w:val="00036340"/>
    <w:rsid w:val="00037377"/>
    <w:rsid w:val="00040167"/>
    <w:rsid w:val="00042D55"/>
    <w:rsid w:val="00045442"/>
    <w:rsid w:val="0005225A"/>
    <w:rsid w:val="0005334D"/>
    <w:rsid w:val="00055102"/>
    <w:rsid w:val="00055A87"/>
    <w:rsid w:val="0005721A"/>
    <w:rsid w:val="00057AEC"/>
    <w:rsid w:val="000633DA"/>
    <w:rsid w:val="00070A9B"/>
    <w:rsid w:val="00071895"/>
    <w:rsid w:val="000734C0"/>
    <w:rsid w:val="00075B7F"/>
    <w:rsid w:val="0007696D"/>
    <w:rsid w:val="00081894"/>
    <w:rsid w:val="00082BA5"/>
    <w:rsid w:val="00087097"/>
    <w:rsid w:val="0009050F"/>
    <w:rsid w:val="000A0D8D"/>
    <w:rsid w:val="000A4ED8"/>
    <w:rsid w:val="000B6583"/>
    <w:rsid w:val="000B7155"/>
    <w:rsid w:val="000C056C"/>
    <w:rsid w:val="000C0DEA"/>
    <w:rsid w:val="000C6083"/>
    <w:rsid w:val="000D03A2"/>
    <w:rsid w:val="000D2528"/>
    <w:rsid w:val="000D330F"/>
    <w:rsid w:val="000D68F9"/>
    <w:rsid w:val="000D77C9"/>
    <w:rsid w:val="000E3D49"/>
    <w:rsid w:val="000E69D8"/>
    <w:rsid w:val="000E6C1C"/>
    <w:rsid w:val="000F6125"/>
    <w:rsid w:val="000F6BBA"/>
    <w:rsid w:val="00101A5D"/>
    <w:rsid w:val="0010362B"/>
    <w:rsid w:val="001156D6"/>
    <w:rsid w:val="00116052"/>
    <w:rsid w:val="00122F9A"/>
    <w:rsid w:val="00125DF0"/>
    <w:rsid w:val="00130279"/>
    <w:rsid w:val="0013135C"/>
    <w:rsid w:val="00133079"/>
    <w:rsid w:val="001338BD"/>
    <w:rsid w:val="0014774D"/>
    <w:rsid w:val="00151223"/>
    <w:rsid w:val="00156B44"/>
    <w:rsid w:val="00167191"/>
    <w:rsid w:val="00170FA0"/>
    <w:rsid w:val="00172915"/>
    <w:rsid w:val="00174E1C"/>
    <w:rsid w:val="0018056D"/>
    <w:rsid w:val="00182F95"/>
    <w:rsid w:val="00183197"/>
    <w:rsid w:val="00195BEC"/>
    <w:rsid w:val="00195EDD"/>
    <w:rsid w:val="001A2607"/>
    <w:rsid w:val="001A6149"/>
    <w:rsid w:val="001B1837"/>
    <w:rsid w:val="001C2EB6"/>
    <w:rsid w:val="001C5E82"/>
    <w:rsid w:val="001C68EC"/>
    <w:rsid w:val="001D403F"/>
    <w:rsid w:val="001D4FA3"/>
    <w:rsid w:val="001E328E"/>
    <w:rsid w:val="001E70F8"/>
    <w:rsid w:val="001F060E"/>
    <w:rsid w:val="001F099F"/>
    <w:rsid w:val="001F2F4B"/>
    <w:rsid w:val="001F3951"/>
    <w:rsid w:val="0020640F"/>
    <w:rsid w:val="002239BC"/>
    <w:rsid w:val="00224A29"/>
    <w:rsid w:val="0023308E"/>
    <w:rsid w:val="002414BA"/>
    <w:rsid w:val="002512DD"/>
    <w:rsid w:val="0027029C"/>
    <w:rsid w:val="0027381E"/>
    <w:rsid w:val="0027447E"/>
    <w:rsid w:val="00280140"/>
    <w:rsid w:val="002837A0"/>
    <w:rsid w:val="00290D0C"/>
    <w:rsid w:val="00292302"/>
    <w:rsid w:val="002A119D"/>
    <w:rsid w:val="002A5B95"/>
    <w:rsid w:val="002A7B82"/>
    <w:rsid w:val="002C2655"/>
    <w:rsid w:val="002C60C1"/>
    <w:rsid w:val="002D1D8D"/>
    <w:rsid w:val="002D4CB5"/>
    <w:rsid w:val="002D76D7"/>
    <w:rsid w:val="002E3428"/>
    <w:rsid w:val="002E4A89"/>
    <w:rsid w:val="002E5A83"/>
    <w:rsid w:val="002F0574"/>
    <w:rsid w:val="00303AFF"/>
    <w:rsid w:val="00306474"/>
    <w:rsid w:val="00310322"/>
    <w:rsid w:val="00314FBC"/>
    <w:rsid w:val="003206A4"/>
    <w:rsid w:val="00322C9B"/>
    <w:rsid w:val="003232E1"/>
    <w:rsid w:val="00326D35"/>
    <w:rsid w:val="003313A9"/>
    <w:rsid w:val="00343303"/>
    <w:rsid w:val="00343DCD"/>
    <w:rsid w:val="00344B0F"/>
    <w:rsid w:val="003450A0"/>
    <w:rsid w:val="003533BA"/>
    <w:rsid w:val="00354715"/>
    <w:rsid w:val="00355FE1"/>
    <w:rsid w:val="00356240"/>
    <w:rsid w:val="003564D8"/>
    <w:rsid w:val="00370B5E"/>
    <w:rsid w:val="0037349A"/>
    <w:rsid w:val="00375A3A"/>
    <w:rsid w:val="00380DC0"/>
    <w:rsid w:val="0038459C"/>
    <w:rsid w:val="00385A9B"/>
    <w:rsid w:val="00385C04"/>
    <w:rsid w:val="003921DE"/>
    <w:rsid w:val="0039283F"/>
    <w:rsid w:val="00394CE2"/>
    <w:rsid w:val="00397814"/>
    <w:rsid w:val="003B1B82"/>
    <w:rsid w:val="003B4131"/>
    <w:rsid w:val="003B42AC"/>
    <w:rsid w:val="003B7ED8"/>
    <w:rsid w:val="003C3AAD"/>
    <w:rsid w:val="003D43A3"/>
    <w:rsid w:val="003D61C9"/>
    <w:rsid w:val="003E209E"/>
    <w:rsid w:val="003E30DD"/>
    <w:rsid w:val="003E33F2"/>
    <w:rsid w:val="00403766"/>
    <w:rsid w:val="0041657A"/>
    <w:rsid w:val="00422D87"/>
    <w:rsid w:val="00434A91"/>
    <w:rsid w:val="00436027"/>
    <w:rsid w:val="00442074"/>
    <w:rsid w:val="004459D3"/>
    <w:rsid w:val="00452EE8"/>
    <w:rsid w:val="00453402"/>
    <w:rsid w:val="00454941"/>
    <w:rsid w:val="00457D7A"/>
    <w:rsid w:val="00464171"/>
    <w:rsid w:val="00464D98"/>
    <w:rsid w:val="0046643C"/>
    <w:rsid w:val="00470626"/>
    <w:rsid w:val="004707BD"/>
    <w:rsid w:val="00471BD2"/>
    <w:rsid w:val="00473BF9"/>
    <w:rsid w:val="004750D7"/>
    <w:rsid w:val="00475260"/>
    <w:rsid w:val="00481BAA"/>
    <w:rsid w:val="00482FF5"/>
    <w:rsid w:val="004837A0"/>
    <w:rsid w:val="00484817"/>
    <w:rsid w:val="00484EA4"/>
    <w:rsid w:val="00485999"/>
    <w:rsid w:val="0049632A"/>
    <w:rsid w:val="00496430"/>
    <w:rsid w:val="00497515"/>
    <w:rsid w:val="004A1CFF"/>
    <w:rsid w:val="004A3152"/>
    <w:rsid w:val="004A34E8"/>
    <w:rsid w:val="004B73A4"/>
    <w:rsid w:val="004C03AC"/>
    <w:rsid w:val="004C088B"/>
    <w:rsid w:val="004C4E9A"/>
    <w:rsid w:val="004C725E"/>
    <w:rsid w:val="004E4053"/>
    <w:rsid w:val="00502947"/>
    <w:rsid w:val="00515256"/>
    <w:rsid w:val="00531303"/>
    <w:rsid w:val="00531B01"/>
    <w:rsid w:val="00533129"/>
    <w:rsid w:val="00534687"/>
    <w:rsid w:val="00545647"/>
    <w:rsid w:val="00547586"/>
    <w:rsid w:val="005538AB"/>
    <w:rsid w:val="00555AB0"/>
    <w:rsid w:val="00561CCB"/>
    <w:rsid w:val="005726B8"/>
    <w:rsid w:val="005763B2"/>
    <w:rsid w:val="00582686"/>
    <w:rsid w:val="00582969"/>
    <w:rsid w:val="00585ED7"/>
    <w:rsid w:val="00585F28"/>
    <w:rsid w:val="0059033A"/>
    <w:rsid w:val="00590796"/>
    <w:rsid w:val="00590D9F"/>
    <w:rsid w:val="005928FD"/>
    <w:rsid w:val="005972E5"/>
    <w:rsid w:val="005A6023"/>
    <w:rsid w:val="005A7A63"/>
    <w:rsid w:val="005B4B7D"/>
    <w:rsid w:val="005B5F3F"/>
    <w:rsid w:val="005C1E53"/>
    <w:rsid w:val="005C3B1C"/>
    <w:rsid w:val="005D7734"/>
    <w:rsid w:val="005E035B"/>
    <w:rsid w:val="005E150C"/>
    <w:rsid w:val="005E379F"/>
    <w:rsid w:val="005E5AE6"/>
    <w:rsid w:val="005E7819"/>
    <w:rsid w:val="005F0D5C"/>
    <w:rsid w:val="005F17E6"/>
    <w:rsid w:val="005F2B82"/>
    <w:rsid w:val="005F73C7"/>
    <w:rsid w:val="00604DAA"/>
    <w:rsid w:val="006136CC"/>
    <w:rsid w:val="0061584D"/>
    <w:rsid w:val="0061605F"/>
    <w:rsid w:val="00616759"/>
    <w:rsid w:val="006208B1"/>
    <w:rsid w:val="00630D88"/>
    <w:rsid w:val="00646FE8"/>
    <w:rsid w:val="00657E8F"/>
    <w:rsid w:val="00664276"/>
    <w:rsid w:val="00670C84"/>
    <w:rsid w:val="006729A1"/>
    <w:rsid w:val="00672D98"/>
    <w:rsid w:val="0068118D"/>
    <w:rsid w:val="00681869"/>
    <w:rsid w:val="00681A10"/>
    <w:rsid w:val="00683A5B"/>
    <w:rsid w:val="00685E5F"/>
    <w:rsid w:val="00691A42"/>
    <w:rsid w:val="006961AF"/>
    <w:rsid w:val="006A1484"/>
    <w:rsid w:val="006A6DF6"/>
    <w:rsid w:val="006B0312"/>
    <w:rsid w:val="006B2D58"/>
    <w:rsid w:val="006B5FC0"/>
    <w:rsid w:val="006C25C5"/>
    <w:rsid w:val="006C2BBF"/>
    <w:rsid w:val="006C3252"/>
    <w:rsid w:val="006C512A"/>
    <w:rsid w:val="006C6A27"/>
    <w:rsid w:val="006C7DC5"/>
    <w:rsid w:val="006D3E37"/>
    <w:rsid w:val="006D5F4A"/>
    <w:rsid w:val="006D658B"/>
    <w:rsid w:val="006E1B2C"/>
    <w:rsid w:val="006E5BEB"/>
    <w:rsid w:val="006E7F0C"/>
    <w:rsid w:val="006F2829"/>
    <w:rsid w:val="006F57CC"/>
    <w:rsid w:val="006F59BD"/>
    <w:rsid w:val="007006DE"/>
    <w:rsid w:val="00700D22"/>
    <w:rsid w:val="00700DCB"/>
    <w:rsid w:val="00701C4B"/>
    <w:rsid w:val="007036D4"/>
    <w:rsid w:val="00705A7E"/>
    <w:rsid w:val="00726EFE"/>
    <w:rsid w:val="0073123A"/>
    <w:rsid w:val="007337EC"/>
    <w:rsid w:val="007360A7"/>
    <w:rsid w:val="00736705"/>
    <w:rsid w:val="00737FB5"/>
    <w:rsid w:val="00744536"/>
    <w:rsid w:val="0074575E"/>
    <w:rsid w:val="00750678"/>
    <w:rsid w:val="0075504E"/>
    <w:rsid w:val="00756324"/>
    <w:rsid w:val="0076405D"/>
    <w:rsid w:val="00764AC5"/>
    <w:rsid w:val="00765620"/>
    <w:rsid w:val="007758EA"/>
    <w:rsid w:val="00783809"/>
    <w:rsid w:val="007873BF"/>
    <w:rsid w:val="0079198E"/>
    <w:rsid w:val="0079259B"/>
    <w:rsid w:val="00794EB6"/>
    <w:rsid w:val="007A05BA"/>
    <w:rsid w:val="007A4EDC"/>
    <w:rsid w:val="007A5657"/>
    <w:rsid w:val="007A7B69"/>
    <w:rsid w:val="007C6797"/>
    <w:rsid w:val="007D2044"/>
    <w:rsid w:val="007E0E84"/>
    <w:rsid w:val="007F30A4"/>
    <w:rsid w:val="0080422E"/>
    <w:rsid w:val="00810DC0"/>
    <w:rsid w:val="00812080"/>
    <w:rsid w:val="00821053"/>
    <w:rsid w:val="00821117"/>
    <w:rsid w:val="008253D6"/>
    <w:rsid w:val="008322BF"/>
    <w:rsid w:val="008325F5"/>
    <w:rsid w:val="008333C5"/>
    <w:rsid w:val="008366F2"/>
    <w:rsid w:val="00844DE1"/>
    <w:rsid w:val="00850D91"/>
    <w:rsid w:val="00853115"/>
    <w:rsid w:val="0086050F"/>
    <w:rsid w:val="008654F3"/>
    <w:rsid w:val="00872AA5"/>
    <w:rsid w:val="00875CC8"/>
    <w:rsid w:val="0088250F"/>
    <w:rsid w:val="00883486"/>
    <w:rsid w:val="008837A1"/>
    <w:rsid w:val="008840B5"/>
    <w:rsid w:val="008851E0"/>
    <w:rsid w:val="0089689E"/>
    <w:rsid w:val="00896A5E"/>
    <w:rsid w:val="008A1884"/>
    <w:rsid w:val="008B42CD"/>
    <w:rsid w:val="008C7315"/>
    <w:rsid w:val="008D1A9B"/>
    <w:rsid w:val="008E119E"/>
    <w:rsid w:val="008E2913"/>
    <w:rsid w:val="008E638B"/>
    <w:rsid w:val="008E7291"/>
    <w:rsid w:val="008F1ADE"/>
    <w:rsid w:val="008F4EE2"/>
    <w:rsid w:val="008F7E63"/>
    <w:rsid w:val="00910D5B"/>
    <w:rsid w:val="009114FF"/>
    <w:rsid w:val="0091331B"/>
    <w:rsid w:val="00923679"/>
    <w:rsid w:val="00925A52"/>
    <w:rsid w:val="009269EC"/>
    <w:rsid w:val="0094012E"/>
    <w:rsid w:val="00943552"/>
    <w:rsid w:val="00943964"/>
    <w:rsid w:val="0094414F"/>
    <w:rsid w:val="009620B8"/>
    <w:rsid w:val="00965FD5"/>
    <w:rsid w:val="009677D9"/>
    <w:rsid w:val="00967C97"/>
    <w:rsid w:val="00971039"/>
    <w:rsid w:val="00972A34"/>
    <w:rsid w:val="009823E2"/>
    <w:rsid w:val="00984B47"/>
    <w:rsid w:val="0099086D"/>
    <w:rsid w:val="00991569"/>
    <w:rsid w:val="009A3D2E"/>
    <w:rsid w:val="009B1339"/>
    <w:rsid w:val="009C1D6C"/>
    <w:rsid w:val="009C2426"/>
    <w:rsid w:val="009D6D15"/>
    <w:rsid w:val="009D736C"/>
    <w:rsid w:val="009E0808"/>
    <w:rsid w:val="009E0E55"/>
    <w:rsid w:val="009E7C57"/>
    <w:rsid w:val="009F7C7D"/>
    <w:rsid w:val="00A023F4"/>
    <w:rsid w:val="00A050FC"/>
    <w:rsid w:val="00A12D25"/>
    <w:rsid w:val="00A17BC3"/>
    <w:rsid w:val="00A21CF8"/>
    <w:rsid w:val="00A3507B"/>
    <w:rsid w:val="00A37175"/>
    <w:rsid w:val="00A40F62"/>
    <w:rsid w:val="00A4331C"/>
    <w:rsid w:val="00A4552D"/>
    <w:rsid w:val="00A6041F"/>
    <w:rsid w:val="00A639B7"/>
    <w:rsid w:val="00A642C0"/>
    <w:rsid w:val="00A6694B"/>
    <w:rsid w:val="00A74F0C"/>
    <w:rsid w:val="00A760DF"/>
    <w:rsid w:val="00A85062"/>
    <w:rsid w:val="00A90730"/>
    <w:rsid w:val="00A949D4"/>
    <w:rsid w:val="00A95E53"/>
    <w:rsid w:val="00AA4496"/>
    <w:rsid w:val="00AB22E4"/>
    <w:rsid w:val="00AB3668"/>
    <w:rsid w:val="00AB3A26"/>
    <w:rsid w:val="00AC19FC"/>
    <w:rsid w:val="00AC62AD"/>
    <w:rsid w:val="00AD6644"/>
    <w:rsid w:val="00AD6FF6"/>
    <w:rsid w:val="00AE1742"/>
    <w:rsid w:val="00AE17B0"/>
    <w:rsid w:val="00AE22AC"/>
    <w:rsid w:val="00AE26E4"/>
    <w:rsid w:val="00AE6183"/>
    <w:rsid w:val="00AE7F1F"/>
    <w:rsid w:val="00AF4013"/>
    <w:rsid w:val="00B0482C"/>
    <w:rsid w:val="00B04BFC"/>
    <w:rsid w:val="00B0598E"/>
    <w:rsid w:val="00B0773F"/>
    <w:rsid w:val="00B11219"/>
    <w:rsid w:val="00B141F7"/>
    <w:rsid w:val="00B21ED8"/>
    <w:rsid w:val="00B304D2"/>
    <w:rsid w:val="00B31119"/>
    <w:rsid w:val="00B43DA5"/>
    <w:rsid w:val="00B4612B"/>
    <w:rsid w:val="00B46C7B"/>
    <w:rsid w:val="00B503C7"/>
    <w:rsid w:val="00B5236B"/>
    <w:rsid w:val="00B526F6"/>
    <w:rsid w:val="00B52E83"/>
    <w:rsid w:val="00B55683"/>
    <w:rsid w:val="00B57D71"/>
    <w:rsid w:val="00B61D20"/>
    <w:rsid w:val="00B62312"/>
    <w:rsid w:val="00B62E5D"/>
    <w:rsid w:val="00B64AE7"/>
    <w:rsid w:val="00B65223"/>
    <w:rsid w:val="00B716FE"/>
    <w:rsid w:val="00B8294D"/>
    <w:rsid w:val="00B86A53"/>
    <w:rsid w:val="00B9442B"/>
    <w:rsid w:val="00B94A1D"/>
    <w:rsid w:val="00BA12E7"/>
    <w:rsid w:val="00BA411E"/>
    <w:rsid w:val="00BB0671"/>
    <w:rsid w:val="00BB329F"/>
    <w:rsid w:val="00BC1A37"/>
    <w:rsid w:val="00BC2177"/>
    <w:rsid w:val="00BC2FCF"/>
    <w:rsid w:val="00BE1125"/>
    <w:rsid w:val="00BE263B"/>
    <w:rsid w:val="00BF0B85"/>
    <w:rsid w:val="00BF0BE4"/>
    <w:rsid w:val="00BF32E9"/>
    <w:rsid w:val="00BF3B24"/>
    <w:rsid w:val="00BF7CEA"/>
    <w:rsid w:val="00C008DB"/>
    <w:rsid w:val="00C048C5"/>
    <w:rsid w:val="00C10681"/>
    <w:rsid w:val="00C12B75"/>
    <w:rsid w:val="00C1305C"/>
    <w:rsid w:val="00C131F0"/>
    <w:rsid w:val="00C30420"/>
    <w:rsid w:val="00C334FB"/>
    <w:rsid w:val="00C37F8D"/>
    <w:rsid w:val="00C43510"/>
    <w:rsid w:val="00C43F6E"/>
    <w:rsid w:val="00C46D56"/>
    <w:rsid w:val="00C62A3E"/>
    <w:rsid w:val="00C6650F"/>
    <w:rsid w:val="00C66B1C"/>
    <w:rsid w:val="00C81E22"/>
    <w:rsid w:val="00C82A68"/>
    <w:rsid w:val="00C87047"/>
    <w:rsid w:val="00C9086B"/>
    <w:rsid w:val="00C92F9E"/>
    <w:rsid w:val="00C9723C"/>
    <w:rsid w:val="00CA0513"/>
    <w:rsid w:val="00CA4AE6"/>
    <w:rsid w:val="00CA640F"/>
    <w:rsid w:val="00CB0CC3"/>
    <w:rsid w:val="00CB299C"/>
    <w:rsid w:val="00CC141A"/>
    <w:rsid w:val="00CD568F"/>
    <w:rsid w:val="00CE0195"/>
    <w:rsid w:val="00CE7BE7"/>
    <w:rsid w:val="00CF18ED"/>
    <w:rsid w:val="00CF715E"/>
    <w:rsid w:val="00CF7755"/>
    <w:rsid w:val="00D01B7B"/>
    <w:rsid w:val="00D03BCD"/>
    <w:rsid w:val="00D04715"/>
    <w:rsid w:val="00D06021"/>
    <w:rsid w:val="00D17CC4"/>
    <w:rsid w:val="00D22A25"/>
    <w:rsid w:val="00D239B9"/>
    <w:rsid w:val="00D25F73"/>
    <w:rsid w:val="00D3069E"/>
    <w:rsid w:val="00D369C1"/>
    <w:rsid w:val="00D429BE"/>
    <w:rsid w:val="00D46089"/>
    <w:rsid w:val="00D46A7A"/>
    <w:rsid w:val="00D5077A"/>
    <w:rsid w:val="00D52B66"/>
    <w:rsid w:val="00D615E6"/>
    <w:rsid w:val="00D66F3A"/>
    <w:rsid w:val="00D7339A"/>
    <w:rsid w:val="00D810E2"/>
    <w:rsid w:val="00D85445"/>
    <w:rsid w:val="00D85D1D"/>
    <w:rsid w:val="00DA712F"/>
    <w:rsid w:val="00DB0E63"/>
    <w:rsid w:val="00DC0280"/>
    <w:rsid w:val="00DC157C"/>
    <w:rsid w:val="00DC17EA"/>
    <w:rsid w:val="00DC3222"/>
    <w:rsid w:val="00DC4870"/>
    <w:rsid w:val="00DC5FA6"/>
    <w:rsid w:val="00DC7A1F"/>
    <w:rsid w:val="00DD58CD"/>
    <w:rsid w:val="00DE545B"/>
    <w:rsid w:val="00DF2A04"/>
    <w:rsid w:val="00DF2AC8"/>
    <w:rsid w:val="00DF2E76"/>
    <w:rsid w:val="00DF72D8"/>
    <w:rsid w:val="00E12D04"/>
    <w:rsid w:val="00E14A45"/>
    <w:rsid w:val="00E17BC8"/>
    <w:rsid w:val="00E21034"/>
    <w:rsid w:val="00E4647A"/>
    <w:rsid w:val="00E46883"/>
    <w:rsid w:val="00E47590"/>
    <w:rsid w:val="00E53F0D"/>
    <w:rsid w:val="00E60C4D"/>
    <w:rsid w:val="00E62AB6"/>
    <w:rsid w:val="00E71880"/>
    <w:rsid w:val="00E73F5D"/>
    <w:rsid w:val="00E818BE"/>
    <w:rsid w:val="00E82082"/>
    <w:rsid w:val="00E829DC"/>
    <w:rsid w:val="00E831E2"/>
    <w:rsid w:val="00E84074"/>
    <w:rsid w:val="00E86936"/>
    <w:rsid w:val="00E86F80"/>
    <w:rsid w:val="00E871DB"/>
    <w:rsid w:val="00E93D4F"/>
    <w:rsid w:val="00EA064C"/>
    <w:rsid w:val="00EA1B37"/>
    <w:rsid w:val="00EA6619"/>
    <w:rsid w:val="00EA6B37"/>
    <w:rsid w:val="00EB0EDF"/>
    <w:rsid w:val="00EC29F0"/>
    <w:rsid w:val="00EC30B5"/>
    <w:rsid w:val="00EC415D"/>
    <w:rsid w:val="00EC4BF8"/>
    <w:rsid w:val="00EC5203"/>
    <w:rsid w:val="00ED4F90"/>
    <w:rsid w:val="00EE3BA9"/>
    <w:rsid w:val="00EF3CE7"/>
    <w:rsid w:val="00EF4A28"/>
    <w:rsid w:val="00EF7E72"/>
    <w:rsid w:val="00F0744E"/>
    <w:rsid w:val="00F10055"/>
    <w:rsid w:val="00F10155"/>
    <w:rsid w:val="00F10D95"/>
    <w:rsid w:val="00F21136"/>
    <w:rsid w:val="00F21359"/>
    <w:rsid w:val="00F252CC"/>
    <w:rsid w:val="00F26A38"/>
    <w:rsid w:val="00F429E6"/>
    <w:rsid w:val="00F4423C"/>
    <w:rsid w:val="00F55546"/>
    <w:rsid w:val="00F62F8C"/>
    <w:rsid w:val="00F7032C"/>
    <w:rsid w:val="00F70FEE"/>
    <w:rsid w:val="00F72A3F"/>
    <w:rsid w:val="00F72C35"/>
    <w:rsid w:val="00F74481"/>
    <w:rsid w:val="00F75B5E"/>
    <w:rsid w:val="00F77161"/>
    <w:rsid w:val="00F91415"/>
    <w:rsid w:val="00F92C05"/>
    <w:rsid w:val="00F94E76"/>
    <w:rsid w:val="00F9525F"/>
    <w:rsid w:val="00F95E77"/>
    <w:rsid w:val="00F96D8D"/>
    <w:rsid w:val="00F9788B"/>
    <w:rsid w:val="00FA3399"/>
    <w:rsid w:val="00FA4012"/>
    <w:rsid w:val="00FA634A"/>
    <w:rsid w:val="00FB09D3"/>
    <w:rsid w:val="00FB5BD7"/>
    <w:rsid w:val="00FC581C"/>
    <w:rsid w:val="00FD0527"/>
    <w:rsid w:val="00FD563F"/>
    <w:rsid w:val="00FE268F"/>
    <w:rsid w:val="00FF3984"/>
    <w:rsid w:val="00FF487A"/>
    <w:rsid w:val="00FF598F"/>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8A1E7"/>
  <w15:chartTrackingRefBased/>
  <w15:docId w15:val="{452FDD6D-AEA2-403D-B7A9-BD80A82EC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ta-IN"/>
        <w14:ligatures w14:val="standardContextual"/>
      </w:rPr>
    </w:rPrDefault>
    <w:pPrDefault>
      <w:pPr>
        <w:spacing w:after="160" w:line="259" w:lineRule="auto"/>
        <w:ind w:right="81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280"/>
    <w:rPr>
      <w:rFonts w:eastAsiaTheme="majorEastAsia" w:cstheme="majorBidi"/>
      <w:color w:val="272727" w:themeColor="text1" w:themeTint="D8"/>
    </w:rPr>
  </w:style>
  <w:style w:type="paragraph" w:styleId="Title">
    <w:name w:val="Title"/>
    <w:basedOn w:val="Normal"/>
    <w:next w:val="Normal"/>
    <w:link w:val="TitleChar"/>
    <w:uiPriority w:val="10"/>
    <w:qFormat/>
    <w:rsid w:val="00DC0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280"/>
    <w:pPr>
      <w:spacing w:before="160"/>
      <w:jc w:val="center"/>
    </w:pPr>
    <w:rPr>
      <w:i/>
      <w:iCs/>
      <w:color w:val="404040" w:themeColor="text1" w:themeTint="BF"/>
    </w:rPr>
  </w:style>
  <w:style w:type="character" w:customStyle="1" w:styleId="QuoteChar">
    <w:name w:val="Quote Char"/>
    <w:basedOn w:val="DefaultParagraphFont"/>
    <w:link w:val="Quote"/>
    <w:uiPriority w:val="29"/>
    <w:rsid w:val="00DC0280"/>
    <w:rPr>
      <w:i/>
      <w:iCs/>
      <w:color w:val="404040" w:themeColor="text1" w:themeTint="BF"/>
    </w:rPr>
  </w:style>
  <w:style w:type="paragraph" w:styleId="ListParagraph">
    <w:name w:val="List Paragraph"/>
    <w:basedOn w:val="Normal"/>
    <w:uiPriority w:val="34"/>
    <w:qFormat/>
    <w:rsid w:val="00DC0280"/>
    <w:pPr>
      <w:ind w:left="720"/>
      <w:contextualSpacing/>
    </w:pPr>
  </w:style>
  <w:style w:type="character" w:styleId="IntenseEmphasis">
    <w:name w:val="Intense Emphasis"/>
    <w:basedOn w:val="DefaultParagraphFont"/>
    <w:uiPriority w:val="21"/>
    <w:qFormat/>
    <w:rsid w:val="00DC0280"/>
    <w:rPr>
      <w:i/>
      <w:iCs/>
      <w:color w:val="0F4761" w:themeColor="accent1" w:themeShade="BF"/>
    </w:rPr>
  </w:style>
  <w:style w:type="paragraph" w:styleId="IntenseQuote">
    <w:name w:val="Intense Quote"/>
    <w:basedOn w:val="Normal"/>
    <w:next w:val="Normal"/>
    <w:link w:val="IntenseQuoteChar"/>
    <w:uiPriority w:val="30"/>
    <w:qFormat/>
    <w:rsid w:val="00DC0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280"/>
    <w:rPr>
      <w:i/>
      <w:iCs/>
      <w:color w:val="0F4761" w:themeColor="accent1" w:themeShade="BF"/>
    </w:rPr>
  </w:style>
  <w:style w:type="character" w:styleId="IntenseReference">
    <w:name w:val="Intense Reference"/>
    <w:basedOn w:val="DefaultParagraphFont"/>
    <w:uiPriority w:val="32"/>
    <w:qFormat/>
    <w:rsid w:val="00DC0280"/>
    <w:rPr>
      <w:b/>
      <w:bCs/>
      <w:smallCaps/>
      <w:color w:val="0F4761" w:themeColor="accent1" w:themeShade="BF"/>
      <w:spacing w:val="5"/>
    </w:rPr>
  </w:style>
  <w:style w:type="table" w:styleId="TableGrid">
    <w:name w:val="Table Grid"/>
    <w:basedOn w:val="TableNormal"/>
    <w:uiPriority w:val="39"/>
    <w:rsid w:val="00745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3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7EC"/>
  </w:style>
  <w:style w:type="paragraph" w:styleId="Footer">
    <w:name w:val="footer"/>
    <w:basedOn w:val="Normal"/>
    <w:link w:val="FooterChar"/>
    <w:uiPriority w:val="99"/>
    <w:unhideWhenUsed/>
    <w:rsid w:val="00733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7EC"/>
  </w:style>
  <w:style w:type="character" w:styleId="Hyperlink">
    <w:name w:val="Hyperlink"/>
    <w:basedOn w:val="DefaultParagraphFont"/>
    <w:uiPriority w:val="99"/>
    <w:unhideWhenUsed/>
    <w:rsid w:val="000D77C9"/>
    <w:rPr>
      <w:color w:val="467886" w:themeColor="hyperlink"/>
      <w:u w:val="single"/>
    </w:rPr>
  </w:style>
  <w:style w:type="character" w:styleId="UnresolvedMention">
    <w:name w:val="Unresolved Mention"/>
    <w:basedOn w:val="DefaultParagraphFont"/>
    <w:uiPriority w:val="99"/>
    <w:semiHidden/>
    <w:unhideWhenUsed/>
    <w:rsid w:val="000D77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hb.2025.108829" TargetMode="External"/><Relationship Id="rId5" Type="http://schemas.openxmlformats.org/officeDocument/2006/relationships/webSettings" Target="webSettings.xml"/><Relationship Id="rId10" Type="http://schemas.openxmlformats.org/officeDocument/2006/relationships/hyperlink" Target="http://www.analytics8.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5EAE5-EC0E-47A5-8A34-021A23327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15</Pages>
  <Words>4855</Words>
  <Characters>27674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Jamuthra Srikumar</dc:creator>
  <cp:keywords/>
  <dc:description/>
  <cp:lastModifiedBy>Jamuthra Srikumar</cp:lastModifiedBy>
  <cp:revision>5</cp:revision>
  <dcterms:created xsi:type="dcterms:W3CDTF">2025-11-20T10:48:00Z</dcterms:created>
  <dcterms:modified xsi:type="dcterms:W3CDTF">2026-04-02T11:19:00Z</dcterms:modified>
</cp:coreProperties>
</file>