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26706334"/>
        <w:docPartObj>
          <w:docPartGallery w:val="Cover Pages"/>
          <w:docPartUnique/>
        </w:docPartObj>
      </w:sdtPr>
      <w:sdtContent>
        <w:p w14:paraId="378BEFDE" w14:textId="580172EA" w:rsidR="003B2A1A" w:rsidRDefault="003B2A1A">
          <w:r>
            <w:rPr>
              <w:noProof/>
            </w:rPr>
            <mc:AlternateContent>
              <mc:Choice Requires="wpg">
                <w:drawing>
                  <wp:anchor distT="0" distB="0" distL="114300" distR="114300" simplePos="0" relativeHeight="251662336" behindDoc="0" locked="0" layoutInCell="1" allowOverlap="1" wp14:anchorId="0E7DE367" wp14:editId="0E89B26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863BE8"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&#13;&#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" stroked="f" strokeweight="1.5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38DAD93" wp14:editId="650FFF3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000000" w:themeColor="text1"/>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E74016" w14:textId="58E82B81" w:rsidR="003B2A1A" w:rsidRPr="001361C8" w:rsidRDefault="003B2A1A" w:rsidP="001361C8">
                                    <w:pPr>
                                      <w:pStyle w:val="NoSpacing"/>
                                      <w:spacing w:line="360" w:lineRule="auto"/>
                                      <w:jc w:val="right"/>
                                      <w:rPr>
                                        <w:rFonts w:ascii="Arial" w:hAnsi="Arial" w:cs="Arial"/>
                                        <w:b/>
                                        <w:bCs/>
                                        <w:color w:val="000000" w:themeColor="text1"/>
                                      </w:rPr>
                                    </w:pPr>
                                    <w:r w:rsidRPr="001361C8">
                                      <w:rPr>
                                        <w:rFonts w:ascii="Arial" w:hAnsi="Arial" w:cs="Arial"/>
                                        <w:b/>
                                        <w:bCs/>
                                        <w:color w:val="000000" w:themeColor="text1"/>
                                      </w:rPr>
                                      <w:t>Alisha Ali (2437713)</w:t>
                                    </w:r>
                                  </w:p>
                                </w:sdtContent>
                              </w:sdt>
                              <w:p w14:paraId="0D925C05" w14:textId="4F04212F" w:rsidR="003B2A1A" w:rsidRPr="001361C8" w:rsidRDefault="00000000" w:rsidP="001361C8">
                                <w:pPr>
                                  <w:pStyle w:val="NoSpacing"/>
                                  <w:spacing w:line="360" w:lineRule="auto"/>
                                  <w:jc w:val="right"/>
                                  <w:rPr>
                                    <w:b/>
                                    <w:bCs/>
                                    <w:color w:val="595959" w:themeColor="text1" w:themeTint="A6"/>
                                    <w:sz w:val="18"/>
                                    <w:szCs w:val="18"/>
                                  </w:rPr>
                                </w:pPr>
                                <w:sdt>
                                  <w:sdtPr>
                                    <w:rPr>
                                      <w:rFonts w:ascii="Arial" w:hAnsi="Arial" w:cs="Arial"/>
                                      <w:b/>
                                      <w:bCs/>
                                    </w:rPr>
                                    <w:alias w:val="Email"/>
                                    <w:tag w:val="Email"/>
                                    <w:id w:val="942260680"/>
                                    <w:dataBinding w:prefixMappings="xmlns:ns0='http://schemas.microsoft.com/office/2006/coverPageProps' " w:xpath="/ns0:CoverPageProperties[1]/ns0:CompanyEmail[1]" w:storeItemID="{55AF091B-3C7A-41E3-B477-F2FDAA23CFDA}"/>
                                    <w:text/>
                                  </w:sdtPr>
                                  <w:sdtContent>
                                    <w:r w:rsidR="009844B4" w:rsidRPr="001361C8">
                                      <w:rPr>
                                        <w:rFonts w:ascii="Arial" w:hAnsi="Arial" w:cs="Arial"/>
                                        <w:b/>
                                        <w:bCs/>
                                      </w:rPr>
                                      <w:t>BMHP5016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8DAD93"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rFonts w:ascii="Arial" w:hAnsi="Arial" w:cs="Arial"/>
                              <w:b/>
                              <w:bCs/>
                              <w:color w:val="000000" w:themeColor="text1"/>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E74016" w14:textId="58E82B81" w:rsidR="003B2A1A" w:rsidRPr="001361C8" w:rsidRDefault="003B2A1A" w:rsidP="001361C8">
                              <w:pPr>
                                <w:pStyle w:val="NoSpacing"/>
                                <w:spacing w:line="360" w:lineRule="auto"/>
                                <w:jc w:val="right"/>
                                <w:rPr>
                                  <w:rFonts w:ascii="Arial" w:hAnsi="Arial" w:cs="Arial"/>
                                  <w:b/>
                                  <w:bCs/>
                                  <w:color w:val="000000" w:themeColor="text1"/>
                                </w:rPr>
                              </w:pPr>
                              <w:r w:rsidRPr="001361C8">
                                <w:rPr>
                                  <w:rFonts w:ascii="Arial" w:hAnsi="Arial" w:cs="Arial"/>
                                  <w:b/>
                                  <w:bCs/>
                                  <w:color w:val="000000" w:themeColor="text1"/>
                                </w:rPr>
                                <w:t>Alisha Ali (2437713)</w:t>
                              </w:r>
                            </w:p>
                          </w:sdtContent>
                        </w:sdt>
                        <w:p w14:paraId="0D925C05" w14:textId="4F04212F" w:rsidR="003B2A1A" w:rsidRPr="001361C8" w:rsidRDefault="00000000" w:rsidP="001361C8">
                          <w:pPr>
                            <w:pStyle w:val="NoSpacing"/>
                            <w:spacing w:line="360" w:lineRule="auto"/>
                            <w:jc w:val="right"/>
                            <w:rPr>
                              <w:b/>
                              <w:bCs/>
                              <w:color w:val="595959" w:themeColor="text1" w:themeTint="A6"/>
                              <w:sz w:val="18"/>
                              <w:szCs w:val="18"/>
                            </w:rPr>
                          </w:pPr>
                          <w:sdt>
                            <w:sdtPr>
                              <w:rPr>
                                <w:rFonts w:ascii="Arial" w:hAnsi="Arial" w:cs="Arial"/>
                                <w:b/>
                                <w:bCs/>
                              </w:rPr>
                              <w:alias w:val="Email"/>
                              <w:tag w:val="Email"/>
                              <w:id w:val="942260680"/>
                              <w:dataBinding w:prefixMappings="xmlns:ns0='http://schemas.microsoft.com/office/2006/coverPageProps' " w:xpath="/ns0:CoverPageProperties[1]/ns0:CompanyEmail[1]" w:storeItemID="{55AF091B-3C7A-41E3-B477-F2FDAA23CFDA}"/>
                              <w:text/>
                            </w:sdtPr>
                            <w:sdtContent>
                              <w:r w:rsidR="009844B4" w:rsidRPr="001361C8">
                                <w:rPr>
                                  <w:rFonts w:ascii="Arial" w:hAnsi="Arial" w:cs="Arial"/>
                                  <w:b/>
                                  <w:bCs/>
                                </w:rPr>
                                <w:t>BMHP5016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90BF04A" wp14:editId="4AA2724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E6A74" w14:textId="0FC552FD" w:rsidR="003B2A1A" w:rsidRDefault="00000000" w:rsidP="001361C8">
                                <w:pPr>
                                  <w:spacing w:line="360" w:lineRule="auto"/>
                                  <w:jc w:val="right"/>
                                  <w:rPr>
                                    <w:color w:val="156082" w:themeColor="accent1"/>
                                    <w:sz w:val="64"/>
                                    <w:szCs w:val="64"/>
                                  </w:rPr>
                                </w:pPr>
                                <w:sdt>
                                  <w:sdtPr>
                                    <w:rPr>
                                      <w:rFonts w:ascii="Arial" w:hAnsi="Arial" w:cs="Arial"/>
                                      <w:b/>
                                      <w:sz w:val="22"/>
                                      <w:szCs w:val="2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844B4" w:rsidRPr="009844B4">
                                      <w:rPr>
                                        <w:rFonts w:ascii="Arial" w:hAnsi="Arial" w:cs="Arial"/>
                                        <w:b/>
                                        <w:sz w:val="22"/>
                                        <w:szCs w:val="22"/>
                                      </w:rPr>
                                      <w:t>Principles of Health and Social Care Practice</w:t>
                                    </w:r>
                                  </w:sdtContent>
                                </w:sdt>
                              </w:p>
                              <w:sdt>
                                <w:sdtPr>
                                  <w:rPr>
                                    <w:rFonts w:ascii="Arial" w:hAnsi="Arial" w:cs="Arial"/>
                                    <w:b/>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E6B5D1" w14:textId="06D3D864" w:rsidR="003B2A1A" w:rsidRDefault="009844B4" w:rsidP="001361C8">
                                    <w:pPr>
                                      <w:spacing w:line="360" w:lineRule="auto"/>
                                      <w:jc w:val="right"/>
                                      <w:rPr>
                                        <w:smallCaps/>
                                        <w:color w:val="404040" w:themeColor="text1" w:themeTint="BF"/>
                                        <w:sz w:val="36"/>
                                        <w:szCs w:val="36"/>
                                      </w:rPr>
                                    </w:pPr>
                                    <w:r w:rsidRPr="009844B4">
                                      <w:rPr>
                                        <w:rFonts w:ascii="Arial" w:hAnsi="Arial" w:cs="Arial"/>
                                        <w:b/>
                                        <w:sz w:val="22"/>
                                        <w:szCs w:val="22"/>
                                      </w:rPr>
                                      <w:t>Component 2: Written Assignment (Report)</w:t>
                                    </w:r>
                                    <w:r>
                                      <w:rPr>
                                        <w:rFonts w:ascii="Arial" w:hAnsi="Arial" w:cs="Arial"/>
                                        <w:b/>
                                        <w:sz w:val="22"/>
                                        <w:szCs w:val="22"/>
                                      </w:rPr>
                                      <w:t>- 2000 words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0BF04A" id="Text Box 25"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301E6A74" w14:textId="0FC552FD" w:rsidR="003B2A1A" w:rsidRDefault="00000000" w:rsidP="001361C8">
                          <w:pPr>
                            <w:spacing w:line="360" w:lineRule="auto"/>
                            <w:jc w:val="right"/>
                            <w:rPr>
                              <w:color w:val="156082" w:themeColor="accent1"/>
                              <w:sz w:val="64"/>
                              <w:szCs w:val="64"/>
                            </w:rPr>
                          </w:pPr>
                          <w:sdt>
                            <w:sdtPr>
                              <w:rPr>
                                <w:rFonts w:ascii="Arial" w:hAnsi="Arial" w:cs="Arial"/>
                                <w:b/>
                                <w:sz w:val="22"/>
                                <w:szCs w:val="2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9844B4" w:rsidRPr="009844B4">
                                <w:rPr>
                                  <w:rFonts w:ascii="Arial" w:hAnsi="Arial" w:cs="Arial"/>
                                  <w:b/>
                                  <w:sz w:val="22"/>
                                  <w:szCs w:val="22"/>
                                </w:rPr>
                                <w:t>Principles of Health and Social Care Practice</w:t>
                              </w:r>
                            </w:sdtContent>
                          </w:sdt>
                        </w:p>
                        <w:sdt>
                          <w:sdtPr>
                            <w:rPr>
                              <w:rFonts w:ascii="Arial" w:hAnsi="Arial" w:cs="Arial"/>
                              <w:b/>
                              <w:sz w:val="22"/>
                              <w:szCs w:val="2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E6B5D1" w14:textId="06D3D864" w:rsidR="003B2A1A" w:rsidRDefault="009844B4" w:rsidP="001361C8">
                              <w:pPr>
                                <w:spacing w:line="360" w:lineRule="auto"/>
                                <w:jc w:val="right"/>
                                <w:rPr>
                                  <w:smallCaps/>
                                  <w:color w:val="404040" w:themeColor="text1" w:themeTint="BF"/>
                                  <w:sz w:val="36"/>
                                  <w:szCs w:val="36"/>
                                </w:rPr>
                              </w:pPr>
                              <w:r w:rsidRPr="009844B4">
                                <w:rPr>
                                  <w:rFonts w:ascii="Arial" w:hAnsi="Arial" w:cs="Arial"/>
                                  <w:b/>
                                  <w:sz w:val="22"/>
                                  <w:szCs w:val="22"/>
                                </w:rPr>
                                <w:t>Component 2: Written Assignment (Report)</w:t>
                              </w:r>
                              <w:r>
                                <w:rPr>
                                  <w:rFonts w:ascii="Arial" w:hAnsi="Arial" w:cs="Arial"/>
                                  <w:b/>
                                  <w:sz w:val="22"/>
                                  <w:szCs w:val="22"/>
                                </w:rPr>
                                <w:t>- 2000 words</w:t>
                              </w:r>
                            </w:p>
                          </w:sdtContent>
                        </w:sdt>
                      </w:txbxContent>
                    </v:textbox>
                    <w10:wrap type="square" anchorx="page" anchory="page"/>
                  </v:shape>
                </w:pict>
              </mc:Fallback>
            </mc:AlternateContent>
          </w:r>
        </w:p>
        <w:p w14:paraId="4CB28AE9" w14:textId="5F7A0C1E" w:rsidR="003B2A1A" w:rsidRDefault="003B2A1A">
          <w:r>
            <w:br w:type="page"/>
          </w:r>
        </w:p>
      </w:sdtContent>
    </w:sdt>
    <w:p w14:paraId="3CCB807B" w14:textId="623242D5" w:rsidR="0013366F" w:rsidRPr="00FF7A2E" w:rsidRDefault="0013366F" w:rsidP="00FF7A2E">
      <w:pPr>
        <w:pStyle w:val="Heading1"/>
        <w:spacing w:line="360" w:lineRule="auto"/>
        <w:rPr>
          <w:rFonts w:ascii="Arial" w:hAnsi="Arial" w:cs="Arial"/>
          <w:color w:val="000000"/>
          <w:sz w:val="22"/>
          <w:szCs w:val="22"/>
        </w:rPr>
      </w:pPr>
      <w:r w:rsidRPr="00FF7A2E">
        <w:rPr>
          <w:rFonts w:ascii="Arial" w:hAnsi="Arial" w:cs="Arial"/>
          <w:color w:val="000000"/>
          <w:sz w:val="22"/>
          <w:szCs w:val="22"/>
        </w:rPr>
        <w:lastRenderedPageBreak/>
        <w:t>Person-Centred Care and Partnership Working in Health and Social Care</w:t>
      </w:r>
    </w:p>
    <w:p w14:paraId="660CCC44" w14:textId="77777777" w:rsidR="0013366F" w:rsidRPr="00FF7A2E" w:rsidRDefault="0013366F" w:rsidP="00FF7A2E">
      <w:pPr>
        <w:pStyle w:val="Heading2"/>
        <w:spacing w:line="360" w:lineRule="auto"/>
        <w:rPr>
          <w:rFonts w:ascii="Arial" w:hAnsi="Arial" w:cs="Arial"/>
          <w:color w:val="000000"/>
          <w:sz w:val="22"/>
          <w:szCs w:val="22"/>
        </w:rPr>
      </w:pPr>
      <w:r w:rsidRPr="00FF7A2E">
        <w:rPr>
          <w:rFonts w:ascii="Arial" w:hAnsi="Arial" w:cs="Arial"/>
          <w:color w:val="000000"/>
          <w:sz w:val="22"/>
          <w:szCs w:val="22"/>
        </w:rPr>
        <w:t>Abstract</w:t>
      </w:r>
    </w:p>
    <w:p w14:paraId="340496D5" w14:textId="0A4D7E0B" w:rsidR="00852B41" w:rsidRPr="00FF7A2E" w:rsidRDefault="00852B41"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 xml:space="preserve">This report explores the importance of person-centred care (PCC) and partnership working in UK health and social care. PCC focuses on involving individuals in decisions about their care by recognising their needs, preferences and values. Partnership working supports this by encouraging collaboration between service users, families, professionals and organisations. Together, these approaches contribute to safer, higher-quality care and better outcomes. The report examines the benefits and challenges of PCC, the House of Care Model, and the ethical principles that guide practice. It also considers relevant legislation, health inequalities, </w:t>
      </w:r>
      <w:r w:rsidRPr="00FF7A2E">
        <w:rPr>
          <w:rFonts w:ascii="Arial" w:hAnsi="Arial" w:cs="Arial"/>
          <w:color w:val="000000"/>
          <w:sz w:val="22"/>
          <w:szCs w:val="22"/>
        </w:rPr>
        <w:t>support</w:t>
      </w:r>
      <w:r w:rsidRPr="00FF7A2E">
        <w:rPr>
          <w:rFonts w:ascii="Arial" w:hAnsi="Arial" w:cs="Arial"/>
          <w:color w:val="000000"/>
          <w:sz w:val="22"/>
          <w:szCs w:val="22"/>
        </w:rPr>
        <w:t xml:space="preserve">, </w:t>
      </w:r>
      <w:r w:rsidRPr="00FF7A2E">
        <w:rPr>
          <w:rFonts w:ascii="Arial" w:hAnsi="Arial" w:cs="Arial"/>
          <w:color w:val="000000"/>
          <w:sz w:val="22"/>
          <w:szCs w:val="22"/>
        </w:rPr>
        <w:t>collaborative</w:t>
      </w:r>
      <w:r w:rsidRPr="00FF7A2E">
        <w:rPr>
          <w:rFonts w:ascii="Arial" w:hAnsi="Arial" w:cs="Arial"/>
          <w:color w:val="000000"/>
          <w:sz w:val="22"/>
          <w:szCs w:val="22"/>
        </w:rPr>
        <w:t xml:space="preserve"> working, and recommendations for improving communication and care delivery.</w:t>
      </w:r>
    </w:p>
    <w:p w14:paraId="29A39A9F" w14:textId="4C60AE1E"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Introduction</w:t>
      </w:r>
    </w:p>
    <w:p w14:paraId="046F805C" w14:textId="578F7633"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 xml:space="preserve">Person-centred care and partnership working are </w:t>
      </w:r>
      <w:r w:rsidR="00111F9A" w:rsidRPr="00FF7A2E">
        <w:rPr>
          <w:rFonts w:ascii="Arial" w:hAnsi="Arial" w:cs="Arial"/>
          <w:color w:val="000000"/>
          <w:sz w:val="22"/>
          <w:szCs w:val="22"/>
        </w:rPr>
        <w:t>core</w:t>
      </w:r>
      <w:r w:rsidRPr="00FF7A2E">
        <w:rPr>
          <w:rFonts w:ascii="Arial" w:hAnsi="Arial" w:cs="Arial"/>
          <w:color w:val="000000"/>
          <w:sz w:val="22"/>
          <w:szCs w:val="22"/>
        </w:rPr>
        <w:t xml:space="preserve"> principles within </w:t>
      </w:r>
      <w:r w:rsidR="00111F9A" w:rsidRPr="00FF7A2E">
        <w:rPr>
          <w:rFonts w:ascii="Arial" w:hAnsi="Arial" w:cs="Arial"/>
          <w:color w:val="000000"/>
          <w:sz w:val="22"/>
          <w:szCs w:val="22"/>
        </w:rPr>
        <w:t>modern</w:t>
      </w:r>
      <w:r w:rsidRPr="00FF7A2E">
        <w:rPr>
          <w:rFonts w:ascii="Arial" w:hAnsi="Arial" w:cs="Arial"/>
          <w:color w:val="000000"/>
          <w:sz w:val="22"/>
          <w:szCs w:val="22"/>
        </w:rPr>
        <w:t xml:space="preserve"> health and social care practice. Both approaches ensure that individuals receive high-quality care that respects their rights, preferences and values whilst encouraging active participation in decision-making (Health Foundation, 2014; National Voices, 2014). Person-centred care focuses on treating individuals as partners in their own care rather than passive recipients of services, whereas partnership working supports collaboration between professionals, organisations, families and service users.</w:t>
      </w:r>
    </w:p>
    <w:p w14:paraId="449BFE8C" w14:textId="4643D1C6"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 xml:space="preserve">Barnard (2023) identifies the complexity of health and social care and the importance of considering individuals within the wider social </w:t>
      </w:r>
      <w:r w:rsidR="00111F9A" w:rsidRPr="00FF7A2E">
        <w:rPr>
          <w:rFonts w:ascii="Arial" w:hAnsi="Arial" w:cs="Arial"/>
          <w:color w:val="000000"/>
          <w:sz w:val="22"/>
          <w:szCs w:val="22"/>
        </w:rPr>
        <w:t>environment</w:t>
      </w:r>
      <w:r w:rsidRPr="00FF7A2E">
        <w:rPr>
          <w:rFonts w:ascii="Arial" w:hAnsi="Arial" w:cs="Arial"/>
          <w:color w:val="000000"/>
          <w:sz w:val="22"/>
          <w:szCs w:val="22"/>
        </w:rPr>
        <w:t xml:space="preserve"> in which care is provided. This is particularly important because a person's health is influenced not only by medical conditions but also by social circumstances</w:t>
      </w:r>
      <w:r w:rsidR="00111F9A" w:rsidRPr="00FF7A2E">
        <w:rPr>
          <w:rFonts w:ascii="Arial" w:hAnsi="Arial" w:cs="Arial"/>
          <w:color w:val="000000"/>
          <w:sz w:val="22"/>
          <w:szCs w:val="22"/>
        </w:rPr>
        <w:t xml:space="preserve"> and </w:t>
      </w:r>
      <w:r w:rsidRPr="00FF7A2E">
        <w:rPr>
          <w:rFonts w:ascii="Arial" w:hAnsi="Arial" w:cs="Arial"/>
          <w:color w:val="000000"/>
          <w:sz w:val="22"/>
          <w:szCs w:val="22"/>
        </w:rPr>
        <w:t>access to services. Therefore, effective care requires professionals to consider the whole person rather than focusing solely on their illness.</w:t>
      </w:r>
    </w:p>
    <w:p w14:paraId="2F811262" w14:textId="2C80DE98"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 xml:space="preserve">This report evaluates PCC and PW and examines how they contribute to effective care delivery within a hospital setting. </w:t>
      </w:r>
      <w:r w:rsidR="00111F9A" w:rsidRPr="00FF7A2E">
        <w:rPr>
          <w:rFonts w:ascii="Arial" w:hAnsi="Arial" w:cs="Arial"/>
          <w:color w:val="000000"/>
          <w:sz w:val="22"/>
          <w:szCs w:val="22"/>
        </w:rPr>
        <w:t>Hospitals are a suitable setting because different healthcare professionals often work together to care for patients with complex or long-term health needs.</w:t>
      </w:r>
      <w:r w:rsidRPr="00FF7A2E">
        <w:rPr>
          <w:rFonts w:ascii="Arial" w:hAnsi="Arial" w:cs="Arial"/>
          <w:color w:val="000000"/>
          <w:sz w:val="22"/>
          <w:szCs w:val="22"/>
        </w:rPr>
        <w:t xml:space="preserve"> The report discusses the principles, benefits and challenges of PCC, evaluates the House of Care Model, analyses ethical principles, evaluates partnership working, explores relevant legislation and considers the importance of reducing inequalities and promoting advocacy.</w:t>
      </w:r>
    </w:p>
    <w:p w14:paraId="05AB050F" w14:textId="77777777" w:rsidR="0013366F" w:rsidRPr="00FF7A2E" w:rsidRDefault="0013366F" w:rsidP="00FF7A2E">
      <w:pPr>
        <w:pStyle w:val="Heading2"/>
        <w:spacing w:line="360" w:lineRule="auto"/>
        <w:rPr>
          <w:rFonts w:ascii="Arial" w:hAnsi="Arial" w:cs="Arial"/>
          <w:color w:val="000000"/>
          <w:sz w:val="22"/>
          <w:szCs w:val="22"/>
        </w:rPr>
      </w:pPr>
      <w:r w:rsidRPr="00FF7A2E">
        <w:rPr>
          <w:rFonts w:ascii="Arial" w:hAnsi="Arial" w:cs="Arial"/>
          <w:color w:val="000000"/>
          <w:sz w:val="22"/>
          <w:szCs w:val="22"/>
        </w:rPr>
        <w:lastRenderedPageBreak/>
        <w:t>Person-Centred Care</w:t>
      </w:r>
    </w:p>
    <w:p w14:paraId="0CEDC08E" w14:textId="3A302A98"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 xml:space="preserve">Person-centred care is </w:t>
      </w:r>
      <w:proofErr w:type="gramStart"/>
      <w:r w:rsidRPr="00FF7A2E">
        <w:rPr>
          <w:rFonts w:ascii="Arial" w:hAnsi="Arial" w:cs="Arial"/>
          <w:color w:val="000000"/>
          <w:sz w:val="22"/>
          <w:szCs w:val="22"/>
        </w:rPr>
        <w:t>a</w:t>
      </w:r>
      <w:proofErr w:type="gramEnd"/>
      <w:r w:rsidRPr="00FF7A2E">
        <w:rPr>
          <w:rFonts w:ascii="Arial" w:hAnsi="Arial" w:cs="Arial"/>
          <w:color w:val="000000"/>
          <w:sz w:val="22"/>
          <w:szCs w:val="22"/>
        </w:rPr>
        <w:t xml:space="preserve"> </w:t>
      </w:r>
      <w:r w:rsidR="00111F9A" w:rsidRPr="00FF7A2E">
        <w:rPr>
          <w:rFonts w:ascii="Arial" w:hAnsi="Arial" w:cs="Arial"/>
          <w:color w:val="000000"/>
          <w:sz w:val="22"/>
          <w:szCs w:val="22"/>
        </w:rPr>
        <w:t>all-inclusive</w:t>
      </w:r>
      <w:r w:rsidRPr="00FF7A2E">
        <w:rPr>
          <w:rFonts w:ascii="Arial" w:hAnsi="Arial" w:cs="Arial"/>
          <w:color w:val="000000"/>
          <w:sz w:val="22"/>
          <w:szCs w:val="22"/>
        </w:rPr>
        <w:t xml:space="preserve"> approach that places individuals at the centre of decisions relating to their care and support. It recognises that people have unique needs, experiences and preferences and should therefore be actively involved in planning and managing their care (Health Foundation, 2014). McCormack and McCance (2017) suggest that PCC is achieved through effective relationships between healthcare professionals and service users, enabling care to be tailored to what matters most to the individual.</w:t>
      </w:r>
    </w:p>
    <w:p w14:paraId="1800D298" w14:textId="0CA56D94" w:rsidR="0013366F" w:rsidRPr="00FF7A2E" w:rsidRDefault="00111F9A"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The role of person-centred care (PCC) is important across health and social care services</w:t>
      </w:r>
      <w:r w:rsidRPr="00FF7A2E">
        <w:rPr>
          <w:rFonts w:ascii="Arial" w:hAnsi="Arial" w:cs="Arial"/>
          <w:color w:val="000000"/>
          <w:sz w:val="22"/>
          <w:szCs w:val="22"/>
        </w:rPr>
        <w:t xml:space="preserve">. </w:t>
      </w:r>
      <w:r w:rsidR="0013366F" w:rsidRPr="00FF7A2E">
        <w:rPr>
          <w:rFonts w:ascii="Arial" w:hAnsi="Arial" w:cs="Arial"/>
          <w:color w:val="000000"/>
          <w:sz w:val="22"/>
          <w:szCs w:val="22"/>
        </w:rPr>
        <w:t>Glasby (2026) highlights the complexity of modern health and social care services and the need for services to respond to individuals rather than treating people as having identical needs. A person's circumstances may involve physical health, emotional wellbeing, social relationships and financial or housing difficulties. Therefore, a person-centred approach can help professionals recognise that successful care involves more than treating a medical condition.</w:t>
      </w:r>
    </w:p>
    <w:p w14:paraId="729BBDE0" w14:textId="749BE0AC"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 xml:space="preserve">A major advantage of PCC is improved patient satisfaction because individuals feel listened to, respected and involved in decisions regarding their treatment. Shared decision-making can increase confidence, improve engagement with treatment plans and enhance wellbeing (King's Fund, 2011). </w:t>
      </w:r>
      <w:r w:rsidR="00E9403E" w:rsidRPr="00FF7A2E">
        <w:rPr>
          <w:rFonts w:ascii="Arial" w:hAnsi="Arial" w:cs="Arial"/>
          <w:color w:val="000000"/>
          <w:sz w:val="22"/>
          <w:szCs w:val="22"/>
        </w:rPr>
        <w:t>PCC can also lead to better health outcomes by providing care that is adapted to each person’s individual needs and circumstances, rather than using the same approach for everyone.</w:t>
      </w:r>
      <w:r w:rsidR="00E9403E" w:rsidRPr="00FF7A2E">
        <w:rPr>
          <w:rFonts w:ascii="Arial" w:hAnsi="Arial" w:cs="Arial"/>
          <w:color w:val="000000"/>
          <w:sz w:val="22"/>
          <w:szCs w:val="22"/>
        </w:rPr>
        <w:t xml:space="preserve"> </w:t>
      </w:r>
      <w:r w:rsidRPr="00FF7A2E">
        <w:rPr>
          <w:rFonts w:ascii="Arial" w:hAnsi="Arial" w:cs="Arial"/>
          <w:color w:val="000000"/>
          <w:sz w:val="22"/>
          <w:szCs w:val="22"/>
        </w:rPr>
        <w:t>National Voices (2014) highlights that personalised care can support independence and improve quality of life.</w:t>
      </w:r>
    </w:p>
    <w:p w14:paraId="5BD01E1A" w14:textId="5DC64BDD"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 xml:space="preserve">However, PCC </w:t>
      </w:r>
      <w:r w:rsidR="00E9403E" w:rsidRPr="00FF7A2E">
        <w:rPr>
          <w:rFonts w:ascii="Arial" w:hAnsi="Arial" w:cs="Arial"/>
          <w:color w:val="000000"/>
          <w:sz w:val="22"/>
          <w:szCs w:val="22"/>
        </w:rPr>
        <w:t xml:space="preserve">can be difficult in some situations. </w:t>
      </w:r>
      <w:r w:rsidRPr="00FF7A2E">
        <w:rPr>
          <w:rFonts w:ascii="Arial" w:hAnsi="Arial" w:cs="Arial"/>
          <w:color w:val="000000"/>
          <w:sz w:val="22"/>
          <w:szCs w:val="22"/>
        </w:rPr>
        <w:t xml:space="preserve">Resource </w:t>
      </w:r>
      <w:r w:rsidR="00E9403E" w:rsidRPr="00FF7A2E">
        <w:rPr>
          <w:rFonts w:ascii="Arial" w:hAnsi="Arial" w:cs="Arial"/>
          <w:color w:val="000000"/>
          <w:sz w:val="22"/>
          <w:szCs w:val="22"/>
        </w:rPr>
        <w:t>limitations</w:t>
      </w:r>
      <w:r w:rsidRPr="00FF7A2E">
        <w:rPr>
          <w:rFonts w:ascii="Arial" w:hAnsi="Arial" w:cs="Arial"/>
          <w:color w:val="000000"/>
          <w:sz w:val="22"/>
          <w:szCs w:val="22"/>
        </w:rPr>
        <w:t xml:space="preserve">, workforce shortages and increasing service pressures can make personalised care difficult to achieve consistently. </w:t>
      </w:r>
      <w:r w:rsidR="00E9403E" w:rsidRPr="00FF7A2E">
        <w:rPr>
          <w:rFonts w:ascii="Arial" w:hAnsi="Arial" w:cs="Arial"/>
          <w:color w:val="000000"/>
          <w:sz w:val="22"/>
          <w:szCs w:val="22"/>
        </w:rPr>
        <w:t xml:space="preserve">The Health Foundation (2015) explains that putting person-centred care into practice across healthcare organisations can be challenging. This means that including PCC in policies does not always guarantee that patients will receive the same level of person-centred care in </w:t>
      </w:r>
      <w:r w:rsidR="00791B43" w:rsidRPr="00FF7A2E">
        <w:rPr>
          <w:rFonts w:ascii="Arial" w:hAnsi="Arial" w:cs="Arial"/>
          <w:color w:val="000000"/>
          <w:sz w:val="22"/>
          <w:szCs w:val="22"/>
        </w:rPr>
        <w:t>practice.</w:t>
      </w:r>
      <w:r w:rsidRPr="00FF7A2E">
        <w:rPr>
          <w:rFonts w:ascii="Arial" w:hAnsi="Arial" w:cs="Arial"/>
          <w:color w:val="000000"/>
          <w:sz w:val="22"/>
          <w:szCs w:val="22"/>
        </w:rPr>
        <w:t xml:space="preserve"> In addition, communication difficulties, cultural differences and low health literacy may limit some individuals' ability to participate </w:t>
      </w:r>
      <w:r w:rsidR="00E9403E" w:rsidRPr="00FF7A2E">
        <w:rPr>
          <w:rFonts w:ascii="Arial" w:hAnsi="Arial" w:cs="Arial"/>
          <w:color w:val="000000"/>
          <w:sz w:val="22"/>
          <w:szCs w:val="22"/>
        </w:rPr>
        <w:t>effectively</w:t>
      </w:r>
      <w:r w:rsidRPr="00FF7A2E">
        <w:rPr>
          <w:rFonts w:ascii="Arial" w:hAnsi="Arial" w:cs="Arial"/>
          <w:color w:val="000000"/>
          <w:sz w:val="22"/>
          <w:szCs w:val="22"/>
        </w:rPr>
        <w:t xml:space="preserve"> in decisions about their care.</w:t>
      </w:r>
    </w:p>
    <w:p w14:paraId="5A1FC2A8" w14:textId="4B62F0B6" w:rsidR="0013366F" w:rsidRPr="00FF7A2E" w:rsidRDefault="00E9403E"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Health inequalities are also an important issue to consider.</w:t>
      </w:r>
      <w:r w:rsidRPr="00FF7A2E">
        <w:rPr>
          <w:rFonts w:ascii="Arial" w:hAnsi="Arial" w:cs="Arial"/>
          <w:color w:val="000000"/>
          <w:sz w:val="22"/>
          <w:szCs w:val="22"/>
        </w:rPr>
        <w:t xml:space="preserve"> </w:t>
      </w:r>
      <w:r w:rsidR="0013366F" w:rsidRPr="00FF7A2E">
        <w:rPr>
          <w:rFonts w:ascii="Arial" w:hAnsi="Arial" w:cs="Arial"/>
          <w:color w:val="000000"/>
          <w:sz w:val="22"/>
          <w:szCs w:val="22"/>
        </w:rPr>
        <w:t xml:space="preserve">Smith, Bambra and Hill (2016) demonstrate that inequalities in health are influenced by wider social and structural factors. Consequently, treating everyone equally does not always result in equal outcomes. For example, a patient with limited English may require an interpreter to </w:t>
      </w:r>
      <w:r w:rsidRPr="00FF7A2E">
        <w:rPr>
          <w:rFonts w:ascii="Arial" w:hAnsi="Arial" w:cs="Arial"/>
          <w:color w:val="000000"/>
          <w:sz w:val="22"/>
          <w:szCs w:val="22"/>
        </w:rPr>
        <w:t>engage</w:t>
      </w:r>
      <w:r w:rsidR="0013366F" w:rsidRPr="00FF7A2E">
        <w:rPr>
          <w:rFonts w:ascii="Arial" w:hAnsi="Arial" w:cs="Arial"/>
          <w:color w:val="000000"/>
          <w:sz w:val="22"/>
          <w:szCs w:val="22"/>
        </w:rPr>
        <w:t xml:space="preserve"> in decisions, </w:t>
      </w:r>
      <w:r w:rsidR="0013366F" w:rsidRPr="00FF7A2E">
        <w:rPr>
          <w:rFonts w:ascii="Arial" w:hAnsi="Arial" w:cs="Arial"/>
          <w:color w:val="000000"/>
          <w:sz w:val="22"/>
          <w:szCs w:val="22"/>
        </w:rPr>
        <w:lastRenderedPageBreak/>
        <w:t xml:space="preserve">while another patient with a disability may require reasonable adjustments. PCC must therefore recognise individual differences and provide appropriate support to </w:t>
      </w:r>
      <w:r w:rsidRPr="00FF7A2E">
        <w:rPr>
          <w:rFonts w:ascii="Arial" w:hAnsi="Arial" w:cs="Arial"/>
          <w:color w:val="000000"/>
          <w:sz w:val="22"/>
          <w:szCs w:val="22"/>
        </w:rPr>
        <w:t>ensure the patient can engage effectively</w:t>
      </w:r>
      <w:r w:rsidR="0013366F" w:rsidRPr="00FF7A2E">
        <w:rPr>
          <w:rFonts w:ascii="Arial" w:hAnsi="Arial" w:cs="Arial"/>
          <w:color w:val="000000"/>
          <w:sz w:val="22"/>
          <w:szCs w:val="22"/>
        </w:rPr>
        <w:t>.</w:t>
      </w:r>
    </w:p>
    <w:p w14:paraId="0F7B8080" w14:textId="77777777"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The UK Health Security Agency (UKHSA, 2025) also highlights the continuing impact of health inequalities and the unequal effects experienced by different groups and communities. This demonstrates why person-centred care should consider the wider circumstances affecting an individual's health and access to services. Professionals should therefore identify and respond to barriers that may prevent individuals from accessing care or participating in decisions.</w:t>
      </w:r>
    </w:p>
    <w:p w14:paraId="0FFD5D55" w14:textId="4D17F8B5" w:rsidR="0013366F" w:rsidRPr="00FF7A2E" w:rsidRDefault="00E9403E"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Another challenge can arise when a patient’s wishes differ from professional advice, which can create ethical concerns about balancing the patient’s right to choose with their safety.</w:t>
      </w:r>
      <w:r w:rsidRPr="00FF7A2E">
        <w:rPr>
          <w:rFonts w:ascii="Arial" w:hAnsi="Arial" w:cs="Arial"/>
          <w:color w:val="000000"/>
          <w:sz w:val="22"/>
          <w:szCs w:val="22"/>
        </w:rPr>
        <w:t xml:space="preserve"> </w:t>
      </w:r>
      <w:r w:rsidR="0013366F" w:rsidRPr="00FF7A2E">
        <w:rPr>
          <w:rFonts w:ascii="Arial" w:hAnsi="Arial" w:cs="Arial"/>
          <w:color w:val="000000"/>
          <w:sz w:val="22"/>
          <w:szCs w:val="22"/>
        </w:rPr>
        <w:t xml:space="preserve">Professionals must respect an individual's choices while also considering their responsibility to prevent harm. In addition, not every individual will want to take complete responsibility for decisions about their care. Some patients experiencing illness, anxiety or distress may prefer professionals or family members to take </w:t>
      </w:r>
      <w:r w:rsidRPr="00FF7A2E">
        <w:rPr>
          <w:rFonts w:ascii="Arial" w:hAnsi="Arial" w:cs="Arial"/>
          <w:color w:val="000000"/>
          <w:sz w:val="22"/>
          <w:szCs w:val="22"/>
        </w:rPr>
        <w:t>charge of decision making regarding their care</w:t>
      </w:r>
      <w:r w:rsidR="0013366F" w:rsidRPr="00FF7A2E">
        <w:rPr>
          <w:rFonts w:ascii="Arial" w:hAnsi="Arial" w:cs="Arial"/>
          <w:color w:val="000000"/>
          <w:sz w:val="22"/>
          <w:szCs w:val="22"/>
        </w:rPr>
        <w:t>. Therefore, PCC should not mean forcing individuals to make decisions independently. Instead, professionals should establish the level of involvement that is appropriate and preferred by each person.</w:t>
      </w:r>
    </w:p>
    <w:p w14:paraId="05F24D84" w14:textId="731E6816"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 xml:space="preserve">Within hospitals, PCC requires collaboration between doctors, nurses, pharmacists, therapists, patients and families. </w:t>
      </w:r>
      <w:r w:rsidR="00E9403E" w:rsidRPr="00FF7A2E">
        <w:rPr>
          <w:rFonts w:ascii="Arial" w:hAnsi="Arial" w:cs="Arial"/>
          <w:color w:val="000000"/>
          <w:sz w:val="22"/>
          <w:szCs w:val="22"/>
        </w:rPr>
        <w:t>For example, involving patients in decisions about leaving hospital can help them feel more confident, prepare them to manage their health at home and support better ongoing care. Advocacy can also be important when people find it difficult to communicate their wishes or understand complicated information.</w:t>
      </w:r>
      <w:r w:rsidR="00E9403E" w:rsidRPr="00FF7A2E">
        <w:rPr>
          <w:rFonts w:ascii="Arial" w:hAnsi="Arial" w:cs="Arial"/>
          <w:color w:val="000000"/>
          <w:sz w:val="22"/>
          <w:szCs w:val="22"/>
        </w:rPr>
        <w:t xml:space="preserve"> </w:t>
      </w:r>
      <w:r w:rsidRPr="00FF7A2E">
        <w:rPr>
          <w:rFonts w:ascii="Arial" w:hAnsi="Arial" w:cs="Arial"/>
          <w:color w:val="000000"/>
          <w:sz w:val="22"/>
          <w:szCs w:val="22"/>
        </w:rPr>
        <w:t>Bateman (2000) emphasises the importance of advocacy skills within health and social care, particularly in supporting individuals to communicate their views and have their rights respected.</w:t>
      </w:r>
    </w:p>
    <w:p w14:paraId="36F5FF13" w14:textId="1B595194" w:rsidR="002C58C5"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 xml:space="preserve">A further issue surrounding PCC is the difficulty of measuring its effectiveness in practice. While policies strongly promote personalised approaches, there can be considerable variation in how PCC is interpreted and implemented across healthcare organisations. McCormack and McCance (2017) suggest that person-centred care involves more than simply involving patients in decisions; it also requires healthcare environments that support meaningful relationships between staff and service users. Consequently, there can be a gap between policy expectations and actual practice. Healthcare organisations are also required to meet performance targets and efficiency measures, which may unintentionally prioritise task completion over individualised care. This raises questions about whether healthcare </w:t>
      </w:r>
      <w:r w:rsidRPr="00FF7A2E">
        <w:rPr>
          <w:rFonts w:ascii="Arial" w:hAnsi="Arial" w:cs="Arial"/>
          <w:color w:val="000000"/>
          <w:sz w:val="22"/>
          <w:szCs w:val="22"/>
        </w:rPr>
        <w:lastRenderedPageBreak/>
        <w:t>systems can fully achieve person-centred values while operating under financial and workforce pressures.</w:t>
      </w:r>
    </w:p>
    <w:p w14:paraId="38AD4918" w14:textId="77777777" w:rsidR="000004FF" w:rsidRPr="00FF7A2E" w:rsidRDefault="000004FF" w:rsidP="00FF7A2E">
      <w:pPr>
        <w:pStyle w:val="Heading2"/>
        <w:spacing w:line="360" w:lineRule="auto"/>
        <w:rPr>
          <w:rFonts w:ascii="Arial" w:hAnsi="Arial" w:cs="Arial"/>
          <w:color w:val="000000"/>
          <w:sz w:val="22"/>
          <w:szCs w:val="22"/>
        </w:rPr>
      </w:pPr>
      <w:r w:rsidRPr="00FF7A2E">
        <w:rPr>
          <w:rFonts w:ascii="Arial" w:hAnsi="Arial" w:cs="Arial"/>
          <w:color w:val="000000"/>
          <w:sz w:val="22"/>
          <w:szCs w:val="22"/>
        </w:rPr>
        <w:t>House of Care Model</w:t>
      </w:r>
    </w:p>
    <w:p w14:paraId="6AD9FA41" w14:textId="5FEC3CCF"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The House of Care Model is an important framework for supporting person-centred care, </w:t>
      </w:r>
      <w:r w:rsidRPr="00FF7A2E">
        <w:rPr>
          <w:rFonts w:ascii="Arial" w:hAnsi="Arial" w:cs="Arial"/>
          <w:color w:val="000000"/>
          <w:sz w:val="22"/>
          <w:szCs w:val="22"/>
        </w:rPr>
        <w:t>predominantly</w:t>
      </w:r>
      <w:r w:rsidRPr="00FF7A2E">
        <w:rPr>
          <w:rFonts w:ascii="Arial" w:hAnsi="Arial" w:cs="Arial"/>
          <w:color w:val="000000"/>
          <w:sz w:val="22"/>
          <w:szCs w:val="22"/>
        </w:rPr>
        <w:t xml:space="preserve"> for people with long-term conditions. It places individuals at the centre of care planning and encourages coordinated working between patients, professionals and organisations (Coulter, Roberts and Dixon, 2013). The model promotes shared decision-making, self-management and personalised care planning. Patients are encouraged to become active partners in their care rather than relying only on professional decisions. Coulter (2011) suggests that people who are involved in decisions about their health may be more likely to engage with treatment and achieve positive outcomes.</w:t>
      </w:r>
    </w:p>
    <w:p w14:paraId="476275F7" w14:textId="77777777"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In hospitals, the model can support multidisciplinary working. For example, following a stroke, nurses, doctors, physiotherapists, occupational therapists and social workers can work with the patient and family to plan rehabilitation and discharge. This supports integrated care by organising services around individual needs.</w:t>
      </w:r>
    </w:p>
    <w:p w14:paraId="27546338" w14:textId="20349F7A"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However, implementing the model can be challenging. It requires adequate resources, good communication and staff who can support personalised care. Some individuals may struggle to participate because of communication difficulties, limited health </w:t>
      </w:r>
      <w:r w:rsidR="00791B43" w:rsidRPr="00FF7A2E">
        <w:rPr>
          <w:rFonts w:ascii="Arial" w:hAnsi="Arial" w:cs="Arial"/>
          <w:color w:val="000000"/>
          <w:sz w:val="22"/>
          <w:szCs w:val="22"/>
        </w:rPr>
        <w:t>knowledge</w:t>
      </w:r>
      <w:r w:rsidRPr="00FF7A2E">
        <w:rPr>
          <w:rFonts w:ascii="Arial" w:hAnsi="Arial" w:cs="Arial"/>
          <w:color w:val="000000"/>
          <w:sz w:val="22"/>
          <w:szCs w:val="22"/>
        </w:rPr>
        <w:t xml:space="preserve"> or unequal access to services. Miers, Thomas and Pollard (2010) highlight the importance of effective </w:t>
      </w:r>
      <w:r w:rsidR="008F2A6C" w:rsidRPr="00FF7A2E">
        <w:rPr>
          <w:rFonts w:ascii="Arial" w:hAnsi="Arial" w:cs="Arial"/>
          <w:color w:val="000000"/>
          <w:sz w:val="22"/>
          <w:szCs w:val="22"/>
        </w:rPr>
        <w:t>collaborative</w:t>
      </w:r>
      <w:r w:rsidRPr="00FF7A2E">
        <w:rPr>
          <w:rFonts w:ascii="Arial" w:hAnsi="Arial" w:cs="Arial"/>
          <w:color w:val="000000"/>
          <w:sz w:val="22"/>
          <w:szCs w:val="22"/>
        </w:rPr>
        <w:t xml:space="preserve"> working, while Leathard (2003) identifies the difficulties of turning policy into effective collaborative practice. Therefore, the model's success depends on strong leadership, communication and organisational support.</w:t>
      </w:r>
    </w:p>
    <w:p w14:paraId="6B6F10B1" w14:textId="77777777" w:rsidR="000004FF" w:rsidRPr="00FF7A2E" w:rsidRDefault="000004FF" w:rsidP="00FF7A2E">
      <w:pPr>
        <w:pStyle w:val="Heading2"/>
        <w:spacing w:line="360" w:lineRule="auto"/>
        <w:rPr>
          <w:rFonts w:ascii="Arial" w:hAnsi="Arial" w:cs="Arial"/>
          <w:color w:val="000000"/>
          <w:sz w:val="22"/>
          <w:szCs w:val="22"/>
        </w:rPr>
      </w:pPr>
      <w:r w:rsidRPr="00FF7A2E">
        <w:rPr>
          <w:rFonts w:ascii="Arial" w:hAnsi="Arial" w:cs="Arial"/>
          <w:color w:val="000000"/>
          <w:sz w:val="22"/>
          <w:szCs w:val="22"/>
        </w:rPr>
        <w:t>Ethical Principles</w:t>
      </w:r>
    </w:p>
    <w:p w14:paraId="1EE03CBB" w14:textId="7B914DDE"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Ethical principles are </w:t>
      </w:r>
      <w:r w:rsidR="008F2A6C" w:rsidRPr="00FF7A2E">
        <w:rPr>
          <w:rFonts w:ascii="Arial" w:hAnsi="Arial" w:cs="Arial"/>
          <w:color w:val="000000"/>
          <w:sz w:val="22"/>
          <w:szCs w:val="22"/>
        </w:rPr>
        <w:t>essential</w:t>
      </w:r>
      <w:r w:rsidRPr="00FF7A2E">
        <w:rPr>
          <w:rFonts w:ascii="Arial" w:hAnsi="Arial" w:cs="Arial"/>
          <w:color w:val="000000"/>
          <w:sz w:val="22"/>
          <w:szCs w:val="22"/>
        </w:rPr>
        <w:t xml:space="preserve"> to person-centred care and partnership working. The four main principles are autonomy, beneficence, non-maleficence and justice (Beauchamp and Childress, 2019). Autonomy involves respecting a person's right to make informed choices. Beneficence focuses on promoting wellbeing, non-maleficence means avoiding harm, and justice involves fairness and equality.</w:t>
      </w:r>
    </w:p>
    <w:p w14:paraId="1B86911A" w14:textId="77777777"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These principles may conflict in practice. For example, a patient may wish to return home when professionals believe this could be unsafe. Respecting autonomy supports the patient's choice, while beneficence and non-maleficence may suggest that further support is </w:t>
      </w:r>
      <w:r w:rsidRPr="00FF7A2E">
        <w:rPr>
          <w:rFonts w:ascii="Arial" w:hAnsi="Arial" w:cs="Arial"/>
          <w:color w:val="000000"/>
          <w:sz w:val="22"/>
          <w:szCs w:val="22"/>
        </w:rPr>
        <w:lastRenderedPageBreak/>
        <w:t>needed. Reamer (2018) highlights the ethical challenges professionals can face when balancing individual preferences with their responsibility to provide safe care.</w:t>
      </w:r>
    </w:p>
    <w:p w14:paraId="14794AA5" w14:textId="1FC4852E"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Justice is also important when considering health inequalities. Eyal (2013) discusses the ethical challenges of achieving fairness in health. </w:t>
      </w:r>
      <w:r w:rsidR="008F2A6C" w:rsidRPr="00FF7A2E">
        <w:rPr>
          <w:rFonts w:ascii="Arial" w:hAnsi="Arial" w:cs="Arial"/>
          <w:color w:val="000000"/>
          <w:sz w:val="22"/>
          <w:szCs w:val="22"/>
        </w:rPr>
        <w:t>Some people may find it harder to access or understand services and may need extra support to be involved in decisions about their care.</w:t>
      </w:r>
    </w:p>
    <w:p w14:paraId="0C315843" w14:textId="05EF46FB" w:rsidR="000004FF" w:rsidRPr="00FF7A2E" w:rsidRDefault="008F2A6C"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Ethical practice is also an important part of partnership </w:t>
      </w:r>
      <w:proofErr w:type="gramStart"/>
      <w:r w:rsidRPr="00FF7A2E">
        <w:rPr>
          <w:rFonts w:ascii="Arial" w:hAnsi="Arial" w:cs="Arial"/>
          <w:color w:val="000000"/>
          <w:sz w:val="22"/>
          <w:szCs w:val="22"/>
        </w:rPr>
        <w:t>working.</w:t>
      </w:r>
      <w:r w:rsidR="000004FF" w:rsidRPr="00FF7A2E">
        <w:rPr>
          <w:rFonts w:ascii="Arial" w:hAnsi="Arial" w:cs="Arial"/>
          <w:color w:val="000000"/>
          <w:sz w:val="22"/>
          <w:szCs w:val="22"/>
        </w:rPr>
        <w:t>.</w:t>
      </w:r>
      <w:proofErr w:type="gramEnd"/>
      <w:r w:rsidR="000004FF" w:rsidRPr="00FF7A2E">
        <w:rPr>
          <w:rFonts w:ascii="Arial" w:hAnsi="Arial" w:cs="Arial"/>
          <w:color w:val="000000"/>
          <w:sz w:val="22"/>
          <w:szCs w:val="22"/>
        </w:rPr>
        <w:t xml:space="preserve"> Effective collaboration requires mutual respect, communication and shared decision-making. O'Carroll, McSwiggan and Campbell (2016) </w:t>
      </w:r>
      <w:r w:rsidRPr="00FF7A2E">
        <w:rPr>
          <w:rFonts w:ascii="Arial" w:hAnsi="Arial" w:cs="Arial"/>
          <w:color w:val="000000"/>
          <w:sz w:val="22"/>
          <w:szCs w:val="22"/>
        </w:rPr>
        <w:t>emphasise</w:t>
      </w:r>
      <w:r w:rsidR="000004FF" w:rsidRPr="00FF7A2E">
        <w:rPr>
          <w:rFonts w:ascii="Arial" w:hAnsi="Arial" w:cs="Arial"/>
          <w:color w:val="000000"/>
          <w:sz w:val="22"/>
          <w:szCs w:val="22"/>
        </w:rPr>
        <w:t xml:space="preserve"> the importance of professional attitudes towards </w:t>
      </w:r>
      <w:r w:rsidRPr="00FF7A2E">
        <w:rPr>
          <w:rFonts w:ascii="Arial" w:hAnsi="Arial" w:cs="Arial"/>
          <w:color w:val="000000"/>
          <w:sz w:val="22"/>
          <w:szCs w:val="22"/>
        </w:rPr>
        <w:t>multidisciplinary</w:t>
      </w:r>
      <w:r w:rsidR="000004FF" w:rsidRPr="00FF7A2E">
        <w:rPr>
          <w:rFonts w:ascii="Arial" w:hAnsi="Arial" w:cs="Arial"/>
          <w:color w:val="000000"/>
          <w:sz w:val="22"/>
          <w:szCs w:val="22"/>
        </w:rPr>
        <w:t xml:space="preserve"> working. Positive relationships can improve teamwork, while poor understanding of professional roles can affect communication and care delivery. Therefore, ethical decisions often require communication, negotiation and professional judgement rather than focusing on one principle alone (Beauchamp and Childress, 2019).</w:t>
      </w:r>
    </w:p>
    <w:p w14:paraId="5C13BE48" w14:textId="77777777" w:rsidR="000004FF" w:rsidRPr="00FF7A2E" w:rsidRDefault="000004FF" w:rsidP="00FF7A2E">
      <w:pPr>
        <w:pStyle w:val="Heading2"/>
        <w:spacing w:line="360" w:lineRule="auto"/>
        <w:rPr>
          <w:rFonts w:ascii="Arial" w:hAnsi="Arial" w:cs="Arial"/>
          <w:color w:val="000000"/>
          <w:sz w:val="22"/>
          <w:szCs w:val="22"/>
        </w:rPr>
      </w:pPr>
      <w:r w:rsidRPr="00FF7A2E">
        <w:rPr>
          <w:rFonts w:ascii="Arial" w:hAnsi="Arial" w:cs="Arial"/>
          <w:color w:val="000000"/>
          <w:sz w:val="22"/>
          <w:szCs w:val="22"/>
        </w:rPr>
        <w:t>Partnership Working</w:t>
      </w:r>
    </w:p>
    <w:p w14:paraId="7C77B5FB" w14:textId="3D81889C"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Partnership working involves professionals, organisations, service users and carers working together to improve outcomes and provide coordinated care (Glasby, 2026). </w:t>
      </w:r>
      <w:r w:rsidR="008F2A6C" w:rsidRPr="00FF7A2E">
        <w:rPr>
          <w:rFonts w:ascii="Arial" w:hAnsi="Arial" w:cs="Arial"/>
          <w:color w:val="000000"/>
          <w:sz w:val="22"/>
          <w:szCs w:val="22"/>
        </w:rPr>
        <w:t>It strengthens communication across services, reduces gaps in care, and improves continuity for individuals receiving support.</w:t>
      </w:r>
      <w:r w:rsidR="008F2A6C" w:rsidRPr="00FF7A2E">
        <w:rPr>
          <w:rFonts w:ascii="Arial" w:hAnsi="Arial" w:cs="Arial"/>
          <w:color w:val="000000"/>
          <w:sz w:val="22"/>
          <w:szCs w:val="22"/>
        </w:rPr>
        <w:t xml:space="preserve"> </w:t>
      </w:r>
      <w:r w:rsidR="008F2A6C" w:rsidRPr="00FF7A2E">
        <w:rPr>
          <w:rFonts w:ascii="Arial" w:hAnsi="Arial" w:cs="Arial"/>
          <w:color w:val="000000"/>
          <w:sz w:val="22"/>
          <w:szCs w:val="22"/>
        </w:rPr>
        <w:t>Healthcare professionals in hospitals work together to plan treatment, rehabilitation, and discharge. This coordinated approach is particularly beneficial for people with complex or ongoing care needs.</w:t>
      </w:r>
    </w:p>
    <w:p w14:paraId="178D589F" w14:textId="30C7DFD7"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Despite these benefits, partnership working can be affected by poor communication, unclear responsibilities, different organisational priorities and staff pressures (Glasby, 2026). Miers, Thomas and Pollard (2010) suggest that effective </w:t>
      </w:r>
      <w:r w:rsidR="00380057" w:rsidRPr="00FF7A2E">
        <w:rPr>
          <w:rFonts w:ascii="Arial" w:hAnsi="Arial" w:cs="Arial"/>
          <w:color w:val="000000"/>
          <w:sz w:val="22"/>
          <w:szCs w:val="22"/>
        </w:rPr>
        <w:t>collaborative</w:t>
      </w:r>
      <w:r w:rsidR="00380057" w:rsidRPr="00FF7A2E">
        <w:rPr>
          <w:rFonts w:ascii="Arial" w:hAnsi="Arial" w:cs="Arial"/>
          <w:color w:val="000000"/>
          <w:sz w:val="22"/>
          <w:szCs w:val="22"/>
        </w:rPr>
        <w:t xml:space="preserve"> </w:t>
      </w:r>
      <w:r w:rsidRPr="00FF7A2E">
        <w:rPr>
          <w:rFonts w:ascii="Arial" w:hAnsi="Arial" w:cs="Arial"/>
          <w:color w:val="000000"/>
          <w:sz w:val="22"/>
          <w:szCs w:val="22"/>
        </w:rPr>
        <w:t>working requires professionals to build positive relationships rather than simply working alongside each other.</w:t>
      </w:r>
    </w:p>
    <w:p w14:paraId="248D7799" w14:textId="0CDFA635"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Different organisations may also have competing priorities. For example, hospitals may aim to discharge patients quickly, while social care services may have limited resources to provide community support. This can delay discharge and contribute to </w:t>
      </w:r>
      <w:r w:rsidR="00380057" w:rsidRPr="00FF7A2E">
        <w:rPr>
          <w:rFonts w:ascii="Arial" w:hAnsi="Arial" w:cs="Arial"/>
          <w:color w:val="000000"/>
          <w:sz w:val="22"/>
          <w:szCs w:val="22"/>
        </w:rPr>
        <w:t>poorly coordinated</w:t>
      </w:r>
      <w:r w:rsidRPr="00FF7A2E">
        <w:rPr>
          <w:rFonts w:ascii="Arial" w:hAnsi="Arial" w:cs="Arial"/>
          <w:color w:val="000000"/>
          <w:sz w:val="22"/>
          <w:szCs w:val="22"/>
        </w:rPr>
        <w:t xml:space="preserve"> care.</w:t>
      </w:r>
    </w:p>
    <w:p w14:paraId="6231E605" w14:textId="3F0AE684"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Partnership working is also essential for safeguarding. Williams (2011) highlights the importance of </w:t>
      </w:r>
      <w:r w:rsidR="00380057" w:rsidRPr="00FF7A2E">
        <w:rPr>
          <w:rFonts w:ascii="Arial" w:hAnsi="Arial" w:cs="Arial"/>
          <w:color w:val="000000"/>
          <w:sz w:val="22"/>
          <w:szCs w:val="22"/>
        </w:rPr>
        <w:t xml:space="preserve">cross-sector </w:t>
      </w:r>
      <w:r w:rsidRPr="00FF7A2E">
        <w:rPr>
          <w:rFonts w:ascii="Arial" w:hAnsi="Arial" w:cs="Arial"/>
          <w:color w:val="000000"/>
          <w:sz w:val="22"/>
          <w:szCs w:val="22"/>
        </w:rPr>
        <w:t xml:space="preserve">working when protecting adults at risk. Professionals may need to share relevant information, raise concerns and coordinate interventions. Therefore, </w:t>
      </w:r>
      <w:r w:rsidRPr="00FF7A2E">
        <w:rPr>
          <w:rFonts w:ascii="Arial" w:hAnsi="Arial" w:cs="Arial"/>
          <w:color w:val="000000"/>
          <w:sz w:val="22"/>
          <w:szCs w:val="22"/>
        </w:rPr>
        <w:lastRenderedPageBreak/>
        <w:t>successful partnership working requires trust, clear communication, effective leadership and shared responsibility.</w:t>
      </w:r>
    </w:p>
    <w:p w14:paraId="2F524BEC" w14:textId="77777777" w:rsidR="000004FF" w:rsidRPr="00FF7A2E" w:rsidRDefault="000004FF" w:rsidP="00FF7A2E">
      <w:pPr>
        <w:pStyle w:val="Heading2"/>
        <w:spacing w:line="360" w:lineRule="auto"/>
        <w:rPr>
          <w:rFonts w:ascii="Arial" w:hAnsi="Arial" w:cs="Arial"/>
          <w:color w:val="000000"/>
          <w:sz w:val="22"/>
          <w:szCs w:val="22"/>
        </w:rPr>
      </w:pPr>
      <w:r w:rsidRPr="00FF7A2E">
        <w:rPr>
          <w:rFonts w:ascii="Arial" w:hAnsi="Arial" w:cs="Arial"/>
          <w:color w:val="000000"/>
          <w:sz w:val="22"/>
          <w:szCs w:val="22"/>
        </w:rPr>
        <w:t>Policy and Legislation</w:t>
      </w:r>
    </w:p>
    <w:p w14:paraId="03376B1D" w14:textId="77777777"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The Care Act 2014, Health and Care Act 2022 and Equality Act 2010 provide important support for person-centred care and partnership working.</w:t>
      </w:r>
    </w:p>
    <w:p w14:paraId="0014EADE" w14:textId="77777777"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The Care Act 2014 places wellbeing, choice and independence at the centre of care and support. It encourages organisations to cooperate and involve individuals in decisions about their lives. However, limited resources and workforce pressures may reduce opportunities for meaningful involvement.</w:t>
      </w:r>
    </w:p>
    <w:p w14:paraId="3D82E406" w14:textId="4C52F83C"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The Health and Care Act 2022 supports collaboration through Integrated Care Systems. It encourages NHS organisations, local authorities and other services to work together because health and social care needs are often connected. However, information sharing, funding and different organisational priorities can still create </w:t>
      </w:r>
      <w:r w:rsidR="00380057" w:rsidRPr="00FF7A2E">
        <w:rPr>
          <w:rFonts w:ascii="Arial" w:hAnsi="Arial" w:cs="Arial"/>
          <w:color w:val="000000"/>
          <w:sz w:val="22"/>
          <w:szCs w:val="22"/>
        </w:rPr>
        <w:t>problems</w:t>
      </w:r>
      <w:r w:rsidRPr="00FF7A2E">
        <w:rPr>
          <w:rFonts w:ascii="Arial" w:hAnsi="Arial" w:cs="Arial"/>
          <w:color w:val="000000"/>
          <w:sz w:val="22"/>
          <w:szCs w:val="22"/>
        </w:rPr>
        <w:t>.</w:t>
      </w:r>
    </w:p>
    <w:p w14:paraId="61728C72" w14:textId="77777777"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The Equality Act 2010 protects people from discrimination and promotes fair access to services. In hospitals, this may include interpreters, accessible information or reasonable adjustments for disabled people. This supports justice by helping individuals participate fairly in decisions about their care.</w:t>
      </w:r>
    </w:p>
    <w:p w14:paraId="0282CB42" w14:textId="77777777"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Health inequalities must also be considered. Smith, Bambra and Hill (2016) explain that health is influenced by wider social and structural factors. The UKHSA (2025) also highlights continuing inequalities between different groups. Therefore, person-centred care should recognise the wider barriers that affect people's health and access to services.</w:t>
      </w:r>
    </w:p>
    <w:p w14:paraId="6EBC4E48" w14:textId="77777777" w:rsidR="000004FF" w:rsidRPr="00FF7A2E" w:rsidRDefault="000004FF" w:rsidP="00FF7A2E">
      <w:pPr>
        <w:pStyle w:val="Heading2"/>
        <w:spacing w:line="360" w:lineRule="auto"/>
        <w:rPr>
          <w:rFonts w:ascii="Arial" w:hAnsi="Arial" w:cs="Arial"/>
          <w:color w:val="000000"/>
          <w:sz w:val="22"/>
          <w:szCs w:val="22"/>
        </w:rPr>
      </w:pPr>
      <w:r w:rsidRPr="00FF7A2E">
        <w:rPr>
          <w:rFonts w:ascii="Arial" w:hAnsi="Arial" w:cs="Arial"/>
          <w:color w:val="000000"/>
          <w:sz w:val="22"/>
          <w:szCs w:val="22"/>
        </w:rPr>
        <w:t>Recommendations</w:t>
      </w:r>
    </w:p>
    <w:p w14:paraId="49141FE9" w14:textId="64DC61AA"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Several recommendations could improve person-centred care and partnership working. First, organisations should invest in shared digital systems and electronic health records to improve communication, reduce duplication and support coordinated care. Staff training, data protection and accessibility should also be considered to prevent digital systems from increasing </w:t>
      </w:r>
      <w:r w:rsidR="00380057" w:rsidRPr="00FF7A2E">
        <w:rPr>
          <w:rFonts w:ascii="Arial" w:hAnsi="Arial" w:cs="Arial"/>
          <w:color w:val="000000"/>
          <w:sz w:val="22"/>
          <w:szCs w:val="22"/>
        </w:rPr>
        <w:t>differences</w:t>
      </w:r>
      <w:r w:rsidRPr="00FF7A2E">
        <w:rPr>
          <w:rFonts w:ascii="Arial" w:hAnsi="Arial" w:cs="Arial"/>
          <w:color w:val="000000"/>
          <w:sz w:val="22"/>
          <w:szCs w:val="22"/>
        </w:rPr>
        <w:t>.</w:t>
      </w:r>
    </w:p>
    <w:p w14:paraId="241912E0" w14:textId="43F4E196"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Second, healthcare organisations should provide training in communication, shared decision-making and </w:t>
      </w:r>
      <w:r w:rsidR="00380057" w:rsidRPr="00FF7A2E">
        <w:rPr>
          <w:rFonts w:ascii="Arial" w:hAnsi="Arial" w:cs="Arial"/>
          <w:color w:val="000000"/>
          <w:sz w:val="22"/>
          <w:szCs w:val="22"/>
        </w:rPr>
        <w:t>Collaborative</w:t>
      </w:r>
      <w:r w:rsidR="00380057" w:rsidRPr="00FF7A2E">
        <w:rPr>
          <w:rFonts w:ascii="Arial" w:hAnsi="Arial" w:cs="Arial"/>
          <w:color w:val="000000"/>
          <w:sz w:val="22"/>
          <w:szCs w:val="22"/>
        </w:rPr>
        <w:t xml:space="preserve"> </w:t>
      </w:r>
      <w:r w:rsidRPr="00FF7A2E">
        <w:rPr>
          <w:rFonts w:ascii="Arial" w:hAnsi="Arial" w:cs="Arial"/>
          <w:color w:val="000000"/>
          <w:sz w:val="22"/>
          <w:szCs w:val="22"/>
        </w:rPr>
        <w:t xml:space="preserve">working. Staff should understand the roles of different </w:t>
      </w:r>
      <w:r w:rsidRPr="00FF7A2E">
        <w:rPr>
          <w:rFonts w:ascii="Arial" w:hAnsi="Arial" w:cs="Arial"/>
          <w:color w:val="000000"/>
          <w:sz w:val="22"/>
          <w:szCs w:val="22"/>
        </w:rPr>
        <w:lastRenderedPageBreak/>
        <w:t>professionals and develop positive working relationships (O'Carroll, McSwiggan and Campbell, 2016; Miers, Thomas and Pollard, 2010).</w:t>
      </w:r>
    </w:p>
    <w:p w14:paraId="70F5DE0F" w14:textId="3B9786BB"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Third, patients and carers should have greater opportunities to contribute to service planning and improvement. </w:t>
      </w:r>
      <w:r w:rsidR="00380057" w:rsidRPr="00FF7A2E">
        <w:rPr>
          <w:rFonts w:ascii="Arial" w:hAnsi="Arial" w:cs="Arial"/>
          <w:color w:val="000000"/>
          <w:sz w:val="22"/>
          <w:szCs w:val="22"/>
        </w:rPr>
        <w:t>Support</w:t>
      </w:r>
      <w:r w:rsidRPr="00FF7A2E">
        <w:rPr>
          <w:rFonts w:ascii="Arial" w:hAnsi="Arial" w:cs="Arial"/>
          <w:color w:val="000000"/>
          <w:sz w:val="22"/>
          <w:szCs w:val="22"/>
        </w:rPr>
        <w:t xml:space="preserve"> should be available for individuals who find it difficult to communicate their wishes or participate in decisions (Bateman, 2000).</w:t>
      </w:r>
    </w:p>
    <w:p w14:paraId="2354D89E" w14:textId="77777777"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Finally, hospitals should strengthen partnerships with social care and community services. Clear communication and shared responsibility for discharge planning can improve continuity of care. Inter-agency working should also remain a priority for safeguarding people who may be at risk (Williams, 2011).</w:t>
      </w:r>
    </w:p>
    <w:p w14:paraId="0906DFEC" w14:textId="77777777" w:rsidR="000004FF" w:rsidRPr="00FF7A2E" w:rsidRDefault="000004FF" w:rsidP="00FF7A2E">
      <w:pPr>
        <w:pStyle w:val="Heading2"/>
        <w:spacing w:line="360" w:lineRule="auto"/>
        <w:rPr>
          <w:rFonts w:ascii="Arial" w:hAnsi="Arial" w:cs="Arial"/>
          <w:color w:val="000000"/>
          <w:sz w:val="22"/>
          <w:szCs w:val="22"/>
        </w:rPr>
      </w:pPr>
      <w:r w:rsidRPr="00FF7A2E">
        <w:rPr>
          <w:rFonts w:ascii="Arial" w:hAnsi="Arial" w:cs="Arial"/>
          <w:color w:val="000000"/>
          <w:sz w:val="22"/>
          <w:szCs w:val="22"/>
        </w:rPr>
        <w:t>Conclusion</w:t>
      </w:r>
    </w:p>
    <w:p w14:paraId="67C90EE3" w14:textId="798B016E"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Person-centred care and partnership working are essential for delivering high-quality health and social care. Person-centred care supports </w:t>
      </w:r>
      <w:r w:rsidR="00380057" w:rsidRPr="00FF7A2E">
        <w:rPr>
          <w:rFonts w:ascii="Arial" w:hAnsi="Arial" w:cs="Arial"/>
          <w:color w:val="000000"/>
          <w:sz w:val="22"/>
          <w:szCs w:val="22"/>
        </w:rPr>
        <w:t>dignity</w:t>
      </w:r>
      <w:r w:rsidRPr="00FF7A2E">
        <w:rPr>
          <w:rFonts w:ascii="Arial" w:hAnsi="Arial" w:cs="Arial"/>
          <w:color w:val="000000"/>
          <w:sz w:val="22"/>
          <w:szCs w:val="22"/>
        </w:rPr>
        <w:t>, choice and involvement, while partnership working promotes coordinated support between professionals and organisations.</w:t>
      </w:r>
    </w:p>
    <w:p w14:paraId="274D1679" w14:textId="03C4C581" w:rsidR="000004FF" w:rsidRPr="00FF7A2E" w:rsidRDefault="000004FF" w:rsidP="00FF7A2E">
      <w:pPr>
        <w:pStyle w:val="isselectedend"/>
        <w:spacing w:line="360" w:lineRule="auto"/>
        <w:rPr>
          <w:rFonts w:ascii="Arial" w:hAnsi="Arial" w:cs="Arial"/>
          <w:color w:val="000000"/>
          <w:sz w:val="22"/>
          <w:szCs w:val="22"/>
        </w:rPr>
      </w:pPr>
      <w:r w:rsidRPr="00FF7A2E">
        <w:rPr>
          <w:rFonts w:ascii="Arial" w:hAnsi="Arial" w:cs="Arial"/>
          <w:color w:val="000000"/>
          <w:sz w:val="22"/>
          <w:szCs w:val="22"/>
        </w:rPr>
        <w:t xml:space="preserve">However, workforce pressures, limited resources, health inequalities and communication problems can affect implementation. </w:t>
      </w:r>
      <w:r w:rsidR="00380057" w:rsidRPr="00FF7A2E">
        <w:rPr>
          <w:rFonts w:ascii="Arial" w:hAnsi="Arial" w:cs="Arial"/>
          <w:color w:val="000000"/>
          <w:sz w:val="22"/>
          <w:szCs w:val="22"/>
        </w:rPr>
        <w:t>The House of Care Model offers a valuable approach to personalised care; however, its effectiveness relies on strong communication, organisational commitment, and active patient participation.</w:t>
      </w:r>
    </w:p>
    <w:p w14:paraId="1DD767FF" w14:textId="6C52A06E" w:rsidR="002C58C5" w:rsidRPr="00FF7A2E" w:rsidRDefault="00380057"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 xml:space="preserve">Overall, greater investment in workforce development, </w:t>
      </w:r>
      <w:r w:rsidRPr="00FF7A2E">
        <w:rPr>
          <w:rFonts w:ascii="Arial" w:hAnsi="Arial" w:cs="Arial"/>
          <w:color w:val="000000"/>
          <w:sz w:val="22"/>
          <w:szCs w:val="22"/>
        </w:rPr>
        <w:t>support</w:t>
      </w:r>
      <w:r w:rsidRPr="00FF7A2E">
        <w:rPr>
          <w:rFonts w:ascii="Arial" w:hAnsi="Arial" w:cs="Arial"/>
          <w:color w:val="000000"/>
          <w:sz w:val="22"/>
          <w:szCs w:val="22"/>
        </w:rPr>
        <w:t>, Patient involvement, digital technologies, and partnership working remains essential. A genuinely person-centred approach should also address inequalities and ensure that all individuals are given the support needed to actively participate in decisions about their care.</w:t>
      </w:r>
    </w:p>
    <w:p w14:paraId="666411D1" w14:textId="77777777" w:rsidR="00791B43" w:rsidRDefault="00791B43" w:rsidP="00FF7A2E">
      <w:pPr>
        <w:pStyle w:val="NormalWeb"/>
        <w:spacing w:line="360" w:lineRule="auto"/>
        <w:rPr>
          <w:rFonts w:ascii="Arial" w:hAnsi="Arial" w:cs="Arial"/>
          <w:color w:val="000000"/>
          <w:sz w:val="22"/>
          <w:szCs w:val="22"/>
        </w:rPr>
      </w:pPr>
    </w:p>
    <w:p w14:paraId="7D4BA226" w14:textId="77777777" w:rsidR="00791B43" w:rsidRDefault="00791B43" w:rsidP="00FF7A2E">
      <w:pPr>
        <w:pStyle w:val="NormalWeb"/>
        <w:spacing w:line="360" w:lineRule="auto"/>
        <w:rPr>
          <w:rFonts w:ascii="Arial" w:hAnsi="Arial" w:cs="Arial"/>
          <w:color w:val="000000"/>
          <w:sz w:val="22"/>
          <w:szCs w:val="22"/>
        </w:rPr>
      </w:pPr>
    </w:p>
    <w:p w14:paraId="48D0620C" w14:textId="77777777" w:rsidR="00791B43" w:rsidRDefault="00791B43" w:rsidP="00FF7A2E">
      <w:pPr>
        <w:pStyle w:val="NormalWeb"/>
        <w:spacing w:line="360" w:lineRule="auto"/>
        <w:rPr>
          <w:rFonts w:ascii="Arial" w:hAnsi="Arial" w:cs="Arial"/>
          <w:color w:val="000000"/>
          <w:sz w:val="22"/>
          <w:szCs w:val="22"/>
        </w:rPr>
      </w:pPr>
    </w:p>
    <w:p w14:paraId="3E3E137C" w14:textId="77777777" w:rsidR="00791B43" w:rsidRDefault="00791B43" w:rsidP="00FF7A2E">
      <w:pPr>
        <w:pStyle w:val="NormalWeb"/>
        <w:spacing w:line="360" w:lineRule="auto"/>
        <w:rPr>
          <w:rFonts w:ascii="Arial" w:hAnsi="Arial" w:cs="Arial"/>
          <w:color w:val="000000"/>
          <w:sz w:val="22"/>
          <w:szCs w:val="22"/>
        </w:rPr>
      </w:pPr>
    </w:p>
    <w:p w14:paraId="7E2AC8B9" w14:textId="77777777" w:rsidR="00791B43" w:rsidRDefault="00791B43" w:rsidP="00FF7A2E">
      <w:pPr>
        <w:pStyle w:val="NormalWeb"/>
        <w:spacing w:line="360" w:lineRule="auto"/>
        <w:rPr>
          <w:rFonts w:ascii="Arial" w:hAnsi="Arial" w:cs="Arial"/>
          <w:color w:val="000000"/>
          <w:sz w:val="22"/>
          <w:szCs w:val="22"/>
        </w:rPr>
      </w:pPr>
    </w:p>
    <w:p w14:paraId="5F4CA588" w14:textId="77777777" w:rsidR="00791B43" w:rsidRDefault="00791B43" w:rsidP="00FF7A2E">
      <w:pPr>
        <w:pStyle w:val="NormalWeb"/>
        <w:spacing w:line="360" w:lineRule="auto"/>
        <w:rPr>
          <w:rFonts w:ascii="Arial" w:hAnsi="Arial" w:cs="Arial"/>
          <w:color w:val="000000"/>
          <w:sz w:val="22"/>
          <w:szCs w:val="22"/>
        </w:rPr>
      </w:pPr>
    </w:p>
    <w:p w14:paraId="45A175B4" w14:textId="4A6351F9" w:rsidR="009844B4" w:rsidRPr="00FF7A2E" w:rsidRDefault="002C58C5"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lastRenderedPageBreak/>
        <w:t>Reference</w:t>
      </w:r>
      <w:r w:rsidR="009844B4" w:rsidRPr="00FF7A2E">
        <w:rPr>
          <w:rFonts w:ascii="Arial" w:hAnsi="Arial" w:cs="Arial"/>
          <w:color w:val="000000"/>
          <w:sz w:val="22"/>
          <w:szCs w:val="22"/>
        </w:rPr>
        <w:t xml:space="preserve"> List </w:t>
      </w:r>
    </w:p>
    <w:p w14:paraId="53B60E63" w14:textId="698431B8"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Barnard, A. (2023)</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Key themes in health and social care: A companion to learning</w:t>
      </w:r>
      <w:r w:rsidRPr="00FF7A2E">
        <w:rPr>
          <w:rFonts w:ascii="Arial" w:hAnsi="Arial" w:cs="Arial"/>
          <w:color w:val="000000"/>
          <w:sz w:val="22"/>
          <w:szCs w:val="22"/>
        </w:rPr>
        <w:t xml:space="preserve">. 2nd </w:t>
      </w:r>
      <w:proofErr w:type="spellStart"/>
      <w:r w:rsidRPr="00FF7A2E">
        <w:rPr>
          <w:rFonts w:ascii="Arial" w:hAnsi="Arial" w:cs="Arial"/>
          <w:color w:val="000000"/>
          <w:sz w:val="22"/>
          <w:szCs w:val="22"/>
        </w:rPr>
        <w:t>edn</w:t>
      </w:r>
      <w:proofErr w:type="spellEnd"/>
      <w:r w:rsidRPr="00FF7A2E">
        <w:rPr>
          <w:rFonts w:ascii="Arial" w:hAnsi="Arial" w:cs="Arial"/>
          <w:color w:val="000000"/>
          <w:sz w:val="22"/>
          <w:szCs w:val="22"/>
        </w:rPr>
        <w:t xml:space="preserve">. Abingdon: Routledge. Available at: </w:t>
      </w:r>
      <w:hyperlink r:id="rId7" w:history="1">
        <w:r w:rsidRPr="00FF7A2E">
          <w:rPr>
            <w:rStyle w:val="Hyperlink"/>
            <w:rFonts w:ascii="Arial" w:hAnsi="Arial" w:cs="Arial"/>
            <w:sz w:val="22"/>
            <w:szCs w:val="22"/>
          </w:rPr>
          <w:t>https://www.taylorfrancis.com/books/edit/10.4324/9781003079873/key-themes-health-social-care-adam-barnard-louise-griffiths-verusca-calabria</w:t>
        </w:r>
      </w:hyperlink>
      <w:r w:rsidRPr="00FF7A2E">
        <w:rPr>
          <w:rFonts w:ascii="Arial" w:hAnsi="Arial" w:cs="Arial"/>
          <w:color w:val="000000"/>
          <w:sz w:val="22"/>
          <w:szCs w:val="22"/>
        </w:rPr>
        <w:t xml:space="preserve"> (Accessed: </w:t>
      </w:r>
      <w:r w:rsidR="002C58C5" w:rsidRPr="00FF7A2E">
        <w:rPr>
          <w:rFonts w:ascii="Arial" w:hAnsi="Arial" w:cs="Arial"/>
          <w:color w:val="000000"/>
          <w:sz w:val="22"/>
          <w:szCs w:val="22"/>
        </w:rPr>
        <w:t>10</w:t>
      </w:r>
      <w:r w:rsidRPr="00FF7A2E">
        <w:rPr>
          <w:rFonts w:ascii="Arial" w:hAnsi="Arial" w:cs="Arial"/>
          <w:color w:val="000000"/>
          <w:sz w:val="22"/>
          <w:szCs w:val="22"/>
        </w:rPr>
        <w:t xml:space="preserve"> July 2026).</w:t>
      </w:r>
    </w:p>
    <w:p w14:paraId="7B5DC7C3" w14:textId="16F3E385" w:rsidR="009844B4"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Bateman, N. (2000)</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Advocacy skills for health and social care professionals</w:t>
      </w:r>
      <w:r w:rsidRPr="00FF7A2E">
        <w:rPr>
          <w:rFonts w:ascii="Arial" w:hAnsi="Arial" w:cs="Arial"/>
          <w:color w:val="000000"/>
          <w:sz w:val="22"/>
          <w:szCs w:val="22"/>
        </w:rPr>
        <w:t xml:space="preserve">. London: Jessica Kingsley Publishers. Available at: </w:t>
      </w:r>
      <w:hyperlink r:id="rId8" w:history="1">
        <w:r w:rsidR="009844B4" w:rsidRPr="00FF7A2E">
          <w:rPr>
            <w:rStyle w:val="Hyperlink"/>
            <w:rFonts w:ascii="Arial" w:hAnsi="Arial" w:cs="Arial"/>
            <w:sz w:val="22"/>
            <w:szCs w:val="22"/>
          </w:rPr>
          <w:t>https://research-ebsco-com.uwtsd.idm.oclc.org/c/onvpsy/search/details/lf4gu5hsij?request-context=plink&amp;db=nlebk</w:t>
        </w:r>
      </w:hyperlink>
      <w:r w:rsidR="009844B4" w:rsidRPr="00FF7A2E">
        <w:rPr>
          <w:rFonts w:ascii="Arial" w:hAnsi="Arial" w:cs="Arial"/>
          <w:color w:val="000000"/>
          <w:sz w:val="22"/>
          <w:szCs w:val="22"/>
        </w:rPr>
        <w:t xml:space="preserve"> (Accessed: </w:t>
      </w:r>
      <w:r w:rsidR="002C58C5" w:rsidRPr="00FF7A2E">
        <w:rPr>
          <w:rFonts w:ascii="Arial" w:hAnsi="Arial" w:cs="Arial"/>
          <w:color w:val="000000"/>
          <w:sz w:val="22"/>
          <w:szCs w:val="22"/>
        </w:rPr>
        <w:t>10</w:t>
      </w:r>
      <w:r w:rsidR="009844B4" w:rsidRPr="00FF7A2E">
        <w:rPr>
          <w:rFonts w:ascii="Arial" w:hAnsi="Arial" w:cs="Arial"/>
          <w:color w:val="000000"/>
          <w:sz w:val="22"/>
          <w:szCs w:val="22"/>
        </w:rPr>
        <w:t xml:space="preserve"> July 2026).</w:t>
      </w:r>
    </w:p>
    <w:p w14:paraId="2735C215" w14:textId="0BDA8FEA"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Beauchamp, T.L. and Childress, J.F. (2019)</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Principles of biomedical ethics</w:t>
      </w:r>
      <w:r w:rsidRPr="00FF7A2E">
        <w:rPr>
          <w:rFonts w:ascii="Arial" w:hAnsi="Arial" w:cs="Arial"/>
          <w:color w:val="000000"/>
          <w:sz w:val="22"/>
          <w:szCs w:val="22"/>
        </w:rPr>
        <w:t xml:space="preserve">. 8th </w:t>
      </w:r>
      <w:proofErr w:type="spellStart"/>
      <w:r w:rsidRPr="00FF7A2E">
        <w:rPr>
          <w:rFonts w:ascii="Arial" w:hAnsi="Arial" w:cs="Arial"/>
          <w:color w:val="000000"/>
          <w:sz w:val="22"/>
          <w:szCs w:val="22"/>
        </w:rPr>
        <w:t>edn</w:t>
      </w:r>
      <w:proofErr w:type="spellEnd"/>
      <w:r w:rsidRPr="00FF7A2E">
        <w:rPr>
          <w:rFonts w:ascii="Arial" w:hAnsi="Arial" w:cs="Arial"/>
          <w:color w:val="000000"/>
          <w:sz w:val="22"/>
          <w:szCs w:val="22"/>
        </w:rPr>
        <w:t xml:space="preserve">. New York: Oxford University Press. Available at: </w:t>
      </w:r>
      <w:hyperlink r:id="rId9" w:history="1">
        <w:r w:rsidRPr="00FF7A2E">
          <w:rPr>
            <w:rStyle w:val="Hyperlink"/>
            <w:rFonts w:ascii="Arial" w:hAnsi="Arial" w:cs="Arial"/>
            <w:sz w:val="22"/>
            <w:szCs w:val="22"/>
          </w:rPr>
          <w:t>https://global.oup.com/academic/</w:t>
        </w:r>
      </w:hyperlink>
      <w:r w:rsidRPr="00FF7A2E">
        <w:rPr>
          <w:rFonts w:ascii="Arial" w:hAnsi="Arial" w:cs="Arial"/>
          <w:color w:val="000000"/>
          <w:sz w:val="22"/>
          <w:szCs w:val="22"/>
        </w:rPr>
        <w:t xml:space="preserve"> (Accessed: </w:t>
      </w:r>
      <w:r w:rsidR="002C58C5" w:rsidRPr="00FF7A2E">
        <w:rPr>
          <w:rFonts w:ascii="Arial" w:hAnsi="Arial" w:cs="Arial"/>
          <w:color w:val="000000"/>
          <w:sz w:val="22"/>
          <w:szCs w:val="22"/>
        </w:rPr>
        <w:t>10</w:t>
      </w:r>
      <w:r w:rsidRPr="00FF7A2E">
        <w:rPr>
          <w:rFonts w:ascii="Arial" w:hAnsi="Arial" w:cs="Arial"/>
          <w:color w:val="000000"/>
          <w:sz w:val="22"/>
          <w:szCs w:val="22"/>
        </w:rPr>
        <w:t xml:space="preserve"> July 2026).</w:t>
      </w:r>
    </w:p>
    <w:p w14:paraId="5463750C" w14:textId="3BE45581"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Care Act 2014 (2014)</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Care Act 2014</w:t>
      </w:r>
      <w:r w:rsidRPr="00FF7A2E">
        <w:rPr>
          <w:rFonts w:ascii="Arial" w:hAnsi="Arial" w:cs="Arial"/>
          <w:color w:val="000000"/>
          <w:sz w:val="22"/>
          <w:szCs w:val="22"/>
        </w:rPr>
        <w:t>. Available at</w:t>
      </w:r>
      <w:r w:rsidR="009844B4" w:rsidRPr="00FF7A2E">
        <w:rPr>
          <w:rFonts w:ascii="Arial" w:hAnsi="Arial" w:cs="Arial"/>
          <w:color w:val="000000"/>
          <w:sz w:val="22"/>
          <w:szCs w:val="22"/>
        </w:rPr>
        <w:t xml:space="preserve">:   </w:t>
      </w:r>
      <w:hyperlink r:id="rId10" w:history="1">
        <w:r w:rsidR="009844B4" w:rsidRPr="00FF7A2E">
          <w:rPr>
            <w:rStyle w:val="Hyperlink"/>
            <w:rFonts w:ascii="Arial" w:hAnsi="Arial" w:cs="Arial"/>
            <w:sz w:val="22"/>
            <w:szCs w:val="22"/>
          </w:rPr>
          <w:t>https://www.legislation.gov.uk/uk</w:t>
        </w:r>
        <w:r w:rsidR="009844B4" w:rsidRPr="00FF7A2E">
          <w:rPr>
            <w:rStyle w:val="Hyperlink"/>
            <w:rFonts w:ascii="Arial" w:hAnsi="Arial" w:cs="Arial"/>
            <w:sz w:val="22"/>
            <w:szCs w:val="22"/>
          </w:rPr>
          <w:t>p</w:t>
        </w:r>
        <w:r w:rsidR="009844B4" w:rsidRPr="00FF7A2E">
          <w:rPr>
            <w:rStyle w:val="Hyperlink"/>
            <w:rFonts w:ascii="Arial" w:hAnsi="Arial" w:cs="Arial"/>
            <w:sz w:val="22"/>
            <w:szCs w:val="22"/>
          </w:rPr>
          <w:t>ga/2014/23/contents</w:t>
        </w:r>
      </w:hyperlink>
      <w:r w:rsidR="009844B4" w:rsidRPr="00FF7A2E">
        <w:rPr>
          <w:rFonts w:ascii="Arial" w:hAnsi="Arial" w:cs="Arial"/>
          <w:color w:val="000000"/>
          <w:sz w:val="22"/>
          <w:szCs w:val="22"/>
        </w:rPr>
        <w:t xml:space="preserve"> </w:t>
      </w:r>
      <w:r w:rsidRPr="00FF7A2E">
        <w:rPr>
          <w:rFonts w:ascii="Arial" w:hAnsi="Arial" w:cs="Arial"/>
          <w:color w:val="000000"/>
          <w:sz w:val="22"/>
          <w:szCs w:val="22"/>
        </w:rPr>
        <w:t xml:space="preserve">(Accessed: </w:t>
      </w:r>
      <w:r w:rsidR="002C58C5" w:rsidRPr="00FF7A2E">
        <w:rPr>
          <w:rFonts w:ascii="Arial" w:hAnsi="Arial" w:cs="Arial"/>
          <w:color w:val="000000"/>
          <w:sz w:val="22"/>
          <w:szCs w:val="22"/>
        </w:rPr>
        <w:t>11</w:t>
      </w:r>
      <w:r w:rsidRPr="00FF7A2E">
        <w:rPr>
          <w:rFonts w:ascii="Arial" w:hAnsi="Arial" w:cs="Arial"/>
          <w:color w:val="000000"/>
          <w:sz w:val="22"/>
          <w:szCs w:val="22"/>
        </w:rPr>
        <w:t xml:space="preserve"> July 2026).</w:t>
      </w:r>
      <w:r w:rsidRPr="00FF7A2E">
        <w:rPr>
          <w:rStyle w:val="apple-converted-space"/>
          <w:rFonts w:ascii="Arial" w:hAnsi="Arial" w:cs="Arial"/>
          <w:color w:val="000000"/>
          <w:sz w:val="22"/>
          <w:szCs w:val="22"/>
        </w:rPr>
        <w:t> </w:t>
      </w:r>
      <w:r w:rsidR="009844B4" w:rsidRPr="00FF7A2E">
        <w:rPr>
          <w:rFonts w:ascii="Arial" w:hAnsi="Arial" w:cs="Arial"/>
          <w:color w:val="000000"/>
          <w:sz w:val="22"/>
          <w:szCs w:val="22"/>
        </w:rPr>
        <w:t xml:space="preserve"> </w:t>
      </w:r>
    </w:p>
    <w:p w14:paraId="28FB6833" w14:textId="1DD6CAC9" w:rsidR="00FF7A2E" w:rsidRPr="00791B43"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Coulter, A. (2011)</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Engaging patients in healthcare</w:t>
      </w:r>
      <w:r w:rsidRPr="00FF7A2E">
        <w:rPr>
          <w:rFonts w:ascii="Arial" w:hAnsi="Arial" w:cs="Arial"/>
          <w:color w:val="000000"/>
          <w:sz w:val="22"/>
          <w:szCs w:val="22"/>
        </w:rPr>
        <w:t>. Available at:</w:t>
      </w:r>
      <w:r w:rsidR="00FF7A2E" w:rsidRPr="00FF7A2E">
        <w:rPr>
          <w:rFonts w:ascii="Arial" w:hAnsi="Arial" w:cs="Arial"/>
          <w:color w:val="000000"/>
          <w:sz w:val="22"/>
          <w:szCs w:val="22"/>
        </w:rPr>
        <w:t xml:space="preserve"> </w:t>
      </w:r>
      <w:hyperlink r:id="rId11" w:history="1">
        <w:r w:rsidR="00FF7A2E" w:rsidRPr="00FF7A2E">
          <w:rPr>
            <w:rStyle w:val="Hyperlink"/>
            <w:rFonts w:ascii="Arial" w:hAnsi="Arial" w:cs="Arial"/>
            <w:sz w:val="22"/>
            <w:szCs w:val="22"/>
          </w:rPr>
          <w:t>https://books.google.co.uk/books?hl=en&amp;lr=&amp;id=3GJuVc0vAXcC&amp;oi=fnd&amp;pg=PR7&amp;dq=Coulter,+A.+(2011)+Engaging+patients+in+healthcare.&amp;ots=zLlMWwpt-E&amp;sig=i746jluwCKpnyHkE9MOaGHb1670#v=onepage&amp;q=Coulter%2C%20A.%20(2011)%20Engaging%20patients%20in%20healthcare.&amp;f=false</w:t>
        </w:r>
      </w:hyperlink>
      <w:r w:rsidR="00FF7A2E" w:rsidRPr="00FF7A2E">
        <w:rPr>
          <w:rFonts w:ascii="Arial" w:hAnsi="Arial" w:cs="Arial"/>
          <w:color w:val="000000"/>
          <w:sz w:val="22"/>
          <w:szCs w:val="22"/>
        </w:rPr>
        <w:t xml:space="preserve"> </w:t>
      </w:r>
      <w:r w:rsidRPr="00FF7A2E">
        <w:rPr>
          <w:rFonts w:ascii="Arial" w:hAnsi="Arial" w:cs="Arial"/>
          <w:color w:val="000000"/>
          <w:sz w:val="22"/>
          <w:szCs w:val="22"/>
        </w:rPr>
        <w:t xml:space="preserve">(Accessed: </w:t>
      </w:r>
      <w:r w:rsidR="00FF7A2E" w:rsidRPr="00FF7A2E">
        <w:rPr>
          <w:rFonts w:ascii="Arial" w:hAnsi="Arial" w:cs="Arial"/>
          <w:color w:val="000000"/>
          <w:sz w:val="22"/>
          <w:szCs w:val="22"/>
        </w:rPr>
        <w:t>10</w:t>
      </w:r>
      <w:r w:rsidRPr="00FF7A2E">
        <w:rPr>
          <w:rFonts w:ascii="Arial" w:hAnsi="Arial" w:cs="Arial"/>
          <w:color w:val="000000"/>
          <w:sz w:val="22"/>
          <w:szCs w:val="22"/>
        </w:rPr>
        <w:t xml:space="preserve"> July 2026).</w:t>
      </w:r>
      <w:r w:rsidR="00FF7A2E" w:rsidRPr="00FF7A2E">
        <w:rPr>
          <w:rFonts w:ascii="Arial" w:hAnsi="Arial" w:cs="Arial"/>
          <w:sz w:val="22"/>
          <w:szCs w:val="22"/>
        </w:rPr>
        <w:t xml:space="preserve"> </w:t>
      </w:r>
    </w:p>
    <w:p w14:paraId="16EA1C8C" w14:textId="59D38578"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Coulter, A., Roberts, S. and Dixon, A. (2013)</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Delivering better services for people with long-term conditions: Building the House of Care</w:t>
      </w:r>
      <w:r w:rsidRPr="00FF7A2E">
        <w:rPr>
          <w:rFonts w:ascii="Arial" w:hAnsi="Arial" w:cs="Arial"/>
          <w:color w:val="000000"/>
          <w:sz w:val="22"/>
          <w:szCs w:val="22"/>
        </w:rPr>
        <w:t>. London: The King’s Fund. Available at:</w:t>
      </w:r>
      <w:r w:rsidRPr="00FF7A2E">
        <w:rPr>
          <w:rStyle w:val="apple-converted-space"/>
          <w:rFonts w:ascii="Arial" w:hAnsi="Arial" w:cs="Arial"/>
          <w:color w:val="000000"/>
          <w:sz w:val="22"/>
          <w:szCs w:val="22"/>
        </w:rPr>
        <w:t> </w:t>
      </w:r>
      <w:hyperlink r:id="rId12" w:history="1">
        <w:r w:rsidR="00FF7A2E" w:rsidRPr="00FF7A2E">
          <w:rPr>
            <w:rStyle w:val="Hyperlink"/>
            <w:rFonts w:ascii="Arial" w:hAnsi="Arial" w:cs="Arial"/>
            <w:sz w:val="22"/>
            <w:szCs w:val="22"/>
          </w:rPr>
          <w:t>https://www.kingsfund.org.uk/insight-and-analysis/reports/better-services-people-long-term-conditions</w:t>
        </w:r>
      </w:hyperlink>
      <w:r w:rsidRPr="00FF7A2E">
        <w:rPr>
          <w:rStyle w:val="apple-converted-space"/>
          <w:rFonts w:ascii="Arial" w:hAnsi="Arial" w:cs="Arial"/>
          <w:color w:val="000000"/>
          <w:sz w:val="22"/>
          <w:szCs w:val="22"/>
        </w:rPr>
        <w:t> </w:t>
      </w:r>
      <w:r w:rsidRPr="00FF7A2E">
        <w:rPr>
          <w:rFonts w:ascii="Arial" w:hAnsi="Arial" w:cs="Arial"/>
          <w:color w:val="000000"/>
          <w:sz w:val="22"/>
          <w:szCs w:val="22"/>
        </w:rPr>
        <w:t xml:space="preserve">(Accessed: </w:t>
      </w:r>
      <w:r w:rsidR="00FF7A2E" w:rsidRPr="00FF7A2E">
        <w:rPr>
          <w:rFonts w:ascii="Arial" w:hAnsi="Arial" w:cs="Arial"/>
          <w:color w:val="000000"/>
          <w:sz w:val="22"/>
          <w:szCs w:val="22"/>
        </w:rPr>
        <w:t>10</w:t>
      </w:r>
      <w:r w:rsidRPr="00FF7A2E">
        <w:rPr>
          <w:rFonts w:ascii="Arial" w:hAnsi="Arial" w:cs="Arial"/>
          <w:color w:val="000000"/>
          <w:sz w:val="22"/>
          <w:szCs w:val="22"/>
        </w:rPr>
        <w:t xml:space="preserve"> July 2026).</w:t>
      </w:r>
      <w:r w:rsidRPr="00FF7A2E">
        <w:rPr>
          <w:rStyle w:val="apple-converted-space"/>
          <w:rFonts w:ascii="Arial" w:hAnsi="Arial" w:cs="Arial"/>
          <w:color w:val="000000"/>
          <w:sz w:val="22"/>
          <w:szCs w:val="22"/>
        </w:rPr>
        <w:t> </w:t>
      </w:r>
      <w:r w:rsidR="00015EC9" w:rsidRPr="00FF7A2E">
        <w:rPr>
          <w:rFonts w:ascii="Arial" w:hAnsi="Arial" w:cs="Arial"/>
          <w:color w:val="000000"/>
          <w:sz w:val="22"/>
          <w:szCs w:val="22"/>
        </w:rPr>
        <w:t xml:space="preserve"> </w:t>
      </w:r>
    </w:p>
    <w:p w14:paraId="2E55DEFB" w14:textId="0B871B62"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Equality Act 2010 (2010)</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Equality Act 2010</w:t>
      </w:r>
      <w:r w:rsidRPr="00FF7A2E">
        <w:rPr>
          <w:rFonts w:ascii="Arial" w:hAnsi="Arial" w:cs="Arial"/>
          <w:color w:val="000000"/>
          <w:sz w:val="22"/>
          <w:szCs w:val="22"/>
        </w:rPr>
        <w:t>. Available at</w:t>
      </w:r>
      <w:r w:rsidR="003922A0" w:rsidRPr="00FF7A2E">
        <w:rPr>
          <w:rFonts w:ascii="Arial" w:hAnsi="Arial" w:cs="Arial"/>
          <w:sz w:val="22"/>
          <w:szCs w:val="22"/>
        </w:rPr>
        <w:t xml:space="preserve"> </w:t>
      </w:r>
      <w:hyperlink r:id="rId13" w:history="1">
        <w:r w:rsidR="003922A0" w:rsidRPr="00FF7A2E">
          <w:rPr>
            <w:rStyle w:val="Hyperlink"/>
            <w:rFonts w:ascii="Arial" w:hAnsi="Arial" w:cs="Arial"/>
            <w:sz w:val="22"/>
            <w:szCs w:val="22"/>
          </w:rPr>
          <w:t>https://www.legislation.gov.uk/ukpga/2010/15/contents</w:t>
        </w:r>
      </w:hyperlink>
      <w:r w:rsidR="003922A0" w:rsidRPr="00FF7A2E">
        <w:rPr>
          <w:rFonts w:ascii="Arial" w:hAnsi="Arial" w:cs="Arial"/>
          <w:color w:val="000000"/>
          <w:sz w:val="22"/>
          <w:szCs w:val="22"/>
        </w:rPr>
        <w:t xml:space="preserve"> </w:t>
      </w:r>
      <w:r w:rsidRPr="00FF7A2E">
        <w:rPr>
          <w:rFonts w:ascii="Arial" w:hAnsi="Arial" w:cs="Arial"/>
          <w:color w:val="000000"/>
          <w:sz w:val="22"/>
          <w:szCs w:val="22"/>
        </w:rPr>
        <w:t>(Accessed:</w:t>
      </w:r>
      <w:r w:rsidR="002C58C5" w:rsidRPr="00FF7A2E">
        <w:rPr>
          <w:rFonts w:ascii="Arial" w:hAnsi="Arial" w:cs="Arial"/>
          <w:color w:val="000000"/>
          <w:sz w:val="22"/>
          <w:szCs w:val="22"/>
        </w:rPr>
        <w:t xml:space="preserve"> 11 </w:t>
      </w:r>
      <w:r w:rsidRPr="00FF7A2E">
        <w:rPr>
          <w:rFonts w:ascii="Arial" w:hAnsi="Arial" w:cs="Arial"/>
          <w:color w:val="000000"/>
          <w:sz w:val="22"/>
          <w:szCs w:val="22"/>
        </w:rPr>
        <w:t>July 2026).</w:t>
      </w:r>
      <w:r w:rsidRPr="00FF7A2E">
        <w:rPr>
          <w:rStyle w:val="apple-converted-space"/>
          <w:rFonts w:ascii="Arial" w:hAnsi="Arial" w:cs="Arial"/>
          <w:color w:val="000000"/>
          <w:sz w:val="22"/>
          <w:szCs w:val="22"/>
        </w:rPr>
        <w:t> </w:t>
      </w:r>
      <w:r w:rsidR="009844B4" w:rsidRPr="00FF7A2E">
        <w:rPr>
          <w:rFonts w:ascii="Arial" w:hAnsi="Arial" w:cs="Arial"/>
          <w:color w:val="000000"/>
          <w:sz w:val="22"/>
          <w:szCs w:val="22"/>
        </w:rPr>
        <w:t xml:space="preserve"> </w:t>
      </w:r>
    </w:p>
    <w:p w14:paraId="2F581EE6" w14:textId="5B9BBC1C"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Eyal, N.M. (2013)</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Inequalities in health: Concepts, measures, and ethics</w:t>
      </w:r>
      <w:r w:rsidRPr="00FF7A2E">
        <w:rPr>
          <w:rFonts w:ascii="Arial" w:hAnsi="Arial" w:cs="Arial"/>
          <w:color w:val="000000"/>
          <w:sz w:val="22"/>
          <w:szCs w:val="22"/>
        </w:rPr>
        <w:t xml:space="preserve">. Oxford: Oxford University Press. Available at: </w:t>
      </w:r>
      <w:hyperlink r:id="rId14" w:history="1">
        <w:r w:rsidR="003922A0" w:rsidRPr="00FF7A2E">
          <w:rPr>
            <w:rStyle w:val="Hyperlink"/>
            <w:rFonts w:ascii="Arial" w:hAnsi="Arial" w:cs="Arial"/>
            <w:sz w:val="22"/>
            <w:szCs w:val="22"/>
          </w:rPr>
          <w:t>https://academic-oup-com.uwtsd.idm.oclc.org/book/12106?login=true&amp;token=eyJhbGciOiJub25lIn0.eyJleHAiOjE3ODc0Mzg0NjEsImp0aSI6ImIwOGIzOTk3LWM2OWItNDNmNC1iOGJhLTJhMDkxZDU4MDc5NyJ9</w:t>
        </w:r>
      </w:hyperlink>
      <w:r w:rsidR="003922A0" w:rsidRPr="00FF7A2E">
        <w:rPr>
          <w:rFonts w:ascii="Arial" w:hAnsi="Arial" w:cs="Arial"/>
          <w:color w:val="000000"/>
          <w:sz w:val="22"/>
          <w:szCs w:val="22"/>
        </w:rPr>
        <w:t xml:space="preserve">. </w:t>
      </w:r>
      <w:r w:rsidRPr="00FF7A2E">
        <w:rPr>
          <w:rFonts w:ascii="Arial" w:hAnsi="Arial" w:cs="Arial"/>
          <w:color w:val="000000"/>
          <w:sz w:val="22"/>
          <w:szCs w:val="22"/>
        </w:rPr>
        <w:t xml:space="preserve">(Accessed: </w:t>
      </w:r>
      <w:r w:rsidR="002C58C5" w:rsidRPr="00FF7A2E">
        <w:rPr>
          <w:rFonts w:ascii="Arial" w:hAnsi="Arial" w:cs="Arial"/>
          <w:color w:val="000000"/>
          <w:sz w:val="22"/>
          <w:szCs w:val="22"/>
        </w:rPr>
        <w:t>10</w:t>
      </w:r>
      <w:r w:rsidRPr="00FF7A2E">
        <w:rPr>
          <w:rFonts w:ascii="Arial" w:hAnsi="Arial" w:cs="Arial"/>
          <w:color w:val="000000"/>
          <w:sz w:val="22"/>
          <w:szCs w:val="22"/>
        </w:rPr>
        <w:t xml:space="preserve"> July 2026).</w:t>
      </w:r>
    </w:p>
    <w:p w14:paraId="62A61D9E" w14:textId="654CE1C2"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lastRenderedPageBreak/>
        <w:t>Glasby, J. (2026)</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Understanding health and social care</w:t>
      </w:r>
      <w:r w:rsidRPr="00FF7A2E">
        <w:rPr>
          <w:rFonts w:ascii="Arial" w:hAnsi="Arial" w:cs="Arial"/>
          <w:color w:val="000000"/>
          <w:sz w:val="22"/>
          <w:szCs w:val="22"/>
        </w:rPr>
        <w:t xml:space="preserve">. 4th </w:t>
      </w:r>
      <w:proofErr w:type="spellStart"/>
      <w:r w:rsidRPr="00FF7A2E">
        <w:rPr>
          <w:rFonts w:ascii="Arial" w:hAnsi="Arial" w:cs="Arial"/>
          <w:color w:val="000000"/>
          <w:sz w:val="22"/>
          <w:szCs w:val="22"/>
        </w:rPr>
        <w:t>edn</w:t>
      </w:r>
      <w:proofErr w:type="spellEnd"/>
      <w:r w:rsidRPr="00FF7A2E">
        <w:rPr>
          <w:rFonts w:ascii="Arial" w:hAnsi="Arial" w:cs="Arial"/>
          <w:color w:val="000000"/>
          <w:sz w:val="22"/>
          <w:szCs w:val="22"/>
        </w:rPr>
        <w:t xml:space="preserve">. Bristol: Policy Press. Available at: </w:t>
      </w:r>
      <w:hyperlink r:id="rId15" w:history="1">
        <w:r w:rsidRPr="00FF7A2E">
          <w:rPr>
            <w:rStyle w:val="Hyperlink"/>
            <w:rFonts w:ascii="Arial" w:hAnsi="Arial" w:cs="Arial"/>
            <w:sz w:val="22"/>
            <w:szCs w:val="22"/>
          </w:rPr>
          <w:t>https://policy.bristoluniversitypress.co.uk/</w:t>
        </w:r>
      </w:hyperlink>
      <w:r w:rsidRPr="00FF7A2E">
        <w:rPr>
          <w:rFonts w:ascii="Arial" w:hAnsi="Arial" w:cs="Arial"/>
          <w:color w:val="000000"/>
          <w:sz w:val="22"/>
          <w:szCs w:val="22"/>
        </w:rPr>
        <w:t xml:space="preserve"> (Accessed: </w:t>
      </w:r>
      <w:r w:rsidR="002C58C5" w:rsidRPr="00FF7A2E">
        <w:rPr>
          <w:rFonts w:ascii="Arial" w:hAnsi="Arial" w:cs="Arial"/>
          <w:color w:val="000000"/>
          <w:sz w:val="22"/>
          <w:szCs w:val="22"/>
        </w:rPr>
        <w:t>11</w:t>
      </w:r>
      <w:r w:rsidRPr="00FF7A2E">
        <w:rPr>
          <w:rFonts w:ascii="Arial" w:hAnsi="Arial" w:cs="Arial"/>
          <w:color w:val="000000"/>
          <w:sz w:val="22"/>
          <w:szCs w:val="22"/>
        </w:rPr>
        <w:t xml:space="preserve"> July 2026).</w:t>
      </w:r>
    </w:p>
    <w:p w14:paraId="19CB1BDB" w14:textId="07AB8EEF"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Health and Care Act 2022 (2022)</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Health and Care Act 2022</w:t>
      </w:r>
      <w:r w:rsidRPr="00FF7A2E">
        <w:rPr>
          <w:rFonts w:ascii="Arial" w:hAnsi="Arial" w:cs="Arial"/>
          <w:color w:val="000000"/>
          <w:sz w:val="22"/>
          <w:szCs w:val="22"/>
        </w:rPr>
        <w:t>. Available at</w:t>
      </w:r>
      <w:r w:rsidR="003922A0" w:rsidRPr="00FF7A2E">
        <w:rPr>
          <w:rFonts w:ascii="Arial" w:hAnsi="Arial" w:cs="Arial"/>
          <w:sz w:val="22"/>
          <w:szCs w:val="22"/>
        </w:rPr>
        <w:t xml:space="preserve"> </w:t>
      </w:r>
      <w:hyperlink r:id="rId16" w:history="1">
        <w:r w:rsidR="003922A0" w:rsidRPr="00FF7A2E">
          <w:rPr>
            <w:rStyle w:val="Hyperlink"/>
            <w:rFonts w:ascii="Arial" w:hAnsi="Arial" w:cs="Arial"/>
            <w:sz w:val="22"/>
            <w:szCs w:val="22"/>
          </w:rPr>
          <w:t>https://www.legislation.gov.uk/ukpga/2022/31/contents</w:t>
        </w:r>
      </w:hyperlink>
      <w:r w:rsidR="003922A0" w:rsidRPr="00FF7A2E">
        <w:rPr>
          <w:rFonts w:ascii="Arial" w:hAnsi="Arial" w:cs="Arial"/>
          <w:color w:val="000000"/>
          <w:sz w:val="22"/>
          <w:szCs w:val="22"/>
        </w:rPr>
        <w:t xml:space="preserve"> </w:t>
      </w:r>
      <w:r w:rsidRPr="00FF7A2E">
        <w:rPr>
          <w:rFonts w:ascii="Arial" w:hAnsi="Arial" w:cs="Arial"/>
          <w:color w:val="000000"/>
          <w:sz w:val="22"/>
          <w:szCs w:val="22"/>
        </w:rPr>
        <w:t xml:space="preserve">(Accessed: </w:t>
      </w:r>
      <w:r w:rsidR="002C58C5" w:rsidRPr="00FF7A2E">
        <w:rPr>
          <w:rFonts w:ascii="Arial" w:hAnsi="Arial" w:cs="Arial"/>
          <w:color w:val="000000"/>
          <w:sz w:val="22"/>
          <w:szCs w:val="22"/>
        </w:rPr>
        <w:t>10</w:t>
      </w:r>
      <w:r w:rsidRPr="00FF7A2E">
        <w:rPr>
          <w:rFonts w:ascii="Arial" w:hAnsi="Arial" w:cs="Arial"/>
          <w:color w:val="000000"/>
          <w:sz w:val="22"/>
          <w:szCs w:val="22"/>
        </w:rPr>
        <w:t xml:space="preserve"> July 2026).</w:t>
      </w:r>
      <w:r w:rsidRPr="00FF7A2E">
        <w:rPr>
          <w:rStyle w:val="apple-converted-space"/>
          <w:rFonts w:ascii="Arial" w:hAnsi="Arial" w:cs="Arial"/>
          <w:color w:val="000000"/>
          <w:sz w:val="22"/>
          <w:szCs w:val="22"/>
        </w:rPr>
        <w:t> </w:t>
      </w:r>
      <w:r w:rsidR="003922A0" w:rsidRPr="00FF7A2E">
        <w:rPr>
          <w:rFonts w:ascii="Arial" w:hAnsi="Arial" w:cs="Arial"/>
          <w:color w:val="000000"/>
          <w:sz w:val="22"/>
          <w:szCs w:val="22"/>
        </w:rPr>
        <w:t xml:space="preserve"> </w:t>
      </w:r>
    </w:p>
    <w:p w14:paraId="1FF851CA" w14:textId="284C3A30"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Health Foundation (2014)</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Person-centred care made simple: What everyone should know about person-centred care</w:t>
      </w:r>
      <w:r w:rsidRPr="00FF7A2E">
        <w:rPr>
          <w:rFonts w:ascii="Arial" w:hAnsi="Arial" w:cs="Arial"/>
          <w:color w:val="000000"/>
          <w:sz w:val="22"/>
          <w:szCs w:val="22"/>
        </w:rPr>
        <w:t>. London: The Health Foundation. Available at:</w:t>
      </w:r>
      <w:r w:rsidRPr="00FF7A2E">
        <w:rPr>
          <w:rStyle w:val="apple-converted-space"/>
          <w:rFonts w:ascii="Arial" w:hAnsi="Arial" w:cs="Arial"/>
          <w:color w:val="000000"/>
          <w:sz w:val="22"/>
          <w:szCs w:val="22"/>
        </w:rPr>
        <w:t> </w:t>
      </w:r>
      <w:hyperlink r:id="rId17" w:history="1">
        <w:r w:rsidR="00FF7A2E" w:rsidRPr="00FF7A2E">
          <w:rPr>
            <w:rStyle w:val="Hyperlink"/>
            <w:rFonts w:ascii="Arial" w:hAnsi="Arial" w:cs="Arial"/>
            <w:sz w:val="22"/>
            <w:szCs w:val="22"/>
          </w:rPr>
          <w:t>https://www.health.org.uk/resources-and-toolkits/quick-guides/person-centred-care-made-simple</w:t>
        </w:r>
      </w:hyperlink>
      <w:r w:rsidRPr="00FF7A2E">
        <w:rPr>
          <w:rStyle w:val="apple-converted-space"/>
          <w:rFonts w:ascii="Arial" w:hAnsi="Arial" w:cs="Arial"/>
          <w:color w:val="000000"/>
          <w:sz w:val="22"/>
          <w:szCs w:val="22"/>
        </w:rPr>
        <w:t> </w:t>
      </w:r>
      <w:r w:rsidRPr="00FF7A2E">
        <w:rPr>
          <w:rFonts w:ascii="Arial" w:hAnsi="Arial" w:cs="Arial"/>
          <w:color w:val="000000"/>
          <w:sz w:val="22"/>
          <w:szCs w:val="22"/>
        </w:rPr>
        <w:t xml:space="preserve">(Accessed: </w:t>
      </w:r>
      <w:r w:rsidR="00FF7A2E" w:rsidRPr="00FF7A2E">
        <w:rPr>
          <w:rFonts w:ascii="Arial" w:hAnsi="Arial" w:cs="Arial"/>
          <w:color w:val="000000"/>
          <w:sz w:val="22"/>
          <w:szCs w:val="22"/>
        </w:rPr>
        <w:t>1</w:t>
      </w:r>
      <w:r w:rsidRPr="00FF7A2E">
        <w:rPr>
          <w:rFonts w:ascii="Arial" w:hAnsi="Arial" w:cs="Arial"/>
          <w:color w:val="000000"/>
          <w:sz w:val="22"/>
          <w:szCs w:val="22"/>
        </w:rPr>
        <w:t>1 July 2026).</w:t>
      </w:r>
      <w:r w:rsidRPr="00FF7A2E">
        <w:rPr>
          <w:rStyle w:val="apple-converted-space"/>
          <w:rFonts w:ascii="Arial" w:hAnsi="Arial" w:cs="Arial"/>
          <w:color w:val="000000"/>
          <w:sz w:val="22"/>
          <w:szCs w:val="22"/>
        </w:rPr>
        <w:t> </w:t>
      </w:r>
      <w:r w:rsidR="00FF7A2E" w:rsidRPr="00FF7A2E">
        <w:rPr>
          <w:rFonts w:ascii="Arial" w:hAnsi="Arial" w:cs="Arial"/>
          <w:sz w:val="22"/>
          <w:szCs w:val="22"/>
        </w:rPr>
        <w:t xml:space="preserve"> </w:t>
      </w:r>
    </w:p>
    <w:p w14:paraId="146672D3" w14:textId="69F880D1"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Health Foundation (2015)</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Is the NHS becoming more person-centred?</w:t>
      </w:r>
      <w:r w:rsidRPr="00FF7A2E">
        <w:rPr>
          <w:rStyle w:val="apple-converted-space"/>
          <w:rFonts w:ascii="Arial" w:hAnsi="Arial" w:cs="Arial"/>
          <w:color w:val="000000"/>
          <w:sz w:val="22"/>
          <w:szCs w:val="22"/>
        </w:rPr>
        <w:t> </w:t>
      </w:r>
      <w:r w:rsidRPr="00FF7A2E">
        <w:rPr>
          <w:rFonts w:ascii="Arial" w:hAnsi="Arial" w:cs="Arial"/>
          <w:color w:val="000000"/>
          <w:sz w:val="22"/>
          <w:szCs w:val="22"/>
        </w:rPr>
        <w:t>London: The Health Foundation. Available at:</w:t>
      </w:r>
      <w:r w:rsidRPr="00FF7A2E">
        <w:rPr>
          <w:rStyle w:val="apple-converted-space"/>
          <w:rFonts w:ascii="Arial" w:hAnsi="Arial" w:cs="Arial"/>
          <w:color w:val="000000"/>
          <w:sz w:val="22"/>
          <w:szCs w:val="22"/>
        </w:rPr>
        <w:t> </w:t>
      </w:r>
      <w:hyperlink r:id="rId18" w:tgtFrame="_blank" w:history="1">
        <w:r w:rsidRPr="00FF7A2E">
          <w:rPr>
            <w:rStyle w:val="Hyperlink"/>
            <w:rFonts w:ascii="Arial" w:hAnsi="Arial" w:cs="Arial"/>
            <w:color w:val="464FEB"/>
            <w:sz w:val="22"/>
            <w:szCs w:val="22"/>
            <w:u w:val="none"/>
          </w:rPr>
          <w:t>The Health Foundation</w:t>
        </w:r>
      </w:hyperlink>
      <w:r w:rsidRPr="00FF7A2E">
        <w:rPr>
          <w:rStyle w:val="apple-converted-space"/>
          <w:rFonts w:ascii="Arial" w:hAnsi="Arial" w:cs="Arial"/>
          <w:color w:val="000000"/>
          <w:sz w:val="22"/>
          <w:szCs w:val="22"/>
        </w:rPr>
        <w:t> </w:t>
      </w:r>
      <w:r w:rsidRPr="00FF7A2E">
        <w:rPr>
          <w:rFonts w:ascii="Arial" w:hAnsi="Arial" w:cs="Arial"/>
          <w:color w:val="000000"/>
          <w:sz w:val="22"/>
          <w:szCs w:val="22"/>
        </w:rPr>
        <w:t xml:space="preserve">(Accessed: </w:t>
      </w:r>
      <w:r w:rsidR="002C58C5" w:rsidRPr="00FF7A2E">
        <w:rPr>
          <w:rFonts w:ascii="Arial" w:hAnsi="Arial" w:cs="Arial"/>
          <w:color w:val="000000"/>
          <w:sz w:val="22"/>
          <w:szCs w:val="22"/>
        </w:rPr>
        <w:t>11</w:t>
      </w:r>
      <w:r w:rsidRPr="00FF7A2E">
        <w:rPr>
          <w:rFonts w:ascii="Arial" w:hAnsi="Arial" w:cs="Arial"/>
          <w:color w:val="000000"/>
          <w:sz w:val="22"/>
          <w:szCs w:val="22"/>
        </w:rPr>
        <w:t xml:space="preserve"> July 2026).</w:t>
      </w:r>
    </w:p>
    <w:p w14:paraId="394FC439" w14:textId="388C9251"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King’s Fund (2011)</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Making shared decision-making a reality: No decision about me, without me</w:t>
      </w:r>
      <w:r w:rsidRPr="00FF7A2E">
        <w:rPr>
          <w:rFonts w:ascii="Arial" w:hAnsi="Arial" w:cs="Arial"/>
          <w:color w:val="000000"/>
          <w:sz w:val="22"/>
          <w:szCs w:val="22"/>
        </w:rPr>
        <w:t xml:space="preserve">. London: The King’s Fund. Available at: https://www.kingsfund.org.uk/ (Accessed: </w:t>
      </w:r>
      <w:r w:rsidR="002C58C5" w:rsidRPr="00FF7A2E">
        <w:rPr>
          <w:rFonts w:ascii="Arial" w:hAnsi="Arial" w:cs="Arial"/>
          <w:color w:val="000000"/>
          <w:sz w:val="22"/>
          <w:szCs w:val="22"/>
        </w:rPr>
        <w:t>1</w:t>
      </w:r>
      <w:r w:rsidRPr="00FF7A2E">
        <w:rPr>
          <w:rFonts w:ascii="Arial" w:hAnsi="Arial" w:cs="Arial"/>
          <w:color w:val="000000"/>
          <w:sz w:val="22"/>
          <w:szCs w:val="22"/>
        </w:rPr>
        <w:t>1 July 2026).</w:t>
      </w:r>
    </w:p>
    <w:p w14:paraId="442781B1" w14:textId="40B01DEB"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Leathard, A. (2003)</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Interprofessional collaboration: From policy to practice in health and social care</w:t>
      </w:r>
      <w:r w:rsidRPr="00FF7A2E">
        <w:rPr>
          <w:rFonts w:ascii="Arial" w:hAnsi="Arial" w:cs="Arial"/>
          <w:color w:val="000000"/>
          <w:sz w:val="22"/>
          <w:szCs w:val="22"/>
        </w:rPr>
        <w:t>. Hove: Brunner-Routledge. Available at:</w:t>
      </w:r>
      <w:r w:rsidR="0030360A" w:rsidRPr="00FF7A2E">
        <w:rPr>
          <w:rFonts w:ascii="Arial" w:hAnsi="Arial" w:cs="Arial"/>
          <w:sz w:val="22"/>
          <w:szCs w:val="22"/>
        </w:rPr>
        <w:t xml:space="preserve"> </w:t>
      </w:r>
      <w:hyperlink r:id="rId19" w:history="1">
        <w:r w:rsidR="0030360A" w:rsidRPr="00FF7A2E">
          <w:rPr>
            <w:rStyle w:val="Hyperlink"/>
            <w:rFonts w:ascii="Arial" w:hAnsi="Arial" w:cs="Arial"/>
            <w:sz w:val="22"/>
            <w:szCs w:val="22"/>
          </w:rPr>
          <w:t>https://research-ebsco-com.uwtsd.idm.oclc.org/c/onvpsy/search/details/xeluel4phv?request-context=plink&amp;db=nlebk</w:t>
        </w:r>
      </w:hyperlink>
      <w:r w:rsidR="0030360A" w:rsidRPr="00FF7A2E">
        <w:rPr>
          <w:rFonts w:ascii="Arial" w:hAnsi="Arial" w:cs="Arial"/>
          <w:color w:val="000000"/>
          <w:sz w:val="22"/>
          <w:szCs w:val="22"/>
        </w:rPr>
        <w:t xml:space="preserve"> </w:t>
      </w:r>
      <w:r w:rsidRPr="00FF7A2E">
        <w:rPr>
          <w:rFonts w:ascii="Arial" w:hAnsi="Arial" w:cs="Arial"/>
          <w:color w:val="000000"/>
          <w:sz w:val="22"/>
          <w:szCs w:val="22"/>
        </w:rPr>
        <w:t xml:space="preserve">(Accessed: </w:t>
      </w:r>
      <w:r w:rsidR="0030360A" w:rsidRPr="00FF7A2E">
        <w:rPr>
          <w:rFonts w:ascii="Arial" w:hAnsi="Arial" w:cs="Arial"/>
          <w:color w:val="000000"/>
          <w:sz w:val="22"/>
          <w:szCs w:val="22"/>
        </w:rPr>
        <w:t>10</w:t>
      </w:r>
      <w:r w:rsidRPr="00FF7A2E">
        <w:rPr>
          <w:rFonts w:ascii="Arial" w:hAnsi="Arial" w:cs="Arial"/>
          <w:color w:val="000000"/>
          <w:sz w:val="22"/>
          <w:szCs w:val="22"/>
        </w:rPr>
        <w:t xml:space="preserve"> July 2026).</w:t>
      </w:r>
    </w:p>
    <w:p w14:paraId="3AA74BFA" w14:textId="580550EC"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McCormack, B. and McCance, T. (2017)</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Person-centred practice in nursing and health care: Theory and practice</w:t>
      </w:r>
      <w:r w:rsidRPr="00FF7A2E">
        <w:rPr>
          <w:rFonts w:ascii="Arial" w:hAnsi="Arial" w:cs="Arial"/>
          <w:color w:val="000000"/>
          <w:sz w:val="22"/>
          <w:szCs w:val="22"/>
        </w:rPr>
        <w:t xml:space="preserve">. 2nd </w:t>
      </w:r>
      <w:proofErr w:type="spellStart"/>
      <w:r w:rsidRPr="00FF7A2E">
        <w:rPr>
          <w:rFonts w:ascii="Arial" w:hAnsi="Arial" w:cs="Arial"/>
          <w:color w:val="000000"/>
          <w:sz w:val="22"/>
          <w:szCs w:val="22"/>
        </w:rPr>
        <w:t>edn</w:t>
      </w:r>
      <w:proofErr w:type="spellEnd"/>
      <w:r w:rsidRPr="00FF7A2E">
        <w:rPr>
          <w:rFonts w:ascii="Arial" w:hAnsi="Arial" w:cs="Arial"/>
          <w:color w:val="000000"/>
          <w:sz w:val="22"/>
          <w:szCs w:val="22"/>
        </w:rPr>
        <w:t xml:space="preserve">. Chichester: Wiley-Blackwell. Available at: https://onlinelibrary.wiley.com/ (Accessed: </w:t>
      </w:r>
      <w:r w:rsidR="002C58C5" w:rsidRPr="00FF7A2E">
        <w:rPr>
          <w:rFonts w:ascii="Arial" w:hAnsi="Arial" w:cs="Arial"/>
          <w:color w:val="000000"/>
          <w:sz w:val="22"/>
          <w:szCs w:val="22"/>
        </w:rPr>
        <w:t>10</w:t>
      </w:r>
      <w:r w:rsidRPr="00FF7A2E">
        <w:rPr>
          <w:rFonts w:ascii="Arial" w:hAnsi="Arial" w:cs="Arial"/>
          <w:color w:val="000000"/>
          <w:sz w:val="22"/>
          <w:szCs w:val="22"/>
        </w:rPr>
        <w:t xml:space="preserve"> July 2026).</w:t>
      </w:r>
    </w:p>
    <w:p w14:paraId="3F1A8625" w14:textId="32CED87A"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Miers, M., Thomas, J. and Pollard, K.C. (2010)</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Understanding interprofessional working in health and social care: Theory and practice</w:t>
      </w:r>
      <w:r w:rsidRPr="00FF7A2E">
        <w:rPr>
          <w:rFonts w:ascii="Arial" w:hAnsi="Arial" w:cs="Arial"/>
          <w:color w:val="000000"/>
          <w:sz w:val="22"/>
          <w:szCs w:val="22"/>
        </w:rPr>
        <w:t xml:space="preserve">. Basingstoke: Palgrave Macmillan. Available at: </w:t>
      </w:r>
      <w:hyperlink r:id="rId20" w:history="1">
        <w:r w:rsidR="0030360A" w:rsidRPr="00FF7A2E">
          <w:rPr>
            <w:rStyle w:val="Hyperlink"/>
            <w:rFonts w:ascii="Arial" w:hAnsi="Arial" w:cs="Arial"/>
            <w:sz w:val="22"/>
            <w:szCs w:val="22"/>
          </w:rPr>
          <w:t>https://www-vlebooks-com.uwtsd.idm.oclc.org/Product/Index/925052?page=0&amp;startBookmarkId=-1</w:t>
        </w:r>
      </w:hyperlink>
      <w:r w:rsidR="0030360A" w:rsidRPr="00FF7A2E">
        <w:rPr>
          <w:rFonts w:ascii="Arial" w:hAnsi="Arial" w:cs="Arial"/>
          <w:color w:val="000000"/>
          <w:sz w:val="22"/>
          <w:szCs w:val="22"/>
        </w:rPr>
        <w:t xml:space="preserve"> </w:t>
      </w:r>
      <w:r w:rsidRPr="00FF7A2E">
        <w:rPr>
          <w:rFonts w:ascii="Arial" w:hAnsi="Arial" w:cs="Arial"/>
          <w:color w:val="000000"/>
          <w:sz w:val="22"/>
          <w:szCs w:val="22"/>
        </w:rPr>
        <w:t xml:space="preserve">(Accessed: </w:t>
      </w:r>
      <w:r w:rsidR="0030360A" w:rsidRPr="00FF7A2E">
        <w:rPr>
          <w:rFonts w:ascii="Arial" w:hAnsi="Arial" w:cs="Arial"/>
          <w:color w:val="000000"/>
          <w:sz w:val="22"/>
          <w:szCs w:val="22"/>
        </w:rPr>
        <w:t>10</w:t>
      </w:r>
      <w:r w:rsidRPr="00FF7A2E">
        <w:rPr>
          <w:rFonts w:ascii="Arial" w:hAnsi="Arial" w:cs="Arial"/>
          <w:color w:val="000000"/>
          <w:sz w:val="22"/>
          <w:szCs w:val="22"/>
        </w:rPr>
        <w:t xml:space="preserve"> July 2026).</w:t>
      </w:r>
    </w:p>
    <w:p w14:paraId="46388F26" w14:textId="77777777" w:rsidR="00FF7A2E"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National Voices (2014)</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Person-centred care 2020: Calls and contributions from health and social care charities</w:t>
      </w:r>
      <w:r w:rsidRPr="00FF7A2E">
        <w:rPr>
          <w:rFonts w:ascii="Arial" w:hAnsi="Arial" w:cs="Arial"/>
          <w:color w:val="000000"/>
          <w:sz w:val="22"/>
          <w:szCs w:val="22"/>
        </w:rPr>
        <w:t>. London: National Voices. Available at:</w:t>
      </w:r>
      <w:r w:rsidRPr="00FF7A2E">
        <w:rPr>
          <w:rStyle w:val="apple-converted-space"/>
          <w:rFonts w:ascii="Arial" w:hAnsi="Arial" w:cs="Arial"/>
          <w:color w:val="000000"/>
          <w:sz w:val="22"/>
          <w:szCs w:val="22"/>
        </w:rPr>
        <w:t> </w:t>
      </w:r>
      <w:r w:rsidR="00FF7A2E" w:rsidRPr="00FF7A2E">
        <w:rPr>
          <w:rFonts w:ascii="Arial" w:hAnsi="Arial" w:cs="Arial"/>
          <w:color w:val="000000"/>
          <w:sz w:val="22"/>
          <w:szCs w:val="22"/>
        </w:rPr>
        <w:fldChar w:fldCharType="begin"/>
      </w:r>
      <w:r w:rsidR="00FF7A2E" w:rsidRPr="00FF7A2E">
        <w:rPr>
          <w:rFonts w:ascii="Arial" w:hAnsi="Arial" w:cs="Arial"/>
          <w:color w:val="000000"/>
          <w:sz w:val="22"/>
          <w:szCs w:val="22"/>
        </w:rPr>
        <w:instrText>HYPERLINK "https://www.nationalvoices.org.uk/publication/person-centred-care-2020/"</w:instrText>
      </w:r>
      <w:r w:rsidR="00FF7A2E" w:rsidRPr="00FF7A2E">
        <w:rPr>
          <w:rFonts w:ascii="Arial" w:hAnsi="Arial" w:cs="Arial"/>
          <w:color w:val="000000"/>
          <w:sz w:val="22"/>
          <w:szCs w:val="22"/>
        </w:rPr>
      </w:r>
      <w:r w:rsidR="00FF7A2E" w:rsidRPr="00FF7A2E">
        <w:rPr>
          <w:rFonts w:ascii="Arial" w:hAnsi="Arial" w:cs="Arial"/>
          <w:color w:val="000000"/>
          <w:sz w:val="22"/>
          <w:szCs w:val="22"/>
        </w:rPr>
        <w:fldChar w:fldCharType="separate"/>
      </w:r>
      <w:r w:rsidR="00FF7A2E" w:rsidRPr="00FF7A2E">
        <w:rPr>
          <w:rStyle w:val="Hyperlink"/>
          <w:rFonts w:ascii="Arial" w:hAnsi="Arial" w:cs="Arial"/>
          <w:sz w:val="22"/>
          <w:szCs w:val="22"/>
        </w:rPr>
        <w:t>https://www.nationalvoices.org.uk/publication/person-centred-care-2020/</w:t>
      </w:r>
      <w:r w:rsidR="00FF7A2E" w:rsidRPr="00FF7A2E">
        <w:rPr>
          <w:rFonts w:ascii="Arial" w:hAnsi="Arial" w:cs="Arial"/>
          <w:color w:val="000000"/>
          <w:sz w:val="22"/>
          <w:szCs w:val="22"/>
        </w:rPr>
        <w:fldChar w:fldCharType="end"/>
      </w:r>
    </w:p>
    <w:p w14:paraId="7799087D" w14:textId="02D88624" w:rsidR="0013366F" w:rsidRPr="00FF7A2E" w:rsidRDefault="0013366F" w:rsidP="00FF7A2E">
      <w:pPr>
        <w:pStyle w:val="NormalWeb"/>
        <w:spacing w:line="360" w:lineRule="auto"/>
        <w:rPr>
          <w:rFonts w:ascii="Arial" w:hAnsi="Arial" w:cs="Arial"/>
          <w:sz w:val="22"/>
          <w:szCs w:val="22"/>
        </w:rPr>
      </w:pPr>
      <w:r w:rsidRPr="00FF7A2E">
        <w:rPr>
          <w:rStyle w:val="apple-converted-space"/>
          <w:rFonts w:ascii="Arial" w:hAnsi="Arial" w:cs="Arial"/>
          <w:color w:val="000000"/>
          <w:sz w:val="22"/>
          <w:szCs w:val="22"/>
        </w:rPr>
        <w:t> </w:t>
      </w:r>
      <w:r w:rsidRPr="00FF7A2E">
        <w:rPr>
          <w:rFonts w:ascii="Arial" w:hAnsi="Arial" w:cs="Arial"/>
          <w:color w:val="000000"/>
          <w:sz w:val="22"/>
          <w:szCs w:val="22"/>
        </w:rPr>
        <w:t xml:space="preserve">(Accessed: </w:t>
      </w:r>
      <w:r w:rsidR="00FF7A2E" w:rsidRPr="00FF7A2E">
        <w:rPr>
          <w:rFonts w:ascii="Arial" w:hAnsi="Arial" w:cs="Arial"/>
          <w:color w:val="000000"/>
          <w:sz w:val="22"/>
          <w:szCs w:val="22"/>
        </w:rPr>
        <w:t>10</w:t>
      </w:r>
      <w:r w:rsidRPr="00FF7A2E">
        <w:rPr>
          <w:rFonts w:ascii="Arial" w:hAnsi="Arial" w:cs="Arial"/>
          <w:color w:val="000000"/>
          <w:sz w:val="22"/>
          <w:szCs w:val="22"/>
        </w:rPr>
        <w:t xml:space="preserve"> July 2026).</w:t>
      </w:r>
      <w:r w:rsidRPr="00FF7A2E">
        <w:rPr>
          <w:rStyle w:val="apple-converted-space"/>
          <w:rFonts w:ascii="Arial" w:hAnsi="Arial" w:cs="Arial"/>
          <w:color w:val="000000"/>
          <w:sz w:val="22"/>
          <w:szCs w:val="22"/>
        </w:rPr>
        <w:t> </w:t>
      </w:r>
      <w:r w:rsidR="00FF7A2E" w:rsidRPr="00FF7A2E">
        <w:rPr>
          <w:rFonts w:ascii="Arial" w:hAnsi="Arial" w:cs="Arial"/>
          <w:sz w:val="22"/>
          <w:szCs w:val="22"/>
        </w:rPr>
        <w:t xml:space="preserve"> </w:t>
      </w:r>
    </w:p>
    <w:p w14:paraId="44E79573" w14:textId="477034E5" w:rsidR="0013366F"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lastRenderedPageBreak/>
        <w:t>O'Carroll, V., McSwiggan, L. and Campbell, M. (2016) ‘Health and social care professionals' attitudes to interprofessional working and interprofessional education: A literature review’,</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Journal of Interprofessional Care</w:t>
      </w:r>
      <w:r w:rsidRPr="00FF7A2E">
        <w:rPr>
          <w:rFonts w:ascii="Arial" w:hAnsi="Arial" w:cs="Arial"/>
          <w:color w:val="000000"/>
          <w:sz w:val="22"/>
          <w:szCs w:val="22"/>
        </w:rPr>
        <w:t xml:space="preserve">, 30(1), pp. 42–49. Available at: </w:t>
      </w:r>
      <w:hyperlink r:id="rId21" w:history="1">
        <w:r w:rsidRPr="00FF7A2E">
          <w:rPr>
            <w:rStyle w:val="Hyperlink"/>
            <w:rFonts w:ascii="Arial" w:hAnsi="Arial" w:cs="Arial"/>
            <w:sz w:val="22"/>
            <w:szCs w:val="22"/>
          </w:rPr>
          <w:t>https://doi.org/10.3109/13561820.2015.1051614</w:t>
        </w:r>
      </w:hyperlink>
      <w:r w:rsidRPr="00FF7A2E">
        <w:rPr>
          <w:rFonts w:ascii="Arial" w:hAnsi="Arial" w:cs="Arial"/>
          <w:color w:val="000000"/>
          <w:sz w:val="22"/>
          <w:szCs w:val="22"/>
        </w:rPr>
        <w:t xml:space="preserve"> (Accessed: </w:t>
      </w:r>
      <w:r w:rsidR="00FF7A2E" w:rsidRPr="00FF7A2E">
        <w:rPr>
          <w:rFonts w:ascii="Arial" w:hAnsi="Arial" w:cs="Arial"/>
          <w:color w:val="000000"/>
          <w:sz w:val="22"/>
          <w:szCs w:val="22"/>
        </w:rPr>
        <w:t>11</w:t>
      </w:r>
      <w:r w:rsidRPr="00FF7A2E">
        <w:rPr>
          <w:rFonts w:ascii="Arial" w:hAnsi="Arial" w:cs="Arial"/>
          <w:color w:val="000000"/>
          <w:sz w:val="22"/>
          <w:szCs w:val="22"/>
        </w:rPr>
        <w:t xml:space="preserve"> July 2026).</w:t>
      </w:r>
    </w:p>
    <w:p w14:paraId="421C6327" w14:textId="1A7737B6" w:rsidR="0030360A" w:rsidRPr="00FF7A2E" w:rsidRDefault="0013366F" w:rsidP="00FF7A2E">
      <w:pPr>
        <w:pStyle w:val="NormalWeb"/>
        <w:spacing w:line="360" w:lineRule="auto"/>
        <w:rPr>
          <w:rFonts w:ascii="Arial" w:hAnsi="Arial" w:cs="Arial"/>
          <w:color w:val="000000"/>
          <w:sz w:val="22"/>
          <w:szCs w:val="22"/>
        </w:rPr>
      </w:pPr>
      <w:r w:rsidRPr="00FF7A2E">
        <w:rPr>
          <w:rFonts w:ascii="Arial" w:hAnsi="Arial" w:cs="Arial"/>
          <w:color w:val="000000"/>
          <w:sz w:val="22"/>
          <w:szCs w:val="22"/>
        </w:rPr>
        <w:t>Reamer, F.G. (2018) ‘Ethical issues in integrated health care: Implications for social workers’,</w:t>
      </w:r>
      <w:r w:rsidRPr="00FF7A2E">
        <w:rPr>
          <w:rStyle w:val="apple-converted-space"/>
          <w:rFonts w:ascii="Arial" w:hAnsi="Arial" w:cs="Arial"/>
          <w:color w:val="000000"/>
          <w:sz w:val="22"/>
          <w:szCs w:val="22"/>
        </w:rPr>
        <w:t> </w:t>
      </w:r>
      <w:r w:rsidRPr="00FF7A2E">
        <w:rPr>
          <w:rStyle w:val="Emphasis"/>
          <w:rFonts w:ascii="Arial" w:hAnsi="Arial" w:cs="Arial"/>
          <w:color w:val="000000"/>
          <w:sz w:val="22"/>
          <w:szCs w:val="22"/>
        </w:rPr>
        <w:t>Health &amp; Social Work</w:t>
      </w:r>
      <w:r w:rsidRPr="00FF7A2E">
        <w:rPr>
          <w:rFonts w:ascii="Arial" w:hAnsi="Arial" w:cs="Arial"/>
          <w:color w:val="000000"/>
          <w:sz w:val="22"/>
          <w:szCs w:val="22"/>
        </w:rPr>
        <w:t xml:space="preserve">, 43(2), pp. 118–125. Available at: </w:t>
      </w:r>
      <w:hyperlink r:id="rId22" w:history="1">
        <w:r w:rsidR="0030360A" w:rsidRPr="00FF7A2E">
          <w:rPr>
            <w:rStyle w:val="Hyperlink"/>
            <w:rFonts w:ascii="Arial" w:hAnsi="Arial" w:cs="Arial"/>
            <w:sz w:val="22"/>
            <w:szCs w:val="22"/>
          </w:rPr>
          <w:t>https://research-ebsco-com.uwtsd.idm.oclc.org/c/onvpsy/viewer/pdf/e6uaaxm6ez?route=details</w:t>
        </w:r>
      </w:hyperlink>
      <w:r w:rsidR="0030360A" w:rsidRPr="00FF7A2E">
        <w:rPr>
          <w:rFonts w:ascii="Arial" w:hAnsi="Arial" w:cs="Arial"/>
          <w:color w:val="000000"/>
          <w:sz w:val="22"/>
          <w:szCs w:val="22"/>
        </w:rPr>
        <w:t xml:space="preserve"> </w:t>
      </w:r>
      <w:r w:rsidR="0030360A" w:rsidRPr="00FF7A2E">
        <w:rPr>
          <w:rFonts w:ascii="Arial" w:hAnsi="Arial" w:cs="Arial"/>
          <w:color w:val="000000"/>
          <w:sz w:val="22"/>
          <w:szCs w:val="22"/>
        </w:rPr>
        <w:t xml:space="preserve">(Accessed: </w:t>
      </w:r>
      <w:r w:rsidR="0030360A" w:rsidRPr="00FF7A2E">
        <w:rPr>
          <w:rFonts w:ascii="Arial" w:hAnsi="Arial" w:cs="Arial"/>
          <w:color w:val="000000"/>
          <w:sz w:val="22"/>
          <w:szCs w:val="22"/>
        </w:rPr>
        <w:t>10</w:t>
      </w:r>
      <w:r w:rsidR="0030360A" w:rsidRPr="00FF7A2E">
        <w:rPr>
          <w:rFonts w:ascii="Arial" w:hAnsi="Arial" w:cs="Arial"/>
          <w:color w:val="000000"/>
          <w:sz w:val="22"/>
          <w:szCs w:val="22"/>
        </w:rPr>
        <w:t xml:space="preserve"> July 2026).</w:t>
      </w:r>
    </w:p>
    <w:p w14:paraId="0C841FBF" w14:textId="28457BFB" w:rsidR="0030360A" w:rsidRPr="00791B43" w:rsidRDefault="0013366F" w:rsidP="00FF7A2E">
      <w:pPr>
        <w:pStyle w:val="NormalWeb"/>
        <w:spacing w:line="360" w:lineRule="auto"/>
        <w:rPr>
          <w:rFonts w:ascii="Arial" w:hAnsi="Arial" w:cs="Arial"/>
          <w:color w:val="000000"/>
          <w:sz w:val="22"/>
          <w:szCs w:val="22"/>
        </w:rPr>
      </w:pPr>
      <w:r w:rsidRPr="00791B43">
        <w:rPr>
          <w:rFonts w:ascii="Arial" w:hAnsi="Arial" w:cs="Arial"/>
          <w:color w:val="000000"/>
          <w:sz w:val="22"/>
          <w:szCs w:val="22"/>
        </w:rPr>
        <w:t>Smith, K.E., Bambra, C. and Hill, S.E. (eds.) (2016)</w:t>
      </w:r>
      <w:r w:rsidRPr="00791B43">
        <w:rPr>
          <w:rStyle w:val="apple-converted-space"/>
          <w:rFonts w:ascii="Arial" w:hAnsi="Arial" w:cs="Arial"/>
          <w:color w:val="000000"/>
          <w:sz w:val="22"/>
          <w:szCs w:val="22"/>
        </w:rPr>
        <w:t> </w:t>
      </w:r>
      <w:r w:rsidRPr="00791B43">
        <w:rPr>
          <w:rStyle w:val="Emphasis"/>
          <w:rFonts w:ascii="Arial" w:hAnsi="Arial" w:cs="Arial"/>
          <w:color w:val="000000"/>
          <w:sz w:val="22"/>
          <w:szCs w:val="22"/>
        </w:rPr>
        <w:t>Health inequalities: Critical perspectives</w:t>
      </w:r>
      <w:r w:rsidRPr="00791B43">
        <w:rPr>
          <w:rFonts w:ascii="Arial" w:hAnsi="Arial" w:cs="Arial"/>
          <w:color w:val="000000"/>
          <w:sz w:val="22"/>
          <w:szCs w:val="22"/>
        </w:rPr>
        <w:t>. Oxford: Oxford University Press. Available at</w:t>
      </w:r>
      <w:r w:rsidR="0030360A" w:rsidRPr="00791B43">
        <w:rPr>
          <w:rFonts w:ascii="Arial" w:hAnsi="Arial" w:cs="Arial"/>
          <w:color w:val="000000"/>
          <w:sz w:val="22"/>
          <w:szCs w:val="22"/>
        </w:rPr>
        <w:t xml:space="preserve">: </w:t>
      </w:r>
      <w:hyperlink r:id="rId23" w:history="1">
        <w:r w:rsidR="0030360A" w:rsidRPr="00791B43">
          <w:rPr>
            <w:rStyle w:val="Hyperlink"/>
            <w:rFonts w:ascii="Arial" w:hAnsi="Arial" w:cs="Arial"/>
            <w:sz w:val="22"/>
            <w:szCs w:val="22"/>
          </w:rPr>
          <w:t>https://research-ebsco-com.uwtsd.idm.oclc.org/c/onvpsy/search/details/3oo3f4tx5j?request-context=plink&amp;db=nlebk</w:t>
        </w:r>
      </w:hyperlink>
      <w:r w:rsidR="0030360A" w:rsidRPr="00791B43">
        <w:rPr>
          <w:rFonts w:ascii="Arial" w:hAnsi="Arial" w:cs="Arial"/>
          <w:color w:val="000000"/>
          <w:sz w:val="22"/>
          <w:szCs w:val="22"/>
        </w:rPr>
        <w:t xml:space="preserve"> </w:t>
      </w:r>
      <w:r w:rsidR="0030360A" w:rsidRPr="00791B43">
        <w:rPr>
          <w:rFonts w:ascii="Arial" w:hAnsi="Arial" w:cs="Arial"/>
          <w:color w:val="000000"/>
          <w:sz w:val="22"/>
          <w:szCs w:val="22"/>
        </w:rPr>
        <w:t xml:space="preserve">(Accessed: </w:t>
      </w:r>
      <w:r w:rsidR="0030360A" w:rsidRPr="00791B43">
        <w:rPr>
          <w:rFonts w:ascii="Arial" w:hAnsi="Arial" w:cs="Arial"/>
          <w:color w:val="000000"/>
          <w:sz w:val="22"/>
          <w:szCs w:val="22"/>
        </w:rPr>
        <w:t>10</w:t>
      </w:r>
      <w:r w:rsidR="0030360A" w:rsidRPr="00791B43">
        <w:rPr>
          <w:rFonts w:ascii="Arial" w:hAnsi="Arial" w:cs="Arial"/>
          <w:color w:val="000000"/>
          <w:sz w:val="22"/>
          <w:szCs w:val="22"/>
        </w:rPr>
        <w:t xml:space="preserve"> July 2026).</w:t>
      </w:r>
    </w:p>
    <w:p w14:paraId="6D95DF57" w14:textId="08BF1F73" w:rsidR="0013366F" w:rsidRPr="00791B43" w:rsidRDefault="0013366F" w:rsidP="00FF7A2E">
      <w:pPr>
        <w:pStyle w:val="NormalWeb"/>
        <w:spacing w:line="360" w:lineRule="auto"/>
        <w:rPr>
          <w:rFonts w:ascii="Arial" w:hAnsi="Arial" w:cs="Arial"/>
          <w:color w:val="000000"/>
          <w:sz w:val="22"/>
          <w:szCs w:val="22"/>
        </w:rPr>
      </w:pPr>
      <w:r w:rsidRPr="00791B43">
        <w:rPr>
          <w:rFonts w:ascii="Arial" w:hAnsi="Arial" w:cs="Arial"/>
          <w:color w:val="000000"/>
          <w:sz w:val="22"/>
          <w:szCs w:val="22"/>
        </w:rPr>
        <w:t>UK Health Security Agency (UKHSA) (2025)</w:t>
      </w:r>
      <w:r w:rsidRPr="00791B43">
        <w:rPr>
          <w:rStyle w:val="apple-converted-space"/>
          <w:rFonts w:ascii="Arial" w:hAnsi="Arial" w:cs="Arial"/>
          <w:color w:val="000000"/>
          <w:sz w:val="22"/>
          <w:szCs w:val="22"/>
        </w:rPr>
        <w:t> </w:t>
      </w:r>
      <w:r w:rsidRPr="00791B43">
        <w:rPr>
          <w:rStyle w:val="Emphasis"/>
          <w:rFonts w:ascii="Arial" w:hAnsi="Arial" w:cs="Arial"/>
          <w:color w:val="000000"/>
          <w:sz w:val="22"/>
          <w:szCs w:val="22"/>
        </w:rPr>
        <w:t>Health inequalities in health protection report 2025</w:t>
      </w:r>
      <w:r w:rsidRPr="00791B43">
        <w:rPr>
          <w:rFonts w:ascii="Arial" w:hAnsi="Arial" w:cs="Arial"/>
          <w:color w:val="000000"/>
          <w:sz w:val="22"/>
          <w:szCs w:val="22"/>
        </w:rPr>
        <w:t>. Available at:</w:t>
      </w:r>
      <w:r w:rsidRPr="00791B43">
        <w:rPr>
          <w:rStyle w:val="apple-converted-space"/>
          <w:rFonts w:ascii="Arial" w:hAnsi="Arial" w:cs="Arial"/>
          <w:color w:val="000000"/>
          <w:sz w:val="22"/>
          <w:szCs w:val="22"/>
        </w:rPr>
        <w:t> </w:t>
      </w:r>
      <w:hyperlink r:id="rId24" w:history="1">
        <w:r w:rsidR="00FF7A2E" w:rsidRPr="00791B43">
          <w:rPr>
            <w:rStyle w:val="Hyperlink"/>
            <w:rFonts w:ascii="Arial" w:hAnsi="Arial" w:cs="Arial"/>
            <w:sz w:val="22"/>
            <w:szCs w:val="22"/>
          </w:rPr>
          <w:t>https://www.gov.uk/government/publications/health-inequalities-in-health-protection-report/health-inequalities-in-health-protection-report-2025</w:t>
        </w:r>
      </w:hyperlink>
      <w:r w:rsidR="00FF7A2E" w:rsidRPr="00791B43">
        <w:rPr>
          <w:rFonts w:ascii="Arial" w:hAnsi="Arial" w:cs="Arial"/>
          <w:color w:val="000000"/>
          <w:sz w:val="22"/>
          <w:szCs w:val="22"/>
        </w:rPr>
        <w:t xml:space="preserve"> </w:t>
      </w:r>
      <w:r w:rsidRPr="00791B43">
        <w:rPr>
          <w:rFonts w:ascii="Arial" w:hAnsi="Arial" w:cs="Arial"/>
          <w:color w:val="000000"/>
          <w:sz w:val="22"/>
          <w:szCs w:val="22"/>
        </w:rPr>
        <w:t>(Accessed: 1</w:t>
      </w:r>
      <w:r w:rsidR="00FF7A2E" w:rsidRPr="00791B43">
        <w:rPr>
          <w:rFonts w:ascii="Arial" w:hAnsi="Arial" w:cs="Arial"/>
          <w:color w:val="000000"/>
          <w:sz w:val="22"/>
          <w:szCs w:val="22"/>
        </w:rPr>
        <w:t>0</w:t>
      </w:r>
      <w:r w:rsidRPr="00791B43">
        <w:rPr>
          <w:rFonts w:ascii="Arial" w:hAnsi="Arial" w:cs="Arial"/>
          <w:color w:val="000000"/>
          <w:sz w:val="22"/>
          <w:szCs w:val="22"/>
        </w:rPr>
        <w:t xml:space="preserve"> July 2026).</w:t>
      </w:r>
      <w:r w:rsidRPr="00791B43">
        <w:rPr>
          <w:rStyle w:val="apple-converted-space"/>
          <w:rFonts w:ascii="Arial" w:hAnsi="Arial" w:cs="Arial"/>
          <w:color w:val="000000"/>
          <w:sz w:val="22"/>
          <w:szCs w:val="22"/>
        </w:rPr>
        <w:t> </w:t>
      </w:r>
      <w:r w:rsidR="00FF7A2E" w:rsidRPr="00791B43">
        <w:rPr>
          <w:rFonts w:ascii="Arial" w:hAnsi="Arial" w:cs="Arial"/>
          <w:color w:val="000000"/>
          <w:sz w:val="22"/>
          <w:szCs w:val="22"/>
        </w:rPr>
        <w:t xml:space="preserve"> </w:t>
      </w:r>
    </w:p>
    <w:p w14:paraId="29A60C23" w14:textId="53A6BA11" w:rsidR="0013366F" w:rsidRPr="00791B43" w:rsidRDefault="0013366F" w:rsidP="00FF7A2E">
      <w:pPr>
        <w:pStyle w:val="NormalWeb"/>
        <w:spacing w:line="360" w:lineRule="auto"/>
        <w:rPr>
          <w:rFonts w:ascii="Arial" w:hAnsi="Arial" w:cs="Arial"/>
          <w:color w:val="000000"/>
          <w:sz w:val="22"/>
          <w:szCs w:val="22"/>
        </w:rPr>
      </w:pPr>
      <w:r w:rsidRPr="00791B43">
        <w:rPr>
          <w:rFonts w:ascii="Arial" w:hAnsi="Arial" w:cs="Arial"/>
          <w:color w:val="000000"/>
          <w:sz w:val="22"/>
          <w:szCs w:val="22"/>
        </w:rPr>
        <w:t>Williams, S. (2011) ‘Safeguarding adults at risk in the NHS through inter-agency working’,</w:t>
      </w:r>
      <w:r w:rsidRPr="00791B43">
        <w:rPr>
          <w:rStyle w:val="apple-converted-space"/>
          <w:rFonts w:ascii="Arial" w:hAnsi="Arial" w:cs="Arial"/>
          <w:color w:val="000000"/>
          <w:sz w:val="22"/>
          <w:szCs w:val="22"/>
        </w:rPr>
        <w:t> </w:t>
      </w:r>
      <w:r w:rsidRPr="00791B43">
        <w:rPr>
          <w:rStyle w:val="Emphasis"/>
          <w:rFonts w:ascii="Arial" w:hAnsi="Arial" w:cs="Arial"/>
          <w:color w:val="000000"/>
          <w:sz w:val="22"/>
          <w:szCs w:val="22"/>
        </w:rPr>
        <w:t>The Journal of Adult Protection</w:t>
      </w:r>
      <w:r w:rsidRPr="00791B43">
        <w:rPr>
          <w:rFonts w:ascii="Arial" w:hAnsi="Arial" w:cs="Arial"/>
          <w:color w:val="000000"/>
          <w:sz w:val="22"/>
          <w:szCs w:val="22"/>
        </w:rPr>
        <w:t xml:space="preserve">, 13(2), pp. 100–113. Available at: </w:t>
      </w:r>
      <w:hyperlink r:id="rId25" w:history="1">
        <w:r w:rsidR="003922A0" w:rsidRPr="00791B43">
          <w:rPr>
            <w:rStyle w:val="Hyperlink"/>
            <w:rFonts w:ascii="Arial" w:hAnsi="Arial" w:cs="Arial"/>
            <w:sz w:val="22"/>
            <w:szCs w:val="22"/>
          </w:rPr>
          <w:t>https://www.proquest.com/docview/873787580?accountid=130472&amp;parentSessionId=Qmb47h3oSecLMRmIwYtkSfPcrzSr1ERlFAcoAB2U6iE%3D&amp;pq-origsite=primo&amp;sourcetype=Scholarly%20Journals</w:t>
        </w:r>
      </w:hyperlink>
      <w:r w:rsidR="003922A0" w:rsidRPr="00791B43">
        <w:rPr>
          <w:rFonts w:ascii="Arial" w:hAnsi="Arial" w:cs="Arial"/>
          <w:color w:val="000000"/>
          <w:sz w:val="22"/>
          <w:szCs w:val="22"/>
        </w:rPr>
        <w:t xml:space="preserve"> </w:t>
      </w:r>
      <w:r w:rsidRPr="00791B43">
        <w:rPr>
          <w:rFonts w:ascii="Arial" w:hAnsi="Arial" w:cs="Arial"/>
          <w:color w:val="000000"/>
          <w:sz w:val="22"/>
          <w:szCs w:val="22"/>
        </w:rPr>
        <w:t xml:space="preserve">(Accessed: </w:t>
      </w:r>
      <w:r w:rsidR="0030360A" w:rsidRPr="00791B43">
        <w:rPr>
          <w:rFonts w:ascii="Arial" w:hAnsi="Arial" w:cs="Arial"/>
          <w:color w:val="000000"/>
          <w:sz w:val="22"/>
          <w:szCs w:val="22"/>
        </w:rPr>
        <w:t>10</w:t>
      </w:r>
      <w:r w:rsidRPr="00791B43">
        <w:rPr>
          <w:rFonts w:ascii="Arial" w:hAnsi="Arial" w:cs="Arial"/>
          <w:color w:val="000000"/>
          <w:sz w:val="22"/>
          <w:szCs w:val="22"/>
        </w:rPr>
        <w:t xml:space="preserve"> July 2026).</w:t>
      </w:r>
    </w:p>
    <w:p w14:paraId="7566800C" w14:textId="77777777" w:rsidR="004F2BA0" w:rsidRDefault="004F2BA0"/>
    <w:sectPr w:rsidR="004F2BA0" w:rsidSect="003B2A1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A1A"/>
    <w:rsid w:val="000004FF"/>
    <w:rsid w:val="00015EC9"/>
    <w:rsid w:val="0004427A"/>
    <w:rsid w:val="00111F9A"/>
    <w:rsid w:val="0013366F"/>
    <w:rsid w:val="001361C8"/>
    <w:rsid w:val="002438D7"/>
    <w:rsid w:val="002C58C5"/>
    <w:rsid w:val="0030360A"/>
    <w:rsid w:val="00380057"/>
    <w:rsid w:val="003922A0"/>
    <w:rsid w:val="003B2A1A"/>
    <w:rsid w:val="003E2652"/>
    <w:rsid w:val="004F2BA0"/>
    <w:rsid w:val="00691F1A"/>
    <w:rsid w:val="00791B43"/>
    <w:rsid w:val="0080415E"/>
    <w:rsid w:val="00852B41"/>
    <w:rsid w:val="008F2A6C"/>
    <w:rsid w:val="009844B4"/>
    <w:rsid w:val="00B30D5C"/>
    <w:rsid w:val="00C83336"/>
    <w:rsid w:val="00D143B0"/>
    <w:rsid w:val="00D5153D"/>
    <w:rsid w:val="00E9403E"/>
    <w:rsid w:val="00FF7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C0702"/>
  <w15:chartTrackingRefBased/>
  <w15:docId w15:val="{59F2F607-107D-064F-89FD-A8D90AE90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2A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2A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B2A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B2A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2A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2A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2A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2A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2A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A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2A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B2A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B2A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2A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2A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2A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2A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2A1A"/>
    <w:rPr>
      <w:rFonts w:eastAsiaTheme="majorEastAsia" w:cstheme="majorBidi"/>
      <w:color w:val="272727" w:themeColor="text1" w:themeTint="D8"/>
    </w:rPr>
  </w:style>
  <w:style w:type="paragraph" w:styleId="Title">
    <w:name w:val="Title"/>
    <w:basedOn w:val="Normal"/>
    <w:next w:val="Normal"/>
    <w:link w:val="TitleChar"/>
    <w:uiPriority w:val="10"/>
    <w:qFormat/>
    <w:rsid w:val="003B2A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A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2A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2A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2A1A"/>
    <w:pPr>
      <w:spacing w:before="160"/>
      <w:jc w:val="center"/>
    </w:pPr>
    <w:rPr>
      <w:i/>
      <w:iCs/>
      <w:color w:val="404040" w:themeColor="text1" w:themeTint="BF"/>
    </w:rPr>
  </w:style>
  <w:style w:type="character" w:customStyle="1" w:styleId="QuoteChar">
    <w:name w:val="Quote Char"/>
    <w:basedOn w:val="DefaultParagraphFont"/>
    <w:link w:val="Quote"/>
    <w:uiPriority w:val="29"/>
    <w:rsid w:val="003B2A1A"/>
    <w:rPr>
      <w:i/>
      <w:iCs/>
      <w:color w:val="404040" w:themeColor="text1" w:themeTint="BF"/>
    </w:rPr>
  </w:style>
  <w:style w:type="paragraph" w:styleId="ListParagraph">
    <w:name w:val="List Paragraph"/>
    <w:basedOn w:val="Normal"/>
    <w:uiPriority w:val="34"/>
    <w:qFormat/>
    <w:rsid w:val="003B2A1A"/>
    <w:pPr>
      <w:ind w:left="720"/>
      <w:contextualSpacing/>
    </w:pPr>
  </w:style>
  <w:style w:type="character" w:styleId="IntenseEmphasis">
    <w:name w:val="Intense Emphasis"/>
    <w:basedOn w:val="DefaultParagraphFont"/>
    <w:uiPriority w:val="21"/>
    <w:qFormat/>
    <w:rsid w:val="003B2A1A"/>
    <w:rPr>
      <w:i/>
      <w:iCs/>
      <w:color w:val="0F4761" w:themeColor="accent1" w:themeShade="BF"/>
    </w:rPr>
  </w:style>
  <w:style w:type="paragraph" w:styleId="IntenseQuote">
    <w:name w:val="Intense Quote"/>
    <w:basedOn w:val="Normal"/>
    <w:next w:val="Normal"/>
    <w:link w:val="IntenseQuoteChar"/>
    <w:uiPriority w:val="30"/>
    <w:qFormat/>
    <w:rsid w:val="003B2A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2A1A"/>
    <w:rPr>
      <w:i/>
      <w:iCs/>
      <w:color w:val="0F4761" w:themeColor="accent1" w:themeShade="BF"/>
    </w:rPr>
  </w:style>
  <w:style w:type="character" w:styleId="IntenseReference">
    <w:name w:val="Intense Reference"/>
    <w:basedOn w:val="DefaultParagraphFont"/>
    <w:uiPriority w:val="32"/>
    <w:qFormat/>
    <w:rsid w:val="003B2A1A"/>
    <w:rPr>
      <w:b/>
      <w:bCs/>
      <w:smallCaps/>
      <w:color w:val="0F4761" w:themeColor="accent1" w:themeShade="BF"/>
      <w:spacing w:val="5"/>
    </w:rPr>
  </w:style>
  <w:style w:type="paragraph" w:styleId="NoSpacing">
    <w:name w:val="No Spacing"/>
    <w:link w:val="NoSpacingChar"/>
    <w:uiPriority w:val="1"/>
    <w:qFormat/>
    <w:rsid w:val="003B2A1A"/>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B2A1A"/>
    <w:rPr>
      <w:rFonts w:eastAsiaTheme="minorEastAsia"/>
      <w:kern w:val="0"/>
      <w:sz w:val="22"/>
      <w:szCs w:val="22"/>
      <w:lang w:val="en-US" w:eastAsia="zh-CN"/>
      <w14:ligatures w14:val="none"/>
    </w:rPr>
  </w:style>
  <w:style w:type="paragraph" w:styleId="NormalWeb">
    <w:name w:val="Normal (Web)"/>
    <w:basedOn w:val="Normal"/>
    <w:uiPriority w:val="99"/>
    <w:unhideWhenUsed/>
    <w:rsid w:val="003B2A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B2A1A"/>
  </w:style>
  <w:style w:type="character" w:styleId="Hyperlink">
    <w:name w:val="Hyperlink"/>
    <w:basedOn w:val="DefaultParagraphFont"/>
    <w:uiPriority w:val="99"/>
    <w:unhideWhenUsed/>
    <w:rsid w:val="003B2A1A"/>
    <w:rPr>
      <w:color w:val="0000FF"/>
      <w:u w:val="single"/>
    </w:rPr>
  </w:style>
  <w:style w:type="character" w:styleId="Emphasis">
    <w:name w:val="Emphasis"/>
    <w:basedOn w:val="DefaultParagraphFont"/>
    <w:uiPriority w:val="20"/>
    <w:qFormat/>
    <w:rsid w:val="003B2A1A"/>
    <w:rPr>
      <w:i/>
      <w:iCs/>
    </w:rPr>
  </w:style>
  <w:style w:type="character" w:styleId="Strong">
    <w:name w:val="Strong"/>
    <w:basedOn w:val="DefaultParagraphFont"/>
    <w:uiPriority w:val="22"/>
    <w:qFormat/>
    <w:rsid w:val="003B2A1A"/>
    <w:rPr>
      <w:b/>
      <w:bCs/>
    </w:rPr>
  </w:style>
  <w:style w:type="character" w:styleId="UnresolvedMention">
    <w:name w:val="Unresolved Mention"/>
    <w:basedOn w:val="DefaultParagraphFont"/>
    <w:uiPriority w:val="99"/>
    <w:semiHidden/>
    <w:unhideWhenUsed/>
    <w:rsid w:val="0013366F"/>
    <w:rPr>
      <w:color w:val="605E5C"/>
      <w:shd w:val="clear" w:color="auto" w:fill="E1DFDD"/>
    </w:rPr>
  </w:style>
  <w:style w:type="character" w:styleId="FollowedHyperlink">
    <w:name w:val="FollowedHyperlink"/>
    <w:basedOn w:val="DefaultParagraphFont"/>
    <w:uiPriority w:val="99"/>
    <w:semiHidden/>
    <w:unhideWhenUsed/>
    <w:rsid w:val="0013366F"/>
    <w:rPr>
      <w:color w:val="96607D" w:themeColor="followedHyperlink"/>
      <w:u w:val="single"/>
    </w:rPr>
  </w:style>
  <w:style w:type="paragraph" w:customStyle="1" w:styleId="isselectedend">
    <w:name w:val="isselectedend"/>
    <w:basedOn w:val="Normal"/>
    <w:rsid w:val="000004F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ebsco-com.uwtsd.idm.oclc.org/c/onvpsy/search/details/lf4gu5hsij?request-context=plink&amp;db=nlebk" TargetMode="External"/><Relationship Id="rId13" Type="http://schemas.openxmlformats.org/officeDocument/2006/relationships/hyperlink" Target="https://www.legislation.gov.uk/ukpga/2010/15/contents" TargetMode="External"/><Relationship Id="rId18" Type="http://schemas.openxmlformats.org/officeDocument/2006/relationships/hyperlink" Target="https://www.health.org.u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andfonline.com/doi/full/10.3109/13561820.2015.1051614" TargetMode="External"/><Relationship Id="rId7" Type="http://schemas.openxmlformats.org/officeDocument/2006/relationships/hyperlink" Target="https://www.taylorfrancis.com/books/edit/10.4324/9781003079873/key-themes-health-social-care-adam-barnard-louise-griffiths-verusca-calabria" TargetMode="External"/><Relationship Id="rId12" Type="http://schemas.openxmlformats.org/officeDocument/2006/relationships/hyperlink" Target="https://www.kingsfund.org.uk/insight-and-analysis/reports/better-services-people-long-term-conditions" TargetMode="External"/><Relationship Id="rId17" Type="http://schemas.openxmlformats.org/officeDocument/2006/relationships/hyperlink" Target="https://www.health.org.uk/resources-and-toolkits/quick-guides/person-centred-care-made-simple" TargetMode="External"/><Relationship Id="rId25" Type="http://schemas.openxmlformats.org/officeDocument/2006/relationships/hyperlink" Target="https://www.proquest.com/docview/873787580?accountid=130472&amp;parentSessionId=Qmb47h3oSecLMRmIwYtkSfPcrzSr1ERlFAcoAB2U6iE%3D&amp;pq-origsite=primo&amp;sourcetype=Scholarly%20Journals" TargetMode="External"/><Relationship Id="rId2" Type="http://schemas.openxmlformats.org/officeDocument/2006/relationships/styles" Target="styles.xml"/><Relationship Id="rId16" Type="http://schemas.openxmlformats.org/officeDocument/2006/relationships/hyperlink" Target="https://www.legislation.gov.uk/ukpga/2022/31/contents" TargetMode="External"/><Relationship Id="rId20" Type="http://schemas.openxmlformats.org/officeDocument/2006/relationships/hyperlink" Target="https://www-vlebooks-com.uwtsd.idm.oclc.org/Product/Index/925052?page=0&amp;startBookmarkId=-1"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books.google.co.uk/books?hl=en&amp;lr=&amp;id=3GJuVc0vAXcC&amp;oi=fnd&amp;pg=PR7&amp;dq=Coulter,+A.+(2011)+Engaging+patients+in+healthcare.&amp;ots=zLlMWwpt-E&amp;sig=i746jluwCKpnyHkE9MOaGHb1670#v=onepage&amp;q=Coulter%2C%20A.%20(2011)%20Engaging%20patients%20in%20healthcare.&amp;f=false" TargetMode="External"/><Relationship Id="rId24" Type="http://schemas.openxmlformats.org/officeDocument/2006/relationships/hyperlink" Target="https://www.gov.uk/government/publications/health-inequalities-in-health-protection-report/health-inequalities-in-health-protection-report-2025" TargetMode="External"/><Relationship Id="rId5" Type="http://schemas.openxmlformats.org/officeDocument/2006/relationships/image" Target="media/image1.png"/><Relationship Id="rId15" Type="http://schemas.openxmlformats.org/officeDocument/2006/relationships/hyperlink" Target="https://www-degruyterbrill-com.uwtsd.idm.oclc.org/document/doi/10.56687/9781447379430/html" TargetMode="External"/><Relationship Id="rId23" Type="http://schemas.openxmlformats.org/officeDocument/2006/relationships/hyperlink" Target="https://research-ebsco-com.uwtsd.idm.oclc.org/c/onvpsy/search/details/3oo3f4tx5j?request-context=plink&amp;db=nlebk" TargetMode="External"/><Relationship Id="rId10" Type="http://schemas.openxmlformats.org/officeDocument/2006/relationships/hyperlink" Target="https://www.legislation.gov.uk/ukpga/2014/23/contents" TargetMode="External"/><Relationship Id="rId19" Type="http://schemas.openxmlformats.org/officeDocument/2006/relationships/hyperlink" Target="https://research-ebsco-com.uwtsd.idm.oclc.org/c/onvpsy/search/details/xeluel4phv?request-context=plink&amp;db=nlebk" TargetMode="External"/><Relationship Id="rId4" Type="http://schemas.openxmlformats.org/officeDocument/2006/relationships/webSettings" Target="webSettings.xml"/><Relationship Id="rId9" Type="http://schemas.openxmlformats.org/officeDocument/2006/relationships/hyperlink" Target="https://global.oup.com/academic/product/principles-of-biomedical-ethics-9780190640873?cc=de&amp;lang=en&amp;q=beauchamp&amp;utm_source=chatgpt.com" TargetMode="External"/><Relationship Id="rId14" Type="http://schemas.openxmlformats.org/officeDocument/2006/relationships/hyperlink" Target="https://academic-oup-com.uwtsd.idm.oclc.org/book/12106?login=true&amp;token=eyJhbGciOiJub25lIn0.eyJleHAiOjE3ODc0Mzg0NjEsImp0aSI6ImIwOGIzOTk3LWM2OWItNDNmNC1iOGJhLTJhMDkxZDU4MDc5NyJ9" TargetMode="External"/><Relationship Id="rId22" Type="http://schemas.openxmlformats.org/officeDocument/2006/relationships/hyperlink" Target="https://research-ebsco-com.uwtsd.idm.oclc.org/c/onvpsy/viewer/pdf/e6uaaxm6ez?route=detail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BMHP5016</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11</Pages>
  <Words>3671</Words>
  <Characters>20928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Principles of Health and Social Care Practice</vt:lpstr>
    </vt:vector>
  </TitlesOfParts>
  <Company/>
  <LinksUpToDate>false</LinksUpToDate>
  <CharactersWithSpaces>24550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Health and Social Care Practice</dc:title>
  <dc:subject>Component 2: Written Assignment (Report)- 2000 words</dc:subject>
  <dc:creator>Alisha Ali (2437713)</dc:creator>
  <cp:keywords/>
  <dc:description/>
  <cp:lastModifiedBy>Alisha Ali</cp:lastModifiedBy>
  <cp:revision>7</cp:revision>
  <dcterms:created xsi:type="dcterms:W3CDTF">2026-07-21T21:46:00Z</dcterms:created>
  <dcterms:modified xsi:type="dcterms:W3CDTF">2026-07-26T00:20:00Z</dcterms:modified>
</cp:coreProperties>
</file>