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6D76E84" w14:textId="4B940D8D" w:rsidR="005E6F13" w:rsidRDefault="005E6F13">
      <w:r w:rsidRPr="005E6F13">
        <w:rPr>
          <w:rFonts w:ascii="Times New Roman" w:eastAsia="Times New Roman" w:hAnsi="Times New Roman" w:cs="Times New Roman"/>
          <w:noProof/>
          <w:kern w:val="0"/>
          <w:sz w:val="20"/>
          <w:szCs w:val="20"/>
          <w:lang w:eastAsia="en-GB"/>
          <w14:ligatures w14:val="none"/>
        </w:rPr>
        <w:drawing>
          <wp:inline distT="0" distB="0" distL="0" distR="0" wp14:anchorId="09D8C274" wp14:editId="413DD2A2">
            <wp:extent cx="5997742" cy="734695"/>
            <wp:effectExtent l="0" t="0" r="3175" b="8255"/>
            <wp:docPr id="35" name="Picture 34">
              <a:extLst xmlns:a="http://schemas.openxmlformats.org/drawingml/2006/main">
                <a:ext uri="{FF2B5EF4-FFF2-40B4-BE49-F238E27FC236}">
                  <a16:creationId xmlns:a16="http://schemas.microsoft.com/office/drawing/2014/main" id="{520E633F-4689-AAB0-CF25-86D4430F39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4">
                      <a:extLst>
                        <a:ext uri="{FF2B5EF4-FFF2-40B4-BE49-F238E27FC236}">
                          <a16:creationId xmlns:a16="http://schemas.microsoft.com/office/drawing/2014/main" id="{520E633F-4689-AAB0-CF25-86D4430F39AC}"/>
                        </a:ext>
                      </a:extLst>
                    </pic:cNvPr>
                    <pic:cNvPicPr>
                      <a:picLocks noChangeAspect="1"/>
                    </pic:cNvPicPr>
                  </pic:nvPicPr>
                  <pic:blipFill>
                    <a:blip r:embed="rId8"/>
                    <a:stretch>
                      <a:fillRect/>
                    </a:stretch>
                  </pic:blipFill>
                  <pic:spPr>
                    <a:xfrm>
                      <a:off x="0" y="0"/>
                      <a:ext cx="6005973" cy="735703"/>
                    </a:xfrm>
                    <a:prstGeom prst="rect">
                      <a:avLst/>
                    </a:prstGeom>
                  </pic:spPr>
                </pic:pic>
              </a:graphicData>
            </a:graphic>
          </wp:inline>
        </w:drawing>
      </w:r>
    </w:p>
    <w:p w14:paraId="56BDCCAA" w14:textId="77777777" w:rsidR="005E6F13" w:rsidRDefault="005E6F13"/>
    <w:p w14:paraId="193C38A6" w14:textId="77777777" w:rsidR="005E6F13" w:rsidRDefault="005E6F13"/>
    <w:tbl>
      <w:tblPr>
        <w:tblW w:w="9456"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44"/>
        <w:gridCol w:w="2630"/>
        <w:gridCol w:w="5982"/>
      </w:tblGrid>
      <w:tr w:rsidR="006B7C7D" w:rsidRPr="006B7C7D" w14:paraId="2B08D416" w14:textId="77777777" w:rsidTr="003C3A4B">
        <w:trPr>
          <w:trHeight w:hRule="exact" w:val="3369"/>
        </w:trPr>
        <w:tc>
          <w:tcPr>
            <w:tcW w:w="9456" w:type="dxa"/>
            <w:gridSpan w:val="3"/>
            <w:shd w:val="clear" w:color="auto" w:fill="1F2D50"/>
            <w:tcMar>
              <w:top w:w="400" w:type="dxa"/>
              <w:left w:w="600" w:type="dxa"/>
              <w:bottom w:w="400" w:type="dxa"/>
              <w:right w:w="600" w:type="dxa"/>
            </w:tcMar>
            <w:vAlign w:val="center"/>
          </w:tcPr>
          <w:p w14:paraId="6D9F666E" w14:textId="77777777" w:rsidR="006B7C7D" w:rsidRPr="006B7C7D" w:rsidRDefault="006B7C7D" w:rsidP="006B7C7D">
            <w:pPr>
              <w:spacing w:line="240" w:lineRule="auto"/>
              <w:jc w:val="center"/>
              <w:rPr>
                <w:rFonts w:ascii="Times New Roman" w:eastAsia="Times New Roman" w:hAnsi="Times New Roman" w:cs="Times New Roman"/>
                <w:kern w:val="0"/>
                <w:sz w:val="20"/>
                <w:szCs w:val="20"/>
                <w:lang w:eastAsia="en-GB"/>
                <w14:ligatures w14:val="none"/>
              </w:rPr>
            </w:pPr>
            <w:r w:rsidRPr="006B7C7D">
              <w:rPr>
                <w:rFonts w:ascii="Times New Roman" w:eastAsia="Times New Roman" w:hAnsi="Times New Roman" w:cs="Times New Roman"/>
                <w:b/>
                <w:bCs/>
                <w:color w:val="FFFFFF"/>
                <w:kern w:val="0"/>
                <w:sz w:val="48"/>
                <w:szCs w:val="48"/>
                <w:lang w:eastAsia="en-GB"/>
                <w14:ligatures w14:val="none"/>
              </w:rPr>
              <w:t>PROJECT MANAGEMENT PLAN</w:t>
            </w:r>
          </w:p>
          <w:p w14:paraId="17296B5F" w14:textId="77777777" w:rsidR="006B7C7D" w:rsidRPr="006B7C7D" w:rsidRDefault="006B7C7D" w:rsidP="006B7C7D">
            <w:pPr>
              <w:spacing w:after="0" w:line="240" w:lineRule="auto"/>
              <w:jc w:val="center"/>
              <w:rPr>
                <w:rFonts w:ascii="Times New Roman" w:eastAsia="Times New Roman" w:hAnsi="Times New Roman" w:cs="Times New Roman"/>
                <w:kern w:val="0"/>
                <w:sz w:val="20"/>
                <w:szCs w:val="20"/>
                <w:lang w:eastAsia="en-GB"/>
                <w14:ligatures w14:val="none"/>
              </w:rPr>
            </w:pPr>
            <w:r w:rsidRPr="006B7C7D">
              <w:rPr>
                <w:rFonts w:ascii="Times New Roman" w:eastAsia="Times New Roman" w:hAnsi="Times New Roman" w:cs="Times New Roman"/>
                <w:b/>
                <w:bCs/>
                <w:color w:val="BFD8F5"/>
                <w:kern w:val="0"/>
                <w:sz w:val="28"/>
                <w:szCs w:val="28"/>
                <w:lang w:eastAsia="en-GB"/>
                <w14:ligatures w14:val="none"/>
              </w:rPr>
              <w:t>Smart Transport Management System (STMS)</w:t>
            </w:r>
          </w:p>
        </w:tc>
      </w:tr>
      <w:tr w:rsidR="006B7C7D" w:rsidRPr="006B7C7D" w14:paraId="54A526DD" w14:textId="77777777" w:rsidTr="003C3A4B">
        <w:tblPrEx>
          <w:tblBorders>
            <w:top w:val="single" w:sz="4" w:space="0" w:color="D9D9D9"/>
            <w:bottom w:val="single" w:sz="4" w:space="0" w:color="D9D9D9"/>
            <w:insideH w:val="single" w:sz="4" w:space="0" w:color="D9D9D9"/>
            <w:insideV w:val="none" w:sz="0" w:space="0" w:color="FFFFFF"/>
          </w:tblBorders>
        </w:tblPrEx>
        <w:trPr>
          <w:trHeight w:val="289"/>
        </w:trPr>
        <w:tc>
          <w:tcPr>
            <w:tcW w:w="844" w:type="dxa"/>
            <w:shd w:val="clear" w:color="auto" w:fill="002060"/>
          </w:tcPr>
          <w:p w14:paraId="4B06FB15"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p>
        </w:tc>
        <w:tc>
          <w:tcPr>
            <w:tcW w:w="2630" w:type="dxa"/>
            <w:shd w:val="clear" w:color="auto" w:fill="F4F6FB"/>
            <w:tcMar>
              <w:top w:w="180" w:type="dxa"/>
              <w:left w:w="300" w:type="dxa"/>
              <w:bottom w:w="180" w:type="dxa"/>
              <w:right w:w="200" w:type="dxa"/>
            </w:tcMar>
            <w:vAlign w:val="center"/>
          </w:tcPr>
          <w:p w14:paraId="65DB3C54"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b/>
                <w:bCs/>
                <w:color w:val="1F2D50"/>
                <w:kern w:val="0"/>
                <w:lang w:eastAsia="en-GB"/>
                <w14:ligatures w14:val="none"/>
              </w:rPr>
              <w:t>MODULE</w:t>
            </w:r>
          </w:p>
        </w:tc>
        <w:tc>
          <w:tcPr>
            <w:tcW w:w="5981" w:type="dxa"/>
            <w:shd w:val="clear" w:color="auto" w:fill="FFFFFF"/>
            <w:tcMar>
              <w:top w:w="180" w:type="dxa"/>
              <w:left w:w="300" w:type="dxa"/>
              <w:bottom w:w="180" w:type="dxa"/>
              <w:right w:w="200" w:type="dxa"/>
            </w:tcMar>
            <w:vAlign w:val="center"/>
          </w:tcPr>
          <w:p w14:paraId="26A64B58"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color w:val="222222"/>
                <w:kern w:val="0"/>
                <w:lang w:eastAsia="en-GB"/>
                <w14:ligatures w14:val="none"/>
              </w:rPr>
              <w:t>Project Management – LCLM5003</w:t>
            </w:r>
          </w:p>
        </w:tc>
      </w:tr>
      <w:tr w:rsidR="006B7C7D" w:rsidRPr="006B7C7D" w14:paraId="6A52EE89" w14:textId="77777777" w:rsidTr="003C3A4B">
        <w:tblPrEx>
          <w:tblBorders>
            <w:top w:val="single" w:sz="4" w:space="0" w:color="D9D9D9"/>
            <w:bottom w:val="single" w:sz="4" w:space="0" w:color="D9D9D9"/>
            <w:insideH w:val="single" w:sz="4" w:space="0" w:color="D9D9D9"/>
            <w:insideV w:val="none" w:sz="0" w:space="0" w:color="FFFFFF"/>
          </w:tblBorders>
        </w:tblPrEx>
        <w:trPr>
          <w:trHeight w:val="289"/>
        </w:trPr>
        <w:tc>
          <w:tcPr>
            <w:tcW w:w="844" w:type="dxa"/>
            <w:shd w:val="clear" w:color="auto" w:fill="002060"/>
          </w:tcPr>
          <w:p w14:paraId="5ED0D974"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p>
        </w:tc>
        <w:tc>
          <w:tcPr>
            <w:tcW w:w="2630" w:type="dxa"/>
            <w:shd w:val="clear" w:color="auto" w:fill="F4F6FB"/>
            <w:tcMar>
              <w:top w:w="180" w:type="dxa"/>
              <w:left w:w="300" w:type="dxa"/>
              <w:bottom w:w="180" w:type="dxa"/>
              <w:right w:w="200" w:type="dxa"/>
            </w:tcMar>
            <w:vAlign w:val="center"/>
          </w:tcPr>
          <w:p w14:paraId="0D3329EF"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b/>
                <w:bCs/>
                <w:color w:val="1F2D50"/>
                <w:kern w:val="0"/>
                <w:lang w:eastAsia="en-GB"/>
                <w14:ligatures w14:val="none"/>
              </w:rPr>
              <w:t>PROGRAMME</w:t>
            </w:r>
          </w:p>
        </w:tc>
        <w:tc>
          <w:tcPr>
            <w:tcW w:w="5981" w:type="dxa"/>
            <w:shd w:val="clear" w:color="auto" w:fill="FFFFFF"/>
            <w:tcMar>
              <w:top w:w="180" w:type="dxa"/>
              <w:left w:w="300" w:type="dxa"/>
              <w:bottom w:w="180" w:type="dxa"/>
              <w:right w:w="200" w:type="dxa"/>
            </w:tcMar>
            <w:vAlign w:val="center"/>
          </w:tcPr>
          <w:p w14:paraId="7EDC73C9"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color w:val="222222"/>
                <w:kern w:val="0"/>
                <w:lang w:eastAsia="en-GB"/>
                <w14:ligatures w14:val="none"/>
              </w:rPr>
              <w:t>Leadership and Management Skills in the Workplace</w:t>
            </w:r>
          </w:p>
        </w:tc>
      </w:tr>
      <w:tr w:rsidR="006B7C7D" w:rsidRPr="006B7C7D" w14:paraId="6A993498" w14:textId="77777777" w:rsidTr="003C3A4B">
        <w:tblPrEx>
          <w:tblBorders>
            <w:top w:val="single" w:sz="4" w:space="0" w:color="D9D9D9"/>
            <w:bottom w:val="single" w:sz="4" w:space="0" w:color="D9D9D9"/>
            <w:insideH w:val="single" w:sz="4" w:space="0" w:color="D9D9D9"/>
            <w:insideV w:val="none" w:sz="0" w:space="0" w:color="FFFFFF"/>
          </w:tblBorders>
        </w:tblPrEx>
        <w:trPr>
          <w:trHeight w:val="298"/>
        </w:trPr>
        <w:tc>
          <w:tcPr>
            <w:tcW w:w="844" w:type="dxa"/>
            <w:shd w:val="clear" w:color="auto" w:fill="002060"/>
          </w:tcPr>
          <w:p w14:paraId="0A95FC2D"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p>
        </w:tc>
        <w:tc>
          <w:tcPr>
            <w:tcW w:w="2630" w:type="dxa"/>
            <w:shd w:val="clear" w:color="auto" w:fill="F4F6FB"/>
            <w:tcMar>
              <w:top w:w="180" w:type="dxa"/>
              <w:left w:w="300" w:type="dxa"/>
              <w:bottom w:w="180" w:type="dxa"/>
              <w:right w:w="200" w:type="dxa"/>
            </w:tcMar>
            <w:vAlign w:val="center"/>
          </w:tcPr>
          <w:p w14:paraId="36F80E3C"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b/>
                <w:bCs/>
                <w:color w:val="1F2D50"/>
                <w:kern w:val="0"/>
                <w:lang w:eastAsia="en-GB"/>
                <w14:ligatures w14:val="none"/>
              </w:rPr>
              <w:t>LECTURER</w:t>
            </w:r>
          </w:p>
        </w:tc>
        <w:tc>
          <w:tcPr>
            <w:tcW w:w="5981" w:type="dxa"/>
            <w:shd w:val="clear" w:color="auto" w:fill="FFFFFF"/>
            <w:tcMar>
              <w:top w:w="180" w:type="dxa"/>
              <w:left w:w="300" w:type="dxa"/>
              <w:bottom w:w="180" w:type="dxa"/>
              <w:right w:w="200" w:type="dxa"/>
            </w:tcMar>
            <w:vAlign w:val="center"/>
          </w:tcPr>
          <w:p w14:paraId="6546DD00"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color w:val="222222"/>
                <w:kern w:val="0"/>
                <w:lang w:eastAsia="en-GB"/>
                <w14:ligatures w14:val="none"/>
              </w:rPr>
              <w:t>Dr Rexon Nting</w:t>
            </w:r>
          </w:p>
        </w:tc>
      </w:tr>
      <w:tr w:rsidR="006B7C7D" w:rsidRPr="006B7C7D" w14:paraId="55A5A3AD" w14:textId="77777777" w:rsidTr="003C3A4B">
        <w:tblPrEx>
          <w:tblBorders>
            <w:top w:val="single" w:sz="4" w:space="0" w:color="D9D9D9"/>
            <w:bottom w:val="single" w:sz="4" w:space="0" w:color="D9D9D9"/>
            <w:insideH w:val="single" w:sz="4" w:space="0" w:color="D9D9D9"/>
            <w:insideV w:val="none" w:sz="0" w:space="0" w:color="FFFFFF"/>
          </w:tblBorders>
        </w:tblPrEx>
        <w:trPr>
          <w:trHeight w:val="289"/>
        </w:trPr>
        <w:tc>
          <w:tcPr>
            <w:tcW w:w="844" w:type="dxa"/>
            <w:shd w:val="clear" w:color="auto" w:fill="002060"/>
          </w:tcPr>
          <w:p w14:paraId="1283A521"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p>
        </w:tc>
        <w:tc>
          <w:tcPr>
            <w:tcW w:w="2630" w:type="dxa"/>
            <w:shd w:val="clear" w:color="auto" w:fill="F4F6FB"/>
            <w:tcMar>
              <w:top w:w="180" w:type="dxa"/>
              <w:left w:w="300" w:type="dxa"/>
              <w:bottom w:w="180" w:type="dxa"/>
              <w:right w:w="200" w:type="dxa"/>
            </w:tcMar>
            <w:vAlign w:val="center"/>
          </w:tcPr>
          <w:p w14:paraId="5F62AAC5"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b/>
                <w:bCs/>
                <w:color w:val="1F2D50"/>
                <w:kern w:val="0"/>
                <w:lang w:eastAsia="en-GB"/>
                <w14:ligatures w14:val="none"/>
              </w:rPr>
              <w:t>STUDENT NAME</w:t>
            </w:r>
          </w:p>
        </w:tc>
        <w:tc>
          <w:tcPr>
            <w:tcW w:w="5981" w:type="dxa"/>
            <w:shd w:val="clear" w:color="auto" w:fill="FFFFFF"/>
            <w:tcMar>
              <w:top w:w="180" w:type="dxa"/>
              <w:left w:w="300" w:type="dxa"/>
              <w:bottom w:w="180" w:type="dxa"/>
              <w:right w:w="200" w:type="dxa"/>
            </w:tcMar>
            <w:vAlign w:val="center"/>
          </w:tcPr>
          <w:p w14:paraId="673E21DA"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color w:val="222222"/>
                <w:kern w:val="0"/>
                <w:lang w:eastAsia="en-GB"/>
                <w14:ligatures w14:val="none"/>
              </w:rPr>
              <w:t>Huguette Dora Edjangue</w:t>
            </w:r>
          </w:p>
        </w:tc>
      </w:tr>
      <w:tr w:rsidR="006B7C7D" w:rsidRPr="006B7C7D" w14:paraId="617ED3B9" w14:textId="77777777" w:rsidTr="003C3A4B">
        <w:tblPrEx>
          <w:tblBorders>
            <w:top w:val="single" w:sz="4" w:space="0" w:color="D9D9D9"/>
            <w:bottom w:val="single" w:sz="4" w:space="0" w:color="D9D9D9"/>
            <w:insideH w:val="single" w:sz="4" w:space="0" w:color="D9D9D9"/>
            <w:insideV w:val="none" w:sz="0" w:space="0" w:color="FFFFFF"/>
          </w:tblBorders>
        </w:tblPrEx>
        <w:trPr>
          <w:trHeight w:val="578"/>
        </w:trPr>
        <w:tc>
          <w:tcPr>
            <w:tcW w:w="844" w:type="dxa"/>
            <w:shd w:val="clear" w:color="auto" w:fill="002060"/>
          </w:tcPr>
          <w:p w14:paraId="4E850AE0"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p>
        </w:tc>
        <w:tc>
          <w:tcPr>
            <w:tcW w:w="2630" w:type="dxa"/>
            <w:shd w:val="clear" w:color="auto" w:fill="F4F6FB"/>
            <w:tcMar>
              <w:top w:w="180" w:type="dxa"/>
              <w:left w:w="300" w:type="dxa"/>
              <w:bottom w:w="180" w:type="dxa"/>
              <w:right w:w="200" w:type="dxa"/>
            </w:tcMar>
            <w:vAlign w:val="center"/>
          </w:tcPr>
          <w:p w14:paraId="60FF03D9"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b/>
                <w:bCs/>
                <w:color w:val="1F2D50"/>
                <w:kern w:val="0"/>
                <w:lang w:eastAsia="en-GB"/>
                <w14:ligatures w14:val="none"/>
              </w:rPr>
              <w:t>STUDENT ID NUMBER</w:t>
            </w:r>
          </w:p>
        </w:tc>
        <w:tc>
          <w:tcPr>
            <w:tcW w:w="5981" w:type="dxa"/>
            <w:shd w:val="clear" w:color="auto" w:fill="FFFFFF"/>
            <w:tcMar>
              <w:top w:w="180" w:type="dxa"/>
              <w:left w:w="300" w:type="dxa"/>
              <w:bottom w:w="180" w:type="dxa"/>
              <w:right w:w="200" w:type="dxa"/>
            </w:tcMar>
            <w:vAlign w:val="center"/>
          </w:tcPr>
          <w:p w14:paraId="324378D2" w14:textId="77777777" w:rsidR="006B7C7D" w:rsidRPr="00732549" w:rsidRDefault="006B7C7D" w:rsidP="006B7C7D">
            <w:pPr>
              <w:spacing w:after="0" w:line="240" w:lineRule="auto"/>
              <w:rPr>
                <w:rFonts w:ascii="Times New Roman" w:eastAsia="Times New Roman" w:hAnsi="Times New Roman" w:cs="Times New Roman"/>
                <w:kern w:val="0"/>
                <w:lang w:eastAsia="en-GB"/>
                <w14:ligatures w14:val="none"/>
              </w:rPr>
            </w:pPr>
            <w:r w:rsidRPr="00732549">
              <w:rPr>
                <w:rFonts w:ascii="Times New Roman" w:eastAsia="Times New Roman" w:hAnsi="Times New Roman" w:cs="Times New Roman"/>
                <w:color w:val="222222"/>
                <w:kern w:val="0"/>
                <w:lang w:eastAsia="en-GB"/>
                <w14:ligatures w14:val="none"/>
              </w:rPr>
              <w:t>2429780</w:t>
            </w:r>
          </w:p>
        </w:tc>
      </w:tr>
      <w:tr w:rsidR="006B7C7D" w:rsidRPr="006B7C7D" w14:paraId="0FA2E99F" w14:textId="77777777" w:rsidTr="003C3A4B">
        <w:trPr>
          <w:trHeight w:hRule="exact" w:val="273"/>
        </w:trPr>
        <w:tc>
          <w:tcPr>
            <w:tcW w:w="9456" w:type="dxa"/>
            <w:gridSpan w:val="3"/>
            <w:shd w:val="clear" w:color="auto" w:fill="17A398"/>
          </w:tcPr>
          <w:p w14:paraId="1CB6107A" w14:textId="77777777" w:rsidR="006B7C7D" w:rsidRPr="006B7C7D" w:rsidRDefault="006B7C7D" w:rsidP="005E6F13">
            <w:pPr>
              <w:shd w:val="clear" w:color="auto" w:fill="002060"/>
              <w:spacing w:after="0" w:line="240" w:lineRule="auto"/>
              <w:rPr>
                <w:rFonts w:ascii="Times New Roman" w:eastAsia="Times New Roman" w:hAnsi="Times New Roman" w:cs="Times New Roman"/>
                <w:kern w:val="0"/>
                <w:sz w:val="20"/>
                <w:szCs w:val="20"/>
                <w:lang w:eastAsia="en-GB"/>
                <w14:ligatures w14:val="none"/>
              </w:rPr>
            </w:pPr>
          </w:p>
        </w:tc>
      </w:tr>
    </w:tbl>
    <w:p w14:paraId="647791E7" w14:textId="77777777" w:rsidR="00FB4085" w:rsidRDefault="00FB4085" w:rsidP="007C29A0">
      <w:p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p>
    <w:p w14:paraId="5E39758F" w14:textId="77777777" w:rsidR="00FB4085" w:rsidRDefault="00FB4085" w:rsidP="007C29A0">
      <w:p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p>
    <w:p w14:paraId="437AC772" w14:textId="77777777" w:rsidR="00FB4085" w:rsidRDefault="00FB4085" w:rsidP="007C29A0">
      <w:p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p>
    <w:p w14:paraId="7E96AEBB" w14:textId="77777777" w:rsidR="00FB4085" w:rsidRDefault="00FB4085" w:rsidP="007C29A0">
      <w:p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p>
    <w:p w14:paraId="058D91DC" w14:textId="77777777" w:rsidR="00FB4085" w:rsidRDefault="00FB4085" w:rsidP="007C29A0">
      <w:p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p>
    <w:p w14:paraId="4EA233D9" w14:textId="77777777" w:rsidR="002B00D9" w:rsidRPr="002B00D9" w:rsidRDefault="002B00D9" w:rsidP="002B00D9">
      <w:pPr>
        <w:spacing w:before="300" w:after="200" w:line="240" w:lineRule="auto"/>
        <w:outlineLvl w:val="0"/>
        <w:rPr>
          <w:rFonts w:ascii="Calibri" w:eastAsia="Calibri" w:hAnsi="Calibri" w:cs="Calibri"/>
          <w:b/>
          <w:bCs/>
          <w:color w:val="0B1E3D"/>
          <w:kern w:val="0"/>
          <w:sz w:val="30"/>
          <w:szCs w:val="30"/>
          <w:lang w:eastAsia="en-GB"/>
          <w14:ligatures w14:val="none"/>
        </w:rPr>
      </w:pPr>
      <w:r w:rsidRPr="002B00D9">
        <w:rPr>
          <w:rFonts w:ascii="Calibri" w:eastAsia="Calibri" w:hAnsi="Calibri" w:cs="Calibri"/>
          <w:b/>
          <w:bCs/>
          <w:color w:val="0B1E3D"/>
          <w:kern w:val="0"/>
          <w:sz w:val="30"/>
          <w:szCs w:val="30"/>
          <w:lang w:eastAsia="en-GB"/>
          <w14:ligatures w14:val="none"/>
        </w:rPr>
        <w:lastRenderedPageBreak/>
        <w:t>Contents</w:t>
      </w:r>
    </w:p>
    <w:p w14:paraId="3FABF3E8"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1. Introduction</w:t>
      </w:r>
      <w:r w:rsidRPr="002B00D9">
        <w:rPr>
          <w:rFonts w:ascii="Calibri" w:eastAsia="Calibri" w:hAnsi="Calibri" w:cs="Calibri"/>
          <w:kern w:val="0"/>
          <w:lang w:eastAsia="en-GB"/>
          <w14:ligatures w14:val="none"/>
        </w:rPr>
        <w:tab/>
        <w:t>3</w:t>
      </w:r>
    </w:p>
    <w:p w14:paraId="42B8F096"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2. Project Description</w:t>
      </w:r>
      <w:r w:rsidRPr="002B00D9">
        <w:rPr>
          <w:rFonts w:ascii="Calibri" w:eastAsia="Calibri" w:hAnsi="Calibri" w:cs="Calibri"/>
          <w:kern w:val="0"/>
          <w:lang w:eastAsia="en-GB"/>
          <w14:ligatures w14:val="none"/>
        </w:rPr>
        <w:tab/>
        <w:t>3</w:t>
      </w:r>
    </w:p>
    <w:p w14:paraId="4BF27425"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3. Scope</w:t>
      </w:r>
      <w:r w:rsidRPr="002B00D9">
        <w:rPr>
          <w:rFonts w:ascii="Calibri" w:eastAsia="Calibri" w:hAnsi="Calibri" w:cs="Calibri"/>
          <w:kern w:val="0"/>
          <w:lang w:eastAsia="en-GB"/>
          <w14:ligatures w14:val="none"/>
        </w:rPr>
        <w:tab/>
        <w:t>4</w:t>
      </w:r>
    </w:p>
    <w:p w14:paraId="2F5E9E7D" w14:textId="44346F1E"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4. Work Breakdown Structure (WBS)</w:t>
      </w:r>
      <w:r w:rsidRPr="002B00D9">
        <w:rPr>
          <w:rFonts w:ascii="Calibri" w:eastAsia="Calibri" w:hAnsi="Calibri" w:cs="Calibri"/>
          <w:kern w:val="0"/>
          <w:lang w:eastAsia="en-GB"/>
          <w14:ligatures w14:val="none"/>
        </w:rPr>
        <w:tab/>
      </w:r>
      <w:r w:rsidR="0027087B">
        <w:rPr>
          <w:rFonts w:ascii="Calibri" w:eastAsia="Calibri" w:hAnsi="Calibri" w:cs="Calibri"/>
          <w:kern w:val="0"/>
          <w:lang w:eastAsia="en-GB"/>
          <w14:ligatures w14:val="none"/>
        </w:rPr>
        <w:t>4</w:t>
      </w:r>
    </w:p>
    <w:p w14:paraId="5BF2DC3A" w14:textId="2E4FF732"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5. Quad Chart</w:t>
      </w:r>
      <w:r w:rsidRPr="002B00D9">
        <w:rPr>
          <w:rFonts w:ascii="Calibri" w:eastAsia="Calibri" w:hAnsi="Calibri" w:cs="Calibri"/>
          <w:kern w:val="0"/>
          <w:lang w:eastAsia="en-GB"/>
          <w14:ligatures w14:val="none"/>
        </w:rPr>
        <w:tab/>
      </w:r>
      <w:r w:rsidR="00134173">
        <w:rPr>
          <w:rFonts w:ascii="Calibri" w:eastAsia="Calibri" w:hAnsi="Calibri" w:cs="Calibri"/>
          <w:kern w:val="0"/>
          <w:lang w:eastAsia="en-GB"/>
          <w14:ligatures w14:val="none"/>
        </w:rPr>
        <w:t>5</w:t>
      </w:r>
    </w:p>
    <w:p w14:paraId="0EF78D77" w14:textId="46ED3DAA"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6. Gantt Chart</w:t>
      </w:r>
      <w:r w:rsidRPr="002B00D9">
        <w:rPr>
          <w:rFonts w:ascii="Calibri" w:eastAsia="Calibri" w:hAnsi="Calibri" w:cs="Calibri"/>
          <w:kern w:val="0"/>
          <w:lang w:eastAsia="en-GB"/>
          <w14:ligatures w14:val="none"/>
        </w:rPr>
        <w:tab/>
      </w:r>
      <w:r w:rsidR="003B0162">
        <w:rPr>
          <w:rFonts w:ascii="Calibri" w:eastAsia="Calibri" w:hAnsi="Calibri" w:cs="Calibri"/>
          <w:kern w:val="0"/>
          <w:lang w:eastAsia="en-GB"/>
          <w14:ligatures w14:val="none"/>
        </w:rPr>
        <w:t>6</w:t>
      </w:r>
    </w:p>
    <w:p w14:paraId="49FAD364" w14:textId="01A44BC6"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7. Stakeholders' Involvement</w:t>
      </w:r>
      <w:r w:rsidRPr="002B00D9">
        <w:rPr>
          <w:rFonts w:ascii="Calibri" w:eastAsia="Calibri" w:hAnsi="Calibri" w:cs="Calibri"/>
          <w:kern w:val="0"/>
          <w:lang w:eastAsia="en-GB"/>
          <w14:ligatures w14:val="none"/>
        </w:rPr>
        <w:tab/>
      </w:r>
      <w:r w:rsidR="003B0162">
        <w:rPr>
          <w:rFonts w:ascii="Calibri" w:eastAsia="Calibri" w:hAnsi="Calibri" w:cs="Calibri"/>
          <w:kern w:val="0"/>
          <w:lang w:eastAsia="en-GB"/>
          <w14:ligatures w14:val="none"/>
        </w:rPr>
        <w:t>7</w:t>
      </w:r>
    </w:p>
    <w:p w14:paraId="368C6FE8" w14:textId="413ECDFB"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8. Allocation of Resources</w:t>
      </w:r>
      <w:r w:rsidRPr="002B00D9">
        <w:rPr>
          <w:rFonts w:ascii="Calibri" w:eastAsia="Calibri" w:hAnsi="Calibri" w:cs="Calibri"/>
          <w:kern w:val="0"/>
          <w:lang w:eastAsia="en-GB"/>
          <w14:ligatures w14:val="none"/>
        </w:rPr>
        <w:tab/>
      </w:r>
      <w:r w:rsidR="003B0162">
        <w:rPr>
          <w:rFonts w:ascii="Calibri" w:eastAsia="Calibri" w:hAnsi="Calibri" w:cs="Calibri"/>
          <w:kern w:val="0"/>
          <w:lang w:eastAsia="en-GB"/>
          <w14:ligatures w14:val="none"/>
        </w:rPr>
        <w:t>8</w:t>
      </w:r>
      <w:r w:rsidR="00543998">
        <w:rPr>
          <w:rFonts w:ascii="Calibri" w:eastAsia="Calibri" w:hAnsi="Calibri" w:cs="Calibri"/>
          <w:kern w:val="0"/>
          <w:lang w:eastAsia="en-GB"/>
          <w14:ligatures w14:val="none"/>
        </w:rPr>
        <w:t>-9</w:t>
      </w:r>
    </w:p>
    <w:p w14:paraId="44ADE32F" w14:textId="19549704"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9. Risk Analysis</w:t>
      </w:r>
      <w:r w:rsidRPr="002B00D9">
        <w:rPr>
          <w:rFonts w:ascii="Calibri" w:eastAsia="Calibri" w:hAnsi="Calibri" w:cs="Calibri"/>
          <w:kern w:val="0"/>
          <w:lang w:eastAsia="en-GB"/>
          <w14:ligatures w14:val="none"/>
        </w:rPr>
        <w:tab/>
      </w:r>
      <w:r w:rsidR="00681AE0">
        <w:rPr>
          <w:rFonts w:ascii="Calibri" w:eastAsia="Calibri" w:hAnsi="Calibri" w:cs="Calibri"/>
          <w:kern w:val="0"/>
          <w:lang w:eastAsia="en-GB"/>
          <w14:ligatures w14:val="none"/>
        </w:rPr>
        <w:t>……</w:t>
      </w:r>
      <w:r w:rsidRPr="002B00D9">
        <w:rPr>
          <w:rFonts w:ascii="Calibri" w:eastAsia="Calibri" w:hAnsi="Calibri" w:cs="Calibri"/>
          <w:kern w:val="0"/>
          <w:lang w:eastAsia="en-GB"/>
          <w14:ligatures w14:val="none"/>
        </w:rPr>
        <w:t>1</w:t>
      </w:r>
      <w:r w:rsidR="00BE4A38">
        <w:rPr>
          <w:rFonts w:ascii="Calibri" w:eastAsia="Calibri" w:hAnsi="Calibri" w:cs="Calibri"/>
          <w:kern w:val="0"/>
          <w:lang w:eastAsia="en-GB"/>
          <w14:ligatures w14:val="none"/>
        </w:rPr>
        <w:t>0-11</w:t>
      </w:r>
    </w:p>
    <w:p w14:paraId="5DF15BFD" w14:textId="4DE805B4"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10. Conclusion</w:t>
      </w:r>
      <w:r w:rsidRPr="002B00D9">
        <w:rPr>
          <w:rFonts w:ascii="Calibri" w:eastAsia="Calibri" w:hAnsi="Calibri" w:cs="Calibri"/>
          <w:kern w:val="0"/>
          <w:lang w:eastAsia="en-GB"/>
          <w14:ligatures w14:val="none"/>
        </w:rPr>
        <w:tab/>
        <w:t>1</w:t>
      </w:r>
      <w:r w:rsidR="00016FC4">
        <w:rPr>
          <w:rFonts w:ascii="Calibri" w:eastAsia="Calibri" w:hAnsi="Calibri" w:cs="Calibri"/>
          <w:kern w:val="0"/>
          <w:lang w:eastAsia="en-GB"/>
          <w14:ligatures w14:val="none"/>
        </w:rPr>
        <w:t>2</w:t>
      </w:r>
    </w:p>
    <w:p w14:paraId="0F62D18E" w14:textId="0FD5B1E9"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References</w:t>
      </w:r>
      <w:r w:rsidRPr="002B00D9">
        <w:rPr>
          <w:rFonts w:ascii="Calibri" w:eastAsia="Calibri" w:hAnsi="Calibri" w:cs="Calibri"/>
          <w:kern w:val="0"/>
          <w:lang w:eastAsia="en-GB"/>
          <w14:ligatures w14:val="none"/>
        </w:rPr>
        <w:tab/>
        <w:t>1</w:t>
      </w:r>
      <w:r w:rsidR="00016FC4">
        <w:rPr>
          <w:rFonts w:ascii="Calibri" w:eastAsia="Calibri" w:hAnsi="Calibri" w:cs="Calibri"/>
          <w:kern w:val="0"/>
          <w:lang w:eastAsia="en-GB"/>
          <w14:ligatures w14:val="none"/>
        </w:rPr>
        <w:t>3</w:t>
      </w:r>
    </w:p>
    <w:p w14:paraId="5D0DE37D" w14:textId="77777777" w:rsidR="002B00D9" w:rsidRPr="002B00D9" w:rsidRDefault="002B00D9" w:rsidP="002B00D9">
      <w:pPr>
        <w:spacing w:before="300" w:after="200" w:line="240" w:lineRule="auto"/>
        <w:outlineLvl w:val="0"/>
        <w:rPr>
          <w:rFonts w:ascii="Calibri" w:eastAsia="Calibri" w:hAnsi="Calibri" w:cs="Calibri"/>
          <w:b/>
          <w:bCs/>
          <w:color w:val="0B1E3D"/>
          <w:kern w:val="0"/>
          <w:sz w:val="30"/>
          <w:szCs w:val="30"/>
          <w:lang w:eastAsia="en-GB"/>
          <w14:ligatures w14:val="none"/>
        </w:rPr>
      </w:pPr>
      <w:r w:rsidRPr="002B00D9">
        <w:rPr>
          <w:rFonts w:ascii="Calibri" w:eastAsia="Calibri" w:hAnsi="Calibri" w:cs="Calibri"/>
          <w:b/>
          <w:bCs/>
          <w:color w:val="0B1E3D"/>
          <w:kern w:val="0"/>
          <w:sz w:val="30"/>
          <w:szCs w:val="30"/>
          <w:lang w:eastAsia="en-GB"/>
          <w14:ligatures w14:val="none"/>
        </w:rPr>
        <w:t>List of Figures</w:t>
      </w:r>
    </w:p>
    <w:p w14:paraId="78DD275F"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Figure 1: Work breakdown structure for the Smart Transport Management System project (Levels 1-3)</w:t>
      </w:r>
      <w:r w:rsidRPr="002B00D9">
        <w:rPr>
          <w:rFonts w:ascii="Calibri" w:eastAsia="Calibri" w:hAnsi="Calibri" w:cs="Calibri"/>
          <w:kern w:val="0"/>
          <w:lang w:eastAsia="en-GB"/>
          <w14:ligatures w14:val="none"/>
        </w:rPr>
        <w:tab/>
        <w:t>5</w:t>
      </w:r>
    </w:p>
    <w:p w14:paraId="573C561B"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Figure 2: Project quad chart summarising objective, schedule, cost and risk</w:t>
      </w:r>
      <w:r w:rsidRPr="002B00D9">
        <w:rPr>
          <w:rFonts w:ascii="Calibri" w:eastAsia="Calibri" w:hAnsi="Calibri" w:cs="Calibri"/>
          <w:kern w:val="0"/>
          <w:lang w:eastAsia="en-GB"/>
          <w14:ligatures w14:val="none"/>
        </w:rPr>
        <w:tab/>
        <w:t>6</w:t>
      </w:r>
    </w:p>
    <w:p w14:paraId="40C0278B" w14:textId="77777777"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Figure 3: Project Gantt chart for the six-month delivery programme</w:t>
      </w:r>
      <w:r w:rsidRPr="002B00D9">
        <w:rPr>
          <w:rFonts w:ascii="Calibri" w:eastAsia="Calibri" w:hAnsi="Calibri" w:cs="Calibri"/>
          <w:kern w:val="0"/>
          <w:lang w:eastAsia="en-GB"/>
          <w14:ligatures w14:val="none"/>
        </w:rPr>
        <w:tab/>
        <w:t>7</w:t>
      </w:r>
    </w:p>
    <w:p w14:paraId="26B9E241" w14:textId="53F1DC46"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Figure 4: Stakeholder power-interest matrix (adapted from Mendelow, 1981)</w:t>
      </w:r>
      <w:r w:rsidRPr="002B00D9">
        <w:rPr>
          <w:rFonts w:ascii="Calibri" w:eastAsia="Calibri" w:hAnsi="Calibri" w:cs="Calibri"/>
          <w:kern w:val="0"/>
          <w:lang w:eastAsia="en-GB"/>
          <w14:ligatures w14:val="none"/>
        </w:rPr>
        <w:tab/>
      </w:r>
      <w:r w:rsidR="008014F6">
        <w:rPr>
          <w:rFonts w:ascii="Calibri" w:eastAsia="Calibri" w:hAnsi="Calibri" w:cs="Calibri"/>
          <w:kern w:val="0"/>
          <w:lang w:eastAsia="en-GB"/>
          <w14:ligatures w14:val="none"/>
        </w:rPr>
        <w:t>8</w:t>
      </w:r>
    </w:p>
    <w:p w14:paraId="44299A86" w14:textId="16CBF2EE"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Figure 5: Probability-impact risk matrix for the six registered project risks</w:t>
      </w:r>
      <w:r w:rsidRPr="002B00D9">
        <w:rPr>
          <w:rFonts w:ascii="Calibri" w:eastAsia="Calibri" w:hAnsi="Calibri" w:cs="Calibri"/>
          <w:kern w:val="0"/>
          <w:lang w:eastAsia="en-GB"/>
          <w14:ligatures w14:val="none"/>
        </w:rPr>
        <w:tab/>
        <w:t>1</w:t>
      </w:r>
      <w:r w:rsidR="00BD1DFE">
        <w:rPr>
          <w:rFonts w:ascii="Calibri" w:eastAsia="Calibri" w:hAnsi="Calibri" w:cs="Calibri"/>
          <w:kern w:val="0"/>
          <w:lang w:eastAsia="en-GB"/>
          <w14:ligatures w14:val="none"/>
        </w:rPr>
        <w:t>1</w:t>
      </w:r>
    </w:p>
    <w:p w14:paraId="0B19E864" w14:textId="77777777" w:rsidR="002B00D9" w:rsidRPr="002B00D9" w:rsidRDefault="002B00D9" w:rsidP="002B00D9">
      <w:pPr>
        <w:spacing w:before="300" w:after="200" w:line="240" w:lineRule="auto"/>
        <w:outlineLvl w:val="0"/>
        <w:rPr>
          <w:rFonts w:ascii="Calibri" w:eastAsia="Calibri" w:hAnsi="Calibri" w:cs="Calibri"/>
          <w:b/>
          <w:bCs/>
          <w:color w:val="0B1E3D"/>
          <w:kern w:val="0"/>
          <w:sz w:val="30"/>
          <w:szCs w:val="30"/>
          <w:lang w:eastAsia="en-GB"/>
          <w14:ligatures w14:val="none"/>
        </w:rPr>
      </w:pPr>
      <w:r w:rsidRPr="002B00D9">
        <w:rPr>
          <w:rFonts w:ascii="Calibri" w:eastAsia="Calibri" w:hAnsi="Calibri" w:cs="Calibri"/>
          <w:b/>
          <w:bCs/>
          <w:color w:val="0B1E3D"/>
          <w:kern w:val="0"/>
          <w:sz w:val="30"/>
          <w:szCs w:val="30"/>
          <w:lang w:eastAsia="en-GB"/>
          <w14:ligatures w14:val="none"/>
        </w:rPr>
        <w:t>List of Tables</w:t>
      </w:r>
    </w:p>
    <w:p w14:paraId="7BF4F268" w14:textId="6DBBFB0C" w:rsidR="002B00D9" w:rsidRPr="002B00D9" w:rsidRDefault="002B00D9" w:rsidP="002B00D9">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Table 1: Resource allocation by work package</w:t>
      </w:r>
      <w:r w:rsidRPr="002B00D9">
        <w:rPr>
          <w:rFonts w:ascii="Calibri" w:eastAsia="Calibri" w:hAnsi="Calibri" w:cs="Calibri"/>
          <w:kern w:val="0"/>
          <w:lang w:eastAsia="en-GB"/>
          <w14:ligatures w14:val="none"/>
        </w:rPr>
        <w:tab/>
      </w:r>
      <w:r w:rsidR="008D1D35">
        <w:rPr>
          <w:rFonts w:ascii="Calibri" w:eastAsia="Calibri" w:hAnsi="Calibri" w:cs="Calibri"/>
          <w:kern w:val="0"/>
          <w:lang w:eastAsia="en-GB"/>
          <w14:ligatures w14:val="none"/>
        </w:rPr>
        <w:t>9</w:t>
      </w:r>
    </w:p>
    <w:p w14:paraId="69026BA3" w14:textId="5AB49C9D" w:rsidR="002B00D9" w:rsidRDefault="002B00D9" w:rsidP="007A2038">
      <w:pPr>
        <w:tabs>
          <w:tab w:val="right" w:leader="dot" w:pos="9026"/>
        </w:tabs>
        <w:spacing w:line="360" w:lineRule="auto"/>
        <w:rPr>
          <w:rFonts w:ascii="Calibri" w:eastAsia="Calibri" w:hAnsi="Calibri" w:cs="Calibri"/>
          <w:kern w:val="0"/>
          <w:lang w:eastAsia="en-GB"/>
          <w14:ligatures w14:val="none"/>
        </w:rPr>
      </w:pPr>
      <w:r w:rsidRPr="002B00D9">
        <w:rPr>
          <w:rFonts w:ascii="Calibri" w:eastAsia="Calibri" w:hAnsi="Calibri" w:cs="Calibri"/>
          <w:kern w:val="0"/>
          <w:lang w:eastAsia="en-GB"/>
          <w14:ligatures w14:val="none"/>
        </w:rPr>
        <w:t xml:space="preserve">Table 2: Project risk </w:t>
      </w:r>
      <w:r w:rsidR="003C3A4B" w:rsidRPr="002B00D9">
        <w:rPr>
          <w:rFonts w:ascii="Calibri" w:eastAsia="Calibri" w:hAnsi="Calibri" w:cs="Calibri"/>
          <w:kern w:val="0"/>
          <w:lang w:eastAsia="en-GB"/>
          <w14:ligatures w14:val="none"/>
        </w:rPr>
        <w:t>registers</w:t>
      </w:r>
      <w:r w:rsidRPr="002B00D9">
        <w:rPr>
          <w:rFonts w:ascii="Calibri" w:eastAsia="Calibri" w:hAnsi="Calibri" w:cs="Calibri"/>
          <w:kern w:val="0"/>
          <w:lang w:eastAsia="en-GB"/>
          <w14:ligatures w14:val="none"/>
        </w:rPr>
        <w:tab/>
        <w:t>1</w:t>
      </w:r>
      <w:r w:rsidR="00755B61">
        <w:rPr>
          <w:rFonts w:ascii="Calibri" w:eastAsia="Calibri" w:hAnsi="Calibri" w:cs="Calibri"/>
          <w:kern w:val="0"/>
          <w:lang w:eastAsia="en-GB"/>
          <w14:ligatures w14:val="none"/>
        </w:rPr>
        <w:t>0</w:t>
      </w:r>
    </w:p>
    <w:p w14:paraId="2F983B3D" w14:textId="77777777" w:rsidR="00031D01" w:rsidRPr="002B00D9" w:rsidRDefault="00031D01" w:rsidP="007A2038">
      <w:pPr>
        <w:tabs>
          <w:tab w:val="right" w:leader="dot" w:pos="9026"/>
        </w:tabs>
        <w:spacing w:line="360" w:lineRule="auto"/>
        <w:rPr>
          <w:rFonts w:ascii="Calibri" w:eastAsia="Calibri" w:hAnsi="Calibri" w:cs="Calibri"/>
          <w:kern w:val="0"/>
          <w:lang w:eastAsia="en-GB"/>
          <w14:ligatures w14:val="none"/>
        </w:rPr>
      </w:pPr>
    </w:p>
    <w:p w14:paraId="434FA7FA" w14:textId="3ABE977F" w:rsidR="00274DDC" w:rsidRDefault="000432D2" w:rsidP="002B6624">
      <w:pPr>
        <w:pStyle w:val="ListParagraph"/>
        <w:numPr>
          <w:ilvl w:val="0"/>
          <w:numId w:val="2"/>
        </w:numPr>
        <w:spacing w:before="300" w:after="150" w:line="360" w:lineRule="auto"/>
        <w:outlineLvl w:val="0"/>
        <w:rPr>
          <w:rFonts w:ascii="Times New Roman" w:eastAsia="Calibri" w:hAnsi="Times New Roman" w:cs="Times New Roman"/>
          <w:b/>
          <w:bCs/>
          <w:color w:val="0B1E3D"/>
          <w:kern w:val="0"/>
          <w:sz w:val="28"/>
          <w:szCs w:val="28"/>
          <w:lang w:eastAsia="en-GB"/>
          <w14:ligatures w14:val="none"/>
        </w:rPr>
      </w:pPr>
      <w:r w:rsidRPr="002B6624">
        <w:rPr>
          <w:rFonts w:ascii="Times New Roman" w:eastAsia="Calibri" w:hAnsi="Times New Roman" w:cs="Times New Roman"/>
          <w:b/>
          <w:bCs/>
          <w:color w:val="0B1E3D"/>
          <w:kern w:val="0"/>
          <w:sz w:val="28"/>
          <w:szCs w:val="28"/>
          <w:lang w:eastAsia="en-GB"/>
          <w14:ligatures w14:val="none"/>
        </w:rPr>
        <w:lastRenderedPageBreak/>
        <w:t>Introduction</w:t>
      </w:r>
    </w:p>
    <w:p w14:paraId="195A6ACC" w14:textId="77777777" w:rsidR="002B6624" w:rsidRPr="002B6624" w:rsidRDefault="002B6624" w:rsidP="002B6624">
      <w:pPr>
        <w:spacing w:before="300" w:after="150" w:line="360" w:lineRule="auto"/>
        <w:jc w:val="both"/>
        <w:outlineLvl w:val="0"/>
        <w:rPr>
          <w:rFonts w:ascii="Times New Roman" w:eastAsia="Calibri" w:hAnsi="Times New Roman" w:cs="Times New Roman"/>
          <w:color w:val="0B1E3D"/>
          <w:kern w:val="0"/>
          <w:lang w:eastAsia="en-GB"/>
          <w14:ligatures w14:val="none"/>
        </w:rPr>
      </w:pPr>
      <w:r w:rsidRPr="002B6624">
        <w:rPr>
          <w:rFonts w:ascii="Times New Roman" w:eastAsia="Calibri" w:hAnsi="Times New Roman" w:cs="Times New Roman"/>
          <w:color w:val="0B1E3D"/>
          <w:kern w:val="0"/>
          <w:lang w:eastAsia="en-GB"/>
          <w14:ligatures w14:val="none"/>
        </w:rPr>
        <w:t>Effective project management provides organisations with a structured approach to delivering change by balancing project objectives with constraints relating to time, cost and quality (Project Management Institute, 2021). This report presents a project management plan for the proposed Smart Transport Management System (STMS), a digital transformation initiative designed to improve passenger mobility and freight coordination following the closure of the city's principal transport interchange. The project aims to deliver an integrated platform that combines real-time passenger information, digital ticketing, operator coordination and logistics management within a six-month timeframe and an estimated budget of £2.8 million.</w:t>
      </w:r>
    </w:p>
    <w:p w14:paraId="368A0AD9" w14:textId="27B6F05E" w:rsidR="002B6624" w:rsidRPr="002B6624" w:rsidRDefault="002B6624" w:rsidP="002B6624">
      <w:pPr>
        <w:spacing w:before="300" w:after="150" w:line="360" w:lineRule="auto"/>
        <w:jc w:val="both"/>
        <w:outlineLvl w:val="0"/>
        <w:rPr>
          <w:rFonts w:ascii="Times New Roman" w:eastAsia="Calibri" w:hAnsi="Times New Roman" w:cs="Times New Roman"/>
          <w:color w:val="0B1E3D"/>
          <w:kern w:val="0"/>
          <w:lang w:eastAsia="en-GB"/>
          <w14:ligatures w14:val="none"/>
        </w:rPr>
      </w:pPr>
      <w:r w:rsidRPr="002B6624">
        <w:rPr>
          <w:rFonts w:ascii="Times New Roman" w:eastAsia="Calibri" w:hAnsi="Times New Roman" w:cs="Times New Roman"/>
          <w:color w:val="0B1E3D"/>
          <w:kern w:val="0"/>
          <w:lang w:eastAsia="en-GB"/>
          <w14:ligatures w14:val="none"/>
        </w:rPr>
        <w:t>The report applies established project management principles and techniques to demonstrate how the project can be planned, managed and controlled effectively. It includes a defined project scope, a Work Breakdown Structure (WBS), Quad Chart, Gantt Chart, stakeholder analysis, resource allocation plan and an ISO 31000-based risk assessment. Together, these tools provide a structured framework for supporting informed decision-making, effective stakeholder engagement and successful project delivery while maintaining control over project scope, schedule, cost and quality</w:t>
      </w:r>
    </w:p>
    <w:p w14:paraId="03AC8A9A" w14:textId="3C5C7DB7" w:rsidR="007C29A0" w:rsidRPr="007C29A0" w:rsidRDefault="007C29A0" w:rsidP="00031D01">
      <w:pPr>
        <w:spacing w:before="300" w:after="150" w:line="360" w:lineRule="auto"/>
        <w:ind w:firstLine="720"/>
        <w:outlineLvl w:val="0"/>
        <w:rPr>
          <w:rFonts w:ascii="Times New Roman" w:eastAsia="Calibri" w:hAnsi="Times New Roman" w:cs="Times New Roman"/>
          <w:b/>
          <w:bCs/>
          <w:color w:val="0B1E3D"/>
          <w:kern w:val="0"/>
          <w:sz w:val="28"/>
          <w:szCs w:val="28"/>
          <w:lang w:eastAsia="en-GB"/>
          <w14:ligatures w14:val="none"/>
        </w:rPr>
      </w:pPr>
      <w:r w:rsidRPr="007C29A0">
        <w:rPr>
          <w:rFonts w:ascii="Times New Roman" w:eastAsia="Calibri" w:hAnsi="Times New Roman" w:cs="Times New Roman"/>
          <w:b/>
          <w:bCs/>
          <w:color w:val="0B1E3D"/>
          <w:kern w:val="0"/>
          <w:sz w:val="28"/>
          <w:szCs w:val="28"/>
          <w:lang w:eastAsia="en-GB"/>
          <w14:ligatures w14:val="none"/>
        </w:rPr>
        <w:t>2. Project Description</w:t>
      </w:r>
    </w:p>
    <w:p w14:paraId="0D4DD724" w14:textId="22DF84D8" w:rsidR="007C29A0" w:rsidRPr="007C29A0" w:rsidRDefault="007C29A0" w:rsidP="007C29A0">
      <w:pPr>
        <w:spacing w:after="200" w:line="360" w:lineRule="auto"/>
        <w:jc w:val="both"/>
        <w:rPr>
          <w:rFonts w:ascii="Times New Roman" w:eastAsia="Calibri" w:hAnsi="Times New Roman" w:cs="Times New Roman"/>
          <w:kern w:val="0"/>
          <w:lang w:eastAsia="en-GB"/>
          <w14:ligatures w14:val="none"/>
        </w:rPr>
      </w:pPr>
      <w:r w:rsidRPr="007C29A0">
        <w:rPr>
          <w:rFonts w:ascii="Times New Roman" w:eastAsia="Calibri" w:hAnsi="Times New Roman" w:cs="Times New Roman"/>
          <w:kern w:val="0"/>
          <w:lang w:eastAsia="en-GB"/>
          <w14:ligatures w14:val="none"/>
        </w:rPr>
        <w:t xml:space="preserve">The Smart Transport Management System (STMS) project addresses a well-defined operational problem. </w:t>
      </w:r>
      <w:r w:rsidR="00833860">
        <w:rPr>
          <w:rFonts w:ascii="Times New Roman" w:eastAsia="Calibri" w:hAnsi="Times New Roman" w:cs="Times New Roman"/>
          <w:kern w:val="0"/>
          <w:lang w:eastAsia="en-GB"/>
          <w14:ligatures w14:val="none"/>
        </w:rPr>
        <w:t>Since</w:t>
      </w:r>
      <w:r w:rsidRPr="007C29A0">
        <w:rPr>
          <w:rFonts w:ascii="Times New Roman" w:eastAsia="Calibri" w:hAnsi="Times New Roman" w:cs="Times New Roman"/>
          <w:kern w:val="0"/>
          <w:lang w:eastAsia="en-GB"/>
          <w14:ligatures w14:val="none"/>
        </w:rPr>
        <w:t xml:space="preserve"> the closure of the city's principal transport interchange, passenger movement and freight operations have become increasingly disrupted, producing longer travel times, unpredictable freight transfers and </w:t>
      </w:r>
      <w:r w:rsidR="00ED59C5">
        <w:rPr>
          <w:rFonts w:ascii="Times New Roman" w:eastAsia="Calibri" w:hAnsi="Times New Roman" w:cs="Times New Roman"/>
          <w:kern w:val="0"/>
          <w:lang w:eastAsia="en-GB"/>
          <w14:ligatures w14:val="none"/>
        </w:rPr>
        <w:t xml:space="preserve">declining </w:t>
      </w:r>
      <w:r w:rsidRPr="007C29A0">
        <w:rPr>
          <w:rFonts w:ascii="Times New Roman" w:eastAsia="Calibri" w:hAnsi="Times New Roman" w:cs="Times New Roman"/>
          <w:kern w:val="0"/>
          <w:lang w:eastAsia="en-GB"/>
          <w14:ligatures w14:val="none"/>
        </w:rPr>
        <w:t>customer satisfaction</w:t>
      </w:r>
      <w:r w:rsidR="00ED59C5">
        <w:rPr>
          <w:rFonts w:ascii="Times New Roman" w:eastAsia="Calibri" w:hAnsi="Times New Roman" w:cs="Times New Roman"/>
          <w:kern w:val="0"/>
          <w:lang w:eastAsia="en-GB"/>
          <w14:ligatures w14:val="none"/>
        </w:rPr>
        <w:t xml:space="preserve"> </w:t>
      </w:r>
      <w:r w:rsidRPr="007C29A0">
        <w:rPr>
          <w:rFonts w:ascii="Times New Roman" w:eastAsia="Calibri" w:hAnsi="Times New Roman" w:cs="Times New Roman"/>
          <w:kern w:val="0"/>
          <w:lang w:eastAsia="en-GB"/>
          <w14:ligatures w14:val="none"/>
        </w:rPr>
        <w:t>(Department for Transport, 2021). Congestion and inefficient logistics coordination are affecting both productivity and the wider local economy, and the absence of a shared digital platform means that transport operators currently plan and communicate largely in isolation from one another.</w:t>
      </w:r>
    </w:p>
    <w:p w14:paraId="48CD7984" w14:textId="77777777" w:rsidR="00420495" w:rsidRDefault="00420495" w:rsidP="00420495">
      <w:pPr>
        <w:spacing w:before="300" w:after="150" w:line="360" w:lineRule="auto"/>
        <w:jc w:val="both"/>
        <w:outlineLvl w:val="0"/>
        <w:rPr>
          <w:rFonts w:ascii="Times New Roman" w:eastAsia="Calibri" w:hAnsi="Times New Roman" w:cs="Times New Roman"/>
          <w:kern w:val="0"/>
          <w:lang w:eastAsia="en-GB"/>
          <w14:ligatures w14:val="none"/>
        </w:rPr>
      </w:pPr>
      <w:r w:rsidRPr="00420495">
        <w:rPr>
          <w:rFonts w:ascii="Times New Roman" w:eastAsia="Calibri" w:hAnsi="Times New Roman" w:cs="Times New Roman"/>
          <w:kern w:val="0"/>
          <w:lang w:eastAsia="en-GB"/>
          <w14:ligatures w14:val="none"/>
        </w:rPr>
        <w:t xml:space="preserve">This project proposes the design, development and deployment of an integrated digital platform that brings together real-time passenger information, digital ticketing, an operator dashboard, and a freight and logistics portal within a single system (Transport for London, 2022). The platform aims to enhance passenger mobility and logistics coordination by enabling real-time information sharing across all participating transport operators. Its objectives follow Doran's (1981) SMART framework. Specifically, the platform will deliver real-time passenger </w:t>
      </w:r>
      <w:r w:rsidRPr="00420495">
        <w:rPr>
          <w:rFonts w:ascii="Times New Roman" w:eastAsia="Calibri" w:hAnsi="Times New Roman" w:cs="Times New Roman"/>
          <w:kern w:val="0"/>
          <w:lang w:eastAsia="en-GB"/>
          <w14:ligatures w14:val="none"/>
        </w:rPr>
        <w:lastRenderedPageBreak/>
        <w:t>information, digital ticketing and logistics coordination; achieve at least 80 per cent user access to live travel information, a 20 per cent improvement in freight transfer efficiency, a 15 per cent increase in on-time service delivery, and 90 per cent user satisfaction; utilise existing digital technologies, cloud infrastructure and collaborative partnerships; support the city's wider digital transformation and sustainability strategy; and be fully implemented within six months. Evidence from the McKinsey Global Institute (2018) and McKinsey &amp; Company (2023) suggests that comparable smart mobility initiatives can improve quality-of-life indicators by between 10 and 30 per cent, providing strong external support for the project's business case.</w:t>
      </w:r>
    </w:p>
    <w:p w14:paraId="0D1ED049" w14:textId="28791954" w:rsidR="000A0588" w:rsidRPr="000A0588" w:rsidRDefault="000A0588" w:rsidP="00031D01">
      <w:pPr>
        <w:spacing w:before="300" w:after="150" w:line="360" w:lineRule="auto"/>
        <w:ind w:firstLine="720"/>
        <w:outlineLvl w:val="0"/>
        <w:rPr>
          <w:rFonts w:ascii="Times New Roman" w:eastAsia="Calibri" w:hAnsi="Times New Roman" w:cs="Times New Roman"/>
          <w:b/>
          <w:bCs/>
          <w:color w:val="0B1E3D"/>
          <w:kern w:val="0"/>
          <w:sz w:val="30"/>
          <w:szCs w:val="30"/>
          <w:lang w:eastAsia="en-GB"/>
          <w14:ligatures w14:val="none"/>
        </w:rPr>
      </w:pPr>
      <w:r w:rsidRPr="000A0588">
        <w:rPr>
          <w:rFonts w:ascii="Times New Roman" w:eastAsia="Calibri" w:hAnsi="Times New Roman" w:cs="Times New Roman"/>
          <w:b/>
          <w:bCs/>
          <w:color w:val="0B1E3D"/>
          <w:kern w:val="0"/>
          <w:sz w:val="30"/>
          <w:szCs w:val="30"/>
          <w:lang w:eastAsia="en-GB"/>
          <w14:ligatures w14:val="none"/>
        </w:rPr>
        <w:t>3. Scope</w:t>
      </w:r>
    </w:p>
    <w:p w14:paraId="72293724" w14:textId="2488ED16" w:rsidR="000A0588" w:rsidRPr="000A0588" w:rsidRDefault="00E47307" w:rsidP="000A0588">
      <w:pPr>
        <w:spacing w:after="200" w:line="360" w:lineRule="auto"/>
        <w:jc w:val="both"/>
        <w:rPr>
          <w:rFonts w:ascii="Times New Roman" w:eastAsia="Calibri" w:hAnsi="Times New Roman" w:cs="Times New Roman"/>
          <w:kern w:val="0"/>
          <w:lang w:eastAsia="en-GB"/>
          <w14:ligatures w14:val="none"/>
        </w:rPr>
      </w:pPr>
      <w:r w:rsidRPr="00E47307">
        <w:rPr>
          <w:rFonts w:ascii="Times New Roman" w:eastAsia="Calibri" w:hAnsi="Times New Roman" w:cs="Times New Roman"/>
          <w:kern w:val="0"/>
          <w:lang w:eastAsia="en-GB"/>
          <w14:ligatures w14:val="none"/>
        </w:rPr>
        <w:t>As Kerzner (2017) argues, a clearly bounded scope statement is the principal safeguard against uncontrolled change during project execution.</w:t>
      </w:r>
      <w:r>
        <w:rPr>
          <w:rFonts w:ascii="Times New Roman" w:eastAsia="Calibri" w:hAnsi="Times New Roman" w:cs="Times New Roman"/>
          <w:kern w:val="0"/>
          <w:lang w:eastAsia="en-GB"/>
          <w14:ligatures w14:val="none"/>
        </w:rPr>
        <w:t xml:space="preserve"> </w:t>
      </w:r>
      <w:r w:rsidR="000A0588" w:rsidRPr="000A0588">
        <w:rPr>
          <w:rFonts w:ascii="Times New Roman" w:eastAsia="Calibri" w:hAnsi="Times New Roman" w:cs="Times New Roman"/>
          <w:kern w:val="0"/>
          <w:lang w:eastAsia="en-GB"/>
          <w14:ligatures w14:val="none"/>
        </w:rPr>
        <w:t xml:space="preserve">The in-scope elements </w:t>
      </w:r>
      <w:r w:rsidR="00E14816">
        <w:rPr>
          <w:rFonts w:ascii="Times New Roman" w:eastAsia="Calibri" w:hAnsi="Times New Roman" w:cs="Times New Roman"/>
          <w:kern w:val="0"/>
          <w:lang w:eastAsia="en-GB"/>
          <w14:ligatures w14:val="none"/>
        </w:rPr>
        <w:t>include</w:t>
      </w:r>
      <w:r w:rsidR="000A0588" w:rsidRPr="000A0588">
        <w:rPr>
          <w:rFonts w:ascii="Times New Roman" w:eastAsia="Calibri" w:hAnsi="Times New Roman" w:cs="Times New Roman"/>
          <w:kern w:val="0"/>
          <w:lang w:eastAsia="en-GB"/>
          <w14:ligatures w14:val="none"/>
        </w:rPr>
        <w:t xml:space="preserve"> passenger monitoring and real-time information services, digital ticketing and payments, an integrated operator platform, a data analytics dashboard, a logistics coordination module, and deployment together with staff training and change management support. These elements map directly onto the project's key deliverables: a digital platform, a mobile application, an analytics dashboard, integration application programming interfaces (APIs), user training and manuals, and a project closure report.</w:t>
      </w:r>
    </w:p>
    <w:p w14:paraId="2DDADE7A" w14:textId="77777777" w:rsidR="00B0226B" w:rsidRDefault="00B0226B" w:rsidP="00A55B3E">
      <w:pPr>
        <w:spacing w:after="200" w:line="360" w:lineRule="auto"/>
        <w:jc w:val="both"/>
        <w:rPr>
          <w:rFonts w:ascii="Times New Roman" w:eastAsia="Calibri" w:hAnsi="Times New Roman" w:cs="Times New Roman"/>
          <w:kern w:val="0"/>
          <w:lang w:eastAsia="en-GB"/>
          <w14:ligatures w14:val="none"/>
        </w:rPr>
      </w:pPr>
      <w:r w:rsidRPr="00B0226B">
        <w:rPr>
          <w:rFonts w:ascii="Times New Roman" w:eastAsia="Calibri" w:hAnsi="Times New Roman" w:cs="Times New Roman"/>
          <w:kern w:val="0"/>
          <w:lang w:eastAsia="en-GB"/>
          <w14:ligatures w14:val="none"/>
        </w:rPr>
        <w:t>Several activities are intentionally excluded from the project scope, including rebuilding the closed transport hub, constructing new multimodal infrastructure, procuring rolling stock and vehicles, developing long-term transport policies, and managing operations outside the digital platform. Excluding these activities keeps the project focused on digital transformation, enabling delivery within the six-month schedule and £2.8 million budget while reducing the risk of scope creep into a much larger infrastructure programme (Lock, 2020). Any proposed changes to the agreed scope will be reviewed through the project's formal change-control process at each project board meeting to ensure that schedule and budget remain under control.</w:t>
      </w:r>
    </w:p>
    <w:p w14:paraId="785AD73F" w14:textId="711781C9" w:rsidR="00A55B3E" w:rsidRPr="00A55B3E" w:rsidRDefault="00A55B3E" w:rsidP="00031D01">
      <w:pPr>
        <w:spacing w:after="200" w:line="360" w:lineRule="auto"/>
        <w:ind w:firstLine="720"/>
        <w:jc w:val="both"/>
        <w:rPr>
          <w:rFonts w:ascii="Times New Roman" w:eastAsia="Calibri" w:hAnsi="Times New Roman" w:cs="Times New Roman"/>
          <w:kern w:val="0"/>
          <w:lang w:eastAsia="en-GB"/>
          <w14:ligatures w14:val="none"/>
        </w:rPr>
      </w:pPr>
      <w:r w:rsidRPr="00A55B3E">
        <w:rPr>
          <w:rFonts w:ascii="Times New Roman" w:eastAsia="Calibri" w:hAnsi="Times New Roman" w:cs="Times New Roman"/>
          <w:b/>
          <w:bCs/>
          <w:kern w:val="0"/>
          <w:lang w:eastAsia="en-GB"/>
          <w14:ligatures w14:val="none"/>
        </w:rPr>
        <w:t>4. Work Breakdown Structure (WBS)</w:t>
      </w:r>
    </w:p>
    <w:p w14:paraId="560392EB" w14:textId="691CFB92" w:rsidR="009447D0" w:rsidRDefault="00A55B3E" w:rsidP="00A55B3E">
      <w:pPr>
        <w:spacing w:after="200" w:line="360" w:lineRule="auto"/>
        <w:jc w:val="both"/>
        <w:rPr>
          <w:rFonts w:ascii="Times New Roman" w:eastAsia="Calibri" w:hAnsi="Times New Roman" w:cs="Times New Roman"/>
          <w:kern w:val="0"/>
          <w:lang w:eastAsia="en-GB"/>
          <w14:ligatures w14:val="none"/>
        </w:rPr>
      </w:pPr>
      <w:r w:rsidRPr="00A55B3E">
        <w:rPr>
          <w:rFonts w:ascii="Times New Roman" w:eastAsia="Calibri" w:hAnsi="Times New Roman" w:cs="Times New Roman"/>
          <w:kern w:val="0"/>
          <w:lang w:eastAsia="en-GB"/>
          <w14:ligatures w14:val="none"/>
        </w:rPr>
        <w:t>The work breakdown structure (WBS) decomposes the STMS project into progressively smaller, manageable components. This follows Globerson's (1994) observation that the design of a WBS shapes how a project is subsequently organised and managed, often in ways the designer does not fully anticipate. Figure 1 presents the WBS to three levels</w:t>
      </w:r>
      <w:r w:rsidR="009447D0">
        <w:rPr>
          <w:rFonts w:ascii="Times New Roman" w:eastAsia="Calibri" w:hAnsi="Times New Roman" w:cs="Times New Roman"/>
          <w:kern w:val="0"/>
          <w:lang w:eastAsia="en-GB"/>
          <w14:ligatures w14:val="none"/>
        </w:rPr>
        <w:t>:</w:t>
      </w:r>
      <w:r w:rsidRPr="00A55B3E">
        <w:rPr>
          <w:rFonts w:ascii="Times New Roman" w:eastAsia="Calibri" w:hAnsi="Times New Roman" w:cs="Times New Roman"/>
          <w:kern w:val="0"/>
          <w:lang w:eastAsia="en-GB"/>
          <w14:ligatures w14:val="none"/>
        </w:rPr>
        <w:t xml:space="preserve"> Level 0 represents </w:t>
      </w:r>
      <w:r w:rsidRPr="00A55B3E">
        <w:rPr>
          <w:rFonts w:ascii="Times New Roman" w:eastAsia="Calibri" w:hAnsi="Times New Roman" w:cs="Times New Roman"/>
          <w:kern w:val="0"/>
          <w:lang w:eastAsia="en-GB"/>
          <w14:ligatures w14:val="none"/>
        </w:rPr>
        <w:lastRenderedPageBreak/>
        <w:t xml:space="preserve">the </w:t>
      </w:r>
      <w:r>
        <w:rPr>
          <w:rFonts w:ascii="Times New Roman" w:eastAsia="Calibri" w:hAnsi="Times New Roman" w:cs="Times New Roman"/>
          <w:kern w:val="0"/>
          <w:lang w:eastAsia="en-GB"/>
          <w14:ligatures w14:val="none"/>
        </w:rPr>
        <w:t xml:space="preserve">entire </w:t>
      </w:r>
      <w:r w:rsidRPr="00A55B3E">
        <w:rPr>
          <w:rFonts w:ascii="Times New Roman" w:eastAsia="Calibri" w:hAnsi="Times New Roman" w:cs="Times New Roman"/>
          <w:kern w:val="0"/>
          <w:lang w:eastAsia="en-GB"/>
          <w14:ligatures w14:val="none"/>
        </w:rPr>
        <w:t>project</w:t>
      </w:r>
      <w:r w:rsidR="009447D0">
        <w:rPr>
          <w:rFonts w:ascii="Times New Roman" w:eastAsia="Calibri" w:hAnsi="Times New Roman" w:cs="Times New Roman"/>
          <w:kern w:val="0"/>
          <w:lang w:eastAsia="en-GB"/>
          <w14:ligatures w14:val="none"/>
        </w:rPr>
        <w:t>;</w:t>
      </w:r>
      <w:r w:rsidRPr="00A55B3E">
        <w:rPr>
          <w:rFonts w:ascii="Times New Roman" w:eastAsia="Calibri" w:hAnsi="Times New Roman" w:cs="Times New Roman"/>
          <w:kern w:val="0"/>
          <w:lang w:eastAsia="en-GB"/>
          <w14:ligatures w14:val="none"/>
        </w:rPr>
        <w:t xml:space="preserve"> Level 1 divides the project into five phases aligned with the six-month delivery timeline: project initiation; system and data design; platform development; testing and training; and deployment and closure</w:t>
      </w:r>
      <w:r w:rsidR="009447D0">
        <w:rPr>
          <w:rFonts w:ascii="Times New Roman" w:eastAsia="Calibri" w:hAnsi="Times New Roman" w:cs="Times New Roman"/>
          <w:kern w:val="0"/>
          <w:lang w:eastAsia="en-GB"/>
          <w14:ligatures w14:val="none"/>
        </w:rPr>
        <w:t>;</w:t>
      </w:r>
      <w:r w:rsidRPr="00A55B3E">
        <w:rPr>
          <w:rFonts w:ascii="Times New Roman" w:eastAsia="Calibri" w:hAnsi="Times New Roman" w:cs="Times New Roman"/>
          <w:kern w:val="0"/>
          <w:lang w:eastAsia="en-GB"/>
          <w14:ligatures w14:val="none"/>
        </w:rPr>
        <w:t xml:space="preserve"> Level 2 then breaks each phase down into discrete work packages, such as stakeholder engagement and requirements gathering under initiation, or module integration and API development under platform development.</w:t>
      </w:r>
    </w:p>
    <w:p w14:paraId="500091C8" w14:textId="1107097C" w:rsidR="00A55B3E" w:rsidRDefault="009447D0" w:rsidP="00A55B3E">
      <w:pPr>
        <w:spacing w:after="200" w:line="360" w:lineRule="auto"/>
        <w:jc w:val="both"/>
        <w:rPr>
          <w:rFonts w:ascii="Times New Roman" w:eastAsia="Calibri" w:hAnsi="Times New Roman" w:cs="Times New Roman"/>
          <w:kern w:val="0"/>
          <w:lang w:eastAsia="en-GB"/>
          <w14:ligatures w14:val="none"/>
        </w:rPr>
      </w:pPr>
      <w:r w:rsidRPr="009447D0">
        <w:rPr>
          <w:rFonts w:ascii="Times New Roman" w:eastAsia="Calibri" w:hAnsi="Times New Roman" w:cs="Times New Roman"/>
          <w:noProof/>
          <w:kern w:val="0"/>
          <w:lang w:eastAsia="en-GB"/>
          <w14:ligatures w14:val="none"/>
        </w:rPr>
        <w:drawing>
          <wp:inline distT="0" distB="0" distL="0" distR="0" wp14:anchorId="30132A96" wp14:editId="05E26EA6">
            <wp:extent cx="5731510" cy="1953491"/>
            <wp:effectExtent l="0" t="0" r="2540" b="8890"/>
            <wp:docPr id="218107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07565" name=""/>
                    <pic:cNvPicPr/>
                  </pic:nvPicPr>
                  <pic:blipFill>
                    <a:blip r:embed="rId9"/>
                    <a:stretch>
                      <a:fillRect/>
                    </a:stretch>
                  </pic:blipFill>
                  <pic:spPr>
                    <a:xfrm>
                      <a:off x="0" y="0"/>
                      <a:ext cx="5735031" cy="1954691"/>
                    </a:xfrm>
                    <a:prstGeom prst="rect">
                      <a:avLst/>
                    </a:prstGeom>
                  </pic:spPr>
                </pic:pic>
              </a:graphicData>
            </a:graphic>
          </wp:inline>
        </w:drawing>
      </w:r>
    </w:p>
    <w:p w14:paraId="669524C8" w14:textId="77777777" w:rsidR="00A30577" w:rsidRDefault="00A30577" w:rsidP="00A30577">
      <w:pPr>
        <w:spacing w:after="200" w:line="360" w:lineRule="auto"/>
        <w:ind w:left="2160" w:firstLine="720"/>
        <w:jc w:val="both"/>
        <w:rPr>
          <w:rFonts w:ascii="Times New Roman" w:eastAsia="Calibri" w:hAnsi="Times New Roman" w:cs="Times New Roman"/>
          <w:i/>
          <w:iCs/>
          <w:kern w:val="0"/>
          <w:sz w:val="20"/>
          <w:szCs w:val="20"/>
          <w:lang w:val="en-US" w:eastAsia="en-GB"/>
          <w14:ligatures w14:val="none"/>
        </w:rPr>
      </w:pPr>
      <w:r w:rsidRPr="00A30577">
        <w:rPr>
          <w:rFonts w:ascii="Times New Roman" w:eastAsia="Calibri" w:hAnsi="Times New Roman" w:cs="Times New Roman"/>
          <w:i/>
          <w:iCs/>
          <w:kern w:val="0"/>
          <w:sz w:val="20"/>
          <w:szCs w:val="20"/>
          <w:lang w:val="en-US" w:eastAsia="en-GB"/>
          <w14:ligatures w14:val="none"/>
        </w:rPr>
        <w:t>Illustrative Level 3 Owners Only</w:t>
      </w:r>
    </w:p>
    <w:p w14:paraId="713319F8" w14:textId="57D37750" w:rsidR="009447D0" w:rsidRPr="009447D0" w:rsidRDefault="009447D0" w:rsidP="009447D0">
      <w:pPr>
        <w:spacing w:after="200" w:line="360" w:lineRule="auto"/>
        <w:jc w:val="both"/>
        <w:rPr>
          <w:rFonts w:ascii="Times New Roman" w:eastAsia="Calibri" w:hAnsi="Times New Roman" w:cs="Times New Roman"/>
          <w:kern w:val="0"/>
          <w:lang w:eastAsia="en-GB"/>
          <w14:ligatures w14:val="none"/>
        </w:rPr>
      </w:pPr>
      <w:r w:rsidRPr="009447D0">
        <w:rPr>
          <w:rFonts w:ascii="Times New Roman" w:eastAsia="Calibri" w:hAnsi="Times New Roman" w:cs="Times New Roman"/>
          <w:kern w:val="0"/>
          <w:lang w:eastAsia="en-GB"/>
          <w14:ligatures w14:val="none"/>
        </w:rPr>
        <w:t>Kerzner (2017) and Lavold, as cited in Globerson (1994), recommend that a WBS for a project of this scale extend to between four and six levels, with individual work packages sized so that responsibility can rest with a single accountable owner. Level 3 work packages, not shown in full in Figure 1 for clarity, follow this principle: the project manager owns stakeholder engagement, the solutions architect owns system and data architecture, and the quality assurance lead owns user acceptance testing. Each work package carries a defined deliverable, duration and resource assignment, which underpins both the Gantt chart schedule in Section 6 and the resource allocation table in Section 8.</w:t>
      </w:r>
    </w:p>
    <w:p w14:paraId="3AF315F9" w14:textId="7F759C06" w:rsidR="005E0E9A" w:rsidRDefault="009447D0" w:rsidP="009447D0">
      <w:pPr>
        <w:spacing w:after="200" w:line="360" w:lineRule="auto"/>
        <w:jc w:val="both"/>
        <w:rPr>
          <w:rFonts w:ascii="Times New Roman" w:eastAsia="Calibri" w:hAnsi="Times New Roman" w:cs="Times New Roman"/>
          <w:kern w:val="0"/>
          <w:lang w:eastAsia="en-GB"/>
          <w14:ligatures w14:val="none"/>
        </w:rPr>
      </w:pPr>
      <w:r w:rsidRPr="009447D0">
        <w:rPr>
          <w:rFonts w:ascii="Times New Roman" w:eastAsia="Calibri" w:hAnsi="Times New Roman" w:cs="Times New Roman"/>
          <w:kern w:val="0"/>
          <w:lang w:eastAsia="en-GB"/>
          <w14:ligatures w14:val="none"/>
        </w:rPr>
        <w:t>Structuring the WBS around project phases, rather than organisational departments, supports closer collaboration between the technology delivery team and participating transport operators</w:t>
      </w:r>
      <w:r>
        <w:rPr>
          <w:rFonts w:ascii="Times New Roman" w:eastAsia="Calibri" w:hAnsi="Times New Roman" w:cs="Times New Roman"/>
          <w:kern w:val="0"/>
          <w:lang w:eastAsia="en-GB"/>
          <w14:ligatures w14:val="none"/>
        </w:rPr>
        <w:t>,</w:t>
      </w:r>
      <w:r w:rsidRPr="009447D0">
        <w:rPr>
          <w:rFonts w:ascii="Times New Roman" w:eastAsia="Calibri" w:hAnsi="Times New Roman" w:cs="Times New Roman"/>
          <w:kern w:val="0"/>
          <w:lang w:eastAsia="en-GB"/>
          <w14:ligatures w14:val="none"/>
        </w:rPr>
        <w:t xml:space="preserve"> a priority given the project's dependence on external operator systems for data integration. </w:t>
      </w:r>
      <w:r w:rsidR="00781322">
        <w:rPr>
          <w:rFonts w:ascii="Times New Roman" w:eastAsia="Calibri" w:hAnsi="Times New Roman" w:cs="Times New Roman"/>
          <w:kern w:val="0"/>
          <w:lang w:eastAsia="en-GB"/>
          <w14:ligatures w14:val="none"/>
        </w:rPr>
        <w:t>Additionally, it</w:t>
      </w:r>
      <w:r w:rsidRPr="009447D0">
        <w:rPr>
          <w:rFonts w:ascii="Times New Roman" w:eastAsia="Calibri" w:hAnsi="Times New Roman" w:cs="Times New Roman"/>
          <w:kern w:val="0"/>
          <w:lang w:eastAsia="en-GB"/>
          <w14:ligatures w14:val="none"/>
        </w:rPr>
        <w:t xml:space="preserve"> simplifies reporting to the project board, since each Level 1 branch corresponds directly to a milestone within the overall programme.</w:t>
      </w:r>
    </w:p>
    <w:p w14:paraId="1137B0CD" w14:textId="152CBD93" w:rsidR="00C749C5" w:rsidRPr="00C749C5" w:rsidRDefault="00C749C5" w:rsidP="00031D01">
      <w:pPr>
        <w:spacing w:before="100" w:after="250" w:line="360" w:lineRule="auto"/>
        <w:ind w:firstLine="720"/>
        <w:rPr>
          <w:rFonts w:ascii="Times New Roman" w:eastAsia="Calibri" w:hAnsi="Times New Roman" w:cs="Times New Roman"/>
          <w:b/>
          <w:bCs/>
          <w:kern w:val="0"/>
          <w:lang w:eastAsia="en-GB"/>
          <w14:ligatures w14:val="none"/>
        </w:rPr>
      </w:pPr>
      <w:r w:rsidRPr="00C749C5">
        <w:rPr>
          <w:rFonts w:ascii="Times New Roman" w:eastAsia="Calibri" w:hAnsi="Times New Roman" w:cs="Times New Roman"/>
          <w:b/>
          <w:bCs/>
          <w:kern w:val="0"/>
          <w:lang w:eastAsia="en-GB"/>
          <w14:ligatures w14:val="none"/>
        </w:rPr>
        <w:t>5. Quad Chart</w:t>
      </w:r>
    </w:p>
    <w:p w14:paraId="548FBFCC" w14:textId="2AF115DA" w:rsidR="00781322" w:rsidRDefault="005566DA" w:rsidP="000A0588">
      <w:pPr>
        <w:spacing w:after="200" w:line="360" w:lineRule="auto"/>
        <w:jc w:val="both"/>
        <w:rPr>
          <w:rFonts w:ascii="Times New Roman" w:eastAsia="Calibri" w:hAnsi="Times New Roman" w:cs="Times New Roman"/>
          <w:kern w:val="0"/>
          <w:lang w:eastAsia="en-GB"/>
          <w14:ligatures w14:val="none"/>
        </w:rPr>
      </w:pPr>
      <w:r w:rsidRPr="005566DA">
        <w:rPr>
          <w:rFonts w:ascii="Times New Roman" w:eastAsia="Calibri" w:hAnsi="Times New Roman" w:cs="Times New Roman"/>
          <w:kern w:val="0"/>
          <w:lang w:eastAsia="en-GB"/>
          <w14:ligatures w14:val="none"/>
        </w:rPr>
        <w:t xml:space="preserve">Figure 2 presents a quad chart, offering senior stakeholders a single-page overview of the project rather than the full plan. Widely used in government, defence and technology programme management, the format condenses a project into four quadrants covering </w:t>
      </w:r>
      <w:r w:rsidRPr="005566DA">
        <w:rPr>
          <w:rFonts w:ascii="Times New Roman" w:eastAsia="Calibri" w:hAnsi="Times New Roman" w:cs="Times New Roman"/>
          <w:kern w:val="0"/>
          <w:lang w:eastAsia="en-GB"/>
          <w14:ligatures w14:val="none"/>
        </w:rPr>
        <w:lastRenderedPageBreak/>
        <w:t xml:space="preserve">objective, schedule, cost and risk (Kerzner, 2017). Applied to STMS, the objective quadrant restates the project's core purpose; the schedule quadrant summarises the six-month milestone sequence; the cost quadrant sets out the estimated £2.8 million investment and headline resource requirement; and the risk quadrant highlights the highest-priority risks alongside their </w:t>
      </w:r>
      <w:r w:rsidR="00781322">
        <w:rPr>
          <w:rFonts w:ascii="Times New Roman" w:eastAsia="Calibri" w:hAnsi="Times New Roman" w:cs="Times New Roman"/>
          <w:kern w:val="0"/>
          <w:lang w:eastAsia="en-GB"/>
          <w14:ligatures w14:val="none"/>
        </w:rPr>
        <w:t>principal</w:t>
      </w:r>
      <w:r w:rsidRPr="005566DA">
        <w:rPr>
          <w:rFonts w:ascii="Times New Roman" w:eastAsia="Calibri" w:hAnsi="Times New Roman" w:cs="Times New Roman"/>
          <w:kern w:val="0"/>
          <w:lang w:eastAsia="en-GB"/>
          <w14:ligatures w14:val="none"/>
        </w:rPr>
        <w:t xml:space="preserve"> mitigation. </w:t>
      </w:r>
    </w:p>
    <w:p w14:paraId="21C4AEBD" w14:textId="77777777" w:rsidR="00A30577" w:rsidRDefault="00B26735" w:rsidP="000A0588">
      <w:pPr>
        <w:spacing w:after="200" w:line="360" w:lineRule="auto"/>
        <w:jc w:val="both"/>
        <w:rPr>
          <w:rFonts w:ascii="Times New Roman" w:eastAsia="Calibri" w:hAnsi="Times New Roman" w:cs="Times New Roman"/>
          <w:i/>
          <w:iCs/>
          <w:kern w:val="0"/>
          <w:sz w:val="20"/>
          <w:szCs w:val="20"/>
          <w:lang w:eastAsia="en-GB"/>
          <w14:ligatures w14:val="none"/>
        </w:rPr>
      </w:pPr>
      <w:r w:rsidRPr="00B26735">
        <w:rPr>
          <w:rFonts w:ascii="Times New Roman" w:eastAsia="Calibri" w:hAnsi="Times New Roman" w:cs="Times New Roman"/>
          <w:i/>
          <w:iCs/>
          <w:noProof/>
          <w:kern w:val="0"/>
          <w:sz w:val="20"/>
          <w:szCs w:val="20"/>
          <w:lang w:eastAsia="en-GB"/>
          <w14:ligatures w14:val="none"/>
        </w:rPr>
        <w:drawing>
          <wp:inline distT="0" distB="0" distL="0" distR="0" wp14:anchorId="618C0763" wp14:editId="10274C37">
            <wp:extent cx="5730797" cy="2189747"/>
            <wp:effectExtent l="0" t="0" r="3810" b="1270"/>
            <wp:docPr id="63360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00068" name=""/>
                    <pic:cNvPicPr/>
                  </pic:nvPicPr>
                  <pic:blipFill>
                    <a:blip r:embed="rId10"/>
                    <a:stretch>
                      <a:fillRect/>
                    </a:stretch>
                  </pic:blipFill>
                  <pic:spPr>
                    <a:xfrm>
                      <a:off x="0" y="0"/>
                      <a:ext cx="5740468" cy="2193442"/>
                    </a:xfrm>
                    <a:prstGeom prst="rect">
                      <a:avLst/>
                    </a:prstGeom>
                  </pic:spPr>
                </pic:pic>
              </a:graphicData>
            </a:graphic>
          </wp:inline>
        </w:drawing>
      </w:r>
      <w:r w:rsidR="00A30577">
        <w:rPr>
          <w:rFonts w:ascii="Times New Roman" w:eastAsia="Calibri" w:hAnsi="Times New Roman" w:cs="Times New Roman"/>
          <w:i/>
          <w:iCs/>
          <w:kern w:val="0"/>
          <w:sz w:val="20"/>
          <w:szCs w:val="20"/>
          <w:lang w:eastAsia="en-GB"/>
          <w14:ligatures w14:val="none"/>
        </w:rPr>
        <w:t xml:space="preserve">  </w:t>
      </w:r>
    </w:p>
    <w:p w14:paraId="049DAC5C" w14:textId="63392170" w:rsidR="00A55B3E" w:rsidRDefault="00781322" w:rsidP="00A30577">
      <w:pPr>
        <w:spacing w:after="200" w:line="360" w:lineRule="auto"/>
        <w:ind w:left="720" w:firstLine="720"/>
        <w:jc w:val="both"/>
        <w:rPr>
          <w:rFonts w:ascii="Times New Roman" w:eastAsia="Calibri" w:hAnsi="Times New Roman" w:cs="Times New Roman"/>
          <w:kern w:val="0"/>
          <w:lang w:eastAsia="en-GB"/>
          <w14:ligatures w14:val="none"/>
        </w:rPr>
      </w:pPr>
      <w:r w:rsidRPr="00781322">
        <w:rPr>
          <w:rFonts w:ascii="Times New Roman" w:eastAsia="Calibri" w:hAnsi="Times New Roman" w:cs="Times New Roman"/>
          <w:i/>
          <w:iCs/>
          <w:kern w:val="0"/>
          <w:sz w:val="20"/>
          <w:szCs w:val="20"/>
          <w:lang w:eastAsia="en-GB"/>
          <w14:ligatures w14:val="none"/>
        </w:rPr>
        <w:t>Figure 2: Project quad chart summarising objective, schedule, cost and risk</w:t>
      </w:r>
    </w:p>
    <w:p w14:paraId="78ED16D0" w14:textId="77777777" w:rsidR="003C473F" w:rsidRDefault="003C473F" w:rsidP="000A0588">
      <w:pPr>
        <w:spacing w:after="200" w:line="360" w:lineRule="auto"/>
        <w:jc w:val="both"/>
        <w:rPr>
          <w:rFonts w:ascii="Times New Roman" w:eastAsia="Calibri" w:hAnsi="Times New Roman" w:cs="Times New Roman"/>
          <w:kern w:val="0"/>
          <w:lang w:eastAsia="en-GB"/>
          <w14:ligatures w14:val="none"/>
        </w:rPr>
      </w:pPr>
      <w:r w:rsidRPr="003C473F">
        <w:rPr>
          <w:rFonts w:ascii="Times New Roman" w:eastAsia="Calibri" w:hAnsi="Times New Roman" w:cs="Times New Roman"/>
          <w:kern w:val="0"/>
          <w:lang w:eastAsia="en-GB"/>
          <w14:ligatures w14:val="none"/>
        </w:rPr>
        <w:t>The quad chart is reviewed at each monthly project board meeting to ensure it remains aligned with the project's schedule, budget and risk register. By presenting these four areas together, it enables stakeholders to identify potential trade-offs more easily. For example, if the schedule slips, the project board can quickly assess whether the delay is likely to affect costs or increase project risks before deciding on corrective action.</w:t>
      </w:r>
    </w:p>
    <w:p w14:paraId="467641B6" w14:textId="1D2D9656" w:rsidR="00781322" w:rsidRDefault="00296701" w:rsidP="00031D01">
      <w:pPr>
        <w:spacing w:after="200" w:line="360" w:lineRule="auto"/>
        <w:ind w:firstLine="720"/>
        <w:jc w:val="both"/>
        <w:rPr>
          <w:rFonts w:ascii="Times New Roman" w:eastAsia="Calibri" w:hAnsi="Times New Roman" w:cs="Times New Roman"/>
          <w:b/>
          <w:bCs/>
          <w:kern w:val="0"/>
          <w:lang w:eastAsia="en-GB"/>
          <w14:ligatures w14:val="none"/>
        </w:rPr>
      </w:pPr>
      <w:r w:rsidRPr="00296701">
        <w:rPr>
          <w:rFonts w:ascii="Times New Roman" w:eastAsia="Calibri" w:hAnsi="Times New Roman" w:cs="Times New Roman"/>
          <w:b/>
          <w:bCs/>
          <w:kern w:val="0"/>
          <w:lang w:eastAsia="en-GB"/>
          <w14:ligatures w14:val="none"/>
        </w:rPr>
        <w:t>6. Gantt Chart</w:t>
      </w:r>
    </w:p>
    <w:p w14:paraId="619713FC" w14:textId="13FB74BD" w:rsidR="00296701" w:rsidRPr="00296701" w:rsidRDefault="00296701" w:rsidP="000A0588">
      <w:pPr>
        <w:spacing w:after="200" w:line="360" w:lineRule="auto"/>
        <w:jc w:val="both"/>
        <w:rPr>
          <w:rFonts w:ascii="Times New Roman" w:eastAsia="Calibri" w:hAnsi="Times New Roman" w:cs="Times New Roman"/>
          <w:kern w:val="0"/>
          <w:lang w:eastAsia="en-GB"/>
          <w14:ligatures w14:val="none"/>
        </w:rPr>
      </w:pPr>
      <w:r w:rsidRPr="00296701">
        <w:rPr>
          <w:rFonts w:ascii="Times New Roman" w:eastAsia="Calibri" w:hAnsi="Times New Roman" w:cs="Times New Roman"/>
          <w:kern w:val="0"/>
          <w:lang w:eastAsia="en-GB"/>
          <w14:ligatures w14:val="none"/>
        </w:rPr>
        <w:t>To schedule the STMS project, this plan uses a Gantt chart</w:t>
      </w:r>
      <w:r>
        <w:rPr>
          <w:rFonts w:ascii="Times New Roman" w:eastAsia="Calibri" w:hAnsi="Times New Roman" w:cs="Times New Roman"/>
          <w:kern w:val="0"/>
          <w:lang w:eastAsia="en-GB"/>
          <w14:ligatures w14:val="none"/>
        </w:rPr>
        <w:t>;</w:t>
      </w:r>
      <w:r w:rsidRPr="00296701">
        <w:rPr>
          <w:rFonts w:ascii="Times New Roman" w:eastAsia="Calibri" w:hAnsi="Times New Roman" w:cs="Times New Roman"/>
          <w:kern w:val="0"/>
          <w:lang w:eastAsia="en-GB"/>
          <w14:ligatures w14:val="none"/>
        </w:rPr>
        <w:t xml:space="preserve"> a technique first popularised by Henry Gantt in the early twentieth century that remains one of the most widely used project-scheduling tools, valued for communicating timing, duration and overlap in a format that is intuitive and easy to update (Wilson, 2003). Figure 3 sets out the project Gantt chart across the six-month delivery window, from project initiation through to project closure, with activities grouped into the five WBS phases introduced in Section 4.</w:t>
      </w:r>
    </w:p>
    <w:p w14:paraId="1574E812" w14:textId="77777777" w:rsidR="00530996" w:rsidRDefault="00A30577" w:rsidP="00530996">
      <w:pPr>
        <w:spacing w:after="200" w:line="360" w:lineRule="auto"/>
        <w:jc w:val="both"/>
        <w:rPr>
          <w:rFonts w:ascii="Times New Roman" w:eastAsia="Calibri" w:hAnsi="Times New Roman" w:cs="Times New Roman"/>
          <w:i/>
          <w:iCs/>
          <w:sz w:val="20"/>
          <w:szCs w:val="20"/>
        </w:rPr>
      </w:pPr>
      <w:r w:rsidRPr="00A30577">
        <w:rPr>
          <w:rFonts w:ascii="Times New Roman" w:eastAsia="Calibri" w:hAnsi="Times New Roman" w:cs="Times New Roman"/>
          <w:noProof/>
          <w:kern w:val="0"/>
          <w:lang w:eastAsia="en-GB"/>
          <w14:ligatures w14:val="none"/>
        </w:rPr>
        <w:lastRenderedPageBreak/>
        <w:drawing>
          <wp:inline distT="0" distB="0" distL="0" distR="0" wp14:anchorId="27B50FA6" wp14:editId="1CC69C0B">
            <wp:extent cx="5730001" cy="3052689"/>
            <wp:effectExtent l="0" t="0" r="4445" b="0"/>
            <wp:docPr id="1358393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93731" name=""/>
                    <pic:cNvPicPr/>
                  </pic:nvPicPr>
                  <pic:blipFill>
                    <a:blip r:embed="rId11"/>
                    <a:stretch>
                      <a:fillRect/>
                    </a:stretch>
                  </pic:blipFill>
                  <pic:spPr>
                    <a:xfrm>
                      <a:off x="0" y="0"/>
                      <a:ext cx="5777691" cy="3078096"/>
                    </a:xfrm>
                    <a:prstGeom prst="rect">
                      <a:avLst/>
                    </a:prstGeom>
                  </pic:spPr>
                </pic:pic>
              </a:graphicData>
            </a:graphic>
          </wp:inline>
        </w:drawing>
      </w:r>
      <w:r w:rsidR="008A00DD">
        <w:rPr>
          <w:rFonts w:ascii="Times New Roman" w:eastAsia="Calibri" w:hAnsi="Times New Roman" w:cs="Times New Roman"/>
          <w:i/>
          <w:iCs/>
          <w:sz w:val="20"/>
          <w:szCs w:val="20"/>
        </w:rPr>
        <w:t xml:space="preserve">  </w:t>
      </w:r>
      <w:r w:rsidR="00530996">
        <w:rPr>
          <w:rFonts w:ascii="Times New Roman" w:eastAsia="Calibri" w:hAnsi="Times New Roman" w:cs="Times New Roman"/>
          <w:i/>
          <w:iCs/>
          <w:sz w:val="20"/>
          <w:szCs w:val="20"/>
        </w:rPr>
        <w:t xml:space="preserve"> </w:t>
      </w:r>
    </w:p>
    <w:p w14:paraId="09C20C4C" w14:textId="72C89E7C" w:rsidR="00296701" w:rsidRPr="00296701" w:rsidRDefault="00296701" w:rsidP="00530996">
      <w:pPr>
        <w:spacing w:after="200" w:line="360" w:lineRule="auto"/>
        <w:ind w:left="1440" w:firstLine="720"/>
        <w:jc w:val="both"/>
        <w:rPr>
          <w:rFonts w:ascii="Times New Roman" w:hAnsi="Times New Roman" w:cs="Times New Roman"/>
        </w:rPr>
      </w:pPr>
      <w:r w:rsidRPr="00296701">
        <w:rPr>
          <w:rFonts w:ascii="Times New Roman" w:eastAsia="Calibri" w:hAnsi="Times New Roman" w:cs="Times New Roman"/>
          <w:i/>
          <w:iCs/>
          <w:sz w:val="20"/>
          <w:szCs w:val="20"/>
        </w:rPr>
        <w:t>Figure 3: Project Gantt chart for the six-month delivery programme</w:t>
      </w:r>
    </w:p>
    <w:p w14:paraId="37B7DEBE" w14:textId="29D2A0D4" w:rsidR="009B5F98" w:rsidRPr="009B5F98" w:rsidRDefault="009B5F98" w:rsidP="009B5F98">
      <w:pPr>
        <w:spacing w:after="200" w:line="360" w:lineRule="auto"/>
        <w:jc w:val="both"/>
        <w:rPr>
          <w:rFonts w:ascii="Times New Roman" w:eastAsia="Calibri" w:hAnsi="Times New Roman" w:cs="Times New Roman"/>
          <w:kern w:val="0"/>
          <w:lang w:eastAsia="en-GB"/>
          <w14:ligatures w14:val="none"/>
        </w:rPr>
      </w:pPr>
      <w:r w:rsidRPr="009B5F98">
        <w:rPr>
          <w:rFonts w:ascii="Times New Roman" w:eastAsia="Calibri" w:hAnsi="Times New Roman" w:cs="Times New Roman"/>
          <w:kern w:val="0"/>
          <w:lang w:eastAsia="en-GB"/>
          <w14:ligatures w14:val="none"/>
        </w:rPr>
        <w:t xml:space="preserve">Project initiation and stakeholder engagement </w:t>
      </w:r>
      <w:r w:rsidR="00DC65F7">
        <w:rPr>
          <w:rFonts w:ascii="Times New Roman" w:eastAsia="Calibri" w:hAnsi="Times New Roman" w:cs="Times New Roman"/>
          <w:kern w:val="0"/>
          <w:lang w:eastAsia="en-GB"/>
          <w14:ligatures w14:val="none"/>
        </w:rPr>
        <w:t xml:space="preserve">occur </w:t>
      </w:r>
      <w:r w:rsidRPr="009B5F98">
        <w:rPr>
          <w:rFonts w:ascii="Times New Roman" w:eastAsia="Calibri" w:hAnsi="Times New Roman" w:cs="Times New Roman"/>
          <w:kern w:val="0"/>
          <w:lang w:eastAsia="en-GB"/>
          <w14:ligatures w14:val="none"/>
        </w:rPr>
        <w:t xml:space="preserve">in the first month and </w:t>
      </w:r>
      <w:r w:rsidR="00D630A2">
        <w:rPr>
          <w:rFonts w:ascii="Times New Roman" w:eastAsia="Calibri" w:hAnsi="Times New Roman" w:cs="Times New Roman"/>
          <w:kern w:val="0"/>
          <w:lang w:eastAsia="en-GB"/>
          <w14:ligatures w14:val="none"/>
        </w:rPr>
        <w:t>overlap</w:t>
      </w:r>
      <w:r w:rsidRPr="009B5F98">
        <w:rPr>
          <w:rFonts w:ascii="Times New Roman" w:eastAsia="Calibri" w:hAnsi="Times New Roman" w:cs="Times New Roman"/>
          <w:kern w:val="0"/>
          <w:lang w:eastAsia="en-GB"/>
          <w14:ligatures w14:val="none"/>
        </w:rPr>
        <w:t xml:space="preserve"> with requirements gathering, allowing stakeholder feedback to inform the project's early stages. Month two focuses on system and data architecture together with User Interface/User Experience (UI/UX) design, followed by platform development, module integration and API development from month three. Testing, user acceptance, staff training and documentation are completed during months five and six to ensure any issues are resolved before deployment. The project concludes with system deployment, monitoring and closure by the end of month six, meeting the time-bound SMART objective outlined in Section 2.</w:t>
      </w:r>
    </w:p>
    <w:p w14:paraId="23E8F006" w14:textId="77777777" w:rsidR="009B5F98" w:rsidRPr="009B5F98" w:rsidRDefault="009B5F98" w:rsidP="009B5F98">
      <w:pPr>
        <w:spacing w:after="200" w:line="360" w:lineRule="auto"/>
        <w:jc w:val="both"/>
        <w:rPr>
          <w:rFonts w:ascii="Times New Roman" w:eastAsia="Calibri" w:hAnsi="Times New Roman" w:cs="Times New Roman"/>
          <w:kern w:val="0"/>
          <w:lang w:eastAsia="en-GB"/>
          <w14:ligatures w14:val="none"/>
        </w:rPr>
      </w:pPr>
      <w:r w:rsidRPr="009B5F98">
        <w:rPr>
          <w:rFonts w:ascii="Times New Roman" w:eastAsia="Calibri" w:hAnsi="Times New Roman" w:cs="Times New Roman"/>
          <w:kern w:val="0"/>
          <w:lang w:eastAsia="en-GB"/>
          <w14:ligatures w14:val="none"/>
        </w:rPr>
        <w:t>Although network-based techniques such as the Critical Path Method provide more detailed dependency and float analysis (Kerzner, 2017), the Gantt chart remains the primary scheduling tool because it presents the project timeline clearly for both technical and non-technical stakeholders. The project team uses a supporting network diagram for detailed planning, while the Gantt chart is shared with stakeholders for progress reporting and communication.</w:t>
      </w:r>
    </w:p>
    <w:p w14:paraId="64F4C6C3" w14:textId="078603A9" w:rsidR="00E551D0" w:rsidRPr="00E551D0" w:rsidRDefault="00E551D0" w:rsidP="00031D01">
      <w:pPr>
        <w:spacing w:after="200" w:line="360" w:lineRule="auto"/>
        <w:ind w:firstLine="720"/>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color w:val="0B1E3D"/>
          <w:kern w:val="0"/>
          <w:lang w:eastAsia="en-GB"/>
          <w14:ligatures w14:val="none"/>
        </w:rPr>
        <w:t>7. Stakeholders' Involvement</w:t>
      </w:r>
    </w:p>
    <w:p w14:paraId="1D7A0986" w14:textId="31695004" w:rsid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kern w:val="0"/>
          <w:lang w:eastAsia="en-GB"/>
          <w14:ligatures w14:val="none"/>
        </w:rPr>
        <w:t xml:space="preserve">Stakeholder involvement is planned </w:t>
      </w:r>
      <w:r>
        <w:rPr>
          <w:rFonts w:ascii="Times New Roman" w:eastAsia="Calibri" w:hAnsi="Times New Roman" w:cs="Times New Roman"/>
          <w:kern w:val="0"/>
          <w:lang w:eastAsia="en-GB"/>
          <w14:ligatures w14:val="none"/>
        </w:rPr>
        <w:t xml:space="preserve">by </w:t>
      </w:r>
      <w:r w:rsidRPr="00E551D0">
        <w:rPr>
          <w:rFonts w:ascii="Times New Roman" w:eastAsia="Calibri" w:hAnsi="Times New Roman" w:cs="Times New Roman"/>
          <w:kern w:val="0"/>
          <w:lang w:eastAsia="en-GB"/>
          <w14:ligatures w14:val="none"/>
        </w:rPr>
        <w:t>using the power-interest matrix originally proposed by Mendelow (1981), which classifies stakeholders according to their relative power to influence the project and their level of interest in its outcomes (Freeman, 1984). Figure 4 maps the principal stakeholder groups for the STMS project onto this matrix.</w:t>
      </w:r>
    </w:p>
    <w:p w14:paraId="12D06B83" w14:textId="43FF398B" w:rsidR="00E551D0" w:rsidRDefault="00E551D0" w:rsidP="00E551D0">
      <w:pPr>
        <w:spacing w:after="200" w:line="240" w:lineRule="auto"/>
        <w:rPr>
          <w:rFonts w:ascii="Times New Roman" w:eastAsia="Calibri" w:hAnsi="Times New Roman" w:cs="Times New Roman"/>
          <w:kern w:val="0"/>
          <w:lang w:eastAsia="en-GB"/>
          <w14:ligatures w14:val="none"/>
        </w:rPr>
      </w:pPr>
      <w:r w:rsidRPr="00E551D0">
        <w:rPr>
          <w:rFonts w:ascii="Times New Roman" w:eastAsia="Times New Roman" w:hAnsi="Times New Roman" w:cs="Times New Roman"/>
          <w:b/>
          <w:bCs/>
          <w:noProof/>
          <w:color w:val="1F2D50"/>
          <w:kern w:val="0"/>
          <w:sz w:val="26"/>
          <w:szCs w:val="26"/>
          <w:lang w:eastAsia="en-GB"/>
          <w14:ligatures w14:val="none"/>
        </w:rPr>
        <w:lastRenderedPageBreak/>
        <mc:AlternateContent>
          <mc:Choice Requires="wps">
            <w:drawing>
              <wp:anchor distT="0" distB="0" distL="114300" distR="114300" simplePos="0" relativeHeight="251659264" behindDoc="0" locked="0" layoutInCell="1" allowOverlap="1" wp14:anchorId="3A9818A3" wp14:editId="74892075">
                <wp:simplePos x="0" y="0"/>
                <wp:positionH relativeFrom="leftMargin">
                  <wp:posOffset>727200</wp:posOffset>
                </wp:positionH>
                <wp:positionV relativeFrom="paragraph">
                  <wp:posOffset>597355</wp:posOffset>
                </wp:positionV>
                <wp:extent cx="215925" cy="3253350"/>
                <wp:effectExtent l="19050" t="19050" r="12700" b="23495"/>
                <wp:wrapNone/>
                <wp:docPr id="254893946" name="Arrow: Up 1"/>
                <wp:cNvGraphicFramePr/>
                <a:graphic xmlns:a="http://schemas.openxmlformats.org/drawingml/2006/main">
                  <a:graphicData uri="http://schemas.microsoft.com/office/word/2010/wordprocessingShape">
                    <wps:wsp>
                      <wps:cNvSpPr/>
                      <wps:spPr>
                        <a:xfrm>
                          <a:off x="0" y="0"/>
                          <a:ext cx="215925" cy="3253350"/>
                        </a:xfrm>
                        <a:prstGeom prst="upArrow">
                          <a:avLst>
                            <a:gd name="adj1" fmla="val 42801"/>
                            <a:gd name="adj2" fmla="val 50000"/>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C7A82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57.25pt;margin-top:47.05pt;width:17pt;height:256.15pt;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" adj="717,6177" fillcolor="#156082" strokecolor="#042433" strokeweight="1.5pt">
                <w10:wrap anchorx="margin"/>
              </v:shape>
            </w:pict>
          </mc:Fallback>
        </mc:AlternateContent>
      </w:r>
      <w:r w:rsidRPr="00E551D0">
        <w:rPr>
          <w:rFonts w:ascii="Times New Roman" w:eastAsia="Times New Roman" w:hAnsi="Times New Roman" w:cs="Times New Roman"/>
          <w:b/>
          <w:bCs/>
          <w:color w:val="1F2D50"/>
          <w:kern w:val="0"/>
          <w:lang w:eastAsia="en-GB"/>
          <w14:ligatures w14:val="none"/>
        </w:rPr>
        <w:t xml:space="preserve"> </w:t>
      </w:r>
      <w:r w:rsidRPr="00B26735">
        <w:rPr>
          <w:rFonts w:ascii="Times New Roman" w:eastAsia="Times New Roman" w:hAnsi="Times New Roman" w:cs="Times New Roman"/>
          <w:b/>
          <w:bCs/>
          <w:color w:val="0070C0"/>
          <w:kern w:val="0"/>
          <w:lang w:eastAsia="en-GB"/>
          <w14:ligatures w14:val="none"/>
        </w:rPr>
        <w:t>Smart Transport Management System - Stakeholder Power-Interest Matrix</w:t>
      </w:r>
    </w:p>
    <w:tbl>
      <w:tblPr>
        <w:tblW w:w="9293"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left w:w="10" w:type="dxa"/>
          <w:right w:w="10" w:type="dxa"/>
        </w:tblCellMar>
        <w:tblLook w:val="04A0" w:firstRow="1" w:lastRow="0" w:firstColumn="1" w:lastColumn="0" w:noHBand="0" w:noVBand="1"/>
      </w:tblPr>
      <w:tblGrid>
        <w:gridCol w:w="1341"/>
        <w:gridCol w:w="3976"/>
        <w:gridCol w:w="3976"/>
      </w:tblGrid>
      <w:tr w:rsidR="00E551D0" w:rsidRPr="00E551D0" w14:paraId="78FB73C2" w14:textId="77777777" w:rsidTr="00E551D0">
        <w:trPr>
          <w:trHeight w:val="612"/>
        </w:trPr>
        <w:tc>
          <w:tcPr>
            <w:tcW w:w="1341" w:type="dxa"/>
          </w:tcPr>
          <w:p w14:paraId="7983A88F"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p>
        </w:tc>
        <w:tc>
          <w:tcPr>
            <w:tcW w:w="3976" w:type="dxa"/>
            <w:tcMar>
              <w:top w:w="200" w:type="dxa"/>
              <w:left w:w="100" w:type="dxa"/>
              <w:bottom w:w="200" w:type="dxa"/>
              <w:right w:w="100" w:type="dxa"/>
            </w:tcMar>
            <w:vAlign w:val="center"/>
          </w:tcPr>
          <w:p w14:paraId="4AE67806"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LOW INTEREST</w:t>
            </w:r>
          </w:p>
        </w:tc>
        <w:tc>
          <w:tcPr>
            <w:tcW w:w="3976" w:type="dxa"/>
            <w:tcMar>
              <w:top w:w="200" w:type="dxa"/>
              <w:left w:w="100" w:type="dxa"/>
              <w:bottom w:w="200" w:type="dxa"/>
              <w:right w:w="100" w:type="dxa"/>
            </w:tcMar>
            <w:vAlign w:val="center"/>
          </w:tcPr>
          <w:p w14:paraId="0697649C"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HIGH INTEREST</w:t>
            </w:r>
          </w:p>
        </w:tc>
      </w:tr>
      <w:tr w:rsidR="00E551D0" w:rsidRPr="00E551D0" w14:paraId="30EE4345" w14:textId="77777777" w:rsidTr="00144C64">
        <w:trPr>
          <w:trHeight w:val="1510"/>
        </w:trPr>
        <w:tc>
          <w:tcPr>
            <w:tcW w:w="1341" w:type="dxa"/>
            <w:tcMar>
              <w:top w:w="200" w:type="dxa"/>
              <w:left w:w="100" w:type="dxa"/>
              <w:bottom w:w="200" w:type="dxa"/>
              <w:right w:w="100" w:type="dxa"/>
            </w:tcMar>
            <w:vAlign w:val="center"/>
          </w:tcPr>
          <w:p w14:paraId="6194D76E" w14:textId="7890F885"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HIGH POWER</w:t>
            </w:r>
          </w:p>
        </w:tc>
        <w:tc>
          <w:tcPr>
            <w:tcW w:w="3976" w:type="dxa"/>
            <w:shd w:val="clear" w:color="auto" w:fill="C6D6E5"/>
            <w:tcMar>
              <w:top w:w="200" w:type="dxa"/>
              <w:left w:w="200" w:type="dxa"/>
              <w:bottom w:w="200" w:type="dxa"/>
              <w:right w:w="200" w:type="dxa"/>
            </w:tcMar>
            <w:vAlign w:val="center"/>
          </w:tcPr>
          <w:p w14:paraId="26197DD7"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KEEP SATISFIED</w:t>
            </w:r>
          </w:p>
          <w:p w14:paraId="3AFD63A4"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kern w:val="0"/>
                <w:lang w:eastAsia="en-GB"/>
                <w14:ligatures w14:val="none"/>
              </w:rPr>
              <w:t>Department for Transport, City Council, Transport Regulators</w:t>
            </w:r>
          </w:p>
        </w:tc>
        <w:tc>
          <w:tcPr>
            <w:tcW w:w="3976" w:type="dxa"/>
            <w:shd w:val="clear" w:color="auto" w:fill="E3EEF8"/>
            <w:tcMar>
              <w:top w:w="200" w:type="dxa"/>
              <w:left w:w="200" w:type="dxa"/>
              <w:bottom w:w="200" w:type="dxa"/>
              <w:right w:w="200" w:type="dxa"/>
            </w:tcMar>
            <w:vAlign w:val="center"/>
          </w:tcPr>
          <w:p w14:paraId="25E46FCF"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MANAGE CLOSELY</w:t>
            </w:r>
          </w:p>
          <w:p w14:paraId="47A21AE3"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kern w:val="0"/>
                <w:lang w:eastAsia="en-GB"/>
                <w14:ligatures w14:val="none"/>
              </w:rPr>
              <w:t>Transport Operators, Technology Providers, Project Sponsor</w:t>
            </w:r>
          </w:p>
        </w:tc>
      </w:tr>
      <w:tr w:rsidR="00E551D0" w:rsidRPr="00E551D0" w14:paraId="4CC3A4FD" w14:textId="77777777" w:rsidTr="00144C64">
        <w:trPr>
          <w:trHeight w:val="1582"/>
        </w:trPr>
        <w:tc>
          <w:tcPr>
            <w:tcW w:w="1341" w:type="dxa"/>
            <w:tcMar>
              <w:top w:w="200" w:type="dxa"/>
              <w:left w:w="100" w:type="dxa"/>
              <w:bottom w:w="200" w:type="dxa"/>
              <w:right w:w="100" w:type="dxa"/>
            </w:tcMar>
            <w:vAlign w:val="center"/>
          </w:tcPr>
          <w:p w14:paraId="3F976883" w14:textId="60F04698"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LOW POWER</w:t>
            </w:r>
          </w:p>
        </w:tc>
        <w:tc>
          <w:tcPr>
            <w:tcW w:w="3976" w:type="dxa"/>
            <w:shd w:val="clear" w:color="auto" w:fill="EAF0F7"/>
            <w:tcMar>
              <w:top w:w="200" w:type="dxa"/>
              <w:left w:w="200" w:type="dxa"/>
              <w:bottom w:w="200" w:type="dxa"/>
              <w:right w:w="200" w:type="dxa"/>
            </w:tcMar>
            <w:vAlign w:val="center"/>
          </w:tcPr>
          <w:p w14:paraId="2E913724"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MONITOR</w:t>
            </w:r>
          </w:p>
          <w:p w14:paraId="13FD39D8" w14:textId="0D7B491A"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kern w:val="0"/>
                <w:lang w:eastAsia="en-GB"/>
                <w14:ligatures w14:val="none"/>
              </w:rPr>
              <w:t>Local Businesses, Freight Partners</w:t>
            </w:r>
          </w:p>
        </w:tc>
        <w:tc>
          <w:tcPr>
            <w:tcW w:w="3976" w:type="dxa"/>
            <w:shd w:val="clear" w:color="auto" w:fill="D9EBF9"/>
            <w:tcMar>
              <w:top w:w="200" w:type="dxa"/>
              <w:left w:w="200" w:type="dxa"/>
              <w:bottom w:w="200" w:type="dxa"/>
              <w:right w:w="200" w:type="dxa"/>
            </w:tcMar>
            <w:vAlign w:val="center"/>
          </w:tcPr>
          <w:p w14:paraId="74A0DE2B" w14:textId="77777777" w:rsidR="00E551D0" w:rsidRPr="00E551D0" w:rsidRDefault="00E551D0" w:rsidP="00E551D0">
            <w:pPr>
              <w:spacing w:after="200" w:line="360" w:lineRule="auto"/>
              <w:jc w:val="both"/>
              <w:rPr>
                <w:rFonts w:ascii="Times New Roman" w:eastAsia="Calibri" w:hAnsi="Times New Roman" w:cs="Times New Roman"/>
                <w:kern w:val="0"/>
                <w:lang w:eastAsia="en-GB"/>
                <w14:ligatures w14:val="none"/>
              </w:rPr>
            </w:pPr>
            <w:r w:rsidRPr="00E551D0">
              <w:rPr>
                <w:rFonts w:ascii="Times New Roman" w:eastAsia="Calibri" w:hAnsi="Times New Roman" w:cs="Times New Roman"/>
                <w:b/>
                <w:bCs/>
                <w:kern w:val="0"/>
                <w:lang w:eastAsia="en-GB"/>
                <w14:ligatures w14:val="none"/>
              </w:rPr>
              <w:t>KEEP INFORMED</w:t>
            </w:r>
          </w:p>
          <w:p w14:paraId="5A781B7E" w14:textId="6983D79F" w:rsidR="00E551D0" w:rsidRPr="00E551D0" w:rsidRDefault="00144C64" w:rsidP="00E551D0">
            <w:pPr>
              <w:spacing w:after="200" w:line="360" w:lineRule="auto"/>
              <w:jc w:val="both"/>
              <w:rPr>
                <w:rFonts w:ascii="Times New Roman" w:eastAsia="Calibri" w:hAnsi="Times New Roman" w:cs="Times New Roman"/>
                <w:kern w:val="0"/>
                <w:lang w:eastAsia="en-GB"/>
                <w14:ligatures w14:val="none"/>
              </w:rPr>
            </w:pPr>
            <w:r>
              <w:rPr>
                <w:rFonts w:ascii="Times New Roman" w:eastAsia="Calibri" w:hAnsi="Times New Roman" w:cs="Times New Roman"/>
                <w:noProof/>
                <w:kern w:val="0"/>
                <w:lang w:eastAsia="en-GB"/>
              </w:rPr>
              <mc:AlternateContent>
                <mc:Choice Requires="wps">
                  <w:drawing>
                    <wp:anchor distT="0" distB="0" distL="114300" distR="114300" simplePos="0" relativeHeight="251661312" behindDoc="0" locked="0" layoutInCell="1" allowOverlap="1" wp14:anchorId="59B124FE" wp14:editId="2EEF95A6">
                      <wp:simplePos x="0" y="0"/>
                      <wp:positionH relativeFrom="column">
                        <wp:posOffset>-2632710</wp:posOffset>
                      </wp:positionH>
                      <wp:positionV relativeFrom="paragraph">
                        <wp:posOffset>784225</wp:posOffset>
                      </wp:positionV>
                      <wp:extent cx="5008880" cy="272415"/>
                      <wp:effectExtent l="0" t="0" r="20320" b="13335"/>
                      <wp:wrapNone/>
                      <wp:docPr id="151926960" name="Rectangle 3"/>
                      <wp:cNvGraphicFramePr/>
                      <a:graphic xmlns:a="http://schemas.openxmlformats.org/drawingml/2006/main">
                        <a:graphicData uri="http://schemas.microsoft.com/office/word/2010/wordprocessingShape">
                          <wps:wsp>
                            <wps:cNvSpPr/>
                            <wps:spPr>
                              <a:xfrm>
                                <a:off x="0" y="0"/>
                                <a:ext cx="5008880" cy="27241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A3AA1E" w14:textId="05F6F901" w:rsidR="00144C64" w:rsidRPr="00144C64" w:rsidRDefault="00144C64" w:rsidP="00144C64">
                                  <w:pPr>
                                    <w:jc w:val="center"/>
                                    <w:rPr>
                                      <w:rFonts w:ascii="Times New Roman" w:hAnsi="Times New Roman" w:cs="Times New Roman"/>
                                      <w:i/>
                                      <w:iCs/>
                                      <w:color w:val="000000" w:themeColor="text1"/>
                                      <w:sz w:val="20"/>
                                      <w:szCs w:val="20"/>
                                    </w:rPr>
                                  </w:pPr>
                                  <w:r w:rsidRPr="00144C64">
                                    <w:rPr>
                                      <w:rFonts w:ascii="Times New Roman" w:hAnsi="Times New Roman" w:cs="Times New Roman"/>
                                      <w:i/>
                                      <w:iCs/>
                                      <w:color w:val="000000" w:themeColor="text1"/>
                                      <w:sz w:val="20"/>
                                      <w:szCs w:val="20"/>
                                    </w:rPr>
                                    <w:t>Figure4: Stakeholder power</w:t>
                                  </w:r>
                                  <w:r>
                                    <w:rPr>
                                      <w:rFonts w:ascii="Times New Roman" w:hAnsi="Times New Roman" w:cs="Times New Roman"/>
                                      <w:i/>
                                      <w:iCs/>
                                      <w:color w:val="000000" w:themeColor="text1"/>
                                      <w:sz w:val="20"/>
                                      <w:szCs w:val="20"/>
                                    </w:rPr>
                                    <w:t>-interest matrix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B124FE" id="Rectangle 3" o:spid="_x0000_s1026" style="position:absolute;left:0;text-align:left;margin-left:-207.3pt;margin-top:61.75pt;width:394.4pt;height:2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" fillcolor="white [3212]" strokecolor="#030e13 [484]" strokeweight="1pt">
                      <v:textbox>
                        <w:txbxContent>
                          <w:p w14:paraId="55A3AA1E" w14:textId="05F6F901" w:rsidR="00144C64" w:rsidRPr="00144C64" w:rsidRDefault="00144C64" w:rsidP="00144C64">
                            <w:pPr>
                              <w:jc w:val="center"/>
                              <w:rPr>
                                <w:rFonts w:ascii="Times New Roman" w:hAnsi="Times New Roman" w:cs="Times New Roman"/>
                                <w:i/>
                                <w:iCs/>
                                <w:color w:val="000000" w:themeColor="text1"/>
                                <w:sz w:val="20"/>
                                <w:szCs w:val="20"/>
                              </w:rPr>
                            </w:pPr>
                            <w:r w:rsidRPr="00144C64">
                              <w:rPr>
                                <w:rFonts w:ascii="Times New Roman" w:hAnsi="Times New Roman" w:cs="Times New Roman"/>
                                <w:i/>
                                <w:iCs/>
                                <w:color w:val="000000" w:themeColor="text1"/>
                                <w:sz w:val="20"/>
                                <w:szCs w:val="20"/>
                              </w:rPr>
                              <w:t>Figure4: Stakeholder power</w:t>
                            </w:r>
                            <w:r>
                              <w:rPr>
                                <w:rFonts w:ascii="Times New Roman" w:hAnsi="Times New Roman" w:cs="Times New Roman"/>
                                <w:i/>
                                <w:iCs/>
                                <w:color w:val="000000" w:themeColor="text1"/>
                                <w:sz w:val="20"/>
                                <w:szCs w:val="20"/>
                              </w:rPr>
                              <w:t>-interest matrix</w:t>
                            </w:r>
                          </w:p>
                        </w:txbxContent>
                      </v:textbox>
                    </v:rect>
                  </w:pict>
                </mc:Fallback>
              </mc:AlternateContent>
            </w:r>
            <w:r w:rsidR="00E551D0" w:rsidRPr="00E551D0">
              <w:rPr>
                <w:rFonts w:ascii="Times New Roman" w:eastAsia="Calibri" w:hAnsi="Times New Roman" w:cs="Times New Roman"/>
                <w:kern w:val="0"/>
                <w:lang w:eastAsia="en-GB"/>
                <w14:ligatures w14:val="none"/>
              </w:rPr>
              <w:t>Passengers / Citizens, Community Groups, Media</w:t>
            </w:r>
          </w:p>
        </w:tc>
      </w:tr>
    </w:tbl>
    <w:p w14:paraId="5CB694A4" w14:textId="13C0E0FC" w:rsidR="00E551D0" w:rsidRDefault="00144C64" w:rsidP="00E551D0">
      <w:pPr>
        <w:spacing w:after="200" w:line="360" w:lineRule="auto"/>
        <w:jc w:val="both"/>
        <w:rPr>
          <w:rFonts w:ascii="Times New Roman" w:eastAsia="Calibri" w:hAnsi="Times New Roman" w:cs="Times New Roman"/>
          <w:kern w:val="0"/>
          <w:lang w:eastAsia="en-GB"/>
          <w14:ligatures w14:val="none"/>
        </w:rPr>
      </w:pPr>
      <w:r>
        <w:rPr>
          <w:rFonts w:ascii="Times New Roman" w:eastAsia="Calibri" w:hAnsi="Times New Roman" w:cs="Times New Roman"/>
          <w:noProof/>
          <w:kern w:val="0"/>
          <w:lang w:eastAsia="en-GB"/>
        </w:rPr>
        <mc:AlternateContent>
          <mc:Choice Requires="wps">
            <w:drawing>
              <wp:anchor distT="0" distB="0" distL="114300" distR="114300" simplePos="0" relativeHeight="251660288" behindDoc="0" locked="0" layoutInCell="1" allowOverlap="1" wp14:anchorId="2016A55E" wp14:editId="723B7CCA">
                <wp:simplePos x="0" y="0"/>
                <wp:positionH relativeFrom="column">
                  <wp:posOffset>455228</wp:posOffset>
                </wp:positionH>
                <wp:positionV relativeFrom="paragraph">
                  <wp:posOffset>367297</wp:posOffset>
                </wp:positionV>
                <wp:extent cx="5518800" cy="223200"/>
                <wp:effectExtent l="0" t="19050" r="43815" b="43815"/>
                <wp:wrapNone/>
                <wp:docPr id="508578754" name="Arrow: Right 2"/>
                <wp:cNvGraphicFramePr/>
                <a:graphic xmlns:a="http://schemas.openxmlformats.org/drawingml/2006/main">
                  <a:graphicData uri="http://schemas.microsoft.com/office/word/2010/wordprocessingShape">
                    <wps:wsp>
                      <wps:cNvSpPr/>
                      <wps:spPr>
                        <a:xfrm>
                          <a:off x="0" y="0"/>
                          <a:ext cx="5518800" cy="2232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708723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35.85pt;margin-top:28.9pt;width:434.55pt;height:17.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" adj="21163" fillcolor="#156082 [3204]" strokecolor="#030e13 [484]" strokeweight="1pt"/>
            </w:pict>
          </mc:Fallback>
        </mc:AlternateContent>
      </w:r>
    </w:p>
    <w:p w14:paraId="1354DF45" w14:textId="77777777" w:rsidR="00361F96" w:rsidRDefault="00361F96" w:rsidP="00CE4014">
      <w:pPr>
        <w:spacing w:after="200" w:line="360" w:lineRule="auto"/>
        <w:jc w:val="both"/>
        <w:rPr>
          <w:rFonts w:ascii="Times New Roman" w:eastAsia="Calibri" w:hAnsi="Times New Roman" w:cs="Times New Roman"/>
        </w:rPr>
      </w:pPr>
    </w:p>
    <w:p w14:paraId="339021CE" w14:textId="15CF1661" w:rsidR="00DB6EC6" w:rsidRPr="00DB6EC6" w:rsidRDefault="00DB6EC6" w:rsidP="00DA324A">
      <w:pPr>
        <w:spacing w:after="200" w:line="360" w:lineRule="auto"/>
        <w:jc w:val="both"/>
        <w:rPr>
          <w:rFonts w:ascii="Times New Roman" w:eastAsia="Calibri" w:hAnsi="Times New Roman" w:cs="Times New Roman"/>
        </w:rPr>
      </w:pPr>
      <w:r w:rsidRPr="00DB6EC6">
        <w:rPr>
          <w:rFonts w:ascii="Times New Roman" w:eastAsia="Calibri" w:hAnsi="Times New Roman" w:cs="Times New Roman"/>
        </w:rPr>
        <w:t xml:space="preserve">Stakeholders are managed according to their level of power and interest. Transport operators, technology providers and the project sponsor are managed closely through weekly meetings and </w:t>
      </w:r>
      <w:r w:rsidR="00DA324A">
        <w:rPr>
          <w:rFonts w:ascii="Times New Roman" w:eastAsia="Calibri" w:hAnsi="Times New Roman" w:cs="Times New Roman"/>
        </w:rPr>
        <w:t>by involving them</w:t>
      </w:r>
      <w:r w:rsidRPr="00DB6EC6">
        <w:rPr>
          <w:rFonts w:ascii="Times New Roman" w:eastAsia="Calibri" w:hAnsi="Times New Roman" w:cs="Times New Roman"/>
        </w:rPr>
        <w:t xml:space="preserve"> in key design decisions, as their cooperation is essential for integrating ticketing, GPS and scheduling systems. The Department for Transport, City Council and transport regulators are kept satisfied through monthly progress reports and milestone approvals, reflecting their regulatory and funding responsibilities (Department for Transport, 2021). Passengers, community groups and the media are kept informed through regular communications and the phased rollout of passenger services, while local businesses and freight partners are monitored through periodic updates.</w:t>
      </w:r>
    </w:p>
    <w:p w14:paraId="3B6DA065" w14:textId="77777777" w:rsidR="00DB6EC6" w:rsidRPr="00DB6EC6" w:rsidRDefault="00DB6EC6" w:rsidP="00DA324A">
      <w:pPr>
        <w:spacing w:after="200" w:line="360" w:lineRule="auto"/>
        <w:jc w:val="both"/>
        <w:rPr>
          <w:rFonts w:ascii="Times New Roman" w:eastAsia="Calibri" w:hAnsi="Times New Roman" w:cs="Times New Roman"/>
        </w:rPr>
      </w:pPr>
      <w:r w:rsidRPr="00DB6EC6">
        <w:rPr>
          <w:rFonts w:ascii="Times New Roman" w:eastAsia="Calibri" w:hAnsi="Times New Roman" w:cs="Times New Roman"/>
        </w:rPr>
        <w:t>This approach reflects Freeman's (1984) view that stakeholder engagement should be tailored to each group's level of influence and interest rather than applying the same communication strategy to everyone. Stakeholder positions are reviewed at each project board meeting to identify any changes in power or interest and adjust engagement strategies where necessary.</w:t>
      </w:r>
    </w:p>
    <w:p w14:paraId="10D7A5E3" w14:textId="0757CCE3" w:rsidR="00DB3468" w:rsidRPr="00DB3468" w:rsidRDefault="00DB3468" w:rsidP="00031D01">
      <w:pPr>
        <w:spacing w:after="200" w:line="360" w:lineRule="auto"/>
        <w:ind w:firstLine="720"/>
        <w:jc w:val="both"/>
        <w:rPr>
          <w:rFonts w:ascii="Times New Roman" w:hAnsi="Times New Roman" w:cs="Times New Roman"/>
          <w:b/>
          <w:bCs/>
        </w:rPr>
      </w:pPr>
      <w:r w:rsidRPr="00DB3468">
        <w:rPr>
          <w:rFonts w:ascii="Times New Roman" w:hAnsi="Times New Roman" w:cs="Times New Roman"/>
          <w:b/>
          <w:bCs/>
        </w:rPr>
        <w:t>8. Allocation of Resources</w:t>
      </w:r>
    </w:p>
    <w:p w14:paraId="613B163F" w14:textId="77777777" w:rsidR="00AF3F37" w:rsidRPr="00A85285" w:rsidRDefault="00AF3F37" w:rsidP="00AF3F37">
      <w:pPr>
        <w:spacing w:after="200" w:line="360" w:lineRule="auto"/>
        <w:jc w:val="both"/>
        <w:rPr>
          <w:rFonts w:ascii="Times New Roman" w:hAnsi="Times New Roman" w:cs="Times New Roman"/>
        </w:rPr>
      </w:pPr>
      <w:r w:rsidRPr="00A85285">
        <w:rPr>
          <w:rFonts w:ascii="Times New Roman" w:hAnsi="Times New Roman" w:cs="Times New Roman"/>
        </w:rPr>
        <w:t>Resource allocation is based on the work packages defined in the WBS and summarised in Table 1. The project team includes a project manager, solutions architect, data architect, front-</w:t>
      </w:r>
      <w:r w:rsidRPr="00A85285">
        <w:rPr>
          <w:rFonts w:ascii="Times New Roman" w:hAnsi="Times New Roman" w:cs="Times New Roman"/>
        </w:rPr>
        <w:lastRenderedPageBreak/>
        <w:t>end and back-end developers, quality assurance lead, data analyst and change manager, supported during deployment by operator liaison staff. Cloud infrastructure provides the computing, storage and analytics resources required by the platform, supporting the SMART objective of using existing digital technologies outlined in Section 2.</w:t>
      </w:r>
    </w:p>
    <w:p w14:paraId="32D15192" w14:textId="77777777" w:rsidR="00AF3F37" w:rsidRPr="00A85285" w:rsidRDefault="00AF3F37" w:rsidP="00AF3F37">
      <w:pPr>
        <w:spacing w:after="200" w:line="360" w:lineRule="auto"/>
        <w:jc w:val="both"/>
        <w:rPr>
          <w:rFonts w:ascii="Times New Roman" w:hAnsi="Times New Roman" w:cs="Times New Roman"/>
        </w:rPr>
      </w:pPr>
      <w:r w:rsidRPr="00A85285">
        <w:rPr>
          <w:rFonts w:ascii="Times New Roman" w:hAnsi="Times New Roman" w:cs="Times New Roman"/>
        </w:rPr>
        <w:t>According to Kerzner (2017), resources should be allocated to balance workloads and avoid overloading specialist staff. In this project, the architecture team leads the design phase before moving into an oversight role during development, while additional developers support module integration and API development. Resource requirements are reviewed at each monthly project board meeting to ensure staffing remains aligned with project progress.</w:t>
      </w:r>
    </w:p>
    <w:p w14:paraId="233309FC" w14:textId="7CC36EEC" w:rsidR="00AF3F37" w:rsidRDefault="00AF3F37" w:rsidP="00AF3F37">
      <w:pPr>
        <w:spacing w:after="200" w:line="360" w:lineRule="auto"/>
        <w:jc w:val="both"/>
        <w:rPr>
          <w:rFonts w:ascii="Times New Roman" w:hAnsi="Times New Roman" w:cs="Times New Roman"/>
        </w:rPr>
      </w:pPr>
      <w:r w:rsidRPr="00A85285">
        <w:rPr>
          <w:rFonts w:ascii="Times New Roman" w:hAnsi="Times New Roman" w:cs="Times New Roman"/>
        </w:rPr>
        <w:t xml:space="preserve">The estimated £2.8 million budget covers staffing, cloud infrastructure, third-party software licences and contingency. Based on estimates from McKinsey &amp; Company (2023), the platform is expected to generate annual operational savings of £1.1–£1.4 million, resulting in a payback period of approximately two to three years. This </w:t>
      </w:r>
      <w:r w:rsidR="00C11862">
        <w:rPr>
          <w:rFonts w:ascii="Times New Roman" w:hAnsi="Times New Roman" w:cs="Times New Roman"/>
        </w:rPr>
        <w:t>financial</w:t>
      </w:r>
      <w:r w:rsidR="00B015E3">
        <w:rPr>
          <w:rFonts w:ascii="Times New Roman" w:hAnsi="Times New Roman" w:cs="Times New Roman"/>
        </w:rPr>
        <w:t xml:space="preserve"> profile </w:t>
      </w:r>
      <w:r w:rsidRPr="00A85285">
        <w:rPr>
          <w:rFonts w:ascii="Times New Roman" w:hAnsi="Times New Roman" w:cs="Times New Roman"/>
        </w:rPr>
        <w:t>supports the decision to prioritise cloud-based infrastructure and internal resources over costly new physical assets.</w:t>
      </w:r>
    </w:p>
    <w:p w14:paraId="6AD21967" w14:textId="743E059C" w:rsidR="00546BE3" w:rsidRPr="00B26735" w:rsidRDefault="00546BE3" w:rsidP="00DB3468">
      <w:pPr>
        <w:spacing w:after="200" w:line="360" w:lineRule="auto"/>
        <w:jc w:val="both"/>
        <w:rPr>
          <w:rFonts w:ascii="Times New Roman" w:eastAsia="Calibri" w:hAnsi="Times New Roman" w:cs="Times New Roman"/>
          <w:b/>
          <w:bCs/>
          <w:color w:val="0070C0"/>
        </w:rPr>
      </w:pPr>
      <w:r w:rsidRPr="00B26735">
        <w:rPr>
          <w:rFonts w:ascii="Times New Roman" w:eastAsia="Times New Roman" w:hAnsi="Times New Roman" w:cs="Times New Roman"/>
          <w:b/>
          <w:bCs/>
          <w:color w:val="0070C0"/>
          <w:kern w:val="0"/>
          <w:lang w:eastAsia="en-GB"/>
          <w14:ligatures w14:val="none"/>
        </w:rPr>
        <w:t xml:space="preserve">Smart Transport Management System - </w:t>
      </w:r>
      <w:r w:rsidRPr="00B26735">
        <w:rPr>
          <w:rFonts w:ascii="Times New Roman" w:eastAsia="Calibri" w:hAnsi="Times New Roman" w:cs="Times New Roman"/>
          <w:b/>
          <w:bCs/>
          <w:color w:val="0070C0"/>
        </w:rPr>
        <w:t>Resource allocation by work package</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3600"/>
        <w:gridCol w:w="2500"/>
      </w:tblGrid>
      <w:tr w:rsidR="00DB3468" w14:paraId="144C4638" w14:textId="77777777" w:rsidTr="00CF2CF6">
        <w:tc>
          <w:tcPr>
            <w:tcW w:w="3600" w:type="dxa"/>
            <w:shd w:val="clear" w:color="auto" w:fill="0B1E3D"/>
            <w:tcMar>
              <w:top w:w="80" w:type="dxa"/>
              <w:left w:w="100" w:type="dxa"/>
              <w:bottom w:w="80" w:type="dxa"/>
              <w:right w:w="100" w:type="dxa"/>
            </w:tcMar>
            <w:vAlign w:val="center"/>
          </w:tcPr>
          <w:p w14:paraId="297795CE"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b/>
                <w:bCs/>
                <w:color w:val="FFFFFF"/>
                <w:sz w:val="20"/>
                <w:szCs w:val="20"/>
              </w:rPr>
              <w:t>Work package</w:t>
            </w:r>
          </w:p>
        </w:tc>
        <w:tc>
          <w:tcPr>
            <w:tcW w:w="3600" w:type="dxa"/>
            <w:shd w:val="clear" w:color="auto" w:fill="0B1E3D"/>
            <w:tcMar>
              <w:top w:w="80" w:type="dxa"/>
              <w:left w:w="100" w:type="dxa"/>
              <w:bottom w:w="80" w:type="dxa"/>
              <w:right w:w="100" w:type="dxa"/>
            </w:tcMar>
            <w:vAlign w:val="center"/>
          </w:tcPr>
          <w:p w14:paraId="6BBABEB3"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b/>
                <w:bCs/>
                <w:color w:val="FFFFFF"/>
                <w:sz w:val="20"/>
                <w:szCs w:val="20"/>
              </w:rPr>
              <w:t>Primary resource(s)</w:t>
            </w:r>
          </w:p>
        </w:tc>
        <w:tc>
          <w:tcPr>
            <w:tcW w:w="2500" w:type="dxa"/>
            <w:shd w:val="clear" w:color="auto" w:fill="0B1E3D"/>
            <w:tcMar>
              <w:top w:w="80" w:type="dxa"/>
              <w:left w:w="100" w:type="dxa"/>
              <w:bottom w:w="80" w:type="dxa"/>
              <w:right w:w="100" w:type="dxa"/>
            </w:tcMar>
            <w:vAlign w:val="center"/>
          </w:tcPr>
          <w:p w14:paraId="7632C213"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b/>
                <w:bCs/>
                <w:color w:val="FFFFFF"/>
                <w:sz w:val="20"/>
                <w:szCs w:val="20"/>
              </w:rPr>
              <w:t>Resource type</w:t>
            </w:r>
          </w:p>
        </w:tc>
      </w:tr>
      <w:tr w:rsidR="00DB3468" w14:paraId="702FA179" w14:textId="77777777" w:rsidTr="008760A6">
        <w:tc>
          <w:tcPr>
            <w:tcW w:w="3600" w:type="dxa"/>
            <w:shd w:val="clear" w:color="auto" w:fill="DAE9F7" w:themeFill="text2" w:themeFillTint="1A"/>
            <w:tcMar>
              <w:top w:w="80" w:type="dxa"/>
              <w:left w:w="100" w:type="dxa"/>
              <w:bottom w:w="80" w:type="dxa"/>
              <w:right w:w="100" w:type="dxa"/>
            </w:tcMar>
            <w:vAlign w:val="center"/>
          </w:tcPr>
          <w:p w14:paraId="4D2E9ACD"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Project initiation &amp; stakeholder engagement</w:t>
            </w:r>
          </w:p>
        </w:tc>
        <w:tc>
          <w:tcPr>
            <w:tcW w:w="3600" w:type="dxa"/>
            <w:tcMar>
              <w:top w:w="80" w:type="dxa"/>
              <w:left w:w="100" w:type="dxa"/>
              <w:bottom w:w="80" w:type="dxa"/>
              <w:right w:w="100" w:type="dxa"/>
            </w:tcMar>
            <w:vAlign w:val="center"/>
          </w:tcPr>
          <w:p w14:paraId="0FF576C1"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Project manager, business analyst</w:t>
            </w:r>
          </w:p>
        </w:tc>
        <w:tc>
          <w:tcPr>
            <w:tcW w:w="2500" w:type="dxa"/>
            <w:shd w:val="clear" w:color="auto" w:fill="DAE9F7" w:themeFill="text2" w:themeFillTint="1A"/>
            <w:tcMar>
              <w:top w:w="80" w:type="dxa"/>
              <w:left w:w="100" w:type="dxa"/>
              <w:bottom w:w="80" w:type="dxa"/>
              <w:right w:w="100" w:type="dxa"/>
            </w:tcMar>
            <w:vAlign w:val="center"/>
          </w:tcPr>
          <w:p w14:paraId="56D97A24"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Internal staff</w:t>
            </w:r>
          </w:p>
        </w:tc>
      </w:tr>
      <w:tr w:rsidR="00DB3468" w14:paraId="1C7B61F1" w14:textId="77777777" w:rsidTr="008760A6">
        <w:tc>
          <w:tcPr>
            <w:tcW w:w="3600" w:type="dxa"/>
            <w:shd w:val="clear" w:color="auto" w:fill="DAE9F7" w:themeFill="text2" w:themeFillTint="1A"/>
            <w:tcMar>
              <w:top w:w="80" w:type="dxa"/>
              <w:left w:w="100" w:type="dxa"/>
              <w:bottom w:w="80" w:type="dxa"/>
              <w:right w:w="100" w:type="dxa"/>
            </w:tcMar>
            <w:vAlign w:val="center"/>
          </w:tcPr>
          <w:p w14:paraId="6E529C76"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System &amp; data architecture</w:t>
            </w:r>
          </w:p>
        </w:tc>
        <w:tc>
          <w:tcPr>
            <w:tcW w:w="3600" w:type="dxa"/>
            <w:tcMar>
              <w:top w:w="80" w:type="dxa"/>
              <w:left w:w="100" w:type="dxa"/>
              <w:bottom w:w="80" w:type="dxa"/>
              <w:right w:w="100" w:type="dxa"/>
            </w:tcMar>
            <w:vAlign w:val="center"/>
          </w:tcPr>
          <w:p w14:paraId="72493E4B"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Solutions architect, data architect</w:t>
            </w:r>
          </w:p>
        </w:tc>
        <w:tc>
          <w:tcPr>
            <w:tcW w:w="2500" w:type="dxa"/>
            <w:shd w:val="clear" w:color="auto" w:fill="DAE9F7" w:themeFill="text2" w:themeFillTint="1A"/>
            <w:tcMar>
              <w:top w:w="80" w:type="dxa"/>
              <w:left w:w="100" w:type="dxa"/>
              <w:bottom w:w="80" w:type="dxa"/>
              <w:right w:w="100" w:type="dxa"/>
            </w:tcMar>
            <w:vAlign w:val="center"/>
          </w:tcPr>
          <w:p w14:paraId="7EE7C4F2"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Internal staff</w:t>
            </w:r>
          </w:p>
        </w:tc>
      </w:tr>
      <w:tr w:rsidR="00DB3468" w14:paraId="4A88BC2B" w14:textId="77777777" w:rsidTr="008760A6">
        <w:tc>
          <w:tcPr>
            <w:tcW w:w="3600" w:type="dxa"/>
            <w:shd w:val="clear" w:color="auto" w:fill="DAE9F7" w:themeFill="text2" w:themeFillTint="1A"/>
            <w:tcMar>
              <w:top w:w="80" w:type="dxa"/>
              <w:left w:w="100" w:type="dxa"/>
              <w:bottom w:w="80" w:type="dxa"/>
              <w:right w:w="100" w:type="dxa"/>
            </w:tcMar>
            <w:vAlign w:val="center"/>
          </w:tcPr>
          <w:p w14:paraId="44690EED"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UI/UX design</w:t>
            </w:r>
          </w:p>
        </w:tc>
        <w:tc>
          <w:tcPr>
            <w:tcW w:w="3600" w:type="dxa"/>
            <w:tcMar>
              <w:top w:w="80" w:type="dxa"/>
              <w:left w:w="100" w:type="dxa"/>
              <w:bottom w:w="80" w:type="dxa"/>
              <w:right w:w="100" w:type="dxa"/>
            </w:tcMar>
            <w:vAlign w:val="center"/>
          </w:tcPr>
          <w:p w14:paraId="0D6E72AB"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UX designer, front-end developer</w:t>
            </w:r>
          </w:p>
        </w:tc>
        <w:tc>
          <w:tcPr>
            <w:tcW w:w="2500" w:type="dxa"/>
            <w:shd w:val="clear" w:color="auto" w:fill="DAE9F7" w:themeFill="text2" w:themeFillTint="1A"/>
            <w:tcMar>
              <w:top w:w="80" w:type="dxa"/>
              <w:left w:w="100" w:type="dxa"/>
              <w:bottom w:w="80" w:type="dxa"/>
              <w:right w:w="100" w:type="dxa"/>
            </w:tcMar>
            <w:vAlign w:val="center"/>
          </w:tcPr>
          <w:p w14:paraId="6131B20E"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Internal staff</w:t>
            </w:r>
          </w:p>
        </w:tc>
      </w:tr>
      <w:tr w:rsidR="00DB3468" w14:paraId="092457CD" w14:textId="77777777" w:rsidTr="008760A6">
        <w:tc>
          <w:tcPr>
            <w:tcW w:w="3600" w:type="dxa"/>
            <w:shd w:val="clear" w:color="auto" w:fill="DAE9F7" w:themeFill="text2" w:themeFillTint="1A"/>
            <w:tcMar>
              <w:top w:w="80" w:type="dxa"/>
              <w:left w:w="100" w:type="dxa"/>
              <w:bottom w:w="80" w:type="dxa"/>
              <w:right w:w="100" w:type="dxa"/>
            </w:tcMar>
            <w:vAlign w:val="center"/>
          </w:tcPr>
          <w:p w14:paraId="7AA7ABD6"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Platform development &amp; module integration</w:t>
            </w:r>
          </w:p>
        </w:tc>
        <w:tc>
          <w:tcPr>
            <w:tcW w:w="3600" w:type="dxa"/>
            <w:tcMar>
              <w:top w:w="80" w:type="dxa"/>
              <w:left w:w="100" w:type="dxa"/>
              <w:bottom w:w="80" w:type="dxa"/>
              <w:right w:w="100" w:type="dxa"/>
            </w:tcMar>
            <w:vAlign w:val="center"/>
          </w:tcPr>
          <w:p w14:paraId="0D78385E"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Back-end developers, integration engineers</w:t>
            </w:r>
          </w:p>
        </w:tc>
        <w:tc>
          <w:tcPr>
            <w:tcW w:w="2500" w:type="dxa"/>
            <w:shd w:val="clear" w:color="auto" w:fill="DAE9F7" w:themeFill="text2" w:themeFillTint="1A"/>
            <w:tcMar>
              <w:top w:w="80" w:type="dxa"/>
              <w:left w:w="100" w:type="dxa"/>
              <w:bottom w:w="80" w:type="dxa"/>
              <w:right w:w="100" w:type="dxa"/>
            </w:tcMar>
            <w:vAlign w:val="center"/>
          </w:tcPr>
          <w:p w14:paraId="581718EE" w14:textId="52845831"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 xml:space="preserve">Internal </w:t>
            </w:r>
            <w:r w:rsidR="00546BE3" w:rsidRPr="00B26735">
              <w:rPr>
                <w:rFonts w:ascii="Times New Roman" w:eastAsia="Calibri" w:hAnsi="Times New Roman" w:cs="Times New Roman"/>
                <w:color w:val="1B2430"/>
                <w:sz w:val="20"/>
                <w:szCs w:val="20"/>
              </w:rPr>
              <w:t>staff/cloud</w:t>
            </w:r>
            <w:r w:rsidRPr="00B26735">
              <w:rPr>
                <w:rFonts w:ascii="Times New Roman" w:eastAsia="Calibri" w:hAnsi="Times New Roman" w:cs="Times New Roman"/>
                <w:color w:val="1B2430"/>
                <w:sz w:val="20"/>
                <w:szCs w:val="20"/>
              </w:rPr>
              <w:t xml:space="preserve"> platform</w:t>
            </w:r>
          </w:p>
        </w:tc>
      </w:tr>
      <w:tr w:rsidR="00DB3468" w14:paraId="13E144FC" w14:textId="77777777" w:rsidTr="008760A6">
        <w:tc>
          <w:tcPr>
            <w:tcW w:w="3600" w:type="dxa"/>
            <w:shd w:val="clear" w:color="auto" w:fill="DAE9F7" w:themeFill="text2" w:themeFillTint="1A"/>
            <w:tcMar>
              <w:top w:w="80" w:type="dxa"/>
              <w:left w:w="100" w:type="dxa"/>
              <w:bottom w:w="80" w:type="dxa"/>
              <w:right w:w="100" w:type="dxa"/>
            </w:tcMar>
            <w:vAlign w:val="center"/>
          </w:tcPr>
          <w:p w14:paraId="5249182E"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API development</w:t>
            </w:r>
          </w:p>
        </w:tc>
        <w:tc>
          <w:tcPr>
            <w:tcW w:w="3600" w:type="dxa"/>
            <w:tcMar>
              <w:top w:w="80" w:type="dxa"/>
              <w:left w:w="100" w:type="dxa"/>
              <w:bottom w:w="80" w:type="dxa"/>
              <w:right w:w="100" w:type="dxa"/>
            </w:tcMar>
            <w:vAlign w:val="center"/>
          </w:tcPr>
          <w:p w14:paraId="59318C34"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Integration engineers, operator liaison leads</w:t>
            </w:r>
          </w:p>
        </w:tc>
        <w:tc>
          <w:tcPr>
            <w:tcW w:w="2500" w:type="dxa"/>
            <w:shd w:val="clear" w:color="auto" w:fill="DAE9F7" w:themeFill="text2" w:themeFillTint="1A"/>
            <w:tcMar>
              <w:top w:w="80" w:type="dxa"/>
              <w:left w:w="100" w:type="dxa"/>
              <w:bottom w:w="80" w:type="dxa"/>
              <w:right w:w="100" w:type="dxa"/>
            </w:tcMar>
            <w:vAlign w:val="center"/>
          </w:tcPr>
          <w:p w14:paraId="5CDC8B85" w14:textId="4FB39733"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 xml:space="preserve">Internal </w:t>
            </w:r>
            <w:r w:rsidR="00546BE3" w:rsidRPr="00B26735">
              <w:rPr>
                <w:rFonts w:ascii="Times New Roman" w:eastAsia="Calibri" w:hAnsi="Times New Roman" w:cs="Times New Roman"/>
                <w:color w:val="1B2430"/>
                <w:sz w:val="20"/>
                <w:szCs w:val="20"/>
              </w:rPr>
              <w:t>staff/operator</w:t>
            </w:r>
            <w:r w:rsidRPr="00B26735">
              <w:rPr>
                <w:rFonts w:ascii="Times New Roman" w:eastAsia="Calibri" w:hAnsi="Times New Roman" w:cs="Times New Roman"/>
                <w:color w:val="1B2430"/>
                <w:sz w:val="20"/>
                <w:szCs w:val="20"/>
              </w:rPr>
              <w:t xml:space="preserve"> systems</w:t>
            </w:r>
          </w:p>
        </w:tc>
      </w:tr>
      <w:tr w:rsidR="00DB3468" w14:paraId="77A818A6" w14:textId="77777777" w:rsidTr="008760A6">
        <w:tc>
          <w:tcPr>
            <w:tcW w:w="3600" w:type="dxa"/>
            <w:shd w:val="clear" w:color="auto" w:fill="DAE9F7" w:themeFill="text2" w:themeFillTint="1A"/>
            <w:tcMar>
              <w:top w:w="80" w:type="dxa"/>
              <w:left w:w="100" w:type="dxa"/>
              <w:bottom w:w="80" w:type="dxa"/>
              <w:right w:w="100" w:type="dxa"/>
            </w:tcMar>
            <w:vAlign w:val="center"/>
          </w:tcPr>
          <w:p w14:paraId="44203EF4"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System testing (UAT)</w:t>
            </w:r>
          </w:p>
        </w:tc>
        <w:tc>
          <w:tcPr>
            <w:tcW w:w="3600" w:type="dxa"/>
            <w:tcMar>
              <w:top w:w="80" w:type="dxa"/>
              <w:left w:w="100" w:type="dxa"/>
              <w:bottom w:w="80" w:type="dxa"/>
              <w:right w:w="100" w:type="dxa"/>
            </w:tcMar>
            <w:vAlign w:val="center"/>
          </w:tcPr>
          <w:p w14:paraId="241BF474"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QA lead, QA testers, pilot users</w:t>
            </w:r>
          </w:p>
        </w:tc>
        <w:tc>
          <w:tcPr>
            <w:tcW w:w="2500" w:type="dxa"/>
            <w:shd w:val="clear" w:color="auto" w:fill="DAE9F7" w:themeFill="text2" w:themeFillTint="1A"/>
            <w:tcMar>
              <w:top w:w="80" w:type="dxa"/>
              <w:left w:w="100" w:type="dxa"/>
              <w:bottom w:w="80" w:type="dxa"/>
              <w:right w:w="100" w:type="dxa"/>
            </w:tcMar>
            <w:vAlign w:val="center"/>
          </w:tcPr>
          <w:p w14:paraId="5F7DC980" w14:textId="1513C22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 xml:space="preserve">Internal </w:t>
            </w:r>
            <w:r w:rsidR="00546BE3" w:rsidRPr="00B26735">
              <w:rPr>
                <w:rFonts w:ascii="Times New Roman" w:eastAsia="Calibri" w:hAnsi="Times New Roman" w:cs="Times New Roman"/>
                <w:color w:val="1B2430"/>
                <w:sz w:val="20"/>
                <w:szCs w:val="20"/>
              </w:rPr>
              <w:t>staff/end</w:t>
            </w:r>
            <w:r w:rsidRPr="00B26735">
              <w:rPr>
                <w:rFonts w:ascii="Times New Roman" w:eastAsia="Calibri" w:hAnsi="Times New Roman" w:cs="Times New Roman"/>
                <w:color w:val="1B2430"/>
                <w:sz w:val="20"/>
                <w:szCs w:val="20"/>
              </w:rPr>
              <w:t xml:space="preserve"> users</w:t>
            </w:r>
          </w:p>
        </w:tc>
      </w:tr>
      <w:tr w:rsidR="00DB3468" w14:paraId="436AA656" w14:textId="77777777" w:rsidTr="008760A6">
        <w:tc>
          <w:tcPr>
            <w:tcW w:w="3600" w:type="dxa"/>
            <w:shd w:val="clear" w:color="auto" w:fill="DAE9F7" w:themeFill="text2" w:themeFillTint="1A"/>
            <w:tcMar>
              <w:top w:w="80" w:type="dxa"/>
              <w:left w:w="100" w:type="dxa"/>
              <w:bottom w:w="80" w:type="dxa"/>
              <w:right w:w="100" w:type="dxa"/>
            </w:tcMar>
            <w:vAlign w:val="center"/>
          </w:tcPr>
          <w:p w14:paraId="06C6A0C1"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Staff training &amp; documentation</w:t>
            </w:r>
          </w:p>
        </w:tc>
        <w:tc>
          <w:tcPr>
            <w:tcW w:w="3600" w:type="dxa"/>
            <w:tcMar>
              <w:top w:w="80" w:type="dxa"/>
              <w:left w:w="100" w:type="dxa"/>
              <w:bottom w:w="80" w:type="dxa"/>
              <w:right w:w="100" w:type="dxa"/>
            </w:tcMar>
            <w:vAlign w:val="center"/>
          </w:tcPr>
          <w:p w14:paraId="0D11B6C0"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Change manager, training coordinator</w:t>
            </w:r>
          </w:p>
        </w:tc>
        <w:tc>
          <w:tcPr>
            <w:tcW w:w="2500" w:type="dxa"/>
            <w:shd w:val="clear" w:color="auto" w:fill="DAE9F7" w:themeFill="text2" w:themeFillTint="1A"/>
            <w:tcMar>
              <w:top w:w="80" w:type="dxa"/>
              <w:left w:w="100" w:type="dxa"/>
              <w:bottom w:w="80" w:type="dxa"/>
              <w:right w:w="100" w:type="dxa"/>
            </w:tcMar>
            <w:vAlign w:val="center"/>
          </w:tcPr>
          <w:p w14:paraId="7B9CA4C9"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Internal staff</w:t>
            </w:r>
          </w:p>
        </w:tc>
      </w:tr>
      <w:tr w:rsidR="00DB3468" w14:paraId="036DEBB7" w14:textId="77777777" w:rsidTr="008760A6">
        <w:tc>
          <w:tcPr>
            <w:tcW w:w="3600" w:type="dxa"/>
            <w:shd w:val="clear" w:color="auto" w:fill="DAE9F7" w:themeFill="text2" w:themeFillTint="1A"/>
            <w:tcMar>
              <w:top w:w="80" w:type="dxa"/>
              <w:left w:w="100" w:type="dxa"/>
              <w:bottom w:w="80" w:type="dxa"/>
              <w:right w:w="100" w:type="dxa"/>
            </w:tcMar>
            <w:vAlign w:val="center"/>
          </w:tcPr>
          <w:p w14:paraId="6D7BF9B2"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Deployment, monitoring &amp; closure</w:t>
            </w:r>
          </w:p>
        </w:tc>
        <w:tc>
          <w:tcPr>
            <w:tcW w:w="3600" w:type="dxa"/>
            <w:tcMar>
              <w:top w:w="80" w:type="dxa"/>
              <w:left w:w="100" w:type="dxa"/>
              <w:bottom w:w="80" w:type="dxa"/>
              <w:right w:w="100" w:type="dxa"/>
            </w:tcMar>
            <w:vAlign w:val="center"/>
          </w:tcPr>
          <w:p w14:paraId="4827144E" w14:textId="77777777"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Project manager, operations lead, cloud infrastructure</w:t>
            </w:r>
          </w:p>
        </w:tc>
        <w:tc>
          <w:tcPr>
            <w:tcW w:w="2500" w:type="dxa"/>
            <w:shd w:val="clear" w:color="auto" w:fill="DAE9F7" w:themeFill="text2" w:themeFillTint="1A"/>
            <w:tcMar>
              <w:top w:w="80" w:type="dxa"/>
              <w:left w:w="100" w:type="dxa"/>
              <w:bottom w:w="80" w:type="dxa"/>
              <w:right w:w="100" w:type="dxa"/>
            </w:tcMar>
            <w:vAlign w:val="center"/>
          </w:tcPr>
          <w:p w14:paraId="1E42CAE1" w14:textId="2B77EC4F" w:rsidR="00DB3468" w:rsidRPr="00B26735" w:rsidRDefault="00DB3468" w:rsidP="00CF2CF6">
            <w:pPr>
              <w:rPr>
                <w:rFonts w:ascii="Times New Roman" w:hAnsi="Times New Roman" w:cs="Times New Roman"/>
              </w:rPr>
            </w:pPr>
            <w:r w:rsidRPr="00B26735">
              <w:rPr>
                <w:rFonts w:ascii="Times New Roman" w:eastAsia="Calibri" w:hAnsi="Times New Roman" w:cs="Times New Roman"/>
                <w:color w:val="1B2430"/>
                <w:sz w:val="20"/>
                <w:szCs w:val="20"/>
              </w:rPr>
              <w:t xml:space="preserve">Internal </w:t>
            </w:r>
            <w:r w:rsidR="00546BE3" w:rsidRPr="00B26735">
              <w:rPr>
                <w:rFonts w:ascii="Times New Roman" w:eastAsia="Calibri" w:hAnsi="Times New Roman" w:cs="Times New Roman"/>
                <w:color w:val="1B2430"/>
                <w:sz w:val="20"/>
                <w:szCs w:val="20"/>
              </w:rPr>
              <w:t>staff/cloud</w:t>
            </w:r>
            <w:r w:rsidRPr="00B26735">
              <w:rPr>
                <w:rFonts w:ascii="Times New Roman" w:eastAsia="Calibri" w:hAnsi="Times New Roman" w:cs="Times New Roman"/>
                <w:color w:val="1B2430"/>
                <w:sz w:val="20"/>
                <w:szCs w:val="20"/>
              </w:rPr>
              <w:t xml:space="preserve"> platform</w:t>
            </w:r>
          </w:p>
        </w:tc>
      </w:tr>
    </w:tbl>
    <w:p w14:paraId="7BCE72CE" w14:textId="104FA31A" w:rsidR="00546BE3" w:rsidRDefault="00546BE3" w:rsidP="00546BE3">
      <w:pPr>
        <w:spacing w:after="200" w:line="360" w:lineRule="auto"/>
        <w:ind w:left="1440" w:firstLine="720"/>
        <w:jc w:val="both"/>
        <w:rPr>
          <w:rFonts w:ascii="Times New Roman" w:eastAsia="Calibri" w:hAnsi="Times New Roman" w:cs="Times New Roman"/>
          <w:i/>
          <w:iCs/>
          <w:kern w:val="0"/>
          <w:lang w:eastAsia="en-GB"/>
          <w14:ligatures w14:val="none"/>
        </w:rPr>
      </w:pPr>
      <w:r w:rsidRPr="00546BE3">
        <w:rPr>
          <w:rFonts w:ascii="Times New Roman" w:eastAsia="Calibri" w:hAnsi="Times New Roman" w:cs="Times New Roman"/>
          <w:b/>
          <w:bCs/>
          <w:i/>
          <w:iCs/>
          <w:kern w:val="0"/>
          <w:lang w:eastAsia="en-GB"/>
          <w14:ligatures w14:val="none"/>
        </w:rPr>
        <w:t>Table 1</w:t>
      </w:r>
      <w:r w:rsidRPr="00546BE3">
        <w:rPr>
          <w:rFonts w:ascii="Times New Roman" w:eastAsia="Calibri" w:hAnsi="Times New Roman" w:cs="Times New Roman"/>
          <w:i/>
          <w:iCs/>
          <w:kern w:val="0"/>
          <w:lang w:eastAsia="en-GB"/>
          <w14:ligatures w14:val="none"/>
        </w:rPr>
        <w:t>: Resource allocation by work package</w:t>
      </w:r>
    </w:p>
    <w:p w14:paraId="22D863EC" w14:textId="77777777" w:rsidR="00B26735" w:rsidRPr="00B26735" w:rsidRDefault="00B26735" w:rsidP="00031D01">
      <w:pPr>
        <w:pStyle w:val="Heading1"/>
        <w:spacing w:line="360" w:lineRule="auto"/>
        <w:ind w:firstLine="720"/>
        <w:rPr>
          <w:rFonts w:ascii="Times New Roman" w:hAnsi="Times New Roman" w:cs="Times New Roman"/>
          <w:sz w:val="24"/>
          <w:szCs w:val="24"/>
        </w:rPr>
      </w:pPr>
      <w:r w:rsidRPr="00B26735">
        <w:rPr>
          <w:rFonts w:ascii="Times New Roman" w:eastAsia="Calibri" w:hAnsi="Times New Roman" w:cs="Times New Roman"/>
          <w:b/>
          <w:bCs/>
          <w:color w:val="0B1E3D"/>
          <w:sz w:val="24"/>
          <w:szCs w:val="24"/>
        </w:rPr>
        <w:lastRenderedPageBreak/>
        <w:t>9. Risk Analysis</w:t>
      </w:r>
    </w:p>
    <w:p w14:paraId="5E0BF486" w14:textId="37F7ADE6" w:rsidR="00A1457F" w:rsidRDefault="007E115A" w:rsidP="00B26735">
      <w:pPr>
        <w:spacing w:after="200" w:line="360" w:lineRule="auto"/>
        <w:jc w:val="both"/>
        <w:rPr>
          <w:rFonts w:ascii="Times New Roman" w:eastAsia="Calibri" w:hAnsi="Times New Roman" w:cs="Times New Roman"/>
        </w:rPr>
      </w:pPr>
      <w:r w:rsidRPr="007E115A">
        <w:rPr>
          <w:rFonts w:ascii="Times New Roman" w:eastAsia="Calibri" w:hAnsi="Times New Roman" w:cs="Times New Roman"/>
        </w:rPr>
        <w:t>Risk analysis follows the ISO 31000:2018 framework, which recommends identifying, assessing, treating and monitoring risks throughout the project lifecycle (International Organisation for Standardisation, 2018). Table 2 summarises the six key risks identified for the STMS project, while Figure 5 presents them on a probability-impact matrix to support risk prioritisation and decision-making (Burke, 2023).</w:t>
      </w:r>
    </w:p>
    <w:p w14:paraId="0F3B2FBB" w14:textId="56F38F32" w:rsidR="008760A6" w:rsidRPr="00B26735" w:rsidRDefault="008760A6" w:rsidP="00B26735">
      <w:pPr>
        <w:spacing w:after="200" w:line="360" w:lineRule="auto"/>
        <w:jc w:val="both"/>
        <w:rPr>
          <w:rFonts w:ascii="Times New Roman" w:hAnsi="Times New Roman" w:cs="Times New Roman"/>
        </w:rPr>
      </w:pPr>
      <w:r w:rsidRPr="00B26735">
        <w:rPr>
          <w:rFonts w:ascii="Times New Roman" w:eastAsia="Times New Roman" w:hAnsi="Times New Roman" w:cs="Times New Roman"/>
          <w:b/>
          <w:bCs/>
          <w:color w:val="0070C0"/>
          <w:kern w:val="0"/>
          <w:lang w:eastAsia="en-GB"/>
          <w14:ligatures w14:val="none"/>
        </w:rPr>
        <w:t xml:space="preserve">Smart Transport Management System </w:t>
      </w:r>
      <w:r>
        <w:rPr>
          <w:rFonts w:ascii="Times New Roman" w:eastAsia="Times New Roman" w:hAnsi="Times New Roman" w:cs="Times New Roman"/>
          <w:b/>
          <w:bCs/>
          <w:color w:val="0070C0"/>
          <w:kern w:val="0"/>
          <w:lang w:eastAsia="en-GB"/>
          <w14:ligatures w14:val="none"/>
        </w:rPr>
        <w:t xml:space="preserve">- Project Risk Registry </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2400"/>
        <w:gridCol w:w="1600"/>
        <w:gridCol w:w="1300"/>
        <w:gridCol w:w="3700"/>
      </w:tblGrid>
      <w:tr w:rsidR="008760A6" w:rsidRPr="008760A6" w14:paraId="1D5B9F24" w14:textId="77777777" w:rsidTr="00CF2CF6">
        <w:tc>
          <w:tcPr>
            <w:tcW w:w="700" w:type="dxa"/>
            <w:shd w:val="clear" w:color="auto" w:fill="0B1E3D"/>
            <w:tcMar>
              <w:top w:w="80" w:type="dxa"/>
              <w:left w:w="100" w:type="dxa"/>
              <w:bottom w:w="80" w:type="dxa"/>
              <w:right w:w="100" w:type="dxa"/>
            </w:tcMar>
            <w:vAlign w:val="center"/>
          </w:tcPr>
          <w:p w14:paraId="18CD2095"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b/>
                <w:bCs/>
                <w:color w:val="FFFFFF"/>
              </w:rPr>
              <w:t>No.</w:t>
            </w:r>
          </w:p>
        </w:tc>
        <w:tc>
          <w:tcPr>
            <w:tcW w:w="2400" w:type="dxa"/>
            <w:shd w:val="clear" w:color="auto" w:fill="0B1E3D"/>
            <w:tcMar>
              <w:top w:w="80" w:type="dxa"/>
              <w:left w:w="100" w:type="dxa"/>
              <w:bottom w:w="80" w:type="dxa"/>
              <w:right w:w="100" w:type="dxa"/>
            </w:tcMar>
            <w:vAlign w:val="center"/>
          </w:tcPr>
          <w:p w14:paraId="1067C368"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b/>
                <w:bCs/>
                <w:color w:val="FFFFFF"/>
              </w:rPr>
              <w:t>Risk</w:t>
            </w:r>
          </w:p>
        </w:tc>
        <w:tc>
          <w:tcPr>
            <w:tcW w:w="1600" w:type="dxa"/>
            <w:shd w:val="clear" w:color="auto" w:fill="0B1E3D"/>
            <w:tcMar>
              <w:top w:w="80" w:type="dxa"/>
              <w:left w:w="100" w:type="dxa"/>
              <w:bottom w:w="80" w:type="dxa"/>
              <w:right w:w="100" w:type="dxa"/>
            </w:tcMar>
            <w:vAlign w:val="center"/>
          </w:tcPr>
          <w:p w14:paraId="77C026FF"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b/>
                <w:bCs/>
                <w:color w:val="FFFFFF"/>
              </w:rPr>
              <w:t>Probability</w:t>
            </w:r>
          </w:p>
        </w:tc>
        <w:tc>
          <w:tcPr>
            <w:tcW w:w="1300" w:type="dxa"/>
            <w:shd w:val="clear" w:color="auto" w:fill="0B1E3D"/>
            <w:tcMar>
              <w:top w:w="80" w:type="dxa"/>
              <w:left w:w="100" w:type="dxa"/>
              <w:bottom w:w="80" w:type="dxa"/>
              <w:right w:w="100" w:type="dxa"/>
            </w:tcMar>
            <w:vAlign w:val="center"/>
          </w:tcPr>
          <w:p w14:paraId="21A50A03"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b/>
                <w:bCs/>
                <w:color w:val="FFFFFF"/>
              </w:rPr>
              <w:t>Impact</w:t>
            </w:r>
          </w:p>
        </w:tc>
        <w:tc>
          <w:tcPr>
            <w:tcW w:w="3700" w:type="dxa"/>
            <w:shd w:val="clear" w:color="auto" w:fill="0B1E3D"/>
            <w:tcMar>
              <w:top w:w="80" w:type="dxa"/>
              <w:left w:w="100" w:type="dxa"/>
              <w:bottom w:w="80" w:type="dxa"/>
              <w:right w:w="100" w:type="dxa"/>
            </w:tcMar>
            <w:vAlign w:val="center"/>
          </w:tcPr>
          <w:p w14:paraId="537DD4DA"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b/>
                <w:bCs/>
                <w:color w:val="FFFFFF"/>
              </w:rPr>
              <w:t>Mitigation</w:t>
            </w:r>
          </w:p>
        </w:tc>
      </w:tr>
      <w:tr w:rsidR="008760A6" w:rsidRPr="008760A6" w14:paraId="09F79195" w14:textId="77777777" w:rsidTr="008760A6">
        <w:tc>
          <w:tcPr>
            <w:tcW w:w="700" w:type="dxa"/>
            <w:tcMar>
              <w:top w:w="80" w:type="dxa"/>
              <w:left w:w="100" w:type="dxa"/>
              <w:bottom w:w="80" w:type="dxa"/>
              <w:right w:w="100" w:type="dxa"/>
            </w:tcMar>
            <w:vAlign w:val="center"/>
          </w:tcPr>
          <w:p w14:paraId="5EF4E9CA"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R1</w:t>
            </w:r>
          </w:p>
        </w:tc>
        <w:tc>
          <w:tcPr>
            <w:tcW w:w="2400" w:type="dxa"/>
            <w:shd w:val="clear" w:color="auto" w:fill="F2F2F2" w:themeFill="background1" w:themeFillShade="F2"/>
            <w:tcMar>
              <w:top w:w="80" w:type="dxa"/>
              <w:left w:w="100" w:type="dxa"/>
              <w:bottom w:w="80" w:type="dxa"/>
              <w:right w:w="100" w:type="dxa"/>
            </w:tcMar>
            <w:vAlign w:val="center"/>
          </w:tcPr>
          <w:p w14:paraId="74B9CFAF"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Cybersecurity threats</w:t>
            </w:r>
          </w:p>
        </w:tc>
        <w:tc>
          <w:tcPr>
            <w:tcW w:w="1600" w:type="dxa"/>
            <w:tcMar>
              <w:top w:w="80" w:type="dxa"/>
              <w:left w:w="100" w:type="dxa"/>
              <w:bottom w:w="80" w:type="dxa"/>
              <w:right w:w="100" w:type="dxa"/>
            </w:tcMar>
            <w:vAlign w:val="center"/>
          </w:tcPr>
          <w:p w14:paraId="17615C98"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1300" w:type="dxa"/>
            <w:shd w:val="clear" w:color="auto" w:fill="F2F2F2" w:themeFill="background1" w:themeFillShade="F2"/>
            <w:tcMar>
              <w:top w:w="80" w:type="dxa"/>
              <w:left w:w="100" w:type="dxa"/>
              <w:bottom w:w="80" w:type="dxa"/>
              <w:right w:w="100" w:type="dxa"/>
            </w:tcMar>
            <w:vAlign w:val="center"/>
          </w:tcPr>
          <w:p w14:paraId="0D29FBFA"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High</w:t>
            </w:r>
          </w:p>
        </w:tc>
        <w:tc>
          <w:tcPr>
            <w:tcW w:w="3700" w:type="dxa"/>
            <w:tcMar>
              <w:top w:w="80" w:type="dxa"/>
              <w:left w:w="100" w:type="dxa"/>
              <w:bottom w:w="80" w:type="dxa"/>
              <w:right w:w="100" w:type="dxa"/>
            </w:tcMar>
            <w:vAlign w:val="center"/>
          </w:tcPr>
          <w:p w14:paraId="1EB4679C"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Encryption, access control and independent security review before go-live</w:t>
            </w:r>
          </w:p>
        </w:tc>
      </w:tr>
      <w:tr w:rsidR="008760A6" w:rsidRPr="008760A6" w14:paraId="4A8EB30C" w14:textId="77777777" w:rsidTr="008760A6">
        <w:tc>
          <w:tcPr>
            <w:tcW w:w="700" w:type="dxa"/>
            <w:tcMar>
              <w:top w:w="80" w:type="dxa"/>
              <w:left w:w="100" w:type="dxa"/>
              <w:bottom w:w="80" w:type="dxa"/>
              <w:right w:w="100" w:type="dxa"/>
            </w:tcMar>
            <w:vAlign w:val="center"/>
          </w:tcPr>
          <w:p w14:paraId="7998C6A9"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R2</w:t>
            </w:r>
          </w:p>
        </w:tc>
        <w:tc>
          <w:tcPr>
            <w:tcW w:w="2400" w:type="dxa"/>
            <w:shd w:val="clear" w:color="auto" w:fill="F2F2F2" w:themeFill="background1" w:themeFillShade="F2"/>
            <w:tcMar>
              <w:top w:w="80" w:type="dxa"/>
              <w:left w:w="100" w:type="dxa"/>
              <w:bottom w:w="80" w:type="dxa"/>
              <w:right w:w="100" w:type="dxa"/>
            </w:tcMar>
            <w:vAlign w:val="center"/>
          </w:tcPr>
          <w:p w14:paraId="750A30CF"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System integration complexity</w:t>
            </w:r>
          </w:p>
        </w:tc>
        <w:tc>
          <w:tcPr>
            <w:tcW w:w="1600" w:type="dxa"/>
            <w:tcMar>
              <w:top w:w="80" w:type="dxa"/>
              <w:left w:w="100" w:type="dxa"/>
              <w:bottom w:w="80" w:type="dxa"/>
              <w:right w:w="100" w:type="dxa"/>
            </w:tcMar>
            <w:vAlign w:val="center"/>
          </w:tcPr>
          <w:p w14:paraId="22FF794D"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1300" w:type="dxa"/>
            <w:shd w:val="clear" w:color="auto" w:fill="F2F2F2" w:themeFill="background1" w:themeFillShade="F2"/>
            <w:tcMar>
              <w:top w:w="80" w:type="dxa"/>
              <w:left w:w="100" w:type="dxa"/>
              <w:bottom w:w="80" w:type="dxa"/>
              <w:right w:w="100" w:type="dxa"/>
            </w:tcMar>
            <w:vAlign w:val="center"/>
          </w:tcPr>
          <w:p w14:paraId="3DDD3B71"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3700" w:type="dxa"/>
            <w:tcMar>
              <w:top w:w="80" w:type="dxa"/>
              <w:left w:w="100" w:type="dxa"/>
              <w:bottom w:w="80" w:type="dxa"/>
              <w:right w:w="100" w:type="dxa"/>
            </w:tcMar>
            <w:vAlign w:val="center"/>
          </w:tcPr>
          <w:p w14:paraId="6B3E27EE"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Early, continuous engagement with operator technology providers</w:t>
            </w:r>
          </w:p>
        </w:tc>
      </w:tr>
      <w:tr w:rsidR="008760A6" w:rsidRPr="008760A6" w14:paraId="23AB4136" w14:textId="77777777" w:rsidTr="008760A6">
        <w:tc>
          <w:tcPr>
            <w:tcW w:w="700" w:type="dxa"/>
            <w:tcMar>
              <w:top w:w="80" w:type="dxa"/>
              <w:left w:w="100" w:type="dxa"/>
              <w:bottom w:w="80" w:type="dxa"/>
              <w:right w:w="100" w:type="dxa"/>
            </w:tcMar>
            <w:vAlign w:val="center"/>
          </w:tcPr>
          <w:p w14:paraId="5F77A840"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R3</w:t>
            </w:r>
          </w:p>
        </w:tc>
        <w:tc>
          <w:tcPr>
            <w:tcW w:w="2400" w:type="dxa"/>
            <w:shd w:val="clear" w:color="auto" w:fill="F2F2F2" w:themeFill="background1" w:themeFillShade="F2"/>
            <w:tcMar>
              <w:top w:w="80" w:type="dxa"/>
              <w:left w:w="100" w:type="dxa"/>
              <w:bottom w:w="80" w:type="dxa"/>
              <w:right w:w="100" w:type="dxa"/>
            </w:tcMar>
            <w:vAlign w:val="center"/>
          </w:tcPr>
          <w:p w14:paraId="0C7E97BD"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Data quality issues</w:t>
            </w:r>
          </w:p>
        </w:tc>
        <w:tc>
          <w:tcPr>
            <w:tcW w:w="1600" w:type="dxa"/>
            <w:tcMar>
              <w:top w:w="80" w:type="dxa"/>
              <w:left w:w="100" w:type="dxa"/>
              <w:bottom w:w="80" w:type="dxa"/>
              <w:right w:w="100" w:type="dxa"/>
            </w:tcMar>
            <w:vAlign w:val="center"/>
          </w:tcPr>
          <w:p w14:paraId="6F8FE421"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Low</w:t>
            </w:r>
          </w:p>
        </w:tc>
        <w:tc>
          <w:tcPr>
            <w:tcW w:w="1300" w:type="dxa"/>
            <w:shd w:val="clear" w:color="auto" w:fill="F2F2F2" w:themeFill="background1" w:themeFillShade="F2"/>
            <w:tcMar>
              <w:top w:w="80" w:type="dxa"/>
              <w:left w:w="100" w:type="dxa"/>
              <w:bottom w:w="80" w:type="dxa"/>
              <w:right w:w="100" w:type="dxa"/>
            </w:tcMar>
            <w:vAlign w:val="center"/>
          </w:tcPr>
          <w:p w14:paraId="7E2FC836"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High</w:t>
            </w:r>
          </w:p>
        </w:tc>
        <w:tc>
          <w:tcPr>
            <w:tcW w:w="3700" w:type="dxa"/>
            <w:tcMar>
              <w:top w:w="80" w:type="dxa"/>
              <w:left w:w="100" w:type="dxa"/>
              <w:bottom w:w="80" w:type="dxa"/>
              <w:right w:w="100" w:type="dxa"/>
            </w:tcMar>
            <w:vAlign w:val="center"/>
          </w:tcPr>
          <w:p w14:paraId="0A20B422"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Validation routines built into the data architecture work package</w:t>
            </w:r>
          </w:p>
        </w:tc>
      </w:tr>
      <w:tr w:rsidR="008760A6" w:rsidRPr="008760A6" w14:paraId="03EBD1E1" w14:textId="77777777" w:rsidTr="008760A6">
        <w:tc>
          <w:tcPr>
            <w:tcW w:w="700" w:type="dxa"/>
            <w:tcMar>
              <w:top w:w="80" w:type="dxa"/>
              <w:left w:w="100" w:type="dxa"/>
              <w:bottom w:w="80" w:type="dxa"/>
              <w:right w:w="100" w:type="dxa"/>
            </w:tcMar>
            <w:vAlign w:val="center"/>
          </w:tcPr>
          <w:p w14:paraId="7BF18BAE"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R4</w:t>
            </w:r>
          </w:p>
        </w:tc>
        <w:tc>
          <w:tcPr>
            <w:tcW w:w="2400" w:type="dxa"/>
            <w:shd w:val="clear" w:color="auto" w:fill="F2F2F2" w:themeFill="background1" w:themeFillShade="F2"/>
            <w:tcMar>
              <w:top w:w="80" w:type="dxa"/>
              <w:left w:w="100" w:type="dxa"/>
              <w:bottom w:w="80" w:type="dxa"/>
              <w:right w:w="100" w:type="dxa"/>
            </w:tcMar>
            <w:vAlign w:val="center"/>
          </w:tcPr>
          <w:p w14:paraId="7C8894F5"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User adoption resistance</w:t>
            </w:r>
          </w:p>
        </w:tc>
        <w:tc>
          <w:tcPr>
            <w:tcW w:w="1600" w:type="dxa"/>
            <w:tcMar>
              <w:top w:w="80" w:type="dxa"/>
              <w:left w:w="100" w:type="dxa"/>
              <w:bottom w:w="80" w:type="dxa"/>
              <w:right w:w="100" w:type="dxa"/>
            </w:tcMar>
            <w:vAlign w:val="center"/>
          </w:tcPr>
          <w:p w14:paraId="1EC779DC"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1300" w:type="dxa"/>
            <w:shd w:val="clear" w:color="auto" w:fill="F2F2F2" w:themeFill="background1" w:themeFillShade="F2"/>
            <w:tcMar>
              <w:top w:w="80" w:type="dxa"/>
              <w:left w:w="100" w:type="dxa"/>
              <w:bottom w:w="80" w:type="dxa"/>
              <w:right w:w="100" w:type="dxa"/>
            </w:tcMar>
            <w:vAlign w:val="center"/>
          </w:tcPr>
          <w:p w14:paraId="659AB454"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Low</w:t>
            </w:r>
          </w:p>
        </w:tc>
        <w:tc>
          <w:tcPr>
            <w:tcW w:w="3700" w:type="dxa"/>
            <w:tcMar>
              <w:top w:w="80" w:type="dxa"/>
              <w:left w:w="100" w:type="dxa"/>
              <w:bottom w:w="80" w:type="dxa"/>
              <w:right w:w="100" w:type="dxa"/>
            </w:tcMar>
            <w:vAlign w:val="center"/>
          </w:tcPr>
          <w:p w14:paraId="7B04D853"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Change management, phased rollout and user communication</w:t>
            </w:r>
          </w:p>
        </w:tc>
      </w:tr>
      <w:tr w:rsidR="008760A6" w:rsidRPr="008760A6" w14:paraId="70492797" w14:textId="77777777" w:rsidTr="008760A6">
        <w:tc>
          <w:tcPr>
            <w:tcW w:w="700" w:type="dxa"/>
            <w:tcMar>
              <w:top w:w="80" w:type="dxa"/>
              <w:left w:w="100" w:type="dxa"/>
              <w:bottom w:w="80" w:type="dxa"/>
              <w:right w:w="100" w:type="dxa"/>
            </w:tcMar>
            <w:vAlign w:val="center"/>
          </w:tcPr>
          <w:p w14:paraId="08DF639B"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R5</w:t>
            </w:r>
          </w:p>
        </w:tc>
        <w:tc>
          <w:tcPr>
            <w:tcW w:w="2400" w:type="dxa"/>
            <w:shd w:val="clear" w:color="auto" w:fill="F2F2F2" w:themeFill="background1" w:themeFillShade="F2"/>
            <w:tcMar>
              <w:top w:w="80" w:type="dxa"/>
              <w:left w:w="100" w:type="dxa"/>
              <w:bottom w:w="80" w:type="dxa"/>
              <w:right w:w="100" w:type="dxa"/>
            </w:tcMar>
            <w:vAlign w:val="center"/>
          </w:tcPr>
          <w:p w14:paraId="7CFCF3FE"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Budget overrun</w:t>
            </w:r>
          </w:p>
        </w:tc>
        <w:tc>
          <w:tcPr>
            <w:tcW w:w="1600" w:type="dxa"/>
            <w:tcMar>
              <w:top w:w="80" w:type="dxa"/>
              <w:left w:w="100" w:type="dxa"/>
              <w:bottom w:w="80" w:type="dxa"/>
              <w:right w:w="100" w:type="dxa"/>
            </w:tcMar>
            <w:vAlign w:val="center"/>
          </w:tcPr>
          <w:p w14:paraId="0F294A71"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1300" w:type="dxa"/>
            <w:shd w:val="clear" w:color="auto" w:fill="F2F2F2" w:themeFill="background1" w:themeFillShade="F2"/>
            <w:tcMar>
              <w:top w:w="80" w:type="dxa"/>
              <w:left w:w="100" w:type="dxa"/>
              <w:bottom w:w="80" w:type="dxa"/>
              <w:right w:w="100" w:type="dxa"/>
            </w:tcMar>
            <w:vAlign w:val="center"/>
          </w:tcPr>
          <w:p w14:paraId="3E198B92"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Medium</w:t>
            </w:r>
          </w:p>
        </w:tc>
        <w:tc>
          <w:tcPr>
            <w:tcW w:w="3700" w:type="dxa"/>
            <w:tcMar>
              <w:top w:w="80" w:type="dxa"/>
              <w:left w:w="100" w:type="dxa"/>
              <w:bottom w:w="80" w:type="dxa"/>
              <w:right w:w="100" w:type="dxa"/>
            </w:tcMar>
            <w:vAlign w:val="center"/>
          </w:tcPr>
          <w:p w14:paraId="750C348E"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Monthly budget review at project board, contingency allowance</w:t>
            </w:r>
          </w:p>
        </w:tc>
      </w:tr>
      <w:tr w:rsidR="008760A6" w:rsidRPr="008760A6" w14:paraId="346DF8E5" w14:textId="77777777" w:rsidTr="008760A6">
        <w:tc>
          <w:tcPr>
            <w:tcW w:w="700" w:type="dxa"/>
            <w:tcMar>
              <w:top w:w="80" w:type="dxa"/>
              <w:left w:w="100" w:type="dxa"/>
              <w:bottom w:w="80" w:type="dxa"/>
              <w:right w:w="100" w:type="dxa"/>
            </w:tcMar>
            <w:vAlign w:val="center"/>
          </w:tcPr>
          <w:p w14:paraId="4180BD5F"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R6</w:t>
            </w:r>
          </w:p>
        </w:tc>
        <w:tc>
          <w:tcPr>
            <w:tcW w:w="2400" w:type="dxa"/>
            <w:shd w:val="clear" w:color="auto" w:fill="F2F2F2" w:themeFill="background1" w:themeFillShade="F2"/>
            <w:tcMar>
              <w:top w:w="80" w:type="dxa"/>
              <w:left w:w="100" w:type="dxa"/>
              <w:bottom w:w="80" w:type="dxa"/>
              <w:right w:w="100" w:type="dxa"/>
            </w:tcMar>
            <w:vAlign w:val="center"/>
          </w:tcPr>
          <w:p w14:paraId="02EDC68C"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Schedule delays</w:t>
            </w:r>
          </w:p>
        </w:tc>
        <w:tc>
          <w:tcPr>
            <w:tcW w:w="1600" w:type="dxa"/>
            <w:tcMar>
              <w:top w:w="80" w:type="dxa"/>
              <w:left w:w="100" w:type="dxa"/>
              <w:bottom w:w="80" w:type="dxa"/>
              <w:right w:w="100" w:type="dxa"/>
            </w:tcMar>
            <w:vAlign w:val="center"/>
          </w:tcPr>
          <w:p w14:paraId="76E6A4F3"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High</w:t>
            </w:r>
          </w:p>
        </w:tc>
        <w:tc>
          <w:tcPr>
            <w:tcW w:w="1300" w:type="dxa"/>
            <w:shd w:val="clear" w:color="auto" w:fill="F2F2F2" w:themeFill="background1" w:themeFillShade="F2"/>
            <w:tcMar>
              <w:top w:w="80" w:type="dxa"/>
              <w:left w:w="100" w:type="dxa"/>
              <w:bottom w:w="80" w:type="dxa"/>
              <w:right w:w="100" w:type="dxa"/>
            </w:tcMar>
            <w:vAlign w:val="center"/>
          </w:tcPr>
          <w:p w14:paraId="0952F20C" w14:textId="77777777" w:rsidR="008760A6" w:rsidRPr="008760A6" w:rsidRDefault="008760A6" w:rsidP="00CF2CF6">
            <w:pPr>
              <w:jc w:val="center"/>
              <w:rPr>
                <w:rFonts w:ascii="Times New Roman" w:hAnsi="Times New Roman" w:cs="Times New Roman"/>
              </w:rPr>
            </w:pPr>
            <w:r w:rsidRPr="008760A6">
              <w:rPr>
                <w:rFonts w:ascii="Times New Roman" w:eastAsia="Calibri" w:hAnsi="Times New Roman" w:cs="Times New Roman"/>
                <w:color w:val="1B2430"/>
              </w:rPr>
              <w:t>High</w:t>
            </w:r>
          </w:p>
        </w:tc>
        <w:tc>
          <w:tcPr>
            <w:tcW w:w="3700" w:type="dxa"/>
            <w:tcMar>
              <w:top w:w="80" w:type="dxa"/>
              <w:left w:w="100" w:type="dxa"/>
              <w:bottom w:w="80" w:type="dxa"/>
              <w:right w:w="100" w:type="dxa"/>
            </w:tcMar>
            <w:vAlign w:val="center"/>
          </w:tcPr>
          <w:p w14:paraId="4E1C72D3" w14:textId="77777777" w:rsidR="008760A6" w:rsidRPr="008760A6" w:rsidRDefault="008760A6" w:rsidP="00CF2CF6">
            <w:pPr>
              <w:rPr>
                <w:rFonts w:ascii="Times New Roman" w:hAnsi="Times New Roman" w:cs="Times New Roman"/>
              </w:rPr>
            </w:pPr>
            <w:r w:rsidRPr="008760A6">
              <w:rPr>
                <w:rFonts w:ascii="Times New Roman" w:eastAsia="Calibri" w:hAnsi="Times New Roman" w:cs="Times New Roman"/>
                <w:color w:val="1B2430"/>
              </w:rPr>
              <w:t>Phased, overlapping Gantt structure with testing-phase contingency</w:t>
            </w:r>
          </w:p>
        </w:tc>
      </w:tr>
    </w:tbl>
    <w:p w14:paraId="605D993B" w14:textId="5C5DF0CF" w:rsidR="006D70A1" w:rsidRDefault="008760A6" w:rsidP="008760A6">
      <w:pPr>
        <w:ind w:left="2160" w:firstLine="720"/>
        <w:rPr>
          <w:rFonts w:ascii="Times New Roman" w:eastAsia="Calibri" w:hAnsi="Times New Roman" w:cs="Times New Roman"/>
          <w:i/>
          <w:iCs/>
        </w:rPr>
      </w:pPr>
      <w:r w:rsidRPr="008760A6">
        <w:rPr>
          <w:rFonts w:ascii="Times New Roman" w:eastAsia="Calibri" w:hAnsi="Times New Roman" w:cs="Times New Roman"/>
          <w:b/>
          <w:bCs/>
          <w:i/>
          <w:iCs/>
        </w:rPr>
        <w:t xml:space="preserve">Table 2: </w:t>
      </w:r>
      <w:r w:rsidRPr="008760A6">
        <w:rPr>
          <w:rFonts w:ascii="Times New Roman" w:eastAsia="Calibri" w:hAnsi="Times New Roman" w:cs="Times New Roman"/>
          <w:i/>
          <w:iCs/>
        </w:rPr>
        <w:t>Project risk register</w:t>
      </w:r>
    </w:p>
    <w:p w14:paraId="5728B249" w14:textId="1FB54507" w:rsidR="008760A6" w:rsidRPr="008760A6" w:rsidRDefault="008760A6" w:rsidP="008760A6">
      <w:pPr>
        <w:spacing w:after="200" w:line="360" w:lineRule="auto"/>
        <w:jc w:val="both"/>
        <w:rPr>
          <w:rFonts w:ascii="Times New Roman" w:hAnsi="Times New Roman" w:cs="Times New Roman"/>
        </w:rPr>
      </w:pPr>
      <w:r w:rsidRPr="008760A6">
        <w:rPr>
          <w:rFonts w:ascii="Times New Roman" w:eastAsia="Calibri" w:hAnsi="Times New Roman" w:cs="Times New Roman"/>
        </w:rPr>
        <w:t>Schedule delays and cybersecurity threats occupy the highest-priority zone of the matrix and receive the most active mitigation. Schedule risk is addressed through the phased, overlapping Gantt structure described in Section 6, which builds contingency into the testing phase before go-live. Cybersecurity risk is addressed through encryption, access control</w:t>
      </w:r>
      <w:r w:rsidR="00BE5529">
        <w:rPr>
          <w:rFonts w:ascii="Times New Roman" w:eastAsia="Calibri" w:hAnsi="Times New Roman" w:cs="Times New Roman"/>
        </w:rPr>
        <w:t xml:space="preserve">, and compliance measures embedded in the platform's data security and governance layer, which are </w:t>
      </w:r>
      <w:r w:rsidRPr="008760A6">
        <w:rPr>
          <w:rFonts w:ascii="Times New Roman" w:eastAsia="Calibri" w:hAnsi="Times New Roman" w:cs="Times New Roman"/>
        </w:rPr>
        <w:t xml:space="preserve">reviewed independently ahead of </w:t>
      </w:r>
      <w:r w:rsidR="008B5735">
        <w:rPr>
          <w:rFonts w:ascii="Times New Roman" w:eastAsia="Calibri" w:hAnsi="Times New Roman" w:cs="Times New Roman"/>
        </w:rPr>
        <w:t>deployment</w:t>
      </w:r>
      <w:r w:rsidRPr="008760A6">
        <w:rPr>
          <w:rFonts w:ascii="Times New Roman" w:eastAsia="Calibri" w:hAnsi="Times New Roman" w:cs="Times New Roman"/>
        </w:rPr>
        <w:t xml:space="preserve">. System integration risk, arising from the need to connect multiple third-party operator systems, is mitigated through early and continuous stakeholder engagement with technology providers, consistent with the manage-closely strategy identified </w:t>
      </w:r>
      <w:r w:rsidRPr="008760A6">
        <w:rPr>
          <w:rFonts w:ascii="Times New Roman" w:eastAsia="Calibri" w:hAnsi="Times New Roman" w:cs="Times New Roman"/>
        </w:rPr>
        <w:lastRenderedPageBreak/>
        <w:t>in Section 7. Data quality issues, although assessed as low probability, carry high potential impact on the reliability of real-time passenger information and are mitigated through validation routines built into the data architecture work package.</w:t>
      </w:r>
    </w:p>
    <w:p w14:paraId="4F4C6D04" w14:textId="77777777" w:rsidR="008760A6" w:rsidRDefault="008760A6" w:rsidP="008760A6">
      <w:pPr>
        <w:spacing w:after="200" w:line="360" w:lineRule="auto"/>
        <w:jc w:val="both"/>
        <w:rPr>
          <w:rFonts w:ascii="Times New Roman" w:eastAsia="Calibri" w:hAnsi="Times New Roman" w:cs="Times New Roman"/>
        </w:rPr>
      </w:pPr>
      <w:r w:rsidRPr="008760A6">
        <w:rPr>
          <w:rFonts w:ascii="Times New Roman" w:eastAsia="Calibri" w:hAnsi="Times New Roman" w:cs="Times New Roman"/>
        </w:rPr>
        <w:t>Lower-priority risks, including user adoption resistance and budget overrun, are monitored through routine project board reporting rather than dedicated mitigation plans, reflecting the proportionate, risk-based approach to control recommended by Kerzner (2017). The risk register is reviewed and, where necessary, updated at every project board meeting, so that any risk moving toward the high-probability, high-impact zone of the matrix is identified and escalated before it materially affects the schedule or budget set out earlier in this plan.</w:t>
      </w:r>
    </w:p>
    <w:p w14:paraId="19D5A8CF" w14:textId="77777777" w:rsidR="00947DF2" w:rsidRDefault="002F562E" w:rsidP="002F562E">
      <w:pPr>
        <w:spacing w:after="200" w:line="360" w:lineRule="auto"/>
        <w:jc w:val="both"/>
        <w:rPr>
          <w:rFonts w:ascii="Times New Roman" w:eastAsia="Times New Roman" w:hAnsi="Times New Roman" w:cs="Times New Roman"/>
          <w:b/>
          <w:bCs/>
          <w:color w:val="0070C0"/>
          <w:kern w:val="0"/>
          <w:lang w:eastAsia="en-GB"/>
          <w14:ligatures w14:val="none"/>
        </w:rPr>
      </w:pPr>
      <w:r w:rsidRPr="00B26735">
        <w:rPr>
          <w:rFonts w:ascii="Times New Roman" w:eastAsia="Times New Roman" w:hAnsi="Times New Roman" w:cs="Times New Roman"/>
          <w:b/>
          <w:bCs/>
          <w:color w:val="0070C0"/>
          <w:kern w:val="0"/>
          <w:lang w:eastAsia="en-GB"/>
          <w14:ligatures w14:val="none"/>
        </w:rPr>
        <w:t xml:space="preserve">Smart Transport Management System </w:t>
      </w:r>
      <w:r>
        <w:rPr>
          <w:rFonts w:ascii="Times New Roman" w:eastAsia="Times New Roman" w:hAnsi="Times New Roman" w:cs="Times New Roman"/>
          <w:b/>
          <w:bCs/>
          <w:color w:val="0070C0"/>
          <w:kern w:val="0"/>
          <w:lang w:eastAsia="en-GB"/>
          <w14:ligatures w14:val="none"/>
        </w:rPr>
        <w:t xml:space="preserve">- Project Risk </w:t>
      </w:r>
      <w:r w:rsidR="00635D0D">
        <w:rPr>
          <w:rFonts w:ascii="Times New Roman" w:eastAsia="Times New Roman" w:hAnsi="Times New Roman" w:cs="Times New Roman"/>
          <w:b/>
          <w:bCs/>
          <w:color w:val="0070C0"/>
          <w:kern w:val="0"/>
          <w:lang w:eastAsia="en-GB"/>
          <w14:ligatures w14:val="none"/>
        </w:rPr>
        <w:t>Matrix</w:t>
      </w:r>
    </w:p>
    <w:p w14:paraId="0C996324" w14:textId="77777777" w:rsidR="007E115A" w:rsidRDefault="007E115A" w:rsidP="002F562E">
      <w:pPr>
        <w:spacing w:after="200" w:line="360" w:lineRule="auto"/>
        <w:jc w:val="both"/>
        <w:rPr>
          <w:rFonts w:ascii="Times New Roman" w:eastAsia="Times New Roman" w:hAnsi="Times New Roman" w:cs="Times New Roman"/>
          <w:b/>
          <w:bCs/>
          <w:color w:val="0070C0"/>
          <w:kern w:val="0"/>
          <w:lang w:eastAsia="en-GB"/>
          <w14:ligatures w14:val="none"/>
        </w:rPr>
      </w:pPr>
    </w:p>
    <w:tbl>
      <w:tblPr>
        <w:tblW w:w="9446" w:type="dxa"/>
        <w:tblInd w:w="-291"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left w:w="10" w:type="dxa"/>
          <w:right w:w="10" w:type="dxa"/>
        </w:tblCellMar>
        <w:tblLook w:val="04A0" w:firstRow="1" w:lastRow="0" w:firstColumn="1" w:lastColumn="0" w:noHBand="0" w:noVBand="1"/>
      </w:tblPr>
      <w:tblGrid>
        <w:gridCol w:w="617"/>
        <w:gridCol w:w="1270"/>
        <w:gridCol w:w="2517"/>
        <w:gridCol w:w="2524"/>
        <w:gridCol w:w="2518"/>
      </w:tblGrid>
      <w:tr w:rsidR="003A724A" w14:paraId="52AEF365" w14:textId="77777777" w:rsidTr="008B1722">
        <w:trPr>
          <w:trHeight w:val="505"/>
        </w:trPr>
        <w:tc>
          <w:tcPr>
            <w:tcW w:w="607" w:type="dxa"/>
          </w:tcPr>
          <w:p w14:paraId="45A5C7CF" w14:textId="77777777" w:rsidR="003A724A" w:rsidRDefault="003A724A" w:rsidP="00CF2CF6"/>
        </w:tc>
        <w:tc>
          <w:tcPr>
            <w:tcW w:w="1271" w:type="dxa"/>
          </w:tcPr>
          <w:p w14:paraId="03EF1D28" w14:textId="77777777" w:rsidR="003A724A" w:rsidRDefault="003A724A" w:rsidP="00CF2CF6"/>
        </w:tc>
        <w:tc>
          <w:tcPr>
            <w:tcW w:w="2520" w:type="dxa"/>
            <w:tcMar>
              <w:top w:w="200" w:type="dxa"/>
              <w:left w:w="100" w:type="dxa"/>
              <w:bottom w:w="200" w:type="dxa"/>
              <w:right w:w="100" w:type="dxa"/>
            </w:tcMar>
            <w:vAlign w:val="center"/>
          </w:tcPr>
          <w:p w14:paraId="073E298D" w14:textId="77777777" w:rsidR="003A724A" w:rsidRDefault="003A724A" w:rsidP="00CF2CF6">
            <w:pPr>
              <w:jc w:val="center"/>
            </w:pPr>
            <w:r>
              <w:rPr>
                <w:b/>
                <w:bCs/>
                <w:color w:val="1F2D50"/>
                <w:sz w:val="20"/>
                <w:szCs w:val="20"/>
              </w:rPr>
              <w:t>Low</w:t>
            </w:r>
          </w:p>
        </w:tc>
        <w:tc>
          <w:tcPr>
            <w:tcW w:w="2527" w:type="dxa"/>
            <w:tcMar>
              <w:top w:w="200" w:type="dxa"/>
              <w:left w:w="100" w:type="dxa"/>
              <w:bottom w:w="200" w:type="dxa"/>
              <w:right w:w="100" w:type="dxa"/>
            </w:tcMar>
            <w:vAlign w:val="center"/>
          </w:tcPr>
          <w:p w14:paraId="76CCCB87" w14:textId="77777777" w:rsidR="003A724A" w:rsidRDefault="003A724A" w:rsidP="00CF2CF6">
            <w:pPr>
              <w:jc w:val="center"/>
            </w:pPr>
            <w:r>
              <w:rPr>
                <w:b/>
                <w:bCs/>
                <w:color w:val="1F2D50"/>
                <w:sz w:val="20"/>
                <w:szCs w:val="20"/>
              </w:rPr>
              <w:t>Medium</w:t>
            </w:r>
          </w:p>
        </w:tc>
        <w:tc>
          <w:tcPr>
            <w:tcW w:w="2521" w:type="dxa"/>
            <w:tcMar>
              <w:top w:w="200" w:type="dxa"/>
              <w:left w:w="100" w:type="dxa"/>
              <w:bottom w:w="200" w:type="dxa"/>
              <w:right w:w="100" w:type="dxa"/>
            </w:tcMar>
            <w:vAlign w:val="center"/>
          </w:tcPr>
          <w:p w14:paraId="29A8FAEC" w14:textId="77777777" w:rsidR="003A724A" w:rsidRDefault="003A724A" w:rsidP="00CF2CF6">
            <w:pPr>
              <w:jc w:val="center"/>
            </w:pPr>
            <w:r>
              <w:rPr>
                <w:b/>
                <w:bCs/>
                <w:color w:val="1F2D50"/>
                <w:sz w:val="20"/>
                <w:szCs w:val="20"/>
              </w:rPr>
              <w:t>High</w:t>
            </w:r>
          </w:p>
        </w:tc>
      </w:tr>
      <w:tr w:rsidR="003A724A" w14:paraId="13E51DB8" w14:textId="77777777" w:rsidTr="008B1722">
        <w:trPr>
          <w:trHeight w:val="1202"/>
        </w:trPr>
        <w:tc>
          <w:tcPr>
            <w:tcW w:w="607" w:type="dxa"/>
            <w:vMerge w:val="restart"/>
            <w:tcMar>
              <w:top w:w="100" w:type="dxa"/>
              <w:left w:w="80" w:type="dxa"/>
              <w:bottom w:w="100" w:type="dxa"/>
              <w:right w:w="80" w:type="dxa"/>
            </w:tcMar>
            <w:textDirection w:val="btLr"/>
            <w:vAlign w:val="center"/>
          </w:tcPr>
          <w:p w14:paraId="1CBC445B" w14:textId="77777777" w:rsidR="003A724A" w:rsidRDefault="003A724A" w:rsidP="00CF2CF6">
            <w:pPr>
              <w:jc w:val="center"/>
            </w:pPr>
            <w:r>
              <w:rPr>
                <w:b/>
                <w:bCs/>
                <w:color w:val="1F2D50"/>
                <w:sz w:val="20"/>
                <w:szCs w:val="20"/>
              </w:rPr>
              <w:t>Impact</w:t>
            </w:r>
          </w:p>
        </w:tc>
        <w:tc>
          <w:tcPr>
            <w:tcW w:w="1271" w:type="dxa"/>
            <w:tcMar>
              <w:top w:w="200" w:type="dxa"/>
              <w:left w:w="100" w:type="dxa"/>
              <w:bottom w:w="200" w:type="dxa"/>
              <w:right w:w="100" w:type="dxa"/>
            </w:tcMar>
            <w:vAlign w:val="center"/>
          </w:tcPr>
          <w:p w14:paraId="7D9728A7" w14:textId="77777777" w:rsidR="003A724A" w:rsidRDefault="003A724A" w:rsidP="00CF2CF6">
            <w:pPr>
              <w:jc w:val="center"/>
            </w:pPr>
            <w:r>
              <w:rPr>
                <w:b/>
                <w:bCs/>
                <w:color w:val="1F2D50"/>
                <w:sz w:val="20"/>
                <w:szCs w:val="20"/>
              </w:rPr>
              <w:t>High</w:t>
            </w:r>
          </w:p>
        </w:tc>
        <w:tc>
          <w:tcPr>
            <w:tcW w:w="2520" w:type="dxa"/>
            <w:shd w:val="clear" w:color="auto" w:fill="F5D949"/>
            <w:tcMar>
              <w:top w:w="300" w:type="dxa"/>
              <w:left w:w="100" w:type="dxa"/>
              <w:bottom w:w="300" w:type="dxa"/>
              <w:right w:w="100" w:type="dxa"/>
            </w:tcMar>
            <w:vAlign w:val="center"/>
          </w:tcPr>
          <w:p w14:paraId="2AFF8774" w14:textId="77777777" w:rsidR="003A724A" w:rsidRDefault="003A724A" w:rsidP="00CF2CF6">
            <w:pPr>
              <w:spacing w:after="60"/>
              <w:jc w:val="center"/>
            </w:pPr>
            <w:r>
              <w:rPr>
                <w:b/>
                <w:bCs/>
                <w:color w:val="FFFFFF"/>
                <w:sz w:val="32"/>
                <w:szCs w:val="32"/>
              </w:rPr>
              <w:t>3</w:t>
            </w:r>
          </w:p>
          <w:p w14:paraId="27FC3F7D" w14:textId="77777777" w:rsidR="003A724A" w:rsidRDefault="003A724A" w:rsidP="00CF2CF6">
            <w:pPr>
              <w:jc w:val="center"/>
            </w:pPr>
            <w:r>
              <w:rPr>
                <w:b/>
                <w:bCs/>
                <w:color w:val="FFFFFF"/>
                <w:sz w:val="16"/>
                <w:szCs w:val="16"/>
              </w:rPr>
              <w:t>R3</w:t>
            </w:r>
          </w:p>
        </w:tc>
        <w:tc>
          <w:tcPr>
            <w:tcW w:w="2527" w:type="dxa"/>
            <w:shd w:val="clear" w:color="auto" w:fill="F0954A"/>
            <w:tcMar>
              <w:top w:w="300" w:type="dxa"/>
              <w:left w:w="100" w:type="dxa"/>
              <w:bottom w:w="300" w:type="dxa"/>
              <w:right w:w="100" w:type="dxa"/>
            </w:tcMar>
            <w:vAlign w:val="center"/>
          </w:tcPr>
          <w:p w14:paraId="131C69CB" w14:textId="77777777" w:rsidR="003A724A" w:rsidRDefault="003A724A" w:rsidP="00CF2CF6">
            <w:pPr>
              <w:jc w:val="center"/>
            </w:pPr>
            <w:r>
              <w:rPr>
                <w:b/>
                <w:bCs/>
                <w:color w:val="FFFFFF"/>
                <w:sz w:val="32"/>
                <w:szCs w:val="32"/>
              </w:rPr>
              <w:t>6</w:t>
            </w:r>
          </w:p>
        </w:tc>
        <w:tc>
          <w:tcPr>
            <w:tcW w:w="2521" w:type="dxa"/>
            <w:shd w:val="clear" w:color="auto" w:fill="E15241"/>
            <w:tcMar>
              <w:top w:w="300" w:type="dxa"/>
              <w:left w:w="100" w:type="dxa"/>
              <w:bottom w:w="300" w:type="dxa"/>
              <w:right w:w="100" w:type="dxa"/>
            </w:tcMar>
            <w:vAlign w:val="center"/>
          </w:tcPr>
          <w:p w14:paraId="441339E2" w14:textId="77777777" w:rsidR="003A724A" w:rsidRDefault="003A724A" w:rsidP="00CF2CF6">
            <w:pPr>
              <w:spacing w:after="60"/>
              <w:jc w:val="center"/>
            </w:pPr>
            <w:r>
              <w:rPr>
                <w:b/>
                <w:bCs/>
                <w:color w:val="FFFFFF"/>
                <w:sz w:val="32"/>
                <w:szCs w:val="32"/>
              </w:rPr>
              <w:t>9</w:t>
            </w:r>
          </w:p>
          <w:p w14:paraId="30A0623A" w14:textId="77777777" w:rsidR="003A724A" w:rsidRDefault="003A724A" w:rsidP="00CF2CF6">
            <w:pPr>
              <w:jc w:val="center"/>
            </w:pPr>
            <w:r>
              <w:rPr>
                <w:b/>
                <w:bCs/>
                <w:color w:val="FFFFFF"/>
                <w:sz w:val="16"/>
                <w:szCs w:val="16"/>
              </w:rPr>
              <w:t>R6</w:t>
            </w:r>
          </w:p>
        </w:tc>
      </w:tr>
      <w:tr w:rsidR="003A724A" w14:paraId="0E033A4D" w14:textId="77777777" w:rsidTr="008B1722">
        <w:trPr>
          <w:trHeight w:val="145"/>
        </w:trPr>
        <w:tc>
          <w:tcPr>
            <w:tcW w:w="0" w:type="auto"/>
            <w:vMerge/>
          </w:tcPr>
          <w:p w14:paraId="57B1DCBB" w14:textId="77777777" w:rsidR="003A724A" w:rsidRDefault="003A724A" w:rsidP="00CF2CF6"/>
        </w:tc>
        <w:tc>
          <w:tcPr>
            <w:tcW w:w="1271" w:type="dxa"/>
            <w:tcMar>
              <w:top w:w="200" w:type="dxa"/>
              <w:left w:w="100" w:type="dxa"/>
              <w:bottom w:w="200" w:type="dxa"/>
              <w:right w:w="100" w:type="dxa"/>
            </w:tcMar>
            <w:vAlign w:val="center"/>
          </w:tcPr>
          <w:p w14:paraId="5D6DD74F" w14:textId="77777777" w:rsidR="003A724A" w:rsidRDefault="003A724A" w:rsidP="00CF2CF6">
            <w:pPr>
              <w:jc w:val="center"/>
            </w:pPr>
            <w:r>
              <w:rPr>
                <w:b/>
                <w:bCs/>
                <w:color w:val="1F2D50"/>
                <w:sz w:val="20"/>
                <w:szCs w:val="20"/>
              </w:rPr>
              <w:t>Medium</w:t>
            </w:r>
          </w:p>
        </w:tc>
        <w:tc>
          <w:tcPr>
            <w:tcW w:w="2520" w:type="dxa"/>
            <w:shd w:val="clear" w:color="auto" w:fill="C6DC6E"/>
            <w:tcMar>
              <w:top w:w="300" w:type="dxa"/>
              <w:left w:w="100" w:type="dxa"/>
              <w:bottom w:w="300" w:type="dxa"/>
              <w:right w:w="100" w:type="dxa"/>
            </w:tcMar>
            <w:vAlign w:val="center"/>
          </w:tcPr>
          <w:p w14:paraId="59E9E8AF" w14:textId="77777777" w:rsidR="003A724A" w:rsidRDefault="003A724A" w:rsidP="00CF2CF6">
            <w:pPr>
              <w:jc w:val="center"/>
            </w:pPr>
            <w:r>
              <w:rPr>
                <w:b/>
                <w:bCs/>
                <w:color w:val="FFFFFF"/>
                <w:sz w:val="32"/>
                <w:szCs w:val="32"/>
              </w:rPr>
              <w:t>2</w:t>
            </w:r>
          </w:p>
        </w:tc>
        <w:tc>
          <w:tcPr>
            <w:tcW w:w="2527" w:type="dxa"/>
            <w:shd w:val="clear" w:color="auto" w:fill="F0954A"/>
            <w:tcMar>
              <w:top w:w="300" w:type="dxa"/>
              <w:left w:w="100" w:type="dxa"/>
              <w:bottom w:w="300" w:type="dxa"/>
              <w:right w:w="100" w:type="dxa"/>
            </w:tcMar>
            <w:vAlign w:val="center"/>
          </w:tcPr>
          <w:p w14:paraId="7D906C7E" w14:textId="77777777" w:rsidR="003A724A" w:rsidRDefault="003A724A" w:rsidP="00CF2CF6">
            <w:pPr>
              <w:spacing w:after="60"/>
              <w:jc w:val="center"/>
            </w:pPr>
            <w:r>
              <w:rPr>
                <w:b/>
                <w:bCs/>
                <w:color w:val="FFFFFF"/>
                <w:sz w:val="32"/>
                <w:szCs w:val="32"/>
              </w:rPr>
              <w:t>5</w:t>
            </w:r>
          </w:p>
          <w:p w14:paraId="289F25B2" w14:textId="76F892F9" w:rsidR="003A724A" w:rsidRDefault="003A724A" w:rsidP="00CF2CF6">
            <w:pPr>
              <w:jc w:val="center"/>
            </w:pPr>
            <w:r>
              <w:rPr>
                <w:b/>
                <w:bCs/>
                <w:color w:val="FFFFFF"/>
                <w:sz w:val="16"/>
                <w:szCs w:val="16"/>
              </w:rPr>
              <w:t>R2</w:t>
            </w:r>
          </w:p>
        </w:tc>
        <w:tc>
          <w:tcPr>
            <w:tcW w:w="2521" w:type="dxa"/>
            <w:shd w:val="clear" w:color="auto" w:fill="F0954A"/>
            <w:tcMar>
              <w:top w:w="300" w:type="dxa"/>
              <w:left w:w="100" w:type="dxa"/>
              <w:bottom w:w="300" w:type="dxa"/>
              <w:right w:w="100" w:type="dxa"/>
            </w:tcMar>
            <w:vAlign w:val="center"/>
          </w:tcPr>
          <w:p w14:paraId="7C75E451" w14:textId="77777777" w:rsidR="003A724A" w:rsidRDefault="003A724A" w:rsidP="00CF2CF6">
            <w:pPr>
              <w:spacing w:after="60"/>
              <w:jc w:val="center"/>
            </w:pPr>
            <w:r>
              <w:rPr>
                <w:b/>
                <w:bCs/>
                <w:color w:val="FFFFFF"/>
                <w:sz w:val="32"/>
                <w:szCs w:val="32"/>
              </w:rPr>
              <w:t>8</w:t>
            </w:r>
          </w:p>
          <w:p w14:paraId="51C502A4" w14:textId="77777777" w:rsidR="003A724A" w:rsidRDefault="003A724A" w:rsidP="00CF2CF6">
            <w:pPr>
              <w:jc w:val="center"/>
            </w:pPr>
            <w:r>
              <w:rPr>
                <w:b/>
                <w:bCs/>
                <w:color w:val="FFFFFF"/>
                <w:sz w:val="16"/>
                <w:szCs w:val="16"/>
              </w:rPr>
              <w:t>R1</w:t>
            </w:r>
          </w:p>
        </w:tc>
      </w:tr>
      <w:tr w:rsidR="003A724A" w14:paraId="354AA6CE" w14:textId="77777777" w:rsidTr="008B1722">
        <w:trPr>
          <w:trHeight w:val="145"/>
        </w:trPr>
        <w:tc>
          <w:tcPr>
            <w:tcW w:w="0" w:type="auto"/>
            <w:vMerge/>
          </w:tcPr>
          <w:p w14:paraId="2CE064F4" w14:textId="77777777" w:rsidR="003A724A" w:rsidRDefault="003A724A" w:rsidP="00CF2CF6"/>
        </w:tc>
        <w:tc>
          <w:tcPr>
            <w:tcW w:w="1271" w:type="dxa"/>
            <w:tcMar>
              <w:top w:w="200" w:type="dxa"/>
              <w:left w:w="100" w:type="dxa"/>
              <w:bottom w:w="200" w:type="dxa"/>
              <w:right w:w="100" w:type="dxa"/>
            </w:tcMar>
            <w:vAlign w:val="center"/>
          </w:tcPr>
          <w:p w14:paraId="378DBB55" w14:textId="77777777" w:rsidR="003A724A" w:rsidRDefault="003A724A" w:rsidP="00CF2CF6">
            <w:pPr>
              <w:jc w:val="center"/>
            </w:pPr>
            <w:r>
              <w:rPr>
                <w:b/>
                <w:bCs/>
                <w:color w:val="1F2D50"/>
                <w:sz w:val="20"/>
                <w:szCs w:val="20"/>
              </w:rPr>
              <w:t>Low</w:t>
            </w:r>
          </w:p>
        </w:tc>
        <w:tc>
          <w:tcPr>
            <w:tcW w:w="2520" w:type="dxa"/>
            <w:shd w:val="clear" w:color="auto" w:fill="8FC96B"/>
            <w:tcMar>
              <w:top w:w="300" w:type="dxa"/>
              <w:left w:w="100" w:type="dxa"/>
              <w:bottom w:w="300" w:type="dxa"/>
              <w:right w:w="100" w:type="dxa"/>
            </w:tcMar>
            <w:vAlign w:val="center"/>
          </w:tcPr>
          <w:p w14:paraId="53588BC9" w14:textId="77777777" w:rsidR="003A724A" w:rsidRDefault="003A724A" w:rsidP="00CF2CF6">
            <w:pPr>
              <w:jc w:val="center"/>
            </w:pPr>
            <w:r>
              <w:rPr>
                <w:b/>
                <w:bCs/>
                <w:color w:val="FFFFFF"/>
                <w:sz w:val="32"/>
                <w:szCs w:val="32"/>
              </w:rPr>
              <w:t>1</w:t>
            </w:r>
          </w:p>
        </w:tc>
        <w:tc>
          <w:tcPr>
            <w:tcW w:w="2527" w:type="dxa"/>
            <w:shd w:val="clear" w:color="auto" w:fill="C6DC6E"/>
            <w:tcMar>
              <w:top w:w="300" w:type="dxa"/>
              <w:left w:w="100" w:type="dxa"/>
              <w:bottom w:w="300" w:type="dxa"/>
              <w:right w:w="100" w:type="dxa"/>
            </w:tcMar>
            <w:vAlign w:val="center"/>
          </w:tcPr>
          <w:p w14:paraId="06F78B0B" w14:textId="77777777" w:rsidR="003A724A" w:rsidRDefault="003A724A" w:rsidP="00CF2CF6">
            <w:pPr>
              <w:spacing w:after="60"/>
              <w:jc w:val="center"/>
            </w:pPr>
            <w:r>
              <w:rPr>
                <w:b/>
                <w:bCs/>
                <w:color w:val="FFFFFF"/>
                <w:sz w:val="32"/>
                <w:szCs w:val="32"/>
              </w:rPr>
              <w:t>4</w:t>
            </w:r>
          </w:p>
          <w:p w14:paraId="619DE37C" w14:textId="77777777" w:rsidR="003A724A" w:rsidRDefault="003A724A" w:rsidP="00CF2CF6">
            <w:pPr>
              <w:jc w:val="center"/>
            </w:pPr>
            <w:r>
              <w:rPr>
                <w:b/>
                <w:bCs/>
                <w:color w:val="FFFFFF"/>
                <w:sz w:val="16"/>
                <w:szCs w:val="16"/>
              </w:rPr>
              <w:t>R4</w:t>
            </w:r>
          </w:p>
        </w:tc>
        <w:tc>
          <w:tcPr>
            <w:tcW w:w="2521" w:type="dxa"/>
            <w:shd w:val="clear" w:color="auto" w:fill="F5D949"/>
            <w:tcMar>
              <w:top w:w="300" w:type="dxa"/>
              <w:left w:w="100" w:type="dxa"/>
              <w:bottom w:w="300" w:type="dxa"/>
              <w:right w:w="100" w:type="dxa"/>
            </w:tcMar>
            <w:vAlign w:val="center"/>
          </w:tcPr>
          <w:p w14:paraId="012CF89F" w14:textId="77777777" w:rsidR="003A724A" w:rsidRDefault="003A724A" w:rsidP="00CF2CF6">
            <w:pPr>
              <w:jc w:val="center"/>
            </w:pPr>
            <w:r>
              <w:rPr>
                <w:b/>
                <w:bCs/>
                <w:color w:val="FFFFFF"/>
                <w:sz w:val="32"/>
                <w:szCs w:val="32"/>
              </w:rPr>
              <w:t>7</w:t>
            </w:r>
          </w:p>
        </w:tc>
      </w:tr>
    </w:tbl>
    <w:p w14:paraId="0BEE0BC6" w14:textId="77777777" w:rsidR="003A724A" w:rsidRDefault="003A724A" w:rsidP="003A724A">
      <w:pPr>
        <w:spacing w:before="100"/>
        <w:jc w:val="center"/>
      </w:pPr>
      <w:r>
        <w:rPr>
          <w:b/>
          <w:bCs/>
          <w:color w:val="1F2D50"/>
          <w:sz w:val="20"/>
          <w:szCs w:val="20"/>
        </w:rPr>
        <w:t>Probability</w:t>
      </w:r>
    </w:p>
    <w:p w14:paraId="48CB7367" w14:textId="77777777" w:rsidR="00CC6927" w:rsidRDefault="00CC6927" w:rsidP="00CC6927">
      <w:pPr>
        <w:spacing w:before="300"/>
      </w:pPr>
      <w:r>
        <w:rPr>
          <w:i/>
          <w:iCs/>
          <w:color w:val="555555"/>
          <w:sz w:val="18"/>
          <w:szCs w:val="18"/>
        </w:rPr>
        <w:t>Figure 5: Probability-impact risk matrix (R1 Cybersecurity threats, R2 System integration, R3 Data quality, R4 User adoption, R5 Budget overrun, R6 Schedule delays)</w:t>
      </w:r>
    </w:p>
    <w:p w14:paraId="2FFA84BD" w14:textId="77777777" w:rsidR="00C67D01" w:rsidRPr="00C67D01" w:rsidRDefault="00C67D01" w:rsidP="00C67D01">
      <w:pPr>
        <w:rPr>
          <w:lang w:eastAsia="en-GB"/>
        </w:rPr>
      </w:pPr>
    </w:p>
    <w:p w14:paraId="3BA16B7B" w14:textId="4D98B228" w:rsidR="005F0DB5" w:rsidRPr="005F0DB5" w:rsidRDefault="002F562E" w:rsidP="00031D01">
      <w:pPr>
        <w:pStyle w:val="Heading1"/>
        <w:spacing w:line="360" w:lineRule="auto"/>
        <w:ind w:firstLine="720"/>
        <w:rPr>
          <w:rFonts w:ascii="Times New Roman" w:eastAsia="Calibri" w:hAnsi="Times New Roman" w:cs="Times New Roman"/>
          <w:b/>
          <w:bCs/>
          <w:color w:val="0B1E3D"/>
          <w:kern w:val="0"/>
          <w:sz w:val="24"/>
          <w:szCs w:val="24"/>
          <w:lang w:eastAsia="en-GB"/>
          <w14:ligatures w14:val="none"/>
        </w:rPr>
      </w:pPr>
      <w:r>
        <w:rPr>
          <w:rFonts w:ascii="Times New Roman" w:eastAsia="Times New Roman" w:hAnsi="Times New Roman" w:cs="Times New Roman"/>
          <w:b/>
          <w:bCs/>
          <w:color w:val="0070C0"/>
          <w:kern w:val="0"/>
          <w:lang w:eastAsia="en-GB"/>
          <w14:ligatures w14:val="none"/>
        </w:rPr>
        <w:lastRenderedPageBreak/>
        <w:t xml:space="preserve"> </w:t>
      </w:r>
      <w:r w:rsidR="005F0DB5" w:rsidRPr="005F0DB5">
        <w:rPr>
          <w:rFonts w:ascii="Times New Roman" w:eastAsia="Calibri" w:hAnsi="Times New Roman" w:cs="Times New Roman"/>
          <w:b/>
          <w:bCs/>
          <w:color w:val="0B1E3D"/>
          <w:kern w:val="0"/>
          <w:sz w:val="24"/>
          <w:szCs w:val="24"/>
          <w:lang w:eastAsia="en-GB"/>
          <w14:ligatures w14:val="none"/>
        </w:rPr>
        <w:t>10. Conclusion</w:t>
      </w:r>
    </w:p>
    <w:p w14:paraId="3D48333D" w14:textId="77777777" w:rsidR="00580F06" w:rsidRPr="00580F06" w:rsidRDefault="00580F06" w:rsidP="00580F06">
      <w:pPr>
        <w:spacing w:after="200" w:line="360" w:lineRule="auto"/>
        <w:jc w:val="both"/>
        <w:rPr>
          <w:rFonts w:ascii="Times New Roman" w:eastAsia="Calibri" w:hAnsi="Times New Roman" w:cs="Times New Roman"/>
          <w:kern w:val="0"/>
          <w:lang w:eastAsia="en-GB"/>
          <w14:ligatures w14:val="none"/>
        </w:rPr>
      </w:pPr>
      <w:r w:rsidRPr="00580F06">
        <w:rPr>
          <w:rFonts w:ascii="Times New Roman" w:eastAsia="Calibri" w:hAnsi="Times New Roman" w:cs="Times New Roman"/>
          <w:kern w:val="0"/>
          <w:lang w:eastAsia="en-GB"/>
          <w14:ligatures w14:val="none"/>
        </w:rPr>
        <w:t>This project management plan demonstrates how established project management principles and techniques can be applied to deliver the Smart Transport Management System within the planned six-month schedule and £2.8 million budget. The Work Breakdown Structure, Quad Chart, Gantt Chart, stakeholder analysis, resource allocation and ISO 31000 risk management framework together provide a structured approach to planning, monitoring and controlling project activities. Collectively, these tools support the effective management of the project constraints of time, cost and quality, commonly known as the Iron Triangle (Atkinson, 1999), helping to ensure that the project's objectives are achieved without compromising performance.</w:t>
      </w:r>
    </w:p>
    <w:p w14:paraId="15E2756B" w14:textId="77777777" w:rsidR="00580F06" w:rsidRPr="00580F06" w:rsidRDefault="00580F06" w:rsidP="00580F06">
      <w:pPr>
        <w:spacing w:after="200" w:line="360" w:lineRule="auto"/>
        <w:jc w:val="both"/>
        <w:rPr>
          <w:rFonts w:ascii="Times New Roman" w:eastAsia="Calibri" w:hAnsi="Times New Roman" w:cs="Times New Roman"/>
          <w:kern w:val="0"/>
          <w:lang w:eastAsia="en-GB"/>
          <w14:ligatures w14:val="none"/>
        </w:rPr>
      </w:pPr>
      <w:r w:rsidRPr="00580F06">
        <w:rPr>
          <w:rFonts w:ascii="Times New Roman" w:eastAsia="Calibri" w:hAnsi="Times New Roman" w:cs="Times New Roman"/>
          <w:kern w:val="0"/>
          <w:lang w:eastAsia="en-GB"/>
          <w14:ligatures w14:val="none"/>
        </w:rPr>
        <w:t>However, successful delivery depends not only on effective planning but also on strong leadership, clear communication and collaborative teamwork. Belbin (2010) argues that balanced team roles improve coordination, decision-making and overall project performance, while the stakeholder engagement strategy ensures that communication remains appropriate to each stakeholder group's level of influence and interest (Freeman, 1984). Regular project board meetings, together with ongoing monitoring of project scope, resources and risks, enable informed decision-making and timely corrective action throughout the project lifecycle. By combining recognised project management techniques with effective leadership and stakeholder communication, this plan provides a credible framework for delivering the Smart Transport Management System successfully to scope, within budget, on schedule and to the required quality standards.</w:t>
      </w:r>
    </w:p>
    <w:p w14:paraId="3C4B3754"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1EE9B308"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5AD99B4F"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3DA2ECE4"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3916997B"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41B07D0F"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524D09B9"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35D5BDFA"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08B3198E" w14:textId="77777777" w:rsidR="00FC745F" w:rsidRDefault="00FC745F" w:rsidP="005F0DB5">
      <w:pPr>
        <w:spacing w:after="200" w:line="360" w:lineRule="auto"/>
        <w:jc w:val="both"/>
        <w:rPr>
          <w:rFonts w:ascii="Times New Roman" w:eastAsia="Calibri" w:hAnsi="Times New Roman" w:cs="Times New Roman"/>
          <w:kern w:val="0"/>
          <w:lang w:eastAsia="en-GB"/>
          <w14:ligatures w14:val="none"/>
        </w:rPr>
      </w:pPr>
    </w:p>
    <w:p w14:paraId="739CFAEF" w14:textId="23599AF4" w:rsidR="007F43C1" w:rsidRPr="00D94656" w:rsidRDefault="00D94656" w:rsidP="007F43C1">
      <w:pPr>
        <w:rPr>
          <w:rFonts w:ascii="Times New Roman" w:hAnsi="Times New Roman" w:cs="Times New Roman"/>
          <w:b/>
          <w:bCs/>
        </w:rPr>
      </w:pPr>
      <w:r w:rsidRPr="00D94656">
        <w:rPr>
          <w:rFonts w:ascii="Times New Roman" w:hAnsi="Times New Roman" w:cs="Times New Roman"/>
          <w:b/>
          <w:bCs/>
        </w:rPr>
        <w:lastRenderedPageBreak/>
        <w:t>References:</w:t>
      </w:r>
    </w:p>
    <w:p w14:paraId="4FE0C5EA"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Atkinson, R. (1999) ‘Project management: Cost, time and quality, two best guesses and a phenomenon, it's time to accept other success criteria’, </w:t>
      </w:r>
      <w:r w:rsidRPr="00E2202D">
        <w:rPr>
          <w:rFonts w:ascii="Times New Roman" w:hAnsi="Times New Roman" w:cs="Times New Roman"/>
          <w:i/>
          <w:iCs/>
        </w:rPr>
        <w:t>International Journal of Project Management</w:t>
      </w:r>
      <w:r w:rsidRPr="00E2202D">
        <w:rPr>
          <w:rFonts w:ascii="Times New Roman" w:hAnsi="Times New Roman" w:cs="Times New Roman"/>
        </w:rPr>
        <w:t xml:space="preserve">, </w:t>
      </w:r>
      <w:r w:rsidRPr="00E2202D">
        <w:rPr>
          <w:rFonts w:ascii="Times New Roman" w:hAnsi="Times New Roman" w:cs="Times New Roman"/>
          <w:b/>
          <w:bCs/>
        </w:rPr>
        <w:t>17</w:t>
      </w:r>
      <w:r w:rsidRPr="00E2202D">
        <w:rPr>
          <w:rFonts w:ascii="Times New Roman" w:hAnsi="Times New Roman" w:cs="Times New Roman"/>
        </w:rPr>
        <w:t>(6), pp. 337–342.</w:t>
      </w:r>
    </w:p>
    <w:p w14:paraId="7D157F71"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Belbin, R.M. (2010) </w:t>
      </w:r>
      <w:r w:rsidRPr="00E2202D">
        <w:rPr>
          <w:rFonts w:ascii="Times New Roman" w:hAnsi="Times New Roman" w:cs="Times New Roman"/>
          <w:i/>
          <w:iCs/>
        </w:rPr>
        <w:t>Management Teams: Why They Succeed or Fail</w:t>
      </w:r>
      <w:r w:rsidRPr="00E2202D">
        <w:rPr>
          <w:rFonts w:ascii="Times New Roman" w:hAnsi="Times New Roman" w:cs="Times New Roman"/>
        </w:rPr>
        <w:t>. 3rd edn. Oxford: Butterworth-Heinemann.</w:t>
      </w:r>
    </w:p>
    <w:p w14:paraId="3CC6FF4C"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Burke, R. (2023) </w:t>
      </w:r>
      <w:r w:rsidRPr="00E2202D">
        <w:rPr>
          <w:rFonts w:ascii="Times New Roman" w:hAnsi="Times New Roman" w:cs="Times New Roman"/>
          <w:i/>
          <w:iCs/>
        </w:rPr>
        <w:t>Project Management Techniques</w:t>
      </w:r>
      <w:r w:rsidRPr="00E2202D">
        <w:rPr>
          <w:rFonts w:ascii="Times New Roman" w:hAnsi="Times New Roman" w:cs="Times New Roman"/>
        </w:rPr>
        <w:t>. 5th edn. Auckland: Burke Publishing.</w:t>
      </w:r>
    </w:p>
    <w:p w14:paraId="393CDA28"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Department for Transport (2021) </w:t>
      </w:r>
      <w:r w:rsidRPr="00E2202D">
        <w:rPr>
          <w:rFonts w:ascii="Times New Roman" w:hAnsi="Times New Roman" w:cs="Times New Roman"/>
          <w:i/>
          <w:iCs/>
        </w:rPr>
        <w:t>Decarbonising Transport: A Better, Greener Britain</w:t>
      </w:r>
      <w:r w:rsidRPr="00E2202D">
        <w:rPr>
          <w:rFonts w:ascii="Times New Roman" w:hAnsi="Times New Roman" w:cs="Times New Roman"/>
        </w:rPr>
        <w:t>. London: Department for Transport.</w:t>
      </w:r>
    </w:p>
    <w:p w14:paraId="6E89F84F"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Doran, G.T. (1981) ‘There's a S.M.A.R.T. way to write management's goals and objectives’, </w:t>
      </w:r>
      <w:r w:rsidRPr="00E2202D">
        <w:rPr>
          <w:rFonts w:ascii="Times New Roman" w:hAnsi="Times New Roman" w:cs="Times New Roman"/>
          <w:i/>
          <w:iCs/>
        </w:rPr>
        <w:t>Management Review</w:t>
      </w:r>
      <w:r w:rsidRPr="00E2202D">
        <w:rPr>
          <w:rFonts w:ascii="Times New Roman" w:hAnsi="Times New Roman" w:cs="Times New Roman"/>
        </w:rPr>
        <w:t xml:space="preserve">, </w:t>
      </w:r>
      <w:r w:rsidRPr="00E2202D">
        <w:rPr>
          <w:rFonts w:ascii="Times New Roman" w:hAnsi="Times New Roman" w:cs="Times New Roman"/>
          <w:b/>
          <w:bCs/>
        </w:rPr>
        <w:t>70</w:t>
      </w:r>
      <w:r w:rsidRPr="00E2202D">
        <w:rPr>
          <w:rFonts w:ascii="Times New Roman" w:hAnsi="Times New Roman" w:cs="Times New Roman"/>
        </w:rPr>
        <w:t>(11), pp. 35–36.</w:t>
      </w:r>
    </w:p>
    <w:p w14:paraId="3E07EF5A"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Freeman, R.E. (1984) </w:t>
      </w:r>
      <w:r w:rsidRPr="00E2202D">
        <w:rPr>
          <w:rFonts w:ascii="Times New Roman" w:hAnsi="Times New Roman" w:cs="Times New Roman"/>
          <w:i/>
          <w:iCs/>
        </w:rPr>
        <w:t>Strategic Management: A Stakeholder Approach</w:t>
      </w:r>
      <w:r w:rsidRPr="00E2202D">
        <w:rPr>
          <w:rFonts w:ascii="Times New Roman" w:hAnsi="Times New Roman" w:cs="Times New Roman"/>
        </w:rPr>
        <w:t>. Boston: Pitman.</w:t>
      </w:r>
    </w:p>
    <w:p w14:paraId="517624E3"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Globerson, S. (1994) ‘Impact of various work-breakdown structures on project conceptualisation’, </w:t>
      </w:r>
      <w:r w:rsidRPr="00E2202D">
        <w:rPr>
          <w:rFonts w:ascii="Times New Roman" w:hAnsi="Times New Roman" w:cs="Times New Roman"/>
          <w:i/>
          <w:iCs/>
        </w:rPr>
        <w:t>International Journal of Project Management</w:t>
      </w:r>
      <w:r w:rsidRPr="00E2202D">
        <w:rPr>
          <w:rFonts w:ascii="Times New Roman" w:hAnsi="Times New Roman" w:cs="Times New Roman"/>
        </w:rPr>
        <w:t xml:space="preserve">, </w:t>
      </w:r>
      <w:r w:rsidRPr="00E2202D">
        <w:rPr>
          <w:rFonts w:ascii="Times New Roman" w:hAnsi="Times New Roman" w:cs="Times New Roman"/>
          <w:b/>
          <w:bCs/>
        </w:rPr>
        <w:t>12</w:t>
      </w:r>
      <w:r w:rsidRPr="00E2202D">
        <w:rPr>
          <w:rFonts w:ascii="Times New Roman" w:hAnsi="Times New Roman" w:cs="Times New Roman"/>
        </w:rPr>
        <w:t>(3), pp. 165–171.</w:t>
      </w:r>
    </w:p>
    <w:p w14:paraId="3C720676"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International Organisation for Standardisation (2018) </w:t>
      </w:r>
      <w:r w:rsidRPr="00E2202D">
        <w:rPr>
          <w:rFonts w:ascii="Times New Roman" w:hAnsi="Times New Roman" w:cs="Times New Roman"/>
          <w:i/>
          <w:iCs/>
        </w:rPr>
        <w:t>ISO 31000:2018 Risk Management – Guidelines</w:t>
      </w:r>
      <w:r w:rsidRPr="00E2202D">
        <w:rPr>
          <w:rFonts w:ascii="Times New Roman" w:hAnsi="Times New Roman" w:cs="Times New Roman"/>
        </w:rPr>
        <w:t>. Geneva: ISO.</w:t>
      </w:r>
    </w:p>
    <w:p w14:paraId="7D6EA937"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Kerzner, H. (2017) </w:t>
      </w:r>
      <w:r w:rsidRPr="00E2202D">
        <w:rPr>
          <w:rFonts w:ascii="Times New Roman" w:hAnsi="Times New Roman" w:cs="Times New Roman"/>
          <w:i/>
          <w:iCs/>
        </w:rPr>
        <w:t>Project Management: A Systems Approach to Planning, Scheduling, and Controlling</w:t>
      </w:r>
      <w:r w:rsidRPr="00E2202D">
        <w:rPr>
          <w:rFonts w:ascii="Times New Roman" w:hAnsi="Times New Roman" w:cs="Times New Roman"/>
        </w:rPr>
        <w:t>. 12th edn. Hoboken, NJ: John Wiley &amp; Sons.</w:t>
      </w:r>
    </w:p>
    <w:p w14:paraId="195EA6B5"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Lock, D. (2020) </w:t>
      </w:r>
      <w:r w:rsidRPr="00E2202D">
        <w:rPr>
          <w:rFonts w:ascii="Times New Roman" w:hAnsi="Times New Roman" w:cs="Times New Roman"/>
          <w:i/>
          <w:iCs/>
        </w:rPr>
        <w:t>Project Management</w:t>
      </w:r>
      <w:r w:rsidRPr="00E2202D">
        <w:rPr>
          <w:rFonts w:ascii="Times New Roman" w:hAnsi="Times New Roman" w:cs="Times New Roman"/>
        </w:rPr>
        <w:t>. 10th edn. Abingdon: Routledge.</w:t>
      </w:r>
    </w:p>
    <w:p w14:paraId="5F2E2DD1"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McKinsey Global Institute (2018) </w:t>
      </w:r>
      <w:r w:rsidRPr="00E2202D">
        <w:rPr>
          <w:rFonts w:ascii="Times New Roman" w:hAnsi="Times New Roman" w:cs="Times New Roman"/>
          <w:i/>
          <w:iCs/>
        </w:rPr>
        <w:t>Smart Cities: Digital Solutions for a More Livable Future</w:t>
      </w:r>
      <w:r w:rsidRPr="00E2202D">
        <w:rPr>
          <w:rFonts w:ascii="Times New Roman" w:hAnsi="Times New Roman" w:cs="Times New Roman"/>
        </w:rPr>
        <w:t>. New York: McKinsey &amp; Company.</w:t>
      </w:r>
    </w:p>
    <w:p w14:paraId="09A09062"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McKinsey &amp; Company (2023) </w:t>
      </w:r>
      <w:r w:rsidRPr="00E2202D">
        <w:rPr>
          <w:rFonts w:ascii="Times New Roman" w:hAnsi="Times New Roman" w:cs="Times New Roman"/>
          <w:i/>
          <w:iCs/>
        </w:rPr>
        <w:t>The Future of Mobility</w:t>
      </w:r>
      <w:r w:rsidRPr="00E2202D">
        <w:rPr>
          <w:rFonts w:ascii="Times New Roman" w:hAnsi="Times New Roman" w:cs="Times New Roman"/>
        </w:rPr>
        <w:t xml:space="preserve">. Available at: </w:t>
      </w:r>
      <w:hyperlink r:id="rId12" w:tgtFrame="_new" w:history="1">
        <w:r w:rsidRPr="00E2202D">
          <w:rPr>
            <w:rStyle w:val="Hyperlink"/>
            <w:rFonts w:ascii="Times New Roman" w:hAnsi="Times New Roman" w:cs="Times New Roman"/>
          </w:rPr>
          <w:t>https://www.mckinsey.com/industries/automotive-and-assembly/our-insights/the-future-of-mobility</w:t>
        </w:r>
      </w:hyperlink>
      <w:r w:rsidRPr="00E2202D">
        <w:rPr>
          <w:rFonts w:ascii="Times New Roman" w:hAnsi="Times New Roman" w:cs="Times New Roman"/>
        </w:rPr>
        <w:t xml:space="preserve"> (Accessed: 18 July 2026).</w:t>
      </w:r>
    </w:p>
    <w:p w14:paraId="6FCFB0D4"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Mendelow, A.L. (1981) ‘Environmental scanning: The impact of the stakeholder concept’, in </w:t>
      </w:r>
      <w:r w:rsidRPr="00E2202D">
        <w:rPr>
          <w:rFonts w:ascii="Times New Roman" w:hAnsi="Times New Roman" w:cs="Times New Roman"/>
          <w:i/>
          <w:iCs/>
        </w:rPr>
        <w:t>Proceedings of the Second International Conference on Information Systems</w:t>
      </w:r>
      <w:r w:rsidRPr="00E2202D">
        <w:rPr>
          <w:rFonts w:ascii="Times New Roman" w:hAnsi="Times New Roman" w:cs="Times New Roman"/>
        </w:rPr>
        <w:t>. Cambridge, MA, pp. 407–418.</w:t>
      </w:r>
    </w:p>
    <w:p w14:paraId="0DBF9BD2"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Project Management Institute (2021) </w:t>
      </w:r>
      <w:r w:rsidRPr="00E2202D">
        <w:rPr>
          <w:rFonts w:ascii="Times New Roman" w:hAnsi="Times New Roman" w:cs="Times New Roman"/>
          <w:i/>
          <w:iCs/>
        </w:rPr>
        <w:t>A Guide to the Project Management Body of Knowledge (PMBOK® Guide)</w:t>
      </w:r>
      <w:r w:rsidRPr="00E2202D">
        <w:rPr>
          <w:rFonts w:ascii="Times New Roman" w:hAnsi="Times New Roman" w:cs="Times New Roman"/>
        </w:rPr>
        <w:t>. 7th edn. Newtown Square, PA: Project Management Institute.</w:t>
      </w:r>
    </w:p>
    <w:p w14:paraId="0AC982DC"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Transport for London (2022) </w:t>
      </w:r>
      <w:r w:rsidRPr="00E2202D">
        <w:rPr>
          <w:rFonts w:ascii="Times New Roman" w:hAnsi="Times New Roman" w:cs="Times New Roman"/>
          <w:i/>
          <w:iCs/>
        </w:rPr>
        <w:t>Business Plan 2022/23–2025/26</w:t>
      </w:r>
      <w:r w:rsidRPr="00E2202D">
        <w:rPr>
          <w:rFonts w:ascii="Times New Roman" w:hAnsi="Times New Roman" w:cs="Times New Roman"/>
        </w:rPr>
        <w:t>. London: Transport for London.</w:t>
      </w:r>
    </w:p>
    <w:p w14:paraId="6FADF4E8" w14:textId="77777777" w:rsidR="00E2202D" w:rsidRPr="00E2202D" w:rsidRDefault="00E2202D" w:rsidP="00E2202D">
      <w:pPr>
        <w:rPr>
          <w:rFonts w:ascii="Times New Roman" w:hAnsi="Times New Roman" w:cs="Times New Roman"/>
        </w:rPr>
      </w:pPr>
      <w:r w:rsidRPr="00E2202D">
        <w:rPr>
          <w:rFonts w:ascii="Times New Roman" w:hAnsi="Times New Roman" w:cs="Times New Roman"/>
        </w:rPr>
        <w:t xml:space="preserve">Wilson, J.M. (2003) ‘Gantt charts: A centenary appreciation’, </w:t>
      </w:r>
      <w:r w:rsidRPr="00E2202D">
        <w:rPr>
          <w:rFonts w:ascii="Times New Roman" w:hAnsi="Times New Roman" w:cs="Times New Roman"/>
          <w:i/>
          <w:iCs/>
        </w:rPr>
        <w:t>European Journal of Operational Research</w:t>
      </w:r>
      <w:r w:rsidRPr="00E2202D">
        <w:rPr>
          <w:rFonts w:ascii="Times New Roman" w:hAnsi="Times New Roman" w:cs="Times New Roman"/>
        </w:rPr>
        <w:t xml:space="preserve">, </w:t>
      </w:r>
      <w:r w:rsidRPr="00E2202D">
        <w:rPr>
          <w:rFonts w:ascii="Times New Roman" w:hAnsi="Times New Roman" w:cs="Times New Roman"/>
          <w:b/>
          <w:bCs/>
        </w:rPr>
        <w:t>149</w:t>
      </w:r>
      <w:r w:rsidRPr="00E2202D">
        <w:rPr>
          <w:rFonts w:ascii="Times New Roman" w:hAnsi="Times New Roman" w:cs="Times New Roman"/>
        </w:rPr>
        <w:t>(2), pp. 430–437.</w:t>
      </w:r>
    </w:p>
    <w:p w14:paraId="7729D6F8" w14:textId="77777777" w:rsidR="008760A6" w:rsidRPr="008760A6" w:rsidRDefault="008760A6" w:rsidP="00E2202D">
      <w:pPr>
        <w:rPr>
          <w:rFonts w:ascii="Times New Roman" w:hAnsi="Times New Roman" w:cs="Times New Roman"/>
        </w:rPr>
      </w:pPr>
    </w:p>
    <w:sectPr w:rsidR="008760A6" w:rsidRPr="008760A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A97E6" w14:textId="77777777" w:rsidR="00271E97" w:rsidRDefault="00271E97" w:rsidP="009447D0">
      <w:pPr>
        <w:spacing w:after="0" w:line="240" w:lineRule="auto"/>
      </w:pPr>
      <w:r>
        <w:separator/>
      </w:r>
    </w:p>
  </w:endnote>
  <w:endnote w:type="continuationSeparator" w:id="0">
    <w:p w14:paraId="63982A78" w14:textId="77777777" w:rsidR="00271E97" w:rsidRDefault="00271E97" w:rsidP="00944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1156604"/>
      <w:docPartObj>
        <w:docPartGallery w:val="Page Numbers (Bottom of Page)"/>
        <w:docPartUnique/>
      </w:docPartObj>
    </w:sdtPr>
    <w:sdtEndPr>
      <w:rPr>
        <w:noProof/>
      </w:rPr>
    </w:sdtEndPr>
    <w:sdtContent>
      <w:p w14:paraId="7A243CBF" w14:textId="11EEADC8" w:rsidR="009447D0" w:rsidRDefault="009447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7E633E" w14:textId="77777777" w:rsidR="009447D0" w:rsidRDefault="00944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A1DAE" w14:textId="77777777" w:rsidR="00271E97" w:rsidRDefault="00271E97" w:rsidP="009447D0">
      <w:pPr>
        <w:spacing w:after="0" w:line="240" w:lineRule="auto"/>
      </w:pPr>
      <w:r>
        <w:separator/>
      </w:r>
    </w:p>
  </w:footnote>
  <w:footnote w:type="continuationSeparator" w:id="0">
    <w:p w14:paraId="6E8E5BD0" w14:textId="77777777" w:rsidR="00271E97" w:rsidRDefault="00271E97" w:rsidP="00944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CEC7D" w14:textId="77777777" w:rsidR="00595FE4" w:rsidRDefault="00595F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0312E1"/>
    <w:multiLevelType w:val="hybridMultilevel"/>
    <w:tmpl w:val="62445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D06F6"/>
    <w:multiLevelType w:val="hybridMultilevel"/>
    <w:tmpl w:val="45E83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48877">
    <w:abstractNumId w:val="0"/>
  </w:num>
  <w:num w:numId="2" w16cid:durableId="412708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9A0"/>
    <w:rsid w:val="00016FC4"/>
    <w:rsid w:val="00031D01"/>
    <w:rsid w:val="000432D2"/>
    <w:rsid w:val="000A0588"/>
    <w:rsid w:val="000B18B2"/>
    <w:rsid w:val="00134173"/>
    <w:rsid w:val="00144C64"/>
    <w:rsid w:val="001767B8"/>
    <w:rsid w:val="0018630C"/>
    <w:rsid w:val="00187F4C"/>
    <w:rsid w:val="001A0317"/>
    <w:rsid w:val="00243CC3"/>
    <w:rsid w:val="002622C5"/>
    <w:rsid w:val="0027087B"/>
    <w:rsid w:val="00271E97"/>
    <w:rsid w:val="00274DDC"/>
    <w:rsid w:val="00296701"/>
    <w:rsid w:val="002B00D9"/>
    <w:rsid w:val="002B6624"/>
    <w:rsid w:val="002F562E"/>
    <w:rsid w:val="003179E8"/>
    <w:rsid w:val="00361F96"/>
    <w:rsid w:val="003A724A"/>
    <w:rsid w:val="003B0162"/>
    <w:rsid w:val="003B11D9"/>
    <w:rsid w:val="003C3A4B"/>
    <w:rsid w:val="003C473F"/>
    <w:rsid w:val="00420495"/>
    <w:rsid w:val="00450703"/>
    <w:rsid w:val="00454211"/>
    <w:rsid w:val="00530996"/>
    <w:rsid w:val="00534C32"/>
    <w:rsid w:val="00543998"/>
    <w:rsid w:val="00546BE3"/>
    <w:rsid w:val="005566DA"/>
    <w:rsid w:val="00580F06"/>
    <w:rsid w:val="00595FE4"/>
    <w:rsid w:val="005D23F3"/>
    <w:rsid w:val="005E0E9A"/>
    <w:rsid w:val="005E6F13"/>
    <w:rsid w:val="005F0DB5"/>
    <w:rsid w:val="005F10C0"/>
    <w:rsid w:val="00633450"/>
    <w:rsid w:val="00635D0D"/>
    <w:rsid w:val="00681AE0"/>
    <w:rsid w:val="006B7C7D"/>
    <w:rsid w:val="006C5959"/>
    <w:rsid w:val="006D70A1"/>
    <w:rsid w:val="006E581B"/>
    <w:rsid w:val="00732549"/>
    <w:rsid w:val="00733AAA"/>
    <w:rsid w:val="00755B61"/>
    <w:rsid w:val="00781322"/>
    <w:rsid w:val="007A2038"/>
    <w:rsid w:val="007C29A0"/>
    <w:rsid w:val="007D1FE8"/>
    <w:rsid w:val="007E115A"/>
    <w:rsid w:val="007F43C1"/>
    <w:rsid w:val="008014F6"/>
    <w:rsid w:val="008134FA"/>
    <w:rsid w:val="008177E1"/>
    <w:rsid w:val="00833860"/>
    <w:rsid w:val="00852C5C"/>
    <w:rsid w:val="008629FE"/>
    <w:rsid w:val="008760A6"/>
    <w:rsid w:val="008A00DD"/>
    <w:rsid w:val="008B1722"/>
    <w:rsid w:val="008B5735"/>
    <w:rsid w:val="008D1D35"/>
    <w:rsid w:val="00905E71"/>
    <w:rsid w:val="009447D0"/>
    <w:rsid w:val="00947DF2"/>
    <w:rsid w:val="009B5F98"/>
    <w:rsid w:val="00A1457F"/>
    <w:rsid w:val="00A30577"/>
    <w:rsid w:val="00A55B3E"/>
    <w:rsid w:val="00A85285"/>
    <w:rsid w:val="00AD39FB"/>
    <w:rsid w:val="00AF2A1A"/>
    <w:rsid w:val="00AF3F37"/>
    <w:rsid w:val="00B015E3"/>
    <w:rsid w:val="00B0226B"/>
    <w:rsid w:val="00B26735"/>
    <w:rsid w:val="00BD1DFE"/>
    <w:rsid w:val="00BE4A38"/>
    <w:rsid w:val="00BE5529"/>
    <w:rsid w:val="00C11862"/>
    <w:rsid w:val="00C439C2"/>
    <w:rsid w:val="00C67D01"/>
    <w:rsid w:val="00C749C5"/>
    <w:rsid w:val="00CC6927"/>
    <w:rsid w:val="00CE4014"/>
    <w:rsid w:val="00D3155E"/>
    <w:rsid w:val="00D32ADF"/>
    <w:rsid w:val="00D43704"/>
    <w:rsid w:val="00D630A2"/>
    <w:rsid w:val="00D94656"/>
    <w:rsid w:val="00DA324A"/>
    <w:rsid w:val="00DB3468"/>
    <w:rsid w:val="00DB6EC6"/>
    <w:rsid w:val="00DC65F7"/>
    <w:rsid w:val="00E14816"/>
    <w:rsid w:val="00E2202D"/>
    <w:rsid w:val="00E47307"/>
    <w:rsid w:val="00E551D0"/>
    <w:rsid w:val="00ED0373"/>
    <w:rsid w:val="00ED59C5"/>
    <w:rsid w:val="00EE0628"/>
    <w:rsid w:val="00FB4085"/>
    <w:rsid w:val="00FB77D5"/>
    <w:rsid w:val="00FC745F"/>
    <w:rsid w:val="00FE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142AF7"/>
  <w15:chartTrackingRefBased/>
  <w15:docId w15:val="{9ECEF9E8-64FA-4E31-94A8-BF74F3893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9A0"/>
    <w:rPr>
      <w:rFonts w:eastAsiaTheme="majorEastAsia" w:cstheme="majorBidi"/>
      <w:color w:val="272727" w:themeColor="text1" w:themeTint="D8"/>
    </w:rPr>
  </w:style>
  <w:style w:type="paragraph" w:styleId="Title">
    <w:name w:val="Title"/>
    <w:basedOn w:val="Normal"/>
    <w:next w:val="Normal"/>
    <w:link w:val="TitleChar"/>
    <w:uiPriority w:val="10"/>
    <w:qFormat/>
    <w:rsid w:val="007C2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9A0"/>
    <w:pPr>
      <w:spacing w:before="160"/>
      <w:jc w:val="center"/>
    </w:pPr>
    <w:rPr>
      <w:i/>
      <w:iCs/>
      <w:color w:val="404040" w:themeColor="text1" w:themeTint="BF"/>
    </w:rPr>
  </w:style>
  <w:style w:type="character" w:customStyle="1" w:styleId="QuoteChar">
    <w:name w:val="Quote Char"/>
    <w:basedOn w:val="DefaultParagraphFont"/>
    <w:link w:val="Quote"/>
    <w:uiPriority w:val="29"/>
    <w:rsid w:val="007C29A0"/>
    <w:rPr>
      <w:i/>
      <w:iCs/>
      <w:color w:val="404040" w:themeColor="text1" w:themeTint="BF"/>
    </w:rPr>
  </w:style>
  <w:style w:type="paragraph" w:styleId="ListParagraph">
    <w:name w:val="List Paragraph"/>
    <w:basedOn w:val="Normal"/>
    <w:uiPriority w:val="34"/>
    <w:qFormat/>
    <w:rsid w:val="007C29A0"/>
    <w:pPr>
      <w:ind w:left="720"/>
      <w:contextualSpacing/>
    </w:pPr>
  </w:style>
  <w:style w:type="character" w:styleId="IntenseEmphasis">
    <w:name w:val="Intense Emphasis"/>
    <w:basedOn w:val="DefaultParagraphFont"/>
    <w:uiPriority w:val="21"/>
    <w:qFormat/>
    <w:rsid w:val="007C29A0"/>
    <w:rPr>
      <w:i/>
      <w:iCs/>
      <w:color w:val="0F4761" w:themeColor="accent1" w:themeShade="BF"/>
    </w:rPr>
  </w:style>
  <w:style w:type="paragraph" w:styleId="IntenseQuote">
    <w:name w:val="Intense Quote"/>
    <w:basedOn w:val="Normal"/>
    <w:next w:val="Normal"/>
    <w:link w:val="IntenseQuoteChar"/>
    <w:uiPriority w:val="30"/>
    <w:qFormat/>
    <w:rsid w:val="007C2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9A0"/>
    <w:rPr>
      <w:i/>
      <w:iCs/>
      <w:color w:val="0F4761" w:themeColor="accent1" w:themeShade="BF"/>
    </w:rPr>
  </w:style>
  <w:style w:type="character" w:styleId="IntenseReference">
    <w:name w:val="Intense Reference"/>
    <w:basedOn w:val="DefaultParagraphFont"/>
    <w:uiPriority w:val="32"/>
    <w:qFormat/>
    <w:rsid w:val="007C29A0"/>
    <w:rPr>
      <w:b/>
      <w:bCs/>
      <w:smallCaps/>
      <w:color w:val="0F4761" w:themeColor="accent1" w:themeShade="BF"/>
      <w:spacing w:val="5"/>
    </w:rPr>
  </w:style>
  <w:style w:type="paragraph" w:customStyle="1" w:styleId="font-claude-response-body">
    <w:name w:val="font-claude-response-body"/>
    <w:basedOn w:val="Normal"/>
    <w:rsid w:val="006C59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44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7D0"/>
  </w:style>
  <w:style w:type="paragraph" w:styleId="Footer">
    <w:name w:val="footer"/>
    <w:basedOn w:val="Normal"/>
    <w:link w:val="FooterChar"/>
    <w:uiPriority w:val="99"/>
    <w:unhideWhenUsed/>
    <w:rsid w:val="00944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7D0"/>
  </w:style>
  <w:style w:type="paragraph" w:customStyle="1" w:styleId="pdq2pgselectionanchorcontainer">
    <w:name w:val="pdq2pg_selectionanchorcontainer"/>
    <w:basedOn w:val="Normal"/>
    <w:rsid w:val="00D32A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32ADF"/>
    <w:rPr>
      <w:b/>
      <w:bCs/>
    </w:rPr>
  </w:style>
  <w:style w:type="paragraph" w:styleId="NormalWeb">
    <w:name w:val="Normal (Web)"/>
    <w:basedOn w:val="Normal"/>
    <w:uiPriority w:val="99"/>
    <w:semiHidden/>
    <w:unhideWhenUsed/>
    <w:rsid w:val="00D32A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F43C1"/>
    <w:rPr>
      <w:color w:val="467886" w:themeColor="hyperlink"/>
      <w:u w:val="single"/>
    </w:rPr>
  </w:style>
  <w:style w:type="character" w:styleId="UnresolvedMention">
    <w:name w:val="Unresolved Mention"/>
    <w:basedOn w:val="DefaultParagraphFont"/>
    <w:uiPriority w:val="99"/>
    <w:semiHidden/>
    <w:unhideWhenUsed/>
    <w:rsid w:val="007F4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automotive-and-assembly/our-insights/the-future-of-mobili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D57EA-3350-4D69-8054-05641608C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13</Pages>
  <Words>3263</Words>
  <Characters>18600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Dora Edjangue</dc:creator>
  <cp:keywords/>
  <dc:description/>
  <cp:lastModifiedBy>Dora Edjangue</cp:lastModifiedBy>
  <cp:revision>75</cp:revision>
  <dcterms:created xsi:type="dcterms:W3CDTF">2026-07-27T13:03:00Z</dcterms:created>
  <dcterms:modified xsi:type="dcterms:W3CDTF">2026-07-28T20:40:00Z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175b4f9a-0288-4ca1-be2a-497df5fd91ed</vt:lpwstr>
  </property>
</Properties>
</file>