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EEFAB0" w14:textId="31143104" w:rsidR="00D442D9" w:rsidRDefault="00D442D9"/>
    <w:p w14:paraId="7DDF9729" w14:textId="77777777" w:rsidR="00D442D9" w:rsidRPr="008B0AC3" w:rsidRDefault="00D442D9" w:rsidP="00D442D9">
      <w:r w:rsidRPr="008B0AC3">
        <w:t>Essay one:</w:t>
      </w:r>
    </w:p>
    <w:p w14:paraId="05B708DE" w14:textId="77777777" w:rsidR="00D442D9" w:rsidRPr="008B0AC3" w:rsidRDefault="00D442D9" w:rsidP="00D442D9"/>
    <w:p w14:paraId="59DBE19F" w14:textId="77777777" w:rsidR="00D442D9" w:rsidRDefault="00D442D9" w:rsidP="00D442D9">
      <w:pPr>
        <w:spacing w:line="360" w:lineRule="auto"/>
        <w:jc w:val="both"/>
      </w:pPr>
      <w:r w:rsidRPr="008B0AC3">
        <w:t>In this essay I will examine how prominent cases of police misconduct or malpractice have influenced current professional policing policies.</w:t>
      </w:r>
      <w:r>
        <w:t xml:space="preserve"> </w:t>
      </w:r>
      <w:r w:rsidRPr="008B0AC3">
        <w:t>When examining how malpractice has influenced current professional policing policies, it is vital to review how the incidents that led to the Brixton riots of 1981</w:t>
      </w:r>
      <w:r>
        <w:t>, and the subsequent report from Lord Scarman, and the Royal Commission on criminal procedures had an impact on modern Policing</w:t>
      </w:r>
      <w:r w:rsidRPr="008B0AC3">
        <w:t xml:space="preserve">. </w:t>
      </w:r>
    </w:p>
    <w:p w14:paraId="636B7AB5" w14:textId="77777777" w:rsidR="00D442D9" w:rsidRDefault="00D442D9" w:rsidP="00D442D9">
      <w:pPr>
        <w:spacing w:line="360" w:lineRule="auto"/>
        <w:jc w:val="both"/>
      </w:pPr>
      <w:r>
        <w:tab/>
        <w:t xml:space="preserve">The Police and Criminal Evidence Act 1984, or PACE came to be as a result of a report by the Royal Commission on Criminal Procedure </w:t>
      </w:r>
      <w:sdt>
        <w:sdtPr>
          <w:id w:val="1825389520"/>
          <w:citation/>
        </w:sdtPr>
        <w:sdtContent>
          <w:r>
            <w:fldChar w:fldCharType="begin"/>
          </w:r>
          <w:r>
            <w:instrText xml:space="preserve"> CITATION Zan11 \l 2057 </w:instrText>
          </w:r>
          <w:r>
            <w:fldChar w:fldCharType="separate"/>
          </w:r>
          <w:r>
            <w:rPr>
              <w:noProof/>
            </w:rPr>
            <w:t>(Zander, 2011)</w:t>
          </w:r>
          <w:r>
            <w:fldChar w:fldCharType="end"/>
          </w:r>
        </w:sdtContent>
      </w:sdt>
      <w:r>
        <w:t xml:space="preserve">. PACE 1984 was created to help with the growing concerns and confidence of the public in regards to the police and the Criminal Justice System (CJS) </w:t>
      </w:r>
      <w:sdt>
        <w:sdtPr>
          <w:id w:val="-1819643286"/>
          <w:citation/>
        </w:sdtPr>
        <w:sdtContent>
          <w:r>
            <w:fldChar w:fldCharType="begin"/>
          </w:r>
          <w:r>
            <w:instrText xml:space="preserve"> CITATION Law13 \l 2057 </w:instrText>
          </w:r>
          <w:r>
            <w:fldChar w:fldCharType="separate"/>
          </w:r>
          <w:r>
            <w:rPr>
              <w:noProof/>
            </w:rPr>
            <w:t>(LawTeacher., 2013.)</w:t>
          </w:r>
          <w:r>
            <w:fldChar w:fldCharType="end"/>
          </w:r>
        </w:sdtContent>
      </w:sdt>
      <w:r>
        <w:t xml:space="preserve">. According to the Home Office PACE sets out to create the right balance between the freedom of the members of the public and the powers of the police. </w:t>
      </w:r>
      <w:sdt>
        <w:sdtPr>
          <w:id w:val="-1546291498"/>
          <w:citation/>
        </w:sdtPr>
        <w:sdtContent>
          <w:r>
            <w:fldChar w:fldCharType="begin"/>
          </w:r>
          <w:r>
            <w:instrText xml:space="preserve"> CITATION Hom13 \l 2057 </w:instrText>
          </w:r>
          <w:r>
            <w:fldChar w:fldCharType="separate"/>
          </w:r>
          <w:r>
            <w:rPr>
              <w:noProof/>
            </w:rPr>
            <w:t>(Home Office , 2013)</w:t>
          </w:r>
          <w:r>
            <w:fldChar w:fldCharType="end"/>
          </w:r>
        </w:sdtContent>
      </w:sdt>
      <w:r>
        <w:t xml:space="preserve"> The PACE codes of practice cover stop and search, arrest, detention, investigation, identification, interviewing detainees. </w:t>
      </w:r>
    </w:p>
    <w:p w14:paraId="2D4F6BD0" w14:textId="77777777" w:rsidR="00D442D9" w:rsidRPr="005B77E6" w:rsidRDefault="00D442D9" w:rsidP="00D442D9">
      <w:pPr>
        <w:spacing w:line="360" w:lineRule="auto"/>
        <w:ind w:firstLine="720"/>
        <w:jc w:val="both"/>
        <w:rPr>
          <w:color w:val="FF0000"/>
        </w:rPr>
      </w:pPr>
      <w:r w:rsidRPr="00BB4E8E">
        <w:t xml:space="preserve">According to </w:t>
      </w:r>
      <w:proofErr w:type="spellStart"/>
      <w:r w:rsidRPr="00BB4E8E">
        <w:t>Blom</w:t>
      </w:r>
      <w:proofErr w:type="spellEnd"/>
      <w:r w:rsidRPr="00BB4E8E">
        <w:t xml:space="preserve">-Cooper (1982) </w:t>
      </w:r>
      <w:r>
        <w:t xml:space="preserve">in 1980 30,805 crimes were recorded in the Lambeth Borough of London, with 10,626 reported to have taken place in Brixton. Between 1976 and 1980 35% of crime in the Borough took place in the Brixton area. However, Brixton accounted for 49% of robberies and violent crime </w:t>
      </w:r>
      <w:sdt>
        <w:sdtPr>
          <w:id w:val="-454256279"/>
          <w:citation/>
        </w:sdtPr>
        <w:sdtContent>
          <w:r>
            <w:fldChar w:fldCharType="begin"/>
          </w:r>
          <w:r>
            <w:instrText xml:space="preserve"> CITATION Blo82 \l 2057 </w:instrText>
          </w:r>
          <w:r>
            <w:fldChar w:fldCharType="separate"/>
          </w:r>
          <w:r>
            <w:rPr>
              <w:noProof/>
            </w:rPr>
            <w:t>(Blom-Cooper, 1982)</w:t>
          </w:r>
          <w:r>
            <w:fldChar w:fldCharType="end"/>
          </w:r>
        </w:sdtContent>
      </w:sdt>
      <w:r>
        <w:t xml:space="preserve">. Recognising the rise in crime the Metropolitan Police service launched an operation in April 1981. Operation Swamp 81 was a 10 day operation which saw 150 plain clothed officers deployed to Brixton along with an increase in uniform patrols. The operation saw officers make 1000 stops and 150 arrests. The officers in the operation relied on ‘suspected person’ law police stop search powers also known as ‘Sus Law’ which was created in 1824 as part of the </w:t>
      </w:r>
      <w:r w:rsidRPr="0020629C">
        <w:rPr>
          <w:rFonts w:cstheme="minorHAnsi"/>
          <w:color w:val="202124"/>
          <w:shd w:val="clear" w:color="auto" w:fill="FFFFFF"/>
        </w:rPr>
        <w:t>Vagrancy Act</w:t>
      </w:r>
      <w:r>
        <w:t xml:space="preserve">  </w:t>
      </w:r>
      <w:sdt>
        <w:sdtPr>
          <w:id w:val="485980715"/>
          <w:citation/>
        </w:sdtPr>
        <w:sdtContent>
          <w:r>
            <w:fldChar w:fldCharType="begin"/>
          </w:r>
          <w:r>
            <w:instrText xml:space="preserve"> CITATION Yes13 \l 2057 </w:instrText>
          </w:r>
          <w:r>
            <w:fldChar w:fldCharType="separate"/>
          </w:r>
          <w:r>
            <w:rPr>
              <w:noProof/>
            </w:rPr>
            <w:t>(Yesufu, 2013)</w:t>
          </w:r>
          <w:r>
            <w:fldChar w:fldCharType="end"/>
          </w:r>
        </w:sdtContent>
      </w:sdt>
      <w:r>
        <w:t>. The actions of the officers created civil unrest due to the black community believing they were being unfairly targeted by officers. This over policing being one of the major catalysts for the riots that took place between 10</w:t>
      </w:r>
      <w:r w:rsidRPr="00E07A36">
        <w:rPr>
          <w:vertAlign w:val="superscript"/>
        </w:rPr>
        <w:t>th</w:t>
      </w:r>
      <w:r>
        <w:t xml:space="preserve"> April and 12</w:t>
      </w:r>
      <w:r w:rsidRPr="004B5B08">
        <w:rPr>
          <w:vertAlign w:val="superscript"/>
        </w:rPr>
        <w:t>th</w:t>
      </w:r>
      <w:r>
        <w:t xml:space="preserve"> of April. Which saw nearly 5000 young black men take to the streets of Brixton in anger and resentment towards the Metropolitan Police service, the riots resulted in damage to property, with 28 building reported to be destroyed or damaged by fire. There were 45 members of the public injured along with over 270 police officers who had petrol bombs, bricks and other missiles </w:t>
      </w:r>
      <w:r w:rsidRPr="00626493">
        <w:t xml:space="preserve">thrown at them </w:t>
      </w:r>
      <w:sdt>
        <w:sdtPr>
          <w:id w:val="-452171579"/>
          <w:citation/>
        </w:sdtPr>
        <w:sdtContent>
          <w:r w:rsidRPr="00626493">
            <w:fldChar w:fldCharType="begin"/>
          </w:r>
          <w:r w:rsidRPr="00626493">
            <w:instrText xml:space="preserve"> CITATION Hil82 \l 2057 </w:instrText>
          </w:r>
          <w:r w:rsidRPr="00626493">
            <w:fldChar w:fldCharType="separate"/>
          </w:r>
          <w:r w:rsidRPr="00626493">
            <w:rPr>
              <w:noProof/>
            </w:rPr>
            <w:t>(Hiller, 1982)</w:t>
          </w:r>
          <w:r w:rsidRPr="00626493">
            <w:fldChar w:fldCharType="end"/>
          </w:r>
        </w:sdtContent>
      </w:sdt>
      <w:r w:rsidRPr="00626493">
        <w:t xml:space="preserve">. </w:t>
      </w:r>
    </w:p>
    <w:p w14:paraId="5AE7E047" w14:textId="77777777" w:rsidR="00D442D9" w:rsidRDefault="00D442D9" w:rsidP="00D442D9">
      <w:pPr>
        <w:spacing w:line="360" w:lineRule="auto"/>
        <w:ind w:firstLine="720"/>
        <w:jc w:val="both"/>
      </w:pPr>
      <w:r>
        <w:t>On the 14</w:t>
      </w:r>
      <w:r w:rsidRPr="007E38CF">
        <w:rPr>
          <w:vertAlign w:val="superscript"/>
        </w:rPr>
        <w:t>th</w:t>
      </w:r>
      <w:r>
        <w:t xml:space="preserve"> of April 1981 a report into the riots was commissioned by the UK Government, with the home secretary William Whitelaw appointing Lord Scarman to conduct the inquiry </w:t>
      </w:r>
      <w:sdt>
        <w:sdtPr>
          <w:id w:val="1059673458"/>
          <w:citation/>
        </w:sdtPr>
        <w:sdtContent>
          <w:r>
            <w:fldChar w:fldCharType="begin"/>
          </w:r>
          <w:r>
            <w:instrText xml:space="preserve">CITATION BBC04 \l 2057 </w:instrText>
          </w:r>
          <w:r>
            <w:fldChar w:fldCharType="separate"/>
          </w:r>
          <w:r>
            <w:rPr>
              <w:noProof/>
            </w:rPr>
            <w:t>(The BBC,, 2004)</w:t>
          </w:r>
          <w:r>
            <w:fldChar w:fldCharType="end"/>
          </w:r>
        </w:sdtContent>
      </w:sdt>
      <w:r>
        <w:t xml:space="preserve">. Scarman’s report identified numerous social and economic factors that contributed to the riots </w:t>
      </w:r>
      <w:r>
        <w:lastRenderedPageBreak/>
        <w:t xml:space="preserve">in Brixton, as well as examining the actions of the Metropolitan Police force. Scarman suggested that the policing problem played a pivotal role in the disorder from a social aspect. </w:t>
      </w:r>
      <w:r w:rsidRPr="00626493">
        <w:t xml:space="preserve">However, this could not be viewed in isolation, and should be looked at alongside aspects of the </w:t>
      </w:r>
      <w:r>
        <w:t>G</w:t>
      </w:r>
      <w:r w:rsidRPr="00626493">
        <w:t xml:space="preserve">overnment’s economic strategies </w:t>
      </w:r>
      <w:sdt>
        <w:sdtPr>
          <w:id w:val="-1843085485"/>
          <w:citation/>
        </w:sdtPr>
        <w:sdtContent>
          <w:r w:rsidRPr="00626493">
            <w:fldChar w:fldCharType="begin"/>
          </w:r>
          <w:r w:rsidRPr="00626493">
            <w:instrText xml:space="preserve"> CITATION DGT82 \l 2057 </w:instrText>
          </w:r>
          <w:r w:rsidRPr="00626493">
            <w:fldChar w:fldCharType="separate"/>
          </w:r>
          <w:r w:rsidRPr="00626493">
            <w:rPr>
              <w:noProof/>
            </w:rPr>
            <w:t>(Williams, 1982)</w:t>
          </w:r>
          <w:r w:rsidRPr="00626493">
            <w:fldChar w:fldCharType="end"/>
          </w:r>
        </w:sdtContent>
      </w:sdt>
      <w:r w:rsidRPr="00626493">
        <w:t xml:space="preserve">. </w:t>
      </w:r>
      <w:r>
        <w:t xml:space="preserve">Scarman had concerns in regards to the “stop search” powers used and there should be more rationalisation when it comes to the law in this area along with better recording of stop searches </w:t>
      </w:r>
      <w:sdt>
        <w:sdtPr>
          <w:id w:val="1677452806"/>
          <w:citation/>
        </w:sdtPr>
        <w:sdtContent>
          <w:r>
            <w:fldChar w:fldCharType="begin"/>
          </w:r>
          <w:r>
            <w:instrText xml:space="preserve"> CITATION DGT82 \l 2057 </w:instrText>
          </w:r>
          <w:r>
            <w:fldChar w:fldCharType="separate"/>
          </w:r>
          <w:r>
            <w:rPr>
              <w:noProof/>
            </w:rPr>
            <w:t>(Williams, 1982)</w:t>
          </w:r>
          <w:r>
            <w:fldChar w:fldCharType="end"/>
          </w:r>
        </w:sdtContent>
      </w:sdt>
      <w:r>
        <w:t>. Scarman’s recommendations for stop search powers can be seen in the Police and Criminal Evidence Act 1984 Code A.</w:t>
      </w:r>
    </w:p>
    <w:p w14:paraId="0C93FC35" w14:textId="77777777" w:rsidR="00D442D9" w:rsidRDefault="00D442D9" w:rsidP="00D442D9">
      <w:pPr>
        <w:spacing w:line="360" w:lineRule="auto"/>
        <w:ind w:firstLine="720"/>
        <w:jc w:val="both"/>
      </w:pPr>
      <w:r>
        <w:t xml:space="preserve">Whilst the introduction of PACE was meant to increase the public’s confidence in the Police and CJS, a UK Government survey shows that confidence in the police within the black community is at an all-time low at 60% in 2019/20 vs 2013/14 at 74% </w:t>
      </w:r>
      <w:sdt>
        <w:sdtPr>
          <w:id w:val="772133484"/>
          <w:citation/>
        </w:sdtPr>
        <w:sdtContent>
          <w:r>
            <w:fldChar w:fldCharType="begin"/>
          </w:r>
          <w:r>
            <w:instrText xml:space="preserve"> CITATION UKG21 \l 2057 </w:instrText>
          </w:r>
          <w:r>
            <w:fldChar w:fldCharType="separate"/>
          </w:r>
          <w:r>
            <w:rPr>
              <w:noProof/>
            </w:rPr>
            <w:t>(UK Government , 2021)</w:t>
          </w:r>
          <w:r>
            <w:fldChar w:fldCharType="end"/>
          </w:r>
        </w:sdtContent>
      </w:sdt>
      <w:r>
        <w:t>. These statistics clearly show that despite efforts made by the police to increase public confidence, more needs to be done to improve in this area.</w:t>
      </w:r>
    </w:p>
    <w:p w14:paraId="243F2CC3" w14:textId="77777777" w:rsidR="00D442D9" w:rsidRDefault="00D442D9" w:rsidP="00D442D9">
      <w:pPr>
        <w:spacing w:line="360" w:lineRule="auto"/>
        <w:ind w:firstLine="720"/>
        <w:jc w:val="both"/>
      </w:pPr>
      <w:r>
        <w:t xml:space="preserve">As previously stated, confidence in policing amongst the black community is at an all-time a contributing factor of this is the racially aggravated murder of Stephen Lawrence in 1993 and the failures by the police during the investigation </w:t>
      </w:r>
      <w:sdt>
        <w:sdtPr>
          <w:id w:val="1188566101"/>
          <w:citation/>
        </w:sdtPr>
        <w:sdtContent>
          <w:r>
            <w:fldChar w:fldCharType="begin"/>
          </w:r>
          <w:r>
            <w:instrText xml:space="preserve"> CITATION Hol99 \l 2057 </w:instrText>
          </w:r>
          <w:r>
            <w:fldChar w:fldCharType="separate"/>
          </w:r>
          <w:r>
            <w:rPr>
              <w:noProof/>
            </w:rPr>
            <w:t>(Holdaway, 1999)</w:t>
          </w:r>
          <w:r>
            <w:fldChar w:fldCharType="end"/>
          </w:r>
        </w:sdtContent>
      </w:sdt>
      <w:r>
        <w:t>. During the incident unconscious bias has played a factor with officers stereotypically assuming that Lawrences friend was the perpetrator. Responding officers failed to identify the attack as racially motivated despite the witness account of being attacked by a group of white males. It should also be taken into consideration the failure of leadership in regards to the investigation “</w:t>
      </w:r>
      <w:r w:rsidRPr="00E04AE0">
        <w:t>officers in charge of the inquiry did not place race at the centre of their understanding of the Lawrence murder and its investigation</w:t>
      </w:r>
      <w:r>
        <w:t xml:space="preserve">” </w:t>
      </w:r>
      <w:sdt>
        <w:sdtPr>
          <w:id w:val="446124447"/>
          <w:citation/>
        </w:sdtPr>
        <w:sdtContent>
          <w:r>
            <w:fldChar w:fldCharType="begin"/>
          </w:r>
          <w:r>
            <w:instrText xml:space="preserve"> CITATION Hol99 \l 2057 </w:instrText>
          </w:r>
          <w:r>
            <w:fldChar w:fldCharType="separate"/>
          </w:r>
          <w:r>
            <w:rPr>
              <w:noProof/>
            </w:rPr>
            <w:t>(Holdaway, 1999)</w:t>
          </w:r>
          <w:r>
            <w:fldChar w:fldCharType="end"/>
          </w:r>
        </w:sdtContent>
      </w:sdt>
      <w:r>
        <w:t xml:space="preserve">. An inquiry led by Sir William MacPherson published in February 1999 was considered ground-breaking as it resulted in changes in Policing and the Law. It identified major failings by the police in the investigation and recognised Institutional Racism within the Police </w:t>
      </w:r>
      <w:sdt>
        <w:sdtPr>
          <w:id w:val="-1704778302"/>
          <w:citation/>
        </w:sdtPr>
        <w:sdtContent>
          <w:r>
            <w:fldChar w:fldCharType="begin"/>
          </w:r>
          <w:r>
            <w:instrText xml:space="preserve"> CITATION Par21 \l 2057 </w:instrText>
          </w:r>
          <w:r>
            <w:fldChar w:fldCharType="separate"/>
          </w:r>
          <w:r>
            <w:rPr>
              <w:noProof/>
            </w:rPr>
            <w:t>(Parliment, 2021)</w:t>
          </w:r>
          <w:r>
            <w:fldChar w:fldCharType="end"/>
          </w:r>
        </w:sdtContent>
      </w:sdt>
      <w:r>
        <w:t>.  There were 70 recommendations made in the report that remain relevant to this day.</w:t>
      </w:r>
    </w:p>
    <w:p w14:paraId="26A4EE76" w14:textId="77777777" w:rsidR="00D442D9" w:rsidRDefault="00D442D9" w:rsidP="00D442D9">
      <w:pPr>
        <w:spacing w:line="360" w:lineRule="auto"/>
        <w:ind w:firstLine="720"/>
        <w:jc w:val="both"/>
      </w:pPr>
      <w:r>
        <w:t>One of the key recommendations from the MacPherson report was that police forces need to be more “representative of the communities they serve” with targets set on the recruitment and retaining of B</w:t>
      </w:r>
      <w:r w:rsidRPr="002C0CC3">
        <w:t>lack, Asian, and</w:t>
      </w:r>
      <w:r>
        <w:t xml:space="preserve"> ethnic minority (BAME) officers </w:t>
      </w:r>
      <w:sdt>
        <w:sdtPr>
          <w:id w:val="-1279483975"/>
          <w:citation/>
        </w:sdtPr>
        <w:sdtContent>
          <w:r>
            <w:fldChar w:fldCharType="begin"/>
          </w:r>
          <w:r>
            <w:instrText xml:space="preserve"> CITATION Par21 \l 2057 </w:instrText>
          </w:r>
          <w:r>
            <w:fldChar w:fldCharType="separate"/>
          </w:r>
          <w:r>
            <w:rPr>
              <w:noProof/>
            </w:rPr>
            <w:t>(Parliment, 2021)</w:t>
          </w:r>
          <w:r>
            <w:fldChar w:fldCharType="end"/>
          </w:r>
        </w:sdtContent>
      </w:sdt>
      <w:r>
        <w:t xml:space="preserve">.  A report from the Home Affairs Select Committee identified that more needs to be done in order to achieve a police force that is representative of the population by 2030 </w:t>
      </w:r>
      <w:sdt>
        <w:sdtPr>
          <w:id w:val="208924518"/>
          <w:citation/>
        </w:sdtPr>
        <w:sdtContent>
          <w:r>
            <w:fldChar w:fldCharType="begin"/>
          </w:r>
          <w:r>
            <w:instrText xml:space="preserve"> CITATION Col21 \l 2057 </w:instrText>
          </w:r>
          <w:r>
            <w:fldChar w:fldCharType="separate"/>
          </w:r>
          <w:r>
            <w:rPr>
              <w:noProof/>
            </w:rPr>
            <w:t>(College of policing,, 2021)</w:t>
          </w:r>
          <w:r>
            <w:fldChar w:fldCharType="end"/>
          </w:r>
        </w:sdtContent>
      </w:sdt>
      <w:r>
        <w:t xml:space="preserve">. As part of building confidence in the community the College of Policing is undertaking substantial work in order to improve and sustain diversity in policing.  This work includes positive action whereby training and coaching is given to BAME officers to enable them to succeed in applying for senior leadership roles </w:t>
      </w:r>
      <w:sdt>
        <w:sdtPr>
          <w:id w:val="-1936119780"/>
          <w:citation/>
        </w:sdtPr>
        <w:sdtContent>
          <w:r>
            <w:fldChar w:fldCharType="begin"/>
          </w:r>
          <w:r>
            <w:instrText xml:space="preserve"> CITATION Col21 \l 2057 </w:instrText>
          </w:r>
          <w:r>
            <w:fldChar w:fldCharType="separate"/>
          </w:r>
          <w:r>
            <w:rPr>
              <w:noProof/>
            </w:rPr>
            <w:t>(College of policing,, 2021)</w:t>
          </w:r>
          <w:r>
            <w:fldChar w:fldCharType="end"/>
          </w:r>
        </w:sdtContent>
      </w:sdt>
      <w:r>
        <w:t xml:space="preserve">.  The College of Policing has also updated guidelines for suggesting the </w:t>
      </w:r>
      <w:r>
        <w:lastRenderedPageBreak/>
        <w:t xml:space="preserve">mapping of stop searches and utilising the members of the public in that area to scrutinise the use of the powers enabling them to gain a better understanding of the powers along with increasing police confidence </w:t>
      </w:r>
      <w:sdt>
        <w:sdtPr>
          <w:id w:val="-111444329"/>
          <w:citation/>
        </w:sdtPr>
        <w:sdtContent>
          <w:r>
            <w:fldChar w:fldCharType="begin"/>
          </w:r>
          <w:r>
            <w:instrText xml:space="preserve"> CITATION Col21 \l 2057 </w:instrText>
          </w:r>
          <w:r>
            <w:fldChar w:fldCharType="separate"/>
          </w:r>
          <w:r>
            <w:rPr>
              <w:noProof/>
            </w:rPr>
            <w:t>(College of policing,, 2021)</w:t>
          </w:r>
          <w:r>
            <w:fldChar w:fldCharType="end"/>
          </w:r>
        </w:sdtContent>
      </w:sdt>
      <w:r>
        <w:t>.</w:t>
      </w:r>
    </w:p>
    <w:p w14:paraId="205CF27F" w14:textId="77777777" w:rsidR="00D442D9" w:rsidRDefault="00D442D9" w:rsidP="00D442D9">
      <w:pPr>
        <w:spacing w:line="360" w:lineRule="auto"/>
        <w:ind w:firstLine="720"/>
        <w:jc w:val="both"/>
      </w:pPr>
      <w:r>
        <w:t xml:space="preserve">In conclusion great strides have been made in updating police polices due to recommendations from the Scarman and Macpherson reports, also </w:t>
      </w:r>
      <w:r w:rsidRPr="006821AA">
        <w:t>the introduction</w:t>
      </w:r>
      <w:r>
        <w:t xml:space="preserve"> of</w:t>
      </w:r>
      <w:r w:rsidRPr="006821AA">
        <w:t xml:space="preserve"> PACE 1984</w:t>
      </w:r>
      <w:r>
        <w:t>. However, more work is required in order to increase the public’s confidence in the Police especially in the BAME communities. Significant work is being completed by the College of Policing in regards to recruitment and retention of BAME officers, along with engagement of BAME communities.</w:t>
      </w:r>
    </w:p>
    <w:p w14:paraId="28CFAC82" w14:textId="77777777" w:rsidR="00D442D9" w:rsidRDefault="00D442D9" w:rsidP="00D442D9">
      <w:pPr>
        <w:ind w:firstLine="720"/>
      </w:pPr>
      <w:r>
        <w:t>1071</w:t>
      </w:r>
    </w:p>
    <w:p w14:paraId="527C3D3B" w14:textId="77777777" w:rsidR="00D442D9" w:rsidRDefault="00D442D9" w:rsidP="00D442D9"/>
    <w:p w14:paraId="24DC5327" w14:textId="77777777" w:rsidR="00D442D9" w:rsidRDefault="00D442D9" w:rsidP="00D442D9"/>
    <w:p w14:paraId="38D974D7" w14:textId="77777777" w:rsidR="00D442D9" w:rsidRDefault="00D442D9" w:rsidP="00D442D9"/>
    <w:p w14:paraId="60B0820A" w14:textId="77777777" w:rsidR="00D442D9" w:rsidRDefault="00D442D9" w:rsidP="00D442D9"/>
    <w:p w14:paraId="49941532" w14:textId="77777777" w:rsidR="00D442D9" w:rsidRDefault="00D442D9" w:rsidP="00D442D9"/>
    <w:p w14:paraId="3D03CD7B" w14:textId="77777777" w:rsidR="00D442D9" w:rsidRDefault="00D442D9" w:rsidP="00D442D9"/>
    <w:p w14:paraId="423B5218" w14:textId="77777777" w:rsidR="00D442D9" w:rsidRDefault="00D442D9" w:rsidP="00D442D9"/>
    <w:p w14:paraId="5C7DFC1A" w14:textId="77777777" w:rsidR="00D442D9" w:rsidRDefault="00D442D9" w:rsidP="00D442D9"/>
    <w:p w14:paraId="13137A78" w14:textId="77777777" w:rsidR="00D442D9" w:rsidRDefault="00D442D9" w:rsidP="00D442D9"/>
    <w:p w14:paraId="66DC0691" w14:textId="77777777" w:rsidR="00D442D9" w:rsidRDefault="00D442D9" w:rsidP="00D442D9"/>
    <w:p w14:paraId="4AC7DAB9" w14:textId="77777777" w:rsidR="00D442D9" w:rsidRDefault="00D442D9" w:rsidP="00D442D9"/>
    <w:p w14:paraId="65E20165" w14:textId="77777777" w:rsidR="00D442D9" w:rsidRDefault="00D442D9" w:rsidP="00D442D9"/>
    <w:p w14:paraId="3547F80B" w14:textId="77777777" w:rsidR="00D442D9" w:rsidRDefault="00D442D9" w:rsidP="00D442D9"/>
    <w:p w14:paraId="13FC1467" w14:textId="77777777" w:rsidR="00D442D9" w:rsidRDefault="00D442D9" w:rsidP="00D442D9"/>
    <w:p w14:paraId="5A93204F" w14:textId="77777777" w:rsidR="00D442D9" w:rsidRDefault="00D442D9" w:rsidP="00D442D9"/>
    <w:p w14:paraId="3ABC4007" w14:textId="77777777" w:rsidR="00D442D9" w:rsidRDefault="00D442D9" w:rsidP="00D442D9"/>
    <w:p w14:paraId="57ADD708" w14:textId="77777777" w:rsidR="00D442D9" w:rsidRDefault="00D442D9" w:rsidP="00D442D9"/>
    <w:p w14:paraId="1FC2BF5A" w14:textId="77777777" w:rsidR="00D442D9" w:rsidRDefault="00D442D9" w:rsidP="00D442D9"/>
    <w:p w14:paraId="0F70C759" w14:textId="77777777" w:rsidR="00D442D9" w:rsidRDefault="00D442D9" w:rsidP="00D442D9"/>
    <w:p w14:paraId="2DE40A0F" w14:textId="77777777" w:rsidR="00D442D9" w:rsidRDefault="00D442D9" w:rsidP="00D442D9"/>
    <w:p w14:paraId="06DA5602" w14:textId="77777777" w:rsidR="00D442D9" w:rsidRDefault="00D442D9" w:rsidP="00D442D9"/>
    <w:p w14:paraId="17FE767B" w14:textId="77777777" w:rsidR="00D442D9" w:rsidRDefault="00D442D9" w:rsidP="00D442D9"/>
    <w:p w14:paraId="4457D8DD" w14:textId="012232AB" w:rsidR="00D442D9" w:rsidRPr="002B0ABF" w:rsidRDefault="00D442D9" w:rsidP="00D442D9">
      <w:r w:rsidRPr="002B0ABF">
        <w:lastRenderedPageBreak/>
        <w:t xml:space="preserve">Essay two: </w:t>
      </w:r>
    </w:p>
    <w:p w14:paraId="792762DC" w14:textId="77777777" w:rsidR="00D442D9" w:rsidRDefault="00D442D9" w:rsidP="00D442D9">
      <w:pPr>
        <w:rPr>
          <w:b/>
          <w:bCs/>
          <w:color w:val="FF0000"/>
        </w:rPr>
      </w:pPr>
    </w:p>
    <w:p w14:paraId="77089B30" w14:textId="77777777" w:rsidR="00D442D9" w:rsidRDefault="00D442D9" w:rsidP="00D442D9">
      <w:pPr>
        <w:spacing w:line="360" w:lineRule="auto"/>
        <w:jc w:val="both"/>
      </w:pPr>
      <w:r>
        <w:t>In this essay I will examine why certain groups might be vulnerable to being targeted by serious and organised crime groups, I will then look at the effectiveness of Police practices to investigate such issues.</w:t>
      </w:r>
    </w:p>
    <w:p w14:paraId="203677A7" w14:textId="77777777" w:rsidR="00D442D9" w:rsidRDefault="00D442D9" w:rsidP="00D442D9">
      <w:pPr>
        <w:spacing w:line="360" w:lineRule="auto"/>
        <w:jc w:val="both"/>
      </w:pPr>
      <w:r>
        <w:tab/>
        <w:t xml:space="preserve">Organised crime can be described as the co-ordinated or planned activity of an individual or a group involving criminal activity or behaviour </w:t>
      </w:r>
      <w:sdt>
        <w:sdtPr>
          <w:id w:val="657888122"/>
          <w:citation/>
        </w:sdtPr>
        <w:sdtContent>
          <w:r>
            <w:fldChar w:fldCharType="begin"/>
          </w:r>
          <w:r>
            <w:instrText xml:space="preserve">CITATION Cro22 \l 2057 </w:instrText>
          </w:r>
          <w:r>
            <w:fldChar w:fldCharType="separate"/>
          </w:r>
          <w:r>
            <w:rPr>
              <w:noProof/>
            </w:rPr>
            <w:t>(Crown Prosecution Service, 2022)</w:t>
          </w:r>
          <w:r>
            <w:fldChar w:fldCharType="end"/>
          </w:r>
        </w:sdtContent>
      </w:sdt>
      <w:r>
        <w:t xml:space="preserve">.  It is estimated that in December 2013 there were 36,000 criminals operating in 5,300 Organised Crime Groups (OCG) affecting the UK, their motivation often being but not limited to financial gain. These OCG’s pose a threat to national security, having a destructive threat to communities and costing an estimated £24 Billion year on year </w:t>
      </w:r>
      <w:sdt>
        <w:sdtPr>
          <w:id w:val="181022152"/>
          <w:citation/>
        </w:sdtPr>
        <w:sdtContent>
          <w:r>
            <w:fldChar w:fldCharType="begin"/>
          </w:r>
          <w:r>
            <w:instrText xml:space="preserve">CITATION Cro22 \l 2057 </w:instrText>
          </w:r>
          <w:r>
            <w:fldChar w:fldCharType="separate"/>
          </w:r>
          <w:r>
            <w:rPr>
              <w:noProof/>
            </w:rPr>
            <w:t>(Crown Prosecution Service, 2022)</w:t>
          </w:r>
          <w:r>
            <w:fldChar w:fldCharType="end"/>
          </w:r>
        </w:sdtContent>
      </w:sdt>
      <w:r>
        <w:t xml:space="preserve">. OCG’s are involved in numerous illegal activities including the trafficking of drugs. One method used by these gangs is known as county lines. County lines is a term used to define the activity of OCG’s whereby they distribute illegal drugs from larger metropolitan areas to smaller locations throughout the UK </w:t>
      </w:r>
      <w:sdt>
        <w:sdtPr>
          <w:id w:val="924922263"/>
          <w:citation/>
        </w:sdtPr>
        <w:sdtContent>
          <w:r>
            <w:fldChar w:fldCharType="begin"/>
          </w:r>
          <w:r>
            <w:instrText xml:space="preserve"> CITATION Pub21 \l 2057 </w:instrText>
          </w:r>
          <w:r>
            <w:fldChar w:fldCharType="separate"/>
          </w:r>
          <w:r>
            <w:rPr>
              <w:noProof/>
            </w:rPr>
            <w:t>(Public Health England, 2021)</w:t>
          </w:r>
          <w:r>
            <w:fldChar w:fldCharType="end"/>
          </w:r>
        </w:sdtContent>
      </w:sdt>
      <w:r>
        <w:t xml:space="preserve">.  According to the National Crime Agency (NCA) there are over 2000 “Deal Lines” direct mobile phone lines used to supply small towns and rural areas from a central hub. </w:t>
      </w:r>
      <w:sdt>
        <w:sdtPr>
          <w:id w:val="-1158226344"/>
          <w:citation/>
        </w:sdtPr>
        <w:sdtContent>
          <w:r>
            <w:fldChar w:fldCharType="begin"/>
          </w:r>
          <w:r>
            <w:instrText xml:space="preserve"> CITATION Nat19 \l 2057 </w:instrText>
          </w:r>
          <w:r>
            <w:fldChar w:fldCharType="separate"/>
          </w:r>
          <w:r>
            <w:rPr>
              <w:noProof/>
            </w:rPr>
            <w:t>(National Crime Agency, 2019)</w:t>
          </w:r>
          <w:r>
            <w:fldChar w:fldCharType="end"/>
          </w:r>
        </w:sdtContent>
      </w:sdt>
      <w:r>
        <w:t xml:space="preserve">. OCG’s will target children and vulnerable adults in order to move and store the drugs, using various methods such as intimidation, coercion and violence including sexual violence and weapons </w:t>
      </w:r>
      <w:sdt>
        <w:sdtPr>
          <w:id w:val="1222872559"/>
          <w:citation/>
        </w:sdtPr>
        <w:sdtContent>
          <w:r>
            <w:fldChar w:fldCharType="begin"/>
          </w:r>
          <w:r>
            <w:instrText xml:space="preserve"> CITATION Pub21 \l 2057 </w:instrText>
          </w:r>
          <w:r>
            <w:fldChar w:fldCharType="separate"/>
          </w:r>
          <w:r>
            <w:rPr>
              <w:noProof/>
            </w:rPr>
            <w:t>(Public Health England, 2021)</w:t>
          </w:r>
          <w:r>
            <w:fldChar w:fldCharType="end"/>
          </w:r>
        </w:sdtContent>
      </w:sdt>
      <w:r>
        <w:t xml:space="preserve">. However, a study by White and Cunneen (2015) recognises the social aspects of children joining gangs, especially amongst those who have an experienced </w:t>
      </w:r>
      <w:r w:rsidRPr="00A05D20">
        <w:t>institutional</w:t>
      </w:r>
      <w:r>
        <w:t xml:space="preserve"> exclusion </w:t>
      </w:r>
      <w:sdt>
        <w:sdtPr>
          <w:id w:val="-344781104"/>
          <w:citation/>
        </w:sdtPr>
        <w:sdtContent>
          <w:r>
            <w:fldChar w:fldCharType="begin"/>
          </w:r>
          <w:r>
            <w:instrText xml:space="preserve"> CITATION Whi15 \l 2057 </w:instrText>
          </w:r>
          <w:r>
            <w:fldChar w:fldCharType="separate"/>
          </w:r>
          <w:r>
            <w:rPr>
              <w:noProof/>
            </w:rPr>
            <w:t>(White R, 2015)</w:t>
          </w:r>
          <w:r>
            <w:fldChar w:fldCharType="end"/>
          </w:r>
        </w:sdtContent>
      </w:sdt>
      <w:r>
        <w:t xml:space="preserve">. The use of children and young people by the OCG’s enables them to mitigate risk, by distancing themselves from the actual act of dealing drugs and also enables them to maximise profits </w:t>
      </w:r>
      <w:sdt>
        <w:sdtPr>
          <w:id w:val="-320890182"/>
          <w:citation/>
        </w:sdtPr>
        <w:sdtContent>
          <w:r>
            <w:fldChar w:fldCharType="begin"/>
          </w:r>
          <w:r>
            <w:instrText xml:space="preserve"> CITATION Nat19 \l 2057 </w:instrText>
          </w:r>
          <w:r>
            <w:fldChar w:fldCharType="separate"/>
          </w:r>
          <w:r>
            <w:rPr>
              <w:noProof/>
            </w:rPr>
            <w:t>(National Crime Agency, 2019)</w:t>
          </w:r>
          <w:r>
            <w:fldChar w:fldCharType="end"/>
          </w:r>
        </w:sdtContent>
      </w:sdt>
      <w:r>
        <w:t>.  This gives an overview of organised crime and OCG’s and the subject of county lines. In the next paragraph I will explore further how OCG’s target children more specifically children in care.</w:t>
      </w:r>
    </w:p>
    <w:p w14:paraId="6498F4D8" w14:textId="77777777" w:rsidR="00D442D9" w:rsidRDefault="00D442D9" w:rsidP="00D442D9">
      <w:pPr>
        <w:spacing w:line="360" w:lineRule="auto"/>
        <w:jc w:val="both"/>
      </w:pPr>
      <w:r>
        <w:tab/>
        <w:t xml:space="preserve">In a report by Emma James (2021) published by Barnardo’s children as young as 9 years old are being criminally exploited, with OCG’s using the imbalance of power to coerce and control a child into committing criminal acts. James goes on to say that a child from any background can be coerced into Criminal Child Exploitation (CCE) however those more vulnerable such as a cared for child, a child from a home where domestic abuse is present, suffering from mental health needs are often targeted by OCG’s </w:t>
      </w:r>
      <w:sdt>
        <w:sdtPr>
          <w:id w:val="594608671"/>
          <w:citation/>
        </w:sdtPr>
        <w:sdtContent>
          <w:r>
            <w:fldChar w:fldCharType="begin"/>
          </w:r>
          <w:r>
            <w:instrText xml:space="preserve"> CITATION Emm21 \l 2057 </w:instrText>
          </w:r>
          <w:r>
            <w:fldChar w:fldCharType="separate"/>
          </w:r>
          <w:r>
            <w:rPr>
              <w:noProof/>
            </w:rPr>
            <w:t>(James, 2021)</w:t>
          </w:r>
          <w:r>
            <w:fldChar w:fldCharType="end"/>
          </w:r>
        </w:sdtContent>
      </w:sdt>
      <w:r>
        <w:t xml:space="preserve">. However, a report completed in December 2020 by Crest advisory states that cared for children are underrepresented in the data in regards to county lines, due to them not being identified by Police and local authorities. Whilst children in care homes or unregulated settings were </w:t>
      </w:r>
      <w:r>
        <w:lastRenderedPageBreak/>
        <w:t xml:space="preserve">at higher risk of going missing the Police were inconsistent when using county lines or CCE flags to identify increased risks </w:t>
      </w:r>
      <w:sdt>
        <w:sdtPr>
          <w:id w:val="371274785"/>
          <w:citation/>
        </w:sdtPr>
        <w:sdtContent>
          <w:r>
            <w:fldChar w:fldCharType="begin"/>
          </w:r>
          <w:r>
            <w:instrText xml:space="preserve"> CITATION Joe20 \l 2057 </w:instrText>
          </w:r>
          <w:r>
            <w:fldChar w:fldCharType="separate"/>
          </w:r>
          <w:r>
            <w:rPr>
              <w:noProof/>
            </w:rPr>
            <w:t>(Joe Caluori, 2020)</w:t>
          </w:r>
          <w:r>
            <w:fldChar w:fldCharType="end"/>
          </w:r>
        </w:sdtContent>
      </w:sdt>
      <w:r>
        <w:t>.</w:t>
      </w:r>
      <w:r w:rsidRPr="00174B45">
        <w:t xml:space="preserve"> </w:t>
      </w:r>
      <w:r>
        <w:t xml:space="preserve"> </w:t>
      </w:r>
      <w:r w:rsidRPr="00174B45">
        <w:t>In regards to children in care being involved in CCE, it is important to take into consideration victim - offender overlap. Research suggests that victims of crime are at higher risk of being involved in criminal behaviour (Lauren, 2020). Exposure to general childhood abuse has a significant impact and increases the risk of juvenile offending (</w:t>
      </w:r>
      <w:proofErr w:type="spellStart"/>
      <w:r w:rsidRPr="00174B45">
        <w:t>Loeber</w:t>
      </w:r>
      <w:proofErr w:type="spellEnd"/>
      <w:r w:rsidRPr="00174B45">
        <w:t xml:space="preserve">, 2000).  Schreck (1999) suggests that children who are not properly socialised due to either poor parenting or being victims of abuse may not develop the self-discipline required to avoid thrill seeking situations (Schreck, 1999) this research would suggest that cared for children would be more susceptible to being targeted by Organised </w:t>
      </w:r>
      <w:r>
        <w:t>C</w:t>
      </w:r>
      <w:r w:rsidRPr="00174B45">
        <w:t xml:space="preserve">rime </w:t>
      </w:r>
      <w:r>
        <w:t>G</w:t>
      </w:r>
      <w:r w:rsidRPr="00174B45">
        <w:t>angs.</w:t>
      </w:r>
    </w:p>
    <w:p w14:paraId="5AF5DEA1" w14:textId="77777777" w:rsidR="00D442D9" w:rsidRDefault="00D442D9" w:rsidP="00D442D9">
      <w:pPr>
        <w:spacing w:line="360" w:lineRule="auto"/>
        <w:jc w:val="both"/>
      </w:pPr>
    </w:p>
    <w:p w14:paraId="256AB05D" w14:textId="77777777" w:rsidR="00D442D9" w:rsidRDefault="00D442D9" w:rsidP="00D442D9">
      <w:pPr>
        <w:spacing w:line="360" w:lineRule="auto"/>
        <w:jc w:val="both"/>
      </w:pPr>
    </w:p>
    <w:p w14:paraId="08FCAC84" w14:textId="77777777" w:rsidR="00D442D9" w:rsidRDefault="00D442D9" w:rsidP="00D442D9">
      <w:pPr>
        <w:spacing w:line="360" w:lineRule="auto"/>
        <w:jc w:val="both"/>
      </w:pPr>
      <w:r>
        <w:t xml:space="preserve"> </w:t>
      </w:r>
      <w:r>
        <w:tab/>
        <w:t xml:space="preserve">In September 2021 Police and Crime Commissioner for Gwent Police Jeff Cuthbert introduced Gwent Police and Crime Plan 2021 – 2025. This plan has 5 key priorities one of which being to “combat serious crime”. Gwent Police recognise the serious impact organised crime has on the local community and looks to using tools available to them to combat serious crime. They aim to focus on being proactive to prevent serious crime, tackling offenders, whilst also safeguarding those at risk </w:t>
      </w:r>
      <w:sdt>
        <w:sdtPr>
          <w:id w:val="-1902978771"/>
          <w:citation/>
        </w:sdtPr>
        <w:sdtContent>
          <w:r>
            <w:fldChar w:fldCharType="begin"/>
          </w:r>
          <w:r>
            <w:instrText xml:space="preserve"> CITATION Gwe21 \l 2057 </w:instrText>
          </w:r>
          <w:r>
            <w:fldChar w:fldCharType="separate"/>
          </w:r>
          <w:r>
            <w:rPr>
              <w:noProof/>
            </w:rPr>
            <w:t>(Gwent Police and Crime Commission, 2021)</w:t>
          </w:r>
          <w:r>
            <w:fldChar w:fldCharType="end"/>
          </w:r>
        </w:sdtContent>
      </w:sdt>
      <w:r>
        <w:t xml:space="preserve">.  Gwent Police’s priority will be to focus on offences that cause significant harm one of these being child Criminal and Sexual Exploitation; with a key commitment being made to reduce the number of repeat victims of CCE. Gwent police aim to do this through increasing the detection of under reported crimes including domestic abuse, child criminal and sexual exploitation, rape, modern day slavery and human trafficking.  </w:t>
      </w:r>
      <w:sdt>
        <w:sdtPr>
          <w:id w:val="-921790316"/>
          <w:citation/>
        </w:sdtPr>
        <w:sdtContent>
          <w:r>
            <w:fldChar w:fldCharType="begin"/>
          </w:r>
          <w:r>
            <w:instrText xml:space="preserve"> CITATION Gwe21 \l 2057 </w:instrText>
          </w:r>
          <w:r>
            <w:fldChar w:fldCharType="separate"/>
          </w:r>
          <w:r>
            <w:rPr>
              <w:noProof/>
            </w:rPr>
            <w:t>(Gwent Police and Crime Commission, 2021)</w:t>
          </w:r>
          <w:r>
            <w:fldChar w:fldCharType="end"/>
          </w:r>
        </w:sdtContent>
      </w:sdt>
      <w:r>
        <w:t xml:space="preserve">. </w:t>
      </w:r>
      <w:r w:rsidRPr="008B0A8B">
        <w:t>It is clear to see</w:t>
      </w:r>
      <w:r w:rsidRPr="007E631E">
        <w:t xml:space="preserve"> th</w:t>
      </w:r>
      <w:r>
        <w:t>at</w:t>
      </w:r>
      <w:r w:rsidRPr="007E631E">
        <w:t xml:space="preserve"> Gwent Police have identified the importance of tackling child criminal and sexual exploitation</w:t>
      </w:r>
      <w:r>
        <w:t xml:space="preserve"> and how they are trying to safeguard those most vulnerable. </w:t>
      </w:r>
    </w:p>
    <w:p w14:paraId="6072F76D" w14:textId="77777777" w:rsidR="00D442D9" w:rsidRDefault="00D442D9" w:rsidP="00D442D9">
      <w:pPr>
        <w:spacing w:line="360" w:lineRule="auto"/>
        <w:jc w:val="both"/>
      </w:pPr>
      <w:r>
        <w:tab/>
        <w:t xml:space="preserve">When investigating county lines and children, investigating officers should take into consideration The Modern Day Slavery Act 2015, if Section 45 of the act is used correctly it can lead to the vulnerable person not being prosecuted for their involvement in the offences; therefore, creating opportunities for prosecution of the perpetrators of the exploitation </w:t>
      </w:r>
      <w:sdt>
        <w:sdtPr>
          <w:id w:val="931012179"/>
          <w:citation/>
        </w:sdtPr>
        <w:sdtContent>
          <w:r>
            <w:fldChar w:fldCharType="begin"/>
          </w:r>
          <w:r>
            <w:instrText xml:space="preserve"> CITATION Pol14 \l 2057 </w:instrText>
          </w:r>
          <w:r>
            <w:fldChar w:fldCharType="separate"/>
          </w:r>
          <w:r>
            <w:rPr>
              <w:noProof/>
            </w:rPr>
            <w:t>(College of Policing, 2014)</w:t>
          </w:r>
          <w:r>
            <w:fldChar w:fldCharType="end"/>
          </w:r>
        </w:sdtContent>
      </w:sdt>
      <w:r>
        <w:t xml:space="preserve">.  By pursuing the organised crime groups under the Modern Day Slavery Act 2015 it creates the possibilities for a longer custodial sentence </w:t>
      </w:r>
      <w:sdt>
        <w:sdtPr>
          <w:id w:val="2033150017"/>
          <w:citation/>
        </w:sdtPr>
        <w:sdtContent>
          <w:r>
            <w:fldChar w:fldCharType="begin"/>
          </w:r>
          <w:r>
            <w:instrText xml:space="preserve">CITATION Pol14 \l 2057 </w:instrText>
          </w:r>
          <w:r>
            <w:fldChar w:fldCharType="separate"/>
          </w:r>
          <w:r>
            <w:rPr>
              <w:noProof/>
            </w:rPr>
            <w:t>(College of Policing, 2014)</w:t>
          </w:r>
          <w:r>
            <w:fldChar w:fldCharType="end"/>
          </w:r>
        </w:sdtContent>
      </w:sdt>
      <w:r>
        <w:t>.  This highlights the focus from UK police forces are putting on the safeguarding of these vulnerable children rather than punishment.</w:t>
      </w:r>
    </w:p>
    <w:p w14:paraId="358B08A2" w14:textId="77777777" w:rsidR="00D442D9" w:rsidRDefault="00D442D9" w:rsidP="00D442D9">
      <w:pPr>
        <w:spacing w:line="360" w:lineRule="auto"/>
        <w:jc w:val="both"/>
      </w:pPr>
      <w:r>
        <w:tab/>
        <w:t xml:space="preserve">To conclude county lines is an ever evolving, sophisticated method used by organised crime gangs in the supply of illegal drugs. The OCG’s use different methods in order to recruit children and </w:t>
      </w:r>
      <w:r>
        <w:lastRenderedPageBreak/>
        <w:t xml:space="preserve">vulnerable adults to move or store the drugs. By using children, they reduce the risk of getting caught and can maximise their profits. Research shows that children in care are more likely to be recruited. Police forces across the UK recognise the severity of the impact Child Criminal Exploitation can have and as discussed Gwent Police have prioritised tackling organised crime and safeguarding the children they exploit. the use of The Modern Day Slavery Act 2015 helps safeguard the vulnerable children and put the onus of the crime back on to the perpetrators. </w:t>
      </w:r>
    </w:p>
    <w:p w14:paraId="31D7083E" w14:textId="0345D5C8" w:rsidR="00D442D9" w:rsidRDefault="00D442D9" w:rsidP="00D442D9">
      <w:r>
        <w:t>1016</w:t>
      </w:r>
    </w:p>
    <w:p w14:paraId="292708DD" w14:textId="598BCA65" w:rsidR="00D442D9" w:rsidRDefault="00D442D9" w:rsidP="00D442D9"/>
    <w:p w14:paraId="5564DEE4" w14:textId="77777777" w:rsidR="00D442D9" w:rsidRDefault="00D442D9" w:rsidP="00D442D9">
      <w:pPr>
        <w:spacing w:line="256" w:lineRule="auto"/>
      </w:pPr>
    </w:p>
    <w:p w14:paraId="1CC9F9CF" w14:textId="77777777" w:rsidR="00D442D9" w:rsidRDefault="00D442D9" w:rsidP="00D442D9">
      <w:pPr>
        <w:spacing w:line="256" w:lineRule="auto"/>
      </w:pPr>
    </w:p>
    <w:p w14:paraId="7A17A599" w14:textId="77777777" w:rsidR="00D442D9" w:rsidRDefault="00D442D9" w:rsidP="00D442D9">
      <w:pPr>
        <w:spacing w:line="256" w:lineRule="auto"/>
      </w:pPr>
    </w:p>
    <w:p w14:paraId="360A3653" w14:textId="77777777" w:rsidR="00D442D9" w:rsidRDefault="00D442D9" w:rsidP="00D442D9">
      <w:pPr>
        <w:spacing w:line="256" w:lineRule="auto"/>
      </w:pPr>
    </w:p>
    <w:p w14:paraId="728E75CF" w14:textId="77777777" w:rsidR="00D442D9" w:rsidRDefault="00D442D9" w:rsidP="00D442D9">
      <w:pPr>
        <w:spacing w:line="256" w:lineRule="auto"/>
      </w:pPr>
    </w:p>
    <w:p w14:paraId="6BB1338F" w14:textId="77777777" w:rsidR="00D442D9" w:rsidRDefault="00D442D9" w:rsidP="00D442D9">
      <w:pPr>
        <w:spacing w:line="256" w:lineRule="auto"/>
      </w:pPr>
    </w:p>
    <w:p w14:paraId="7FAB169B" w14:textId="77777777" w:rsidR="00D442D9" w:rsidRDefault="00D442D9" w:rsidP="00D442D9">
      <w:pPr>
        <w:spacing w:line="256" w:lineRule="auto"/>
      </w:pPr>
    </w:p>
    <w:p w14:paraId="4D1BFB0F" w14:textId="77777777" w:rsidR="00D442D9" w:rsidRDefault="00D442D9" w:rsidP="00D442D9">
      <w:pPr>
        <w:spacing w:line="256" w:lineRule="auto"/>
      </w:pPr>
    </w:p>
    <w:p w14:paraId="27939968" w14:textId="77777777" w:rsidR="00D442D9" w:rsidRDefault="00D442D9" w:rsidP="00D442D9">
      <w:pPr>
        <w:spacing w:line="256" w:lineRule="auto"/>
      </w:pPr>
    </w:p>
    <w:p w14:paraId="5D698957" w14:textId="77777777" w:rsidR="00D442D9" w:rsidRDefault="00D442D9" w:rsidP="00D442D9">
      <w:pPr>
        <w:spacing w:line="256" w:lineRule="auto"/>
      </w:pPr>
    </w:p>
    <w:p w14:paraId="456101C4" w14:textId="77777777" w:rsidR="00D442D9" w:rsidRDefault="00D442D9" w:rsidP="00D442D9">
      <w:pPr>
        <w:spacing w:line="256" w:lineRule="auto"/>
      </w:pPr>
    </w:p>
    <w:p w14:paraId="1351DAB7" w14:textId="77777777" w:rsidR="00D442D9" w:rsidRDefault="00D442D9" w:rsidP="00D442D9">
      <w:pPr>
        <w:spacing w:line="256" w:lineRule="auto"/>
      </w:pPr>
    </w:p>
    <w:p w14:paraId="2D9A89E9" w14:textId="77777777" w:rsidR="00D442D9" w:rsidRDefault="00D442D9" w:rsidP="00D442D9">
      <w:pPr>
        <w:spacing w:line="256" w:lineRule="auto"/>
      </w:pPr>
    </w:p>
    <w:p w14:paraId="2A85BFD7" w14:textId="77777777" w:rsidR="00D442D9" w:rsidRDefault="00D442D9" w:rsidP="00D442D9">
      <w:pPr>
        <w:spacing w:line="256" w:lineRule="auto"/>
      </w:pPr>
    </w:p>
    <w:p w14:paraId="48F7894F" w14:textId="77777777" w:rsidR="00D442D9" w:rsidRDefault="00D442D9" w:rsidP="00D442D9">
      <w:pPr>
        <w:spacing w:line="256" w:lineRule="auto"/>
      </w:pPr>
    </w:p>
    <w:p w14:paraId="5C93F981" w14:textId="77777777" w:rsidR="00D442D9" w:rsidRDefault="00D442D9" w:rsidP="00D442D9">
      <w:pPr>
        <w:spacing w:line="256" w:lineRule="auto"/>
      </w:pPr>
    </w:p>
    <w:p w14:paraId="75988090" w14:textId="77777777" w:rsidR="00D442D9" w:rsidRDefault="00D442D9" w:rsidP="00D442D9">
      <w:pPr>
        <w:spacing w:line="256" w:lineRule="auto"/>
      </w:pPr>
    </w:p>
    <w:p w14:paraId="04D932A3" w14:textId="77777777" w:rsidR="00D442D9" w:rsidRDefault="00D442D9" w:rsidP="00D442D9">
      <w:pPr>
        <w:spacing w:line="256" w:lineRule="auto"/>
      </w:pPr>
    </w:p>
    <w:p w14:paraId="70074348" w14:textId="77777777" w:rsidR="00D442D9" w:rsidRDefault="00D442D9" w:rsidP="00D442D9">
      <w:pPr>
        <w:spacing w:line="256" w:lineRule="auto"/>
      </w:pPr>
    </w:p>
    <w:p w14:paraId="484D6A88" w14:textId="77777777" w:rsidR="00D442D9" w:rsidRDefault="00D442D9" w:rsidP="00D442D9">
      <w:pPr>
        <w:spacing w:line="256" w:lineRule="auto"/>
      </w:pPr>
    </w:p>
    <w:p w14:paraId="6964AF7E" w14:textId="77777777" w:rsidR="00D442D9" w:rsidRDefault="00D442D9" w:rsidP="00D442D9">
      <w:pPr>
        <w:spacing w:line="256" w:lineRule="auto"/>
      </w:pPr>
    </w:p>
    <w:p w14:paraId="559321D4" w14:textId="77777777" w:rsidR="00D442D9" w:rsidRDefault="00D442D9" w:rsidP="00D442D9">
      <w:pPr>
        <w:spacing w:line="256" w:lineRule="auto"/>
      </w:pPr>
    </w:p>
    <w:p w14:paraId="0CD22308" w14:textId="77777777" w:rsidR="00D442D9" w:rsidRDefault="00D442D9" w:rsidP="00D442D9">
      <w:pPr>
        <w:spacing w:line="256" w:lineRule="auto"/>
      </w:pPr>
    </w:p>
    <w:p w14:paraId="2B19F95F" w14:textId="0885B735" w:rsidR="00D442D9" w:rsidRPr="00D442D9" w:rsidRDefault="00D442D9" w:rsidP="00D442D9">
      <w:pPr>
        <w:spacing w:line="256" w:lineRule="auto"/>
      </w:pPr>
      <w:r w:rsidRPr="00D442D9">
        <w:lastRenderedPageBreak/>
        <w:t xml:space="preserve">Essay three: </w:t>
      </w:r>
    </w:p>
    <w:p w14:paraId="1E8089C8" w14:textId="77777777" w:rsidR="00D442D9" w:rsidRPr="00D442D9" w:rsidRDefault="00D442D9" w:rsidP="00D442D9">
      <w:pPr>
        <w:spacing w:line="256" w:lineRule="auto"/>
      </w:pPr>
    </w:p>
    <w:p w14:paraId="44327015" w14:textId="77777777" w:rsidR="00D442D9" w:rsidRPr="00D442D9" w:rsidRDefault="00D442D9" w:rsidP="00D442D9">
      <w:pPr>
        <w:spacing w:line="360" w:lineRule="auto"/>
        <w:jc w:val="both"/>
      </w:pPr>
      <w:r w:rsidRPr="00D442D9">
        <w:t>In this essay I will evaluate the role of the Multi Agency Public Protection Arrangement (MAPPA) in managing offenders, I will also assess current police practices in regards to how they investigate public protection incidents and the effectiveness of them.</w:t>
      </w:r>
    </w:p>
    <w:p w14:paraId="5E02B8D5" w14:textId="77777777" w:rsidR="00D442D9" w:rsidRPr="00D442D9" w:rsidRDefault="00D442D9" w:rsidP="00D442D9">
      <w:pPr>
        <w:spacing w:line="360" w:lineRule="auto"/>
        <w:jc w:val="both"/>
      </w:pPr>
      <w:r w:rsidRPr="00D442D9">
        <w:tab/>
        <w:t xml:space="preserve">MAPPA stands for Multi Agency Public Protection Arrangement which is the process in which Police, probation and prison services work collaboratively in managing the risk posed against members of the public from violent and sexual offenders living in the community </w:t>
      </w:r>
      <w:sdt>
        <w:sdtPr>
          <w:id w:val="-541137294"/>
          <w:citation/>
        </w:sdtPr>
        <w:sdtContent>
          <w:r w:rsidRPr="00D442D9">
            <w:fldChar w:fldCharType="begin"/>
          </w:r>
          <w:r w:rsidRPr="00D442D9">
            <w:instrText xml:space="preserve"> CITATION MAP22 \l 2057 </w:instrText>
          </w:r>
          <w:r w:rsidRPr="00D442D9">
            <w:fldChar w:fldCharType="separate"/>
          </w:r>
          <w:r w:rsidRPr="00D442D9">
            <w:rPr>
              <w:noProof/>
            </w:rPr>
            <w:t>(MAPPA, 2022)</w:t>
          </w:r>
          <w:r w:rsidRPr="00D442D9">
            <w:fldChar w:fldCharType="end"/>
          </w:r>
        </w:sdtContent>
      </w:sdt>
      <w:r w:rsidRPr="00D442D9">
        <w:t xml:space="preserve">. Introduced in 2001 as part of the Criminal Justice and Court Services Act 2000 and later strengthened in 2003 by the Criminal Justice Act 2003; MAPPA is a tool that allows the agencies involved to keep their statutory responsibilities and obligations and create coordinated approaches in the management of offenders whilst aiming to minimise risk </w:t>
      </w:r>
      <w:sdt>
        <w:sdtPr>
          <w:id w:val="-1483616202"/>
          <w:citation/>
        </w:sdtPr>
        <w:sdtContent>
          <w:r w:rsidRPr="00D442D9">
            <w:fldChar w:fldCharType="begin"/>
          </w:r>
          <w:r w:rsidRPr="00D442D9">
            <w:instrText xml:space="preserve">CITATION HMI11 \l 2057 </w:instrText>
          </w:r>
          <w:r w:rsidRPr="00D442D9">
            <w:fldChar w:fldCharType="separate"/>
          </w:r>
          <w:r w:rsidRPr="00D442D9">
            <w:rPr>
              <w:noProof/>
            </w:rPr>
            <w:t>(HMI Probation, 2011)</w:t>
          </w:r>
          <w:r w:rsidRPr="00D442D9">
            <w:fldChar w:fldCharType="end"/>
          </w:r>
        </w:sdtContent>
      </w:sdt>
      <w:r w:rsidRPr="00D442D9">
        <w:t>. As of 31</w:t>
      </w:r>
      <w:r w:rsidRPr="00D442D9">
        <w:rPr>
          <w:vertAlign w:val="superscript"/>
        </w:rPr>
        <w:t>st</w:t>
      </w:r>
      <w:r w:rsidRPr="00D442D9">
        <w:t xml:space="preserve"> of March 2021 there are 87,657 offenders being managed under the MAPPA process which is a 2% increase on the previous year and a 70% increase since 2011 </w:t>
      </w:r>
      <w:sdt>
        <w:sdtPr>
          <w:id w:val="500476776"/>
          <w:citation/>
        </w:sdtPr>
        <w:sdtContent>
          <w:r w:rsidRPr="00D442D9">
            <w:fldChar w:fldCharType="begin"/>
          </w:r>
          <w:r w:rsidRPr="00D442D9">
            <w:instrText xml:space="preserve"> CITATION Min21 \l 2057 </w:instrText>
          </w:r>
          <w:r w:rsidRPr="00D442D9">
            <w:fldChar w:fldCharType="separate"/>
          </w:r>
          <w:r w:rsidRPr="00D442D9">
            <w:rPr>
              <w:noProof/>
            </w:rPr>
            <w:t>(Ministry Of Justice, 2021)</w:t>
          </w:r>
          <w:r w:rsidRPr="00D442D9">
            <w:fldChar w:fldCharType="end"/>
          </w:r>
        </w:sdtContent>
      </w:sdt>
      <w:r w:rsidRPr="00D442D9">
        <w:t xml:space="preserve">. The MAPPA population is divided into three categories of offenders with Category 1 being the highest; Category 1 offenders are registered sex offenders (RSO’s). Category 2 being violent offenders who have either received a sentence of 12 months custody or higher, a hospital order. Furthermore, young offenders placed in Category 2 receive a sentence of a Detention and Training Order of 12 months or more. Category 3 is other dangerous offenders who pose a risk to the public, caution or conviction for an offence that would demonstrate that the offender is capable of causing serious harm. </w:t>
      </w:r>
      <w:sdt>
        <w:sdtPr>
          <w:id w:val="-958951000"/>
          <w:citation/>
        </w:sdtPr>
        <w:sdtContent>
          <w:r w:rsidRPr="00D442D9">
            <w:fldChar w:fldCharType="begin"/>
          </w:r>
          <w:r w:rsidRPr="00D442D9">
            <w:instrText xml:space="preserve"> CITATION MAP22 \l 2057 </w:instrText>
          </w:r>
          <w:r w:rsidRPr="00D442D9">
            <w:fldChar w:fldCharType="separate"/>
          </w:r>
          <w:r w:rsidRPr="00D442D9">
            <w:rPr>
              <w:noProof/>
            </w:rPr>
            <w:t>(MAPPA, 2022)</w:t>
          </w:r>
          <w:r w:rsidRPr="00D442D9">
            <w:fldChar w:fldCharType="end"/>
          </w:r>
        </w:sdtContent>
      </w:sdt>
      <w:r w:rsidRPr="00D442D9">
        <w:t xml:space="preserve">. Of the 87,657 offenders in March 2021 86,268 are category 1 offenders. </w:t>
      </w:r>
      <w:sdt>
        <w:sdtPr>
          <w:id w:val="965480256"/>
          <w:citation/>
        </w:sdtPr>
        <w:sdtContent>
          <w:r w:rsidRPr="00D442D9">
            <w:fldChar w:fldCharType="begin"/>
          </w:r>
          <w:r w:rsidRPr="00D442D9">
            <w:instrText xml:space="preserve"> CITATION Min21 \l 2057 </w:instrText>
          </w:r>
          <w:r w:rsidRPr="00D442D9">
            <w:fldChar w:fldCharType="separate"/>
          </w:r>
          <w:r w:rsidRPr="00D442D9">
            <w:rPr>
              <w:noProof/>
            </w:rPr>
            <w:t>(Ministry Of Justice, 2021)</w:t>
          </w:r>
          <w:r w:rsidRPr="00D442D9">
            <w:fldChar w:fldCharType="end"/>
          </w:r>
        </w:sdtContent>
      </w:sdt>
      <w:r w:rsidRPr="00D442D9">
        <w:t xml:space="preserve">. Data in the report shows that serious further offences (SFO) are the lowest in 8 years, with reductions in both category 1 and 2 offenders, however it did see an increase in category 3 offenders charged with SFO’s </w:t>
      </w:r>
      <w:sdt>
        <w:sdtPr>
          <w:id w:val="-1894187628"/>
          <w:citation/>
        </w:sdtPr>
        <w:sdtContent>
          <w:r w:rsidRPr="00D442D9">
            <w:fldChar w:fldCharType="begin"/>
          </w:r>
          <w:r w:rsidRPr="00D442D9">
            <w:instrText xml:space="preserve"> CITATION Min21 \l 2057 </w:instrText>
          </w:r>
          <w:r w:rsidRPr="00D442D9">
            <w:fldChar w:fldCharType="separate"/>
          </w:r>
          <w:r w:rsidRPr="00D442D9">
            <w:rPr>
              <w:noProof/>
            </w:rPr>
            <w:t>(Ministry Of Justice, 2021)</w:t>
          </w:r>
          <w:r w:rsidRPr="00D442D9">
            <w:fldChar w:fldCharType="end"/>
          </w:r>
        </w:sdtContent>
      </w:sdt>
      <w:r w:rsidRPr="00D442D9">
        <w:t>.  This data would indicate that the focus from MAPPA on category 1 and 2 offenders is having the desired effect evident in the reduction of SFO’s.</w:t>
      </w:r>
    </w:p>
    <w:p w14:paraId="2979B01A" w14:textId="77777777" w:rsidR="00D442D9" w:rsidRPr="00D442D9" w:rsidRDefault="00D442D9" w:rsidP="00D442D9">
      <w:pPr>
        <w:spacing w:line="360" w:lineRule="auto"/>
        <w:jc w:val="both"/>
      </w:pPr>
      <w:r w:rsidRPr="00D442D9">
        <w:tab/>
        <w:t xml:space="preserve">The police take on the lead agency role in regards to the management of offenders once the individual is no longer subject to the supervising of the national probation service. In order to do these police forces, have a dedicated team who are responsible for the Management of Sexual or Violent Offenders (MOSOVO) </w:t>
      </w:r>
      <w:sdt>
        <w:sdtPr>
          <w:id w:val="-1327898504"/>
          <w:citation/>
        </w:sdtPr>
        <w:sdtContent>
          <w:r w:rsidRPr="00D442D9">
            <w:fldChar w:fldCharType="begin"/>
          </w:r>
          <w:r w:rsidRPr="00D442D9">
            <w:instrText xml:space="preserve"> CITATION Col203 \l 2057 </w:instrText>
          </w:r>
          <w:r w:rsidRPr="00D442D9">
            <w:fldChar w:fldCharType="separate"/>
          </w:r>
          <w:r w:rsidRPr="00D442D9">
            <w:rPr>
              <w:noProof/>
            </w:rPr>
            <w:t>(College of Policing , 2020)</w:t>
          </w:r>
          <w:r w:rsidRPr="00D442D9">
            <w:fldChar w:fldCharType="end"/>
          </w:r>
        </w:sdtContent>
      </w:sdt>
      <w:r w:rsidRPr="00D442D9">
        <w:t xml:space="preserve">. Whilst the configuration and structure of these teams varies between different forces, the MOSOVO officer’s role is to mitigate threat harm and risk through active risk management. Utilising overt or covert tactics to record activity of the offender onto Violent and Sexual Offenders Register (Visor) </w:t>
      </w:r>
      <w:sdt>
        <w:sdtPr>
          <w:id w:val="1705061089"/>
          <w:citation/>
        </w:sdtPr>
        <w:sdtContent>
          <w:r w:rsidRPr="00D442D9">
            <w:fldChar w:fldCharType="begin"/>
          </w:r>
          <w:r w:rsidRPr="00D442D9">
            <w:instrText xml:space="preserve"> CITATION Ess22 \l 2057 </w:instrText>
          </w:r>
          <w:r w:rsidRPr="00D442D9">
            <w:fldChar w:fldCharType="separate"/>
          </w:r>
          <w:r w:rsidRPr="00D442D9">
            <w:rPr>
              <w:noProof/>
            </w:rPr>
            <w:t>(Essex Police, 2022)</w:t>
          </w:r>
          <w:r w:rsidRPr="00D442D9">
            <w:fldChar w:fldCharType="end"/>
          </w:r>
        </w:sdtContent>
      </w:sdt>
      <w:r w:rsidRPr="00D442D9">
        <w:t xml:space="preserve">. ViSOR is a shared IT database used by MAPPA partner agencies. </w:t>
      </w:r>
      <w:sdt>
        <w:sdtPr>
          <w:id w:val="507104351"/>
          <w:citation/>
        </w:sdtPr>
        <w:sdtContent>
          <w:r w:rsidRPr="00D442D9">
            <w:fldChar w:fldCharType="begin"/>
          </w:r>
          <w:r w:rsidRPr="00D442D9">
            <w:instrText xml:space="preserve"> CITATION Edw03 \l 2057 </w:instrText>
          </w:r>
          <w:r w:rsidRPr="00D442D9">
            <w:fldChar w:fldCharType="separate"/>
          </w:r>
          <w:r w:rsidRPr="00D442D9">
            <w:rPr>
              <w:noProof/>
            </w:rPr>
            <w:t>(Edwards, 2003)</w:t>
          </w:r>
          <w:r w:rsidRPr="00D442D9">
            <w:fldChar w:fldCharType="end"/>
          </w:r>
        </w:sdtContent>
      </w:sdt>
      <w:r w:rsidRPr="00D442D9">
        <w:t xml:space="preserve">. There are 3 levels of management when it comes to </w:t>
      </w:r>
      <w:r w:rsidRPr="00D442D9">
        <w:lastRenderedPageBreak/>
        <w:t xml:space="preserve">MAPPA offenders. Level 1 would indicate that the level of risk is manageable by the lead agency and does not require formal multi-agency meetings </w:t>
      </w:r>
      <w:sdt>
        <w:sdtPr>
          <w:id w:val="1891535156"/>
          <w:citation/>
        </w:sdtPr>
        <w:sdtContent>
          <w:r w:rsidRPr="00D442D9">
            <w:fldChar w:fldCharType="begin"/>
          </w:r>
          <w:r w:rsidRPr="00D442D9">
            <w:instrText xml:space="preserve"> CITATION HMP22 \l 2057 </w:instrText>
          </w:r>
          <w:r w:rsidRPr="00D442D9">
            <w:fldChar w:fldCharType="separate"/>
          </w:r>
          <w:r w:rsidRPr="00D442D9">
            <w:rPr>
              <w:noProof/>
            </w:rPr>
            <w:t>(HM Prison &amp; Probation service, 2022)</w:t>
          </w:r>
          <w:r w:rsidRPr="00D442D9">
            <w:fldChar w:fldCharType="end"/>
          </w:r>
        </w:sdtContent>
      </w:sdt>
      <w:r w:rsidRPr="00D442D9">
        <w:t xml:space="preserve">. Level 2 management is for when the offender poses a high risk of serious harm therefore formal multi-agency meetings are seen as beneficial to help mitigate the risk of harm </w:t>
      </w:r>
      <w:sdt>
        <w:sdtPr>
          <w:id w:val="1203906512"/>
          <w:citation/>
        </w:sdtPr>
        <w:sdtContent>
          <w:r w:rsidRPr="00D442D9">
            <w:fldChar w:fldCharType="begin"/>
          </w:r>
          <w:r w:rsidRPr="00D442D9">
            <w:instrText xml:space="preserve"> CITATION HMP22 \l 2057 </w:instrText>
          </w:r>
          <w:r w:rsidRPr="00D442D9">
            <w:fldChar w:fldCharType="separate"/>
          </w:r>
          <w:r w:rsidRPr="00D442D9">
            <w:rPr>
              <w:noProof/>
            </w:rPr>
            <w:t>(HM Prison &amp; Probation service, 2022)</w:t>
          </w:r>
          <w:r w:rsidRPr="00D442D9">
            <w:fldChar w:fldCharType="end"/>
          </w:r>
        </w:sdtContent>
      </w:sdt>
      <w:r w:rsidRPr="00D442D9">
        <w:t xml:space="preserve">.  Level 3 is similar to level 2 in regards to the risk of serious harm posed, however the management issues requires senior leadership representation from the partner agencies. This may occur when there is a likelihood of media and public scrutiny in the case. Therefore, it is essential that action is taken at this level in order to maintain public confidence in the Criminal Justice System </w:t>
      </w:r>
      <w:sdt>
        <w:sdtPr>
          <w:id w:val="-2022302182"/>
          <w:citation/>
        </w:sdtPr>
        <w:sdtContent>
          <w:r w:rsidRPr="00D442D9">
            <w:fldChar w:fldCharType="begin"/>
          </w:r>
          <w:r w:rsidRPr="00D442D9">
            <w:instrText xml:space="preserve"> CITATION HMP22 \l 2057 </w:instrText>
          </w:r>
          <w:r w:rsidRPr="00D442D9">
            <w:fldChar w:fldCharType="separate"/>
          </w:r>
          <w:r w:rsidRPr="00D442D9">
            <w:rPr>
              <w:noProof/>
            </w:rPr>
            <w:t>(HM Prison &amp; Probation service, 2022)</w:t>
          </w:r>
          <w:r w:rsidRPr="00D442D9">
            <w:fldChar w:fldCharType="end"/>
          </w:r>
        </w:sdtContent>
      </w:sdt>
      <w:r w:rsidRPr="00D442D9">
        <w:t xml:space="preserve">.  According to </w:t>
      </w:r>
      <w:sdt>
        <w:sdtPr>
          <w:id w:val="1965389492"/>
          <w:citation/>
        </w:sdtPr>
        <w:sdtContent>
          <w:r w:rsidRPr="00D442D9">
            <w:fldChar w:fldCharType="begin"/>
          </w:r>
          <w:r w:rsidRPr="00D442D9">
            <w:instrText xml:space="preserve"> CITATION Min21 \l 2057 </w:instrText>
          </w:r>
          <w:r w:rsidRPr="00D442D9">
            <w:fldChar w:fldCharType="separate"/>
          </w:r>
          <w:r w:rsidRPr="00D442D9">
            <w:rPr>
              <w:noProof/>
            </w:rPr>
            <w:t>(Ministry Of Justice, 2021)</w:t>
          </w:r>
          <w:r w:rsidRPr="00D442D9">
            <w:fldChar w:fldCharType="end"/>
          </w:r>
        </w:sdtContent>
      </w:sdt>
      <w:r w:rsidRPr="00D442D9">
        <w:t xml:space="preserve"> the population of offenders managed at level 2 has decreased by 34% since 2014 and sits at 1,233 as of March 31</w:t>
      </w:r>
      <w:r w:rsidRPr="00D442D9">
        <w:rPr>
          <w:vertAlign w:val="superscript"/>
        </w:rPr>
        <w:t>st</w:t>
      </w:r>
      <w:r w:rsidRPr="00D442D9">
        <w:t xml:space="preserve">, 2021. The offender population managed at level 3 is currently 156 which is a decrease of 1% on the previous year </w:t>
      </w:r>
      <w:sdt>
        <w:sdtPr>
          <w:id w:val="-1323350925"/>
          <w:citation/>
        </w:sdtPr>
        <w:sdtContent>
          <w:r w:rsidRPr="00D442D9">
            <w:fldChar w:fldCharType="begin"/>
          </w:r>
          <w:r w:rsidRPr="00D442D9">
            <w:instrText xml:space="preserve"> CITATION Min21 \l 2057 </w:instrText>
          </w:r>
          <w:r w:rsidRPr="00D442D9">
            <w:fldChar w:fldCharType="separate"/>
          </w:r>
          <w:r w:rsidRPr="00D442D9">
            <w:rPr>
              <w:noProof/>
            </w:rPr>
            <w:t>(Ministry Of Justice, 2021)</w:t>
          </w:r>
          <w:r w:rsidRPr="00D442D9">
            <w:fldChar w:fldCharType="end"/>
          </w:r>
        </w:sdtContent>
      </w:sdt>
      <w:r w:rsidRPr="00D442D9">
        <w:t xml:space="preserve">.  Of the 156 managed at level 3, Category 2 offenders account for the highest percentage at 40% with Category 1 offenders being the lowest at 25% </w:t>
      </w:r>
      <w:sdt>
        <w:sdtPr>
          <w:id w:val="-784811346"/>
          <w:citation/>
        </w:sdtPr>
        <w:sdtContent>
          <w:r w:rsidRPr="00D442D9">
            <w:fldChar w:fldCharType="begin"/>
          </w:r>
          <w:r w:rsidRPr="00D442D9">
            <w:instrText xml:space="preserve"> CITATION Min21 \l 2057 </w:instrText>
          </w:r>
          <w:r w:rsidRPr="00D442D9">
            <w:fldChar w:fldCharType="separate"/>
          </w:r>
          <w:r w:rsidRPr="00D442D9">
            <w:rPr>
              <w:noProof/>
            </w:rPr>
            <w:t>(Ministry Of Justice, 2021)</w:t>
          </w:r>
          <w:r w:rsidRPr="00D442D9">
            <w:fldChar w:fldCharType="end"/>
          </w:r>
        </w:sdtContent>
      </w:sdt>
      <w:r w:rsidRPr="00D442D9">
        <w:t xml:space="preserve">. A high profile example of level 3 management would be Jon Venables who in 1993 age 10 years old was convicted for the murder of 2 year old Jamie Bulger. Venables was later released on license in 2001, however went on to commit further offences and was arrested in 2008 and 2010 for an affray, possession of cocaine and possession of indecent images of children. In 2017 during a routine visit by Police and partner agencies Venables again was arrested for possession of indecent images of children </w:t>
      </w:r>
      <w:sdt>
        <w:sdtPr>
          <w:id w:val="-288200852"/>
          <w:citation/>
        </w:sdtPr>
        <w:sdtContent>
          <w:r w:rsidRPr="00D442D9">
            <w:fldChar w:fldCharType="begin"/>
          </w:r>
          <w:r w:rsidRPr="00D442D9">
            <w:instrText xml:space="preserve"> CITATION Kho17 \l 2057 </w:instrText>
          </w:r>
          <w:r w:rsidRPr="00D442D9">
            <w:fldChar w:fldCharType="separate"/>
          </w:r>
          <w:r w:rsidRPr="00D442D9">
            <w:rPr>
              <w:noProof/>
            </w:rPr>
            <w:t>(Khomami, 2017)</w:t>
          </w:r>
          <w:r w:rsidRPr="00D442D9">
            <w:fldChar w:fldCharType="end"/>
          </w:r>
        </w:sdtContent>
      </w:sdt>
      <w:r w:rsidRPr="00D442D9">
        <w:t xml:space="preserve">.  This demonstrates the effectiveness of the MAPPA process and the emphasis placed on Category 1 offenders to mitigate risk. Furthermore, this supports the evidence discussed previously of how the risk from Category 1 and Category 2 offenders is higher and therefore prioritised by the MAPPA partner agencies. </w:t>
      </w:r>
    </w:p>
    <w:p w14:paraId="3C659E6D" w14:textId="77777777" w:rsidR="00D442D9" w:rsidRPr="00D442D9" w:rsidRDefault="00D442D9" w:rsidP="00D442D9">
      <w:pPr>
        <w:spacing w:line="360" w:lineRule="auto"/>
        <w:jc w:val="both"/>
      </w:pPr>
      <w:r w:rsidRPr="00D442D9">
        <w:tab/>
        <w:t>In conclusion, the multi-agency approach between Police, Prison and Probation services is having its desired effect. This is evident through the statistics shown above whereby it details the year on year reduction of the MAPPA population in Categories 1 and 2 offenders.  The management of Category 3 offenders needs to be reviewed due to the increase of serious further offences committed by this cohort year on year. Currently there is minimal research focusing on Category 3 offenders. The supervision of offenders at level 2 and level 3 has seen a reduction year on year, this is in part due to the actions of Police MOSOVO officers and the use of ViSOR.</w:t>
      </w:r>
    </w:p>
    <w:p w14:paraId="62E079CD" w14:textId="6B217E45" w:rsidR="00D442D9" w:rsidRDefault="00D442D9" w:rsidP="00D442D9">
      <w:r w:rsidRPr="00D442D9">
        <w:t>954</w:t>
      </w:r>
    </w:p>
    <w:p w14:paraId="7EF609C9" w14:textId="3FE25370" w:rsidR="00D442D9" w:rsidRDefault="00D442D9" w:rsidP="00D442D9"/>
    <w:p w14:paraId="4FDBB8E3" w14:textId="77777777" w:rsidR="00D442D9" w:rsidRDefault="00D442D9" w:rsidP="00D442D9"/>
    <w:p w14:paraId="232C5779" w14:textId="77777777" w:rsidR="00D442D9" w:rsidRDefault="00D442D9" w:rsidP="00D442D9"/>
    <w:p w14:paraId="796FC6EF" w14:textId="51246881" w:rsidR="00D442D9" w:rsidRDefault="00D442D9" w:rsidP="00D442D9">
      <w:r>
        <w:lastRenderedPageBreak/>
        <w:t>Essay 4</w:t>
      </w:r>
      <w:r>
        <w:t>:</w:t>
      </w:r>
    </w:p>
    <w:p w14:paraId="7CCA0CE1" w14:textId="77777777" w:rsidR="00D442D9" w:rsidRDefault="00D442D9" w:rsidP="00D442D9"/>
    <w:p w14:paraId="502FC64B" w14:textId="77777777" w:rsidR="00D442D9" w:rsidRDefault="00D442D9" w:rsidP="00D442D9">
      <w:pPr>
        <w:spacing w:line="360" w:lineRule="auto"/>
        <w:jc w:val="both"/>
      </w:pPr>
      <w:r>
        <w:t>In this essay I will be evaluating the impact of early intervention on young offenders, and young people at risk of becoming involved in gangs. I will also look at the effectiveness of a partnerships approach to prevent or deter involvement in gangs.</w:t>
      </w:r>
    </w:p>
    <w:p w14:paraId="53D714AB" w14:textId="77777777" w:rsidR="00D442D9" w:rsidRDefault="00D442D9" w:rsidP="00D442D9">
      <w:pPr>
        <w:spacing w:line="360" w:lineRule="auto"/>
        <w:jc w:val="both"/>
      </w:pPr>
      <w:r>
        <w:tab/>
        <w:t xml:space="preserve">According to the most up to date figures published by the Youth Justice Board / Ministry of Justice, between April 2020 and March 2021 15,800 youths aged between 10 and 17 years old were cautioned or received a sentence, with 8,800 of this population being first time offenders. </w:t>
      </w:r>
      <w:sdt>
        <w:sdtPr>
          <w:id w:val="2099133595"/>
          <w:citation/>
        </w:sdtPr>
        <w:sdtContent>
          <w:r>
            <w:fldChar w:fldCharType="begin"/>
          </w:r>
          <w:r>
            <w:instrText xml:space="preserve"> CITATION You22 \l 2057 </w:instrText>
          </w:r>
          <w:r>
            <w:fldChar w:fldCharType="separate"/>
          </w:r>
          <w:r w:rsidRPr="009A5F53">
            <w:rPr>
              <w:noProof/>
            </w:rPr>
            <w:t>(Youth Justice Board &amp; Ministry of Justice, 2022)</w:t>
          </w:r>
          <w:r>
            <w:fldChar w:fldCharType="end"/>
          </w:r>
        </w:sdtContent>
      </w:sdt>
      <w:r>
        <w:t xml:space="preserve">. The number of youth offenders has decreased by 17% on the previous year and decreased by 82% in the last 10 years. The number of first time youth offenders has reduced by 20% on the previous year and has seen an 81% fall since March 2011 </w:t>
      </w:r>
      <w:sdt>
        <w:sdtPr>
          <w:id w:val="-1274092562"/>
          <w:citation/>
        </w:sdtPr>
        <w:sdtContent>
          <w:r>
            <w:fldChar w:fldCharType="begin"/>
          </w:r>
          <w:r>
            <w:instrText xml:space="preserve"> CITATION You22 \l 2057 </w:instrText>
          </w:r>
          <w:r>
            <w:fldChar w:fldCharType="separate"/>
          </w:r>
          <w:r w:rsidRPr="00AC166E">
            <w:rPr>
              <w:noProof/>
            </w:rPr>
            <w:t>(Youth Justice Board &amp; Ministry of Justice, 2022)</w:t>
          </w:r>
          <w:r>
            <w:fldChar w:fldCharType="end"/>
          </w:r>
        </w:sdtContent>
      </w:sdt>
      <w:r>
        <w:t xml:space="preserve">. It is important to take into consideration the role the Covid19 pandemic had on the figures with children being home schooled and the country facing periods of restrictions in movements. The reoffending rate amongst this population had also decreased on the previous year 3.6%, however those who did reoffend committed 25,800 offences which on average equates to 3.65 reoffences per reoffender </w:t>
      </w:r>
      <w:sdt>
        <w:sdtPr>
          <w:id w:val="2147241361"/>
          <w:citation/>
        </w:sdtPr>
        <w:sdtContent>
          <w:r>
            <w:fldChar w:fldCharType="begin"/>
          </w:r>
          <w:r>
            <w:instrText xml:space="preserve"> CITATION You22 \l 2057 </w:instrText>
          </w:r>
          <w:r>
            <w:fldChar w:fldCharType="separate"/>
          </w:r>
          <w:r w:rsidRPr="005A1C45">
            <w:rPr>
              <w:noProof/>
            </w:rPr>
            <w:t>(Youth Justice Board &amp; Ministry of Justice, 2022)</w:t>
          </w:r>
          <w:r>
            <w:fldChar w:fldCharType="end"/>
          </w:r>
        </w:sdtContent>
      </w:sdt>
      <w:r>
        <w:t>. These figures would suggest that Youth Offending Teams (YOT’s) are having a considerable impact in reducing the number of young people reoffending.</w:t>
      </w:r>
    </w:p>
    <w:p w14:paraId="7D40D3C3" w14:textId="77777777" w:rsidR="00D442D9" w:rsidRDefault="00D442D9" w:rsidP="00D442D9">
      <w:pPr>
        <w:spacing w:line="360" w:lineRule="auto"/>
        <w:jc w:val="both"/>
      </w:pPr>
      <w:r>
        <w:tab/>
        <w:t xml:space="preserve">Youth Offending Teams (YOTs) were established as part of the Crime and Disorder Act 1998, their role to reduce the number of youths offending or reoffending in the communities </w:t>
      </w:r>
      <w:sdt>
        <w:sdtPr>
          <w:id w:val="-612057936"/>
          <w:citation/>
        </w:sdtPr>
        <w:sdtContent>
          <w:r>
            <w:fldChar w:fldCharType="begin"/>
          </w:r>
          <w:r>
            <w:instrText xml:space="preserve"> CITATION Tor18 \l 2057 </w:instrText>
          </w:r>
          <w:r>
            <w:fldChar w:fldCharType="separate"/>
          </w:r>
          <w:r w:rsidRPr="003F4B45">
            <w:rPr>
              <w:noProof/>
            </w:rPr>
            <w:t>(Torfaen County Council, 2018)</w:t>
          </w:r>
          <w:r>
            <w:fldChar w:fldCharType="end"/>
          </w:r>
        </w:sdtContent>
      </w:sdt>
      <w:r>
        <w:t xml:space="preserve">. The Act required each local authority in England and Wales to establish a YOT in the area. The YOT is a multi-agencies approach with members of Police, Social Services, Probation Service, Health, and Education boards. </w:t>
      </w:r>
      <w:sdt>
        <w:sdtPr>
          <w:id w:val="1284704379"/>
          <w:citation/>
        </w:sdtPr>
        <w:sdtContent>
          <w:r>
            <w:fldChar w:fldCharType="begin"/>
          </w:r>
          <w:r>
            <w:instrText xml:space="preserve"> CITATION Tor18 \l 2057 </w:instrText>
          </w:r>
          <w:r>
            <w:fldChar w:fldCharType="separate"/>
          </w:r>
          <w:r w:rsidRPr="00693CFE">
            <w:rPr>
              <w:noProof/>
            </w:rPr>
            <w:t>(Torfaen County Council, 2018)</w:t>
          </w:r>
          <w:r>
            <w:fldChar w:fldCharType="end"/>
          </w:r>
        </w:sdtContent>
      </w:sdt>
      <w:r>
        <w:t>. YOT’s will aim to identify the root cause of the young person’s offending and measure the risk they pose to others, by doing this the YOT can establish a suitable approach / program to address the needs of the young person</w:t>
      </w:r>
      <w:sdt>
        <w:sdtPr>
          <w:id w:val="-914926483"/>
          <w:citation/>
        </w:sdtPr>
        <w:sdtContent>
          <w:r>
            <w:fldChar w:fldCharType="begin"/>
          </w:r>
          <w:r>
            <w:instrText xml:space="preserve"> CITATION Col223 \l 2057 </w:instrText>
          </w:r>
          <w:r>
            <w:fldChar w:fldCharType="separate"/>
          </w:r>
          <w:r>
            <w:rPr>
              <w:noProof/>
            </w:rPr>
            <w:t xml:space="preserve"> </w:t>
          </w:r>
          <w:r w:rsidRPr="00FD5E50">
            <w:rPr>
              <w:noProof/>
            </w:rPr>
            <w:t>(College of Policing , 2022)</w:t>
          </w:r>
          <w:r>
            <w:fldChar w:fldCharType="end"/>
          </w:r>
        </w:sdtContent>
      </w:sdt>
      <w:r>
        <w:t xml:space="preserve">. </w:t>
      </w:r>
    </w:p>
    <w:p w14:paraId="3B08D268" w14:textId="77777777" w:rsidR="00D442D9" w:rsidRDefault="00D442D9" w:rsidP="00D442D9">
      <w:pPr>
        <w:spacing w:line="360" w:lineRule="auto"/>
        <w:jc w:val="both"/>
      </w:pPr>
      <w:r>
        <w:tab/>
        <w:t xml:space="preserve">Young people aged 10 – 17 are vulnerable and at risk of either joining a crime gang or being exploited by a crime gang, the annual Children in Need report published by the Department for Education details that Children Social Services identified that 12,720 children in England were at risk of criminal exploitation at the hands of crime gangs </w:t>
      </w:r>
      <w:sdt>
        <w:sdtPr>
          <w:id w:val="-204561176"/>
          <w:citation/>
        </w:sdtPr>
        <w:sdtContent>
          <w:r>
            <w:fldChar w:fldCharType="begin"/>
          </w:r>
          <w:r>
            <w:instrText xml:space="preserve"> CITATION Dep22 \l 2057 </w:instrText>
          </w:r>
          <w:r>
            <w:fldChar w:fldCharType="separate"/>
          </w:r>
          <w:r w:rsidRPr="00674870">
            <w:rPr>
              <w:noProof/>
            </w:rPr>
            <w:t>(Department for Education, 2022)</w:t>
          </w:r>
          <w:r>
            <w:fldChar w:fldCharType="end"/>
          </w:r>
        </w:sdtContent>
      </w:sdt>
      <w:r>
        <w:t xml:space="preserve">.  Whilst this was a decrease by 13% in pre-covid19 2019/20 it was still 16% higher than the same reporting period in 2018/19 </w:t>
      </w:r>
      <w:sdt>
        <w:sdtPr>
          <w:id w:val="-1198765335"/>
          <w:citation/>
        </w:sdtPr>
        <w:sdtContent>
          <w:r>
            <w:fldChar w:fldCharType="begin"/>
          </w:r>
          <w:r>
            <w:instrText xml:space="preserve"> CITATION Dep22 \l 2057 </w:instrText>
          </w:r>
          <w:r>
            <w:fldChar w:fldCharType="separate"/>
          </w:r>
          <w:r w:rsidRPr="0070124C">
            <w:rPr>
              <w:noProof/>
            </w:rPr>
            <w:t>(Department for Education, 2022)</w:t>
          </w:r>
          <w:r>
            <w:fldChar w:fldCharType="end"/>
          </w:r>
        </w:sdtContent>
      </w:sdt>
      <w:r>
        <w:t xml:space="preserve">.  A breakdown of these figures by geographic location shows that 3,500 children had gang involvement with 1,750 in the Northwest of England, 1090 in </w:t>
      </w:r>
      <w:r>
        <w:lastRenderedPageBreak/>
        <w:t xml:space="preserve">Yorkshire and Humber, 1,510 in the Southeast of England, 1,550 in the West Midlands and 1,170 in East England </w:t>
      </w:r>
      <w:sdt>
        <w:sdtPr>
          <w:id w:val="-1371986519"/>
          <w:citation/>
        </w:sdtPr>
        <w:sdtContent>
          <w:r>
            <w:fldChar w:fldCharType="begin"/>
          </w:r>
          <w:r>
            <w:instrText xml:space="preserve"> CITATION Dep22 \l 2057 </w:instrText>
          </w:r>
          <w:r>
            <w:fldChar w:fldCharType="separate"/>
          </w:r>
          <w:r w:rsidRPr="00873D60">
            <w:rPr>
              <w:noProof/>
            </w:rPr>
            <w:t>(Department for Education, 2022)</w:t>
          </w:r>
          <w:r>
            <w:fldChar w:fldCharType="end"/>
          </w:r>
        </w:sdtContent>
      </w:sdt>
      <w:r>
        <w:t>. When you take into consideration the diversity of London and the multicultural population in a metropolitan area it’s expected that the figures would be higher.</w:t>
      </w:r>
    </w:p>
    <w:p w14:paraId="5C7CAF47" w14:textId="77777777" w:rsidR="00D442D9" w:rsidRDefault="00D442D9" w:rsidP="00D442D9">
      <w:pPr>
        <w:spacing w:line="360" w:lineRule="auto"/>
        <w:jc w:val="both"/>
      </w:pPr>
      <w:r>
        <w:tab/>
        <w:t xml:space="preserve">When dealing with youth offenders there are a number of different options available to police officers in regards to disposal, these include no further action, community resolution order, youth caution, conditional youth caution or charge </w:t>
      </w:r>
      <w:sdt>
        <w:sdtPr>
          <w:id w:val="-1635315551"/>
          <w:citation/>
        </w:sdtPr>
        <w:sdtContent>
          <w:r>
            <w:fldChar w:fldCharType="begin"/>
          </w:r>
          <w:r>
            <w:instrText xml:space="preserve"> CITATION You13 \l 2057 </w:instrText>
          </w:r>
          <w:r>
            <w:fldChar w:fldCharType="separate"/>
          </w:r>
          <w:r w:rsidRPr="00473AD2">
            <w:rPr>
              <w:noProof/>
            </w:rPr>
            <w:t>(Youth Justice Board , 2013)</w:t>
          </w:r>
          <w:r>
            <w:fldChar w:fldCharType="end"/>
          </w:r>
        </w:sdtContent>
      </w:sdt>
      <w:r>
        <w:t xml:space="preserve">.  In regards to each of the disposals Restorative Justice can be an element of them however is not a disposal in itself  </w:t>
      </w:r>
      <w:sdt>
        <w:sdtPr>
          <w:id w:val="76025122"/>
          <w:citation/>
        </w:sdtPr>
        <w:sdtContent>
          <w:r>
            <w:fldChar w:fldCharType="begin"/>
          </w:r>
          <w:r>
            <w:instrText xml:space="preserve"> CITATION You13 \l 2057 </w:instrText>
          </w:r>
          <w:r>
            <w:fldChar w:fldCharType="separate"/>
          </w:r>
          <w:r w:rsidRPr="005075F8">
            <w:rPr>
              <w:noProof/>
            </w:rPr>
            <w:t>(Youth Justice Board , 2013)</w:t>
          </w:r>
          <w:r>
            <w:fldChar w:fldCharType="end"/>
          </w:r>
        </w:sdtContent>
      </w:sdt>
      <w:r>
        <w:t xml:space="preserve">. Depending on the severity of the offence committed a youth caution or a conditional youth caution can be authorised, with the exception of indictable only offences, Police and YOT’s can make the decision to authorise either a youth caution or a conditional youth caution, however care must be taken in order to avoid inappropriate repeat cautioning whilst at the same time safeguarding members of the public. </w:t>
      </w:r>
      <w:sdt>
        <w:sdtPr>
          <w:id w:val="372498468"/>
          <w:citation/>
        </w:sdtPr>
        <w:sdtContent>
          <w:r>
            <w:fldChar w:fldCharType="begin"/>
          </w:r>
          <w:r>
            <w:instrText xml:space="preserve"> CITATION You13 \l 2057 </w:instrText>
          </w:r>
          <w:r>
            <w:fldChar w:fldCharType="separate"/>
          </w:r>
          <w:r w:rsidRPr="00CE52C9">
            <w:rPr>
              <w:noProof/>
            </w:rPr>
            <w:t>(Youth Justice Board , 2013)</w:t>
          </w:r>
          <w:r>
            <w:fldChar w:fldCharType="end"/>
          </w:r>
        </w:sdtContent>
      </w:sdt>
      <w:r>
        <w:t xml:space="preserve">. According to the guidelines set out by the </w:t>
      </w:r>
      <w:sdt>
        <w:sdtPr>
          <w:id w:val="-1440675284"/>
          <w:citation/>
        </w:sdtPr>
        <w:sdtContent>
          <w:r>
            <w:fldChar w:fldCharType="begin"/>
          </w:r>
          <w:r>
            <w:instrText xml:space="preserve"> CITATION You13 \l 2057 </w:instrText>
          </w:r>
          <w:r>
            <w:fldChar w:fldCharType="separate"/>
          </w:r>
          <w:r w:rsidRPr="00EA6526">
            <w:rPr>
              <w:noProof/>
            </w:rPr>
            <w:t>(Youth Justice Board , 2013)</w:t>
          </w:r>
          <w:r>
            <w:fldChar w:fldCharType="end"/>
          </w:r>
        </w:sdtContent>
      </w:sdt>
      <w:r>
        <w:t xml:space="preserve"> when the youth admits the offence, with a realistic prospect of conviction, however the publics best interest is for the youth to comply with suitable conditions rather than prosecution. The YOT can advise and implement conditions that can be of a reparative, </w:t>
      </w:r>
      <w:r w:rsidRPr="00747E62">
        <w:t>rehabilitative,</w:t>
      </w:r>
      <w:r>
        <w:t xml:space="preserve"> or punitive nature. If the youth fails to comply with the conditions, they will face prosecution for the offence </w:t>
      </w:r>
      <w:sdt>
        <w:sdtPr>
          <w:id w:val="177003460"/>
          <w:citation/>
        </w:sdtPr>
        <w:sdtContent>
          <w:r>
            <w:fldChar w:fldCharType="begin"/>
          </w:r>
          <w:r>
            <w:instrText xml:space="preserve"> CITATION You13 \l 2057 </w:instrText>
          </w:r>
          <w:r>
            <w:fldChar w:fldCharType="separate"/>
          </w:r>
          <w:r w:rsidRPr="00112DAA">
            <w:rPr>
              <w:noProof/>
            </w:rPr>
            <w:t>(Youth Justice Board , 2013)</w:t>
          </w:r>
          <w:r>
            <w:fldChar w:fldCharType="end"/>
          </w:r>
        </w:sdtContent>
      </w:sdt>
      <w:r>
        <w:t>. This approach would suggest that the focus is that of re-education, rehabilitation rather than criminalisation of young people.</w:t>
      </w:r>
    </w:p>
    <w:p w14:paraId="365D2C48" w14:textId="77777777" w:rsidR="00D442D9" w:rsidRDefault="00D442D9" w:rsidP="00D442D9">
      <w:pPr>
        <w:spacing w:line="360" w:lineRule="auto"/>
        <w:jc w:val="both"/>
      </w:pPr>
      <w:r>
        <w:tab/>
        <w:t xml:space="preserve">In 2011 the UK Government published the Ending Gang and Youth Violence: A Cross-Government Report, as a reaction to the 2011 riots </w:t>
      </w:r>
      <w:sdt>
        <w:sdtPr>
          <w:id w:val="-330289111"/>
          <w:citation/>
        </w:sdtPr>
        <w:sdtContent>
          <w:r>
            <w:fldChar w:fldCharType="begin"/>
          </w:r>
          <w:r>
            <w:instrText xml:space="preserve"> CITATION HMG11 \l 2057 </w:instrText>
          </w:r>
          <w:r>
            <w:fldChar w:fldCharType="separate"/>
          </w:r>
          <w:r w:rsidRPr="00A87A30">
            <w:rPr>
              <w:noProof/>
            </w:rPr>
            <w:t>(HM Government , 2011)</w:t>
          </w:r>
          <w:r>
            <w:fldChar w:fldCharType="end"/>
          </w:r>
        </w:sdtContent>
      </w:sdt>
      <w:r>
        <w:t xml:space="preserve">.  The report acknowledged the growing issues in regards to youth violence and gang culture, however, it is quick to point out that the vast majority of young people are involved or wish to be involved in violent crimes, and that the small minority of those committing the crimes have an excessively large impact on the communities </w:t>
      </w:r>
      <w:sdt>
        <w:sdtPr>
          <w:id w:val="206300956"/>
          <w:citation/>
        </w:sdtPr>
        <w:sdtContent>
          <w:r>
            <w:fldChar w:fldCharType="begin"/>
          </w:r>
          <w:r>
            <w:instrText xml:space="preserve"> CITATION HMG11 \l 2057 </w:instrText>
          </w:r>
          <w:r>
            <w:fldChar w:fldCharType="separate"/>
          </w:r>
          <w:r w:rsidRPr="003F4703">
            <w:rPr>
              <w:noProof/>
            </w:rPr>
            <w:t>(HM Government , 2011)</w:t>
          </w:r>
          <w:r>
            <w:fldChar w:fldCharType="end"/>
          </w:r>
        </w:sdtContent>
      </w:sdt>
      <w:r>
        <w:t xml:space="preserve">.  With focus on prevention and diversion the UK Government planned on improving the response from services </w:t>
      </w:r>
      <w:sdt>
        <w:sdtPr>
          <w:id w:val="-1374145266"/>
          <w:citation/>
        </w:sdtPr>
        <w:sdtContent>
          <w:r>
            <w:fldChar w:fldCharType="begin"/>
          </w:r>
          <w:r>
            <w:instrText xml:space="preserve"> CITATION Cot13 \l 2057 </w:instrText>
          </w:r>
          <w:r>
            <w:fldChar w:fldCharType="separate"/>
          </w:r>
          <w:r w:rsidRPr="00D05EB9">
            <w:rPr>
              <w:noProof/>
            </w:rPr>
            <w:t>(Cottrell-Boyce, 2013)</w:t>
          </w:r>
          <w:r>
            <w:fldChar w:fldCharType="end"/>
          </w:r>
        </w:sdtContent>
      </w:sdt>
      <w:r>
        <w:t xml:space="preserve">. The report set out key actions such as increasing options for excluded pupils to receive education to reduce the risk of them getting involved in gangs or other criminal activities. Other actions include providing £10 Million in </w:t>
      </w:r>
      <w:proofErr w:type="gramStart"/>
      <w:r>
        <w:t>Home</w:t>
      </w:r>
      <w:proofErr w:type="gramEnd"/>
      <w:r>
        <w:t xml:space="preserve"> Office funding to improve the response of mainstream services in 30 local areas. </w:t>
      </w:r>
      <w:sdt>
        <w:sdtPr>
          <w:id w:val="-1780488661"/>
          <w:citation/>
        </w:sdtPr>
        <w:sdtContent>
          <w:r>
            <w:fldChar w:fldCharType="begin"/>
          </w:r>
          <w:r>
            <w:instrText xml:space="preserve"> CITATION HMG11 \l 2057 </w:instrText>
          </w:r>
          <w:r>
            <w:fldChar w:fldCharType="separate"/>
          </w:r>
          <w:r w:rsidRPr="00240867">
            <w:rPr>
              <w:noProof/>
            </w:rPr>
            <w:t>(HM Government , 2011)</w:t>
          </w:r>
          <w:r>
            <w:fldChar w:fldCharType="end"/>
          </w:r>
        </w:sdtContent>
      </w:sdt>
      <w:r>
        <w:t xml:space="preserve">. In order to create a joined up approach and establish a cohesive working partnership, guidelines were published on data sharing agreements between partner agencies, multi agencies safeguarding hubs were created. The introduction of sharing of anonymised data from A&amp;E departments in regards to gang related assaults and knife crime incidents to assist the police in crime </w:t>
      </w:r>
      <w:r>
        <w:lastRenderedPageBreak/>
        <w:t xml:space="preserve">mapping </w:t>
      </w:r>
      <w:sdt>
        <w:sdtPr>
          <w:id w:val="1370039162"/>
          <w:citation/>
        </w:sdtPr>
        <w:sdtContent>
          <w:r>
            <w:fldChar w:fldCharType="begin"/>
          </w:r>
          <w:r>
            <w:instrText xml:space="preserve"> CITATION HMG11 \l 2057 </w:instrText>
          </w:r>
          <w:r>
            <w:fldChar w:fldCharType="separate"/>
          </w:r>
          <w:r w:rsidRPr="0026600F">
            <w:rPr>
              <w:noProof/>
            </w:rPr>
            <w:t>(HM Government , 2011)</w:t>
          </w:r>
          <w:r>
            <w:fldChar w:fldCharType="end"/>
          </w:r>
        </w:sdtContent>
      </w:sdt>
      <w:r>
        <w:t xml:space="preserve">. Some of these measures were not new, they were existing measures that the UK Government used under the gang agenda umbrella  </w:t>
      </w:r>
      <w:sdt>
        <w:sdtPr>
          <w:id w:val="1833022930"/>
          <w:citation/>
        </w:sdtPr>
        <w:sdtContent>
          <w:r>
            <w:fldChar w:fldCharType="begin"/>
          </w:r>
          <w:r>
            <w:instrText xml:space="preserve"> CITATION Cot13 \l 2057 </w:instrText>
          </w:r>
          <w:r>
            <w:fldChar w:fldCharType="separate"/>
          </w:r>
          <w:r w:rsidRPr="00327980">
            <w:rPr>
              <w:noProof/>
            </w:rPr>
            <w:t>(Cottrell-Boyce, 2013)</w:t>
          </w:r>
          <w:r>
            <w:fldChar w:fldCharType="end"/>
          </w:r>
        </w:sdtContent>
      </w:sdt>
      <w:r>
        <w:t xml:space="preserve">. </w:t>
      </w:r>
    </w:p>
    <w:p w14:paraId="2F7898CE" w14:textId="77777777" w:rsidR="00D442D9" w:rsidRDefault="00D442D9" w:rsidP="00D442D9">
      <w:pPr>
        <w:spacing w:line="360" w:lineRule="auto"/>
        <w:jc w:val="both"/>
      </w:pPr>
      <w:r>
        <w:tab/>
        <w:t xml:space="preserve">In conclusion, the introduction of YOT’s has helped reduce the number of crimes committed by youths aged 10-17 years old with a reduction of 81% since 2011. With the focus of these teams to educate and rehabilitate rather than criminalise young people. The UK Governments focus on ending gang and youth violence echoed this with the focus on prevention and a partnership approach to help young people most at risk. </w:t>
      </w:r>
    </w:p>
    <w:p w14:paraId="68A7CD6C" w14:textId="6425984D" w:rsidR="00D442D9" w:rsidRDefault="00D442D9" w:rsidP="00D442D9">
      <w:r>
        <w:tab/>
        <w:t xml:space="preserve"> 1071</w:t>
      </w:r>
    </w:p>
    <w:p w14:paraId="1150C09B" w14:textId="61F9ACBC" w:rsidR="00D442D9" w:rsidRDefault="00D442D9" w:rsidP="00D442D9"/>
    <w:p w14:paraId="42648B81" w14:textId="237F16AB" w:rsidR="00D442D9" w:rsidRDefault="00D442D9" w:rsidP="00D442D9"/>
    <w:p w14:paraId="5D95592A" w14:textId="458A7F31" w:rsidR="00D442D9" w:rsidRDefault="00D442D9" w:rsidP="00D442D9"/>
    <w:p w14:paraId="6D3E59F5" w14:textId="0C0E0012" w:rsidR="00D442D9" w:rsidRDefault="00D442D9" w:rsidP="00D442D9"/>
    <w:p w14:paraId="102573F4" w14:textId="07DE2113" w:rsidR="00D442D9" w:rsidRDefault="00D442D9" w:rsidP="00D442D9"/>
    <w:p w14:paraId="6FA789AD" w14:textId="09599F66" w:rsidR="00D442D9" w:rsidRDefault="00D442D9" w:rsidP="00D442D9"/>
    <w:p w14:paraId="4E44AEBF" w14:textId="3BF0B30C" w:rsidR="00D442D9" w:rsidRDefault="00D442D9" w:rsidP="00D442D9"/>
    <w:p w14:paraId="1C11AF26" w14:textId="6D790BD6" w:rsidR="00D442D9" w:rsidRDefault="00D442D9" w:rsidP="00D442D9"/>
    <w:p w14:paraId="57C7F213" w14:textId="2C9E9AF2" w:rsidR="00D442D9" w:rsidRDefault="00D442D9" w:rsidP="00D442D9"/>
    <w:p w14:paraId="0E5628BE" w14:textId="77777777" w:rsidR="00D442D9" w:rsidRDefault="00D442D9" w:rsidP="00D442D9"/>
    <w:p w14:paraId="4E25DD81" w14:textId="77777777" w:rsidR="00D442D9" w:rsidRDefault="00D442D9" w:rsidP="00D442D9"/>
    <w:p w14:paraId="6ECF6EBA" w14:textId="77777777" w:rsidR="00D442D9" w:rsidRDefault="00D442D9" w:rsidP="00D442D9"/>
    <w:p w14:paraId="3C8234AE" w14:textId="77777777" w:rsidR="00D442D9" w:rsidRDefault="00D442D9" w:rsidP="00D442D9"/>
    <w:p w14:paraId="2ED747B2" w14:textId="77777777" w:rsidR="00D442D9" w:rsidRDefault="00D442D9" w:rsidP="00D442D9"/>
    <w:p w14:paraId="056CF811" w14:textId="77777777" w:rsidR="00D442D9" w:rsidRDefault="00D442D9" w:rsidP="00D442D9"/>
    <w:p w14:paraId="6F3DA405" w14:textId="77777777" w:rsidR="00D442D9" w:rsidRDefault="00D442D9" w:rsidP="00D442D9"/>
    <w:p w14:paraId="2E22FFB5" w14:textId="77777777" w:rsidR="00D442D9" w:rsidRDefault="00D442D9" w:rsidP="00D442D9"/>
    <w:p w14:paraId="355707AE" w14:textId="77777777" w:rsidR="00D442D9" w:rsidRDefault="00D442D9" w:rsidP="00D442D9"/>
    <w:p w14:paraId="1936C407" w14:textId="77777777" w:rsidR="00D442D9" w:rsidRDefault="00D442D9" w:rsidP="00D442D9"/>
    <w:p w14:paraId="72203FE3" w14:textId="77777777" w:rsidR="00D442D9" w:rsidRDefault="00D442D9" w:rsidP="00D442D9"/>
    <w:p w14:paraId="60EF398F" w14:textId="77777777" w:rsidR="00D442D9" w:rsidRDefault="00D442D9" w:rsidP="00D442D9"/>
    <w:p w14:paraId="4ECF2F02" w14:textId="77777777" w:rsidR="00D442D9" w:rsidRDefault="00D442D9" w:rsidP="00D442D9"/>
    <w:p w14:paraId="4BDD8AF9" w14:textId="77777777" w:rsidR="00D442D9" w:rsidRDefault="00D442D9" w:rsidP="00D442D9"/>
    <w:p w14:paraId="5BAAF9CC" w14:textId="7D4B4686" w:rsidR="00D442D9" w:rsidRDefault="00D442D9" w:rsidP="00D442D9">
      <w:r>
        <w:lastRenderedPageBreak/>
        <w:t>Bibliography:</w:t>
      </w:r>
    </w:p>
    <w:p w14:paraId="692D3671" w14:textId="77777777" w:rsidR="00D442D9" w:rsidRDefault="00D442D9" w:rsidP="00D442D9"/>
    <w:p w14:paraId="738103BB" w14:textId="77777777" w:rsidR="00D442D9" w:rsidRDefault="00D442D9" w:rsidP="00D442D9">
      <w:pPr>
        <w:pStyle w:val="Bibliography"/>
        <w:ind w:left="720" w:hanging="720"/>
        <w:rPr>
          <w:noProof/>
          <w:sz w:val="24"/>
          <w:szCs w:val="24"/>
        </w:rPr>
      </w:pPr>
      <w:r>
        <w:fldChar w:fldCharType="begin"/>
      </w:r>
      <w:r>
        <w:instrText xml:space="preserve"> BIBLIOGRAPHY  \l 2057 </w:instrText>
      </w:r>
      <w:r>
        <w:fldChar w:fldCharType="separate"/>
      </w:r>
      <w:r>
        <w:rPr>
          <w:noProof/>
        </w:rPr>
        <w:t xml:space="preserve">Blom-Cooper, L. &amp;. (1982). POLICE PERCEPTION OF CRIME: BRIXTON AND THE OPERATIONAL RESPONSE. </w:t>
      </w:r>
      <w:r>
        <w:rPr>
          <w:i/>
          <w:iCs/>
          <w:noProof/>
        </w:rPr>
        <w:t>The British Journal of Criminology Vol. 22, No. 2 (April 1982),</w:t>
      </w:r>
      <w:r>
        <w:rPr>
          <w:noProof/>
        </w:rPr>
        <w:t>, 184-187.</w:t>
      </w:r>
    </w:p>
    <w:p w14:paraId="37790FB9" w14:textId="77777777" w:rsidR="00D442D9" w:rsidRDefault="00D442D9" w:rsidP="00D442D9">
      <w:pPr>
        <w:pStyle w:val="Bibliography"/>
        <w:ind w:left="720" w:hanging="720"/>
        <w:rPr>
          <w:noProof/>
        </w:rPr>
      </w:pPr>
      <w:r>
        <w:rPr>
          <w:noProof/>
        </w:rPr>
        <w:t xml:space="preserve">College of Policing . (2020). </w:t>
      </w:r>
      <w:r>
        <w:rPr>
          <w:i/>
          <w:iCs/>
          <w:noProof/>
        </w:rPr>
        <w:t>MANAGING SEXUAL OFFENDERS AND VIOLENT OFFENDERS</w:t>
      </w:r>
      <w:r>
        <w:rPr>
          <w:noProof/>
        </w:rPr>
        <w:t>. Retrieved 10 26, 2022, from https://www.college.police.uk/app/major-investigation-and-public-protection/managing-sexual-offenders-and-violent-offenders/introduction-managing-sexual-offenders-and-violent-offenders#mosovo-officers</w:t>
      </w:r>
    </w:p>
    <w:p w14:paraId="3A5D1089" w14:textId="77777777" w:rsidR="00D442D9" w:rsidRDefault="00D442D9" w:rsidP="00D442D9">
      <w:pPr>
        <w:pStyle w:val="Bibliography"/>
        <w:ind w:left="720" w:hanging="720"/>
        <w:rPr>
          <w:noProof/>
        </w:rPr>
      </w:pPr>
      <w:r>
        <w:rPr>
          <w:noProof/>
        </w:rPr>
        <w:t xml:space="preserve">College of Policing . (2022). </w:t>
      </w:r>
      <w:r>
        <w:rPr>
          <w:i/>
          <w:iCs/>
          <w:noProof/>
        </w:rPr>
        <w:t>Children and young persons</w:t>
      </w:r>
      <w:r>
        <w:rPr>
          <w:noProof/>
        </w:rPr>
        <w:t>. Retrieved Nov 3, 2022, from https://www.college.police.uk/app/detention-and-custody/detainee-care/children-and-young-persons#youth-offending-teams</w:t>
      </w:r>
    </w:p>
    <w:p w14:paraId="1F5039EE" w14:textId="77777777" w:rsidR="00D442D9" w:rsidRDefault="00D442D9" w:rsidP="00D442D9">
      <w:pPr>
        <w:pStyle w:val="Bibliography"/>
        <w:ind w:left="720" w:hanging="720"/>
        <w:rPr>
          <w:noProof/>
        </w:rPr>
      </w:pPr>
      <w:r>
        <w:rPr>
          <w:noProof/>
        </w:rPr>
        <w:t xml:space="preserve">College of Policing. (2014, 01 21). </w:t>
      </w:r>
      <w:r>
        <w:rPr>
          <w:i/>
          <w:iCs/>
          <w:noProof/>
        </w:rPr>
        <w:t>Risk and associated investigations</w:t>
      </w:r>
      <w:r>
        <w:rPr>
          <w:noProof/>
        </w:rPr>
        <w:t>. Retrieved from College.police.uk: https://www.college.police.uk/app/major-investigation-and-public-protection/investigating-child-abuse-and-safeguarding-children/police-response-investigating-child-abuse/risk-and-associated-investigations#non-prosecution-of-child-victims</w:t>
      </w:r>
    </w:p>
    <w:p w14:paraId="63CB10FD" w14:textId="77777777" w:rsidR="00D442D9" w:rsidRDefault="00D442D9" w:rsidP="00D442D9">
      <w:pPr>
        <w:pStyle w:val="Bibliography"/>
        <w:ind w:left="720" w:hanging="720"/>
        <w:rPr>
          <w:noProof/>
        </w:rPr>
      </w:pPr>
      <w:r>
        <w:rPr>
          <w:noProof/>
        </w:rPr>
        <w:t xml:space="preserve">College of policing,. (2021, July 29). </w:t>
      </w:r>
      <w:r>
        <w:rPr>
          <w:i/>
          <w:iCs/>
          <w:noProof/>
        </w:rPr>
        <w:t>Macpherson report: 22 years on</w:t>
      </w:r>
      <w:r>
        <w:rPr>
          <w:noProof/>
        </w:rPr>
        <w:t>. Retrieved from College.police.uk: https://www.college.police.uk/article/macpherson-report-22-years-on</w:t>
      </w:r>
    </w:p>
    <w:p w14:paraId="0057963A" w14:textId="77777777" w:rsidR="00D442D9" w:rsidRDefault="00D442D9" w:rsidP="00D442D9">
      <w:pPr>
        <w:pStyle w:val="Bibliography"/>
        <w:ind w:left="720" w:hanging="720"/>
        <w:rPr>
          <w:noProof/>
        </w:rPr>
      </w:pPr>
      <w:r>
        <w:rPr>
          <w:noProof/>
        </w:rPr>
        <w:t xml:space="preserve">Cottrell-Boyce, J. (2013). Ending Gang and Youth Violence: A Critique. </w:t>
      </w:r>
      <w:r>
        <w:rPr>
          <w:i/>
          <w:iCs/>
          <w:noProof/>
        </w:rPr>
        <w:t>Youth Justice , 13</w:t>
      </w:r>
      <w:r>
        <w:rPr>
          <w:noProof/>
        </w:rPr>
        <w:t>(3), 193–206.</w:t>
      </w:r>
    </w:p>
    <w:p w14:paraId="3B2ADA28" w14:textId="77777777" w:rsidR="00D442D9" w:rsidRDefault="00D442D9" w:rsidP="00D442D9">
      <w:pPr>
        <w:pStyle w:val="Bibliography"/>
        <w:ind w:left="720" w:hanging="720"/>
        <w:rPr>
          <w:noProof/>
        </w:rPr>
      </w:pPr>
      <w:r>
        <w:rPr>
          <w:noProof/>
        </w:rPr>
        <w:t xml:space="preserve">Crown Prosecution Service. (2022). </w:t>
      </w:r>
      <w:r>
        <w:rPr>
          <w:i/>
          <w:iCs/>
          <w:noProof/>
        </w:rPr>
        <w:t>Organised crime strategy</w:t>
      </w:r>
      <w:r>
        <w:rPr>
          <w:noProof/>
        </w:rPr>
        <w:t>. Retrieved from CPS.gov.uk: https://www.cps.gov.uk/organised-crime-strategy#:~:text=Organised%20Crime%20is%20defined%20as,but%20not%20always%2C%20financial%20gain.</w:t>
      </w:r>
    </w:p>
    <w:p w14:paraId="75FFF504" w14:textId="77777777" w:rsidR="00D442D9" w:rsidRDefault="00D442D9" w:rsidP="00D442D9">
      <w:pPr>
        <w:pStyle w:val="Bibliography"/>
        <w:ind w:left="720" w:hanging="720"/>
        <w:rPr>
          <w:noProof/>
        </w:rPr>
      </w:pPr>
      <w:r>
        <w:rPr>
          <w:noProof/>
        </w:rPr>
        <w:t xml:space="preserve">Department for Education. (2022). </w:t>
      </w:r>
      <w:r>
        <w:rPr>
          <w:i/>
          <w:iCs/>
          <w:noProof/>
        </w:rPr>
        <w:t>Characteristics of children in need.</w:t>
      </w:r>
      <w:r>
        <w:rPr>
          <w:noProof/>
        </w:rPr>
        <w:t xml:space="preserve"> Department for Education.</w:t>
      </w:r>
    </w:p>
    <w:p w14:paraId="7767836D" w14:textId="77777777" w:rsidR="00D442D9" w:rsidRDefault="00D442D9" w:rsidP="00D442D9">
      <w:pPr>
        <w:pStyle w:val="Bibliography"/>
        <w:ind w:left="720" w:hanging="720"/>
        <w:rPr>
          <w:noProof/>
        </w:rPr>
      </w:pPr>
      <w:r>
        <w:rPr>
          <w:noProof/>
        </w:rPr>
        <w:t xml:space="preserve">Edwards, D. (2003). </w:t>
      </w:r>
      <w:r>
        <w:rPr>
          <w:i/>
          <w:iCs/>
          <w:noProof/>
        </w:rPr>
        <w:t>ViSOR - Violent and Sex Offender Register</w:t>
      </w:r>
      <w:r>
        <w:rPr>
          <w:noProof/>
        </w:rPr>
        <w:t>. Retrieved Oct 26, 2022, from https://www.crimeandjustice.org.uk/publications/cjm/article/visor-violent-and-sex-offender-register</w:t>
      </w:r>
    </w:p>
    <w:p w14:paraId="5929D8DE" w14:textId="77777777" w:rsidR="00D442D9" w:rsidRDefault="00D442D9" w:rsidP="00D442D9">
      <w:pPr>
        <w:pStyle w:val="Bibliography"/>
        <w:ind w:left="720" w:hanging="720"/>
        <w:rPr>
          <w:noProof/>
        </w:rPr>
      </w:pPr>
      <w:r>
        <w:rPr>
          <w:noProof/>
        </w:rPr>
        <w:t xml:space="preserve">Essex Police. (2022). </w:t>
      </w:r>
      <w:r>
        <w:rPr>
          <w:i/>
          <w:iCs/>
          <w:noProof/>
        </w:rPr>
        <w:t>MOSOVO DC</w:t>
      </w:r>
      <w:r>
        <w:rPr>
          <w:noProof/>
        </w:rPr>
        <w:t>. Retrieved 10 26, 2022, from https://www.essex.police.uk/police-forces/essex-police/areas/essex-police/ca/job-descriptions/job-descriptions/mosovo-dc/</w:t>
      </w:r>
    </w:p>
    <w:p w14:paraId="3571A89F" w14:textId="77777777" w:rsidR="00D442D9" w:rsidRDefault="00D442D9" w:rsidP="00D442D9">
      <w:pPr>
        <w:pStyle w:val="Bibliography"/>
        <w:ind w:left="720" w:hanging="720"/>
        <w:rPr>
          <w:noProof/>
        </w:rPr>
      </w:pPr>
      <w:r>
        <w:rPr>
          <w:noProof/>
        </w:rPr>
        <w:t xml:space="preserve">Gwent Police and Crime Commission. (2021, September ). </w:t>
      </w:r>
      <w:r>
        <w:rPr>
          <w:i/>
          <w:iCs/>
          <w:noProof/>
        </w:rPr>
        <w:t>Gwent Police &amp; Crime Plan 2021 ‒ 2025</w:t>
      </w:r>
      <w:r>
        <w:rPr>
          <w:noProof/>
        </w:rPr>
        <w:t>. Retrieved from Gwent.pcc.police.uk: https://www.gwent.pcc.police.uk/en/transparency/publications/police-and-crime-plan/police-and-crime-plan-2021-2025/#d</w:t>
      </w:r>
    </w:p>
    <w:p w14:paraId="645EABC9" w14:textId="77777777" w:rsidR="00D442D9" w:rsidRDefault="00D442D9" w:rsidP="00D442D9">
      <w:pPr>
        <w:pStyle w:val="Bibliography"/>
        <w:ind w:left="720" w:hanging="720"/>
        <w:rPr>
          <w:noProof/>
        </w:rPr>
      </w:pPr>
      <w:r>
        <w:rPr>
          <w:noProof/>
        </w:rPr>
        <w:t xml:space="preserve">Hiller, A. (1982). Proposals on Police-Community Relations and Other Matters - The Scarman Report on the Brixton Disorders and the Home Office Report on Racial Attacks. </w:t>
      </w:r>
      <w:r>
        <w:rPr>
          <w:i/>
          <w:iCs/>
          <w:noProof/>
        </w:rPr>
        <w:t>The University of Queensland Law Journal Vol 12</w:t>
      </w:r>
      <w:r>
        <w:rPr>
          <w:noProof/>
        </w:rPr>
        <w:t>, 23.</w:t>
      </w:r>
    </w:p>
    <w:p w14:paraId="1EF11790" w14:textId="77777777" w:rsidR="00D442D9" w:rsidRDefault="00D442D9" w:rsidP="00D442D9">
      <w:pPr>
        <w:pStyle w:val="Bibliography"/>
        <w:ind w:left="720" w:hanging="720"/>
        <w:rPr>
          <w:noProof/>
        </w:rPr>
      </w:pPr>
      <w:r>
        <w:rPr>
          <w:noProof/>
        </w:rPr>
        <w:t xml:space="preserve">HM Government . (2011). </w:t>
      </w:r>
      <w:r>
        <w:rPr>
          <w:i/>
          <w:iCs/>
          <w:noProof/>
        </w:rPr>
        <w:t>Ending Gang and Youth Violence: A Cross-Government Report.</w:t>
      </w:r>
      <w:r>
        <w:rPr>
          <w:noProof/>
        </w:rPr>
        <w:t xml:space="preserve"> London : Home Office.</w:t>
      </w:r>
    </w:p>
    <w:p w14:paraId="2221A51D" w14:textId="77777777" w:rsidR="00D442D9" w:rsidRDefault="00D442D9" w:rsidP="00D442D9">
      <w:pPr>
        <w:pStyle w:val="Bibliography"/>
        <w:ind w:left="720" w:hanging="720"/>
        <w:rPr>
          <w:noProof/>
        </w:rPr>
      </w:pPr>
      <w:r>
        <w:rPr>
          <w:noProof/>
        </w:rPr>
        <w:t xml:space="preserve">HM Prison &amp; Probation service. (2022). </w:t>
      </w:r>
      <w:r>
        <w:rPr>
          <w:i/>
          <w:iCs/>
          <w:noProof/>
        </w:rPr>
        <w:t>MAPPA Guidance.</w:t>
      </w:r>
      <w:r>
        <w:rPr>
          <w:noProof/>
        </w:rPr>
        <w:t xml:space="preserve"> HM Prison &amp; Probation Service.</w:t>
      </w:r>
    </w:p>
    <w:p w14:paraId="7FC80D0B" w14:textId="77777777" w:rsidR="00D442D9" w:rsidRDefault="00D442D9" w:rsidP="00D442D9">
      <w:pPr>
        <w:pStyle w:val="Bibliography"/>
        <w:ind w:left="720" w:hanging="720"/>
        <w:rPr>
          <w:noProof/>
        </w:rPr>
      </w:pPr>
      <w:r>
        <w:rPr>
          <w:noProof/>
        </w:rPr>
        <w:lastRenderedPageBreak/>
        <w:t xml:space="preserve">HMI Probation, H. c. (2011). </w:t>
      </w:r>
      <w:r>
        <w:rPr>
          <w:i/>
          <w:iCs/>
          <w:noProof/>
        </w:rPr>
        <w:t>Thematic Inspection Report: Putting the pieces together. An inspection of Multi-Agency Public.</w:t>
      </w:r>
      <w:r>
        <w:rPr>
          <w:noProof/>
        </w:rPr>
        <w:t xml:space="preserve"> Criminal Justice.</w:t>
      </w:r>
    </w:p>
    <w:p w14:paraId="38A95216" w14:textId="77777777" w:rsidR="00D442D9" w:rsidRDefault="00D442D9" w:rsidP="00D442D9">
      <w:pPr>
        <w:pStyle w:val="Bibliography"/>
        <w:ind w:left="720" w:hanging="720"/>
        <w:rPr>
          <w:noProof/>
        </w:rPr>
      </w:pPr>
      <w:r>
        <w:rPr>
          <w:noProof/>
        </w:rPr>
        <w:t xml:space="preserve">Holdaway, S. (1999). Understanding the Police Investigation of the Murder of Stephen. </w:t>
      </w:r>
      <w:r>
        <w:rPr>
          <w:i/>
          <w:iCs/>
          <w:noProof/>
        </w:rPr>
        <w:t>Lawrence: A ‘Mundane Sociological Analysis.’ Sociological Research Online, 4</w:t>
      </w:r>
      <w:r>
        <w:rPr>
          <w:noProof/>
        </w:rPr>
        <w:t>, 107–114. .</w:t>
      </w:r>
    </w:p>
    <w:p w14:paraId="52BEEFD5" w14:textId="77777777" w:rsidR="00D442D9" w:rsidRDefault="00D442D9" w:rsidP="00D442D9">
      <w:pPr>
        <w:pStyle w:val="Bibliography"/>
        <w:ind w:left="720" w:hanging="720"/>
        <w:rPr>
          <w:noProof/>
        </w:rPr>
      </w:pPr>
      <w:r>
        <w:rPr>
          <w:noProof/>
        </w:rPr>
        <w:t xml:space="preserve">Home Office . (2013, March 26). </w:t>
      </w:r>
      <w:r>
        <w:rPr>
          <w:i/>
          <w:iCs/>
          <w:noProof/>
        </w:rPr>
        <w:t>Police and Criminal Evidence Act 1984 (PACE) codes of practice</w:t>
      </w:r>
      <w:r>
        <w:rPr>
          <w:noProof/>
        </w:rPr>
        <w:t>. Retrieved from Gov.uk: https://www.gov.uk/guidance/police-and-criminal-evidence-act-1984-pace-codes-of-practice</w:t>
      </w:r>
    </w:p>
    <w:p w14:paraId="0203900E" w14:textId="77777777" w:rsidR="00D442D9" w:rsidRDefault="00D442D9" w:rsidP="00D442D9">
      <w:pPr>
        <w:pStyle w:val="Bibliography"/>
        <w:ind w:left="720" w:hanging="720"/>
        <w:rPr>
          <w:noProof/>
        </w:rPr>
      </w:pPr>
      <w:r>
        <w:rPr>
          <w:noProof/>
        </w:rPr>
        <w:t xml:space="preserve">James, E. (2021). </w:t>
      </w:r>
      <w:r>
        <w:rPr>
          <w:i/>
          <w:iCs/>
          <w:noProof/>
        </w:rPr>
        <w:t>Exploited and Criminalised What can the Police, Crime, Sentencing and Courts Bill do to ensure that children who are criminally exploitedreceive the care and support they need? .</w:t>
      </w:r>
      <w:r>
        <w:rPr>
          <w:noProof/>
        </w:rPr>
        <w:t xml:space="preserve"> Barnardo's.</w:t>
      </w:r>
    </w:p>
    <w:p w14:paraId="5DBA1C1C" w14:textId="77777777" w:rsidR="00D442D9" w:rsidRDefault="00D442D9" w:rsidP="00D442D9">
      <w:pPr>
        <w:pStyle w:val="Bibliography"/>
        <w:ind w:left="720" w:hanging="720"/>
        <w:rPr>
          <w:noProof/>
        </w:rPr>
      </w:pPr>
      <w:r>
        <w:rPr>
          <w:noProof/>
        </w:rPr>
        <w:t xml:space="preserve">Joe Caluori, D. M. (2020). </w:t>
      </w:r>
      <w:r>
        <w:rPr>
          <w:i/>
          <w:iCs/>
          <w:noProof/>
        </w:rPr>
        <w:t>County Lines and Looked After Children.</w:t>
      </w:r>
      <w:r>
        <w:rPr>
          <w:noProof/>
        </w:rPr>
        <w:t xml:space="preserve"> Crest Advisory .</w:t>
      </w:r>
    </w:p>
    <w:p w14:paraId="47D552C3" w14:textId="77777777" w:rsidR="00D442D9" w:rsidRDefault="00D442D9" w:rsidP="00D442D9">
      <w:pPr>
        <w:pStyle w:val="Bibliography"/>
        <w:ind w:left="720" w:hanging="720"/>
        <w:rPr>
          <w:noProof/>
        </w:rPr>
      </w:pPr>
      <w:r>
        <w:rPr>
          <w:noProof/>
        </w:rPr>
        <w:t xml:space="preserve">Khomami, N. K. (2017). </w:t>
      </w:r>
      <w:r>
        <w:rPr>
          <w:i/>
          <w:iCs/>
          <w:noProof/>
        </w:rPr>
        <w:t>James Bulger killer back in jail after being caught with abuse images again</w:t>
      </w:r>
      <w:r>
        <w:rPr>
          <w:noProof/>
        </w:rPr>
        <w:t>. Retrieved 10 26, 2022, from https://www.theguardian.com/uk-news/2017/nov/23/james-bulger-killer-jon-venables-back-in-jail-after-being-caught-with-abuse-images-again</w:t>
      </w:r>
    </w:p>
    <w:p w14:paraId="5DD4E598" w14:textId="77777777" w:rsidR="00D442D9" w:rsidRDefault="00D442D9" w:rsidP="00D442D9">
      <w:pPr>
        <w:pStyle w:val="Bibliography"/>
        <w:ind w:left="720" w:hanging="720"/>
        <w:rPr>
          <w:noProof/>
        </w:rPr>
      </w:pPr>
      <w:r>
        <w:rPr>
          <w:noProof/>
        </w:rPr>
        <w:t xml:space="preserve">LawTeacher. (2013., November). </w:t>
      </w:r>
      <w:r>
        <w:rPr>
          <w:i/>
          <w:iCs/>
          <w:noProof/>
        </w:rPr>
        <w:t>Police and Criminal Evidence Act 1984.</w:t>
      </w:r>
      <w:r>
        <w:rPr>
          <w:noProof/>
        </w:rPr>
        <w:t xml:space="preserve"> Retrieved from Lawteacher.net: https://www.lawteacher.net/acts/police-and-criminal-evidence-act.php?vref=1</w:t>
      </w:r>
    </w:p>
    <w:p w14:paraId="4B78E17E" w14:textId="77777777" w:rsidR="00D442D9" w:rsidRDefault="00D442D9" w:rsidP="00D442D9">
      <w:pPr>
        <w:pStyle w:val="Bibliography"/>
        <w:ind w:left="720" w:hanging="720"/>
        <w:rPr>
          <w:noProof/>
        </w:rPr>
      </w:pPr>
      <w:r>
        <w:rPr>
          <w:noProof/>
        </w:rPr>
        <w:t xml:space="preserve">MAPPA. (2022). </w:t>
      </w:r>
      <w:r>
        <w:rPr>
          <w:i/>
          <w:iCs/>
          <w:noProof/>
        </w:rPr>
        <w:t>Multi-Agency Public Protection Arrangements</w:t>
      </w:r>
      <w:r>
        <w:rPr>
          <w:noProof/>
        </w:rPr>
        <w:t>. Retrieved October 26, 2022, from https://mappa.justice.gov.uk/connect.ti/MAPPA/groupHome</w:t>
      </w:r>
    </w:p>
    <w:p w14:paraId="776F807A" w14:textId="77777777" w:rsidR="00D442D9" w:rsidRDefault="00D442D9" w:rsidP="00D442D9">
      <w:pPr>
        <w:pStyle w:val="Bibliography"/>
        <w:ind w:left="720" w:hanging="720"/>
        <w:rPr>
          <w:noProof/>
        </w:rPr>
      </w:pPr>
      <w:r>
        <w:rPr>
          <w:noProof/>
        </w:rPr>
        <w:t xml:space="preserve">Ministry Of Justice. (2021). </w:t>
      </w:r>
      <w:r>
        <w:rPr>
          <w:i/>
          <w:iCs/>
          <w:noProof/>
        </w:rPr>
        <w:t>Multi-Agency Public Protection Arrangements Annual report 2020/21.</w:t>
      </w:r>
      <w:r>
        <w:rPr>
          <w:noProof/>
        </w:rPr>
        <w:t xml:space="preserve"> Ministry of Justice.</w:t>
      </w:r>
    </w:p>
    <w:p w14:paraId="0BA0C322" w14:textId="77777777" w:rsidR="00D442D9" w:rsidRDefault="00D442D9" w:rsidP="00D442D9">
      <w:pPr>
        <w:pStyle w:val="Bibliography"/>
        <w:ind w:left="720" w:hanging="720"/>
        <w:rPr>
          <w:noProof/>
        </w:rPr>
      </w:pPr>
      <w:r>
        <w:rPr>
          <w:noProof/>
        </w:rPr>
        <w:t xml:space="preserve">National Crime Agency. (2019). </w:t>
      </w:r>
      <w:r>
        <w:rPr>
          <w:i/>
          <w:iCs/>
          <w:noProof/>
        </w:rPr>
        <w:t>County Lines, Drug Supply, Vulnerability and Harm 2018 .</w:t>
      </w:r>
      <w:r>
        <w:rPr>
          <w:noProof/>
        </w:rPr>
        <w:t xml:space="preserve"> National Crime Agency .</w:t>
      </w:r>
    </w:p>
    <w:p w14:paraId="316A97BD" w14:textId="77777777" w:rsidR="00D442D9" w:rsidRDefault="00D442D9" w:rsidP="00D442D9">
      <w:pPr>
        <w:pStyle w:val="Bibliography"/>
        <w:ind w:left="720" w:hanging="720"/>
        <w:rPr>
          <w:noProof/>
        </w:rPr>
      </w:pPr>
      <w:r>
        <w:rPr>
          <w:noProof/>
        </w:rPr>
        <w:t xml:space="preserve">Parliment. (2021, July 30). </w:t>
      </w:r>
      <w:r>
        <w:rPr>
          <w:i/>
          <w:iCs/>
          <w:noProof/>
        </w:rPr>
        <w:t>The Macpherson Report: Twenty-two years on</w:t>
      </w:r>
      <w:r>
        <w:rPr>
          <w:noProof/>
        </w:rPr>
        <w:t>. Retrieved from Parliment.uk: https://publications.parliament.uk/pa/cm5802/cmselect/cmhaff/139/13903.htm#:~:text=The%20Macpherson%20report%20recommended%20that,of%20minority%20ethnic%20police%20officers.</w:t>
      </w:r>
    </w:p>
    <w:p w14:paraId="614C03D3" w14:textId="77777777" w:rsidR="00D442D9" w:rsidRDefault="00D442D9" w:rsidP="00D442D9">
      <w:pPr>
        <w:pStyle w:val="Bibliography"/>
        <w:ind w:left="720" w:hanging="720"/>
        <w:rPr>
          <w:noProof/>
        </w:rPr>
      </w:pPr>
      <w:r>
        <w:rPr>
          <w:noProof/>
        </w:rPr>
        <w:t xml:space="preserve">Public Health England. (2021, 02 12). </w:t>
      </w:r>
      <w:r>
        <w:rPr>
          <w:i/>
          <w:iCs/>
          <w:noProof/>
        </w:rPr>
        <w:t>County Lines exploitation: applying All Our Health</w:t>
      </w:r>
      <w:r>
        <w:rPr>
          <w:noProof/>
        </w:rPr>
        <w:t>. Retrieved from gov.uk: https://www.gov.uk/government/publications/county-lines-exploitation-applying-all-our-health/county-lines-exploitation-applying-all-our-health</w:t>
      </w:r>
    </w:p>
    <w:p w14:paraId="3C3BB182" w14:textId="77777777" w:rsidR="00D442D9" w:rsidRDefault="00D442D9" w:rsidP="00D442D9">
      <w:pPr>
        <w:pStyle w:val="Bibliography"/>
        <w:ind w:left="720" w:hanging="720"/>
        <w:rPr>
          <w:noProof/>
        </w:rPr>
      </w:pPr>
      <w:r>
        <w:rPr>
          <w:noProof/>
        </w:rPr>
        <w:t xml:space="preserve">The BBC,. (2004, 4 27). </w:t>
      </w:r>
      <w:r>
        <w:rPr>
          <w:i/>
          <w:iCs/>
          <w:noProof/>
        </w:rPr>
        <w:t>Q&amp;A: The Scarman Report</w:t>
      </w:r>
      <w:r>
        <w:rPr>
          <w:noProof/>
        </w:rPr>
        <w:t>. Retrieved from BBC: http://news.bbc.co.uk/1/hi/programmes/bbc_parliament/3631579.stm</w:t>
      </w:r>
    </w:p>
    <w:p w14:paraId="5915ABBB" w14:textId="77777777" w:rsidR="00D442D9" w:rsidRDefault="00D442D9" w:rsidP="00D442D9">
      <w:pPr>
        <w:pStyle w:val="Bibliography"/>
        <w:ind w:left="720" w:hanging="720"/>
        <w:rPr>
          <w:noProof/>
        </w:rPr>
      </w:pPr>
      <w:r>
        <w:rPr>
          <w:noProof/>
        </w:rPr>
        <w:t xml:space="preserve">Torfaen County Council. (2018). </w:t>
      </w:r>
      <w:r>
        <w:rPr>
          <w:i/>
          <w:iCs/>
          <w:noProof/>
        </w:rPr>
        <w:t>Youth Offending</w:t>
      </w:r>
      <w:r>
        <w:rPr>
          <w:noProof/>
        </w:rPr>
        <w:t>. Retrieved Nov 03, 2022, from https://www.torfaen.gov.uk/en/CrimeEmergencies/Youth-Offending/Youth-Offending.aspx</w:t>
      </w:r>
    </w:p>
    <w:p w14:paraId="2F6A072A" w14:textId="77777777" w:rsidR="00D442D9" w:rsidRDefault="00D442D9" w:rsidP="00D442D9">
      <w:pPr>
        <w:pStyle w:val="Bibliography"/>
        <w:ind w:left="720" w:hanging="720"/>
        <w:rPr>
          <w:noProof/>
        </w:rPr>
      </w:pPr>
      <w:r>
        <w:rPr>
          <w:noProof/>
        </w:rPr>
        <w:t xml:space="preserve">UK Government . (2021, May 12). </w:t>
      </w:r>
      <w:r>
        <w:rPr>
          <w:i/>
          <w:iCs/>
          <w:noProof/>
        </w:rPr>
        <w:t>Confidence in the local police</w:t>
      </w:r>
      <w:r>
        <w:rPr>
          <w:noProof/>
        </w:rPr>
        <w:t>. Retrieved from GOV.UK: https://www.ethnicity-facts-figures.service.gov.uk/crime-justice-and-the-law/policing/confidence-in-the-local-police/latest</w:t>
      </w:r>
    </w:p>
    <w:p w14:paraId="11A1B51F" w14:textId="77777777" w:rsidR="00D442D9" w:rsidRDefault="00D442D9" w:rsidP="00D442D9">
      <w:pPr>
        <w:pStyle w:val="Bibliography"/>
        <w:ind w:left="720" w:hanging="720"/>
        <w:rPr>
          <w:noProof/>
        </w:rPr>
      </w:pPr>
      <w:r>
        <w:rPr>
          <w:noProof/>
        </w:rPr>
        <w:lastRenderedPageBreak/>
        <w:t xml:space="preserve">White R, C. C. (2015). Social class, youth crime and youth justice. In M. J. Goldson B, </w:t>
      </w:r>
      <w:r>
        <w:rPr>
          <w:i/>
          <w:iCs/>
          <w:noProof/>
        </w:rPr>
        <w:t>Youth Crime and Justice</w:t>
      </w:r>
      <w:r>
        <w:rPr>
          <w:noProof/>
        </w:rPr>
        <w:t xml:space="preserve"> (pp. 17 - 30 ). Los Angeles: Sage.</w:t>
      </w:r>
    </w:p>
    <w:p w14:paraId="03AE1818" w14:textId="77777777" w:rsidR="00D442D9" w:rsidRDefault="00D442D9" w:rsidP="00D442D9">
      <w:pPr>
        <w:pStyle w:val="Bibliography"/>
        <w:ind w:left="720" w:hanging="720"/>
        <w:rPr>
          <w:noProof/>
        </w:rPr>
      </w:pPr>
      <w:r>
        <w:rPr>
          <w:noProof/>
        </w:rPr>
        <w:t xml:space="preserve">Williams, D. G. (1982). The Brixton Disorders. </w:t>
      </w:r>
      <w:r>
        <w:rPr>
          <w:i/>
          <w:iCs/>
          <w:noProof/>
        </w:rPr>
        <w:t>The Cambridge Law Journal</w:t>
      </w:r>
      <w:r>
        <w:rPr>
          <w:noProof/>
        </w:rPr>
        <w:t>, 1-6.</w:t>
      </w:r>
    </w:p>
    <w:p w14:paraId="48DEFC2D" w14:textId="77777777" w:rsidR="00D442D9" w:rsidRDefault="00D442D9" w:rsidP="00D442D9">
      <w:pPr>
        <w:pStyle w:val="Bibliography"/>
        <w:ind w:left="720" w:hanging="720"/>
        <w:rPr>
          <w:noProof/>
        </w:rPr>
      </w:pPr>
      <w:r>
        <w:rPr>
          <w:noProof/>
        </w:rPr>
        <w:t xml:space="preserve">Yesufu, S. (2013). Discriminatory Use of Police Stop-and-Search Powers in London, UK. </w:t>
      </w:r>
      <w:r>
        <w:rPr>
          <w:i/>
          <w:iCs/>
          <w:noProof/>
        </w:rPr>
        <w:t>International journal of police science &amp; management, 2013, Vol.15 (4),</w:t>
      </w:r>
      <w:r>
        <w:rPr>
          <w:noProof/>
        </w:rPr>
        <w:t>, p.281-293.</w:t>
      </w:r>
    </w:p>
    <w:p w14:paraId="2D7D31AD" w14:textId="77777777" w:rsidR="00D442D9" w:rsidRDefault="00D442D9" w:rsidP="00D442D9">
      <w:pPr>
        <w:pStyle w:val="Bibliography"/>
        <w:ind w:left="720" w:hanging="720"/>
        <w:rPr>
          <w:noProof/>
        </w:rPr>
      </w:pPr>
      <w:r>
        <w:rPr>
          <w:noProof/>
        </w:rPr>
        <w:t xml:space="preserve">Youth Justice Board . (2013). </w:t>
      </w:r>
      <w:r>
        <w:rPr>
          <w:i/>
          <w:iCs/>
          <w:noProof/>
        </w:rPr>
        <w:t>Youth Out-of-Court Disposals Guide for Police and Youth Offending Services.</w:t>
      </w:r>
      <w:r>
        <w:rPr>
          <w:noProof/>
        </w:rPr>
        <w:t xml:space="preserve"> Retrieved Nov 04, 2022, from https://assets.publishing.service.gov.uk/government/uploads/system/uploads/attachment_data/file/438139/out-court-disposal-guide.pdf</w:t>
      </w:r>
    </w:p>
    <w:p w14:paraId="36E77FD5" w14:textId="77777777" w:rsidR="00D442D9" w:rsidRDefault="00D442D9" w:rsidP="00D442D9">
      <w:pPr>
        <w:pStyle w:val="Bibliography"/>
        <w:ind w:left="720" w:hanging="720"/>
        <w:rPr>
          <w:noProof/>
        </w:rPr>
      </w:pPr>
      <w:r>
        <w:rPr>
          <w:noProof/>
        </w:rPr>
        <w:t xml:space="preserve">Youth Justice Board &amp; Ministry of Justice. (2022). </w:t>
      </w:r>
      <w:r>
        <w:rPr>
          <w:i/>
          <w:iCs/>
          <w:noProof/>
        </w:rPr>
        <w:t>Youth Justice Statistics .</w:t>
      </w:r>
      <w:r>
        <w:rPr>
          <w:noProof/>
        </w:rPr>
        <w:t xml:space="preserve"> Youth Justice Board / Ministry of Justice.</w:t>
      </w:r>
    </w:p>
    <w:p w14:paraId="6A1FDAE1" w14:textId="77777777" w:rsidR="00D442D9" w:rsidRDefault="00D442D9" w:rsidP="00D442D9">
      <w:pPr>
        <w:pStyle w:val="Bibliography"/>
        <w:ind w:left="720" w:hanging="720"/>
        <w:rPr>
          <w:noProof/>
        </w:rPr>
      </w:pPr>
      <w:r>
        <w:rPr>
          <w:noProof/>
        </w:rPr>
        <w:t xml:space="preserve">Zander, M. (2011). PACE (The Police And Criminal Evidence) Act 1984: Past, Present And Future. </w:t>
      </w:r>
      <w:r>
        <w:rPr>
          <w:i/>
          <w:iCs/>
          <w:noProof/>
        </w:rPr>
        <w:t>National Law School of India Review Vol 23</w:t>
      </w:r>
      <w:r>
        <w:rPr>
          <w:noProof/>
        </w:rPr>
        <w:t>, 47-62.</w:t>
      </w:r>
    </w:p>
    <w:p w14:paraId="3D804110" w14:textId="631CD509" w:rsidR="00D442D9" w:rsidRDefault="00D442D9" w:rsidP="00D442D9">
      <w:r>
        <w:fldChar w:fldCharType="end"/>
      </w:r>
    </w:p>
    <w:p w14:paraId="28D425B5" w14:textId="77777777" w:rsidR="00D442D9" w:rsidRPr="00B0625B" w:rsidRDefault="00D442D9" w:rsidP="00D442D9"/>
    <w:p w14:paraId="6EA942B0" w14:textId="77777777" w:rsidR="00D442D9" w:rsidRDefault="00D442D9"/>
    <w:sectPr w:rsidR="00D442D9">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F421E6" w14:textId="77777777" w:rsidR="00D442D9" w:rsidRDefault="00D442D9" w:rsidP="00D442D9">
      <w:pPr>
        <w:spacing w:after="0" w:line="240" w:lineRule="auto"/>
      </w:pPr>
      <w:r>
        <w:separator/>
      </w:r>
    </w:p>
  </w:endnote>
  <w:endnote w:type="continuationSeparator" w:id="0">
    <w:p w14:paraId="7B4F5CE1" w14:textId="77777777" w:rsidR="00D442D9" w:rsidRDefault="00D442D9" w:rsidP="00D442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AB6BFA" w14:textId="77777777" w:rsidR="00D442D9" w:rsidRDefault="00D442D9" w:rsidP="00D442D9">
      <w:pPr>
        <w:spacing w:after="0" w:line="240" w:lineRule="auto"/>
      </w:pPr>
      <w:r>
        <w:separator/>
      </w:r>
    </w:p>
  </w:footnote>
  <w:footnote w:type="continuationSeparator" w:id="0">
    <w:p w14:paraId="0E74BC0C" w14:textId="77777777" w:rsidR="00D442D9" w:rsidRDefault="00D442D9" w:rsidP="00D442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D5046" w14:textId="5BC046A4" w:rsidR="00D442D9" w:rsidRDefault="00D442D9">
    <w:pPr>
      <w:pStyle w:val="Header"/>
    </w:pPr>
    <w:r>
      <w:t>Robbie HIGGINS / PCDA / 2031312 / Assignment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2D9"/>
    <w:rsid w:val="00D442D9"/>
    <w:rsid w:val="00F14F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2D16BD"/>
  <w15:chartTrackingRefBased/>
  <w15:docId w15:val="{0312E3BE-2333-4B20-B606-D300B8CB79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42D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42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42D9"/>
  </w:style>
  <w:style w:type="paragraph" w:styleId="Footer">
    <w:name w:val="footer"/>
    <w:basedOn w:val="Normal"/>
    <w:link w:val="FooterChar"/>
    <w:uiPriority w:val="99"/>
    <w:unhideWhenUsed/>
    <w:rsid w:val="00D442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42D9"/>
  </w:style>
  <w:style w:type="paragraph" w:styleId="Bibliography">
    <w:name w:val="Bibliography"/>
    <w:basedOn w:val="Normal"/>
    <w:next w:val="Normal"/>
    <w:uiPriority w:val="37"/>
    <w:unhideWhenUsed/>
    <w:rsid w:val="00D442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06182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Zan11</b:Tag>
    <b:SourceType>JournalArticle</b:SourceType>
    <b:Guid>{51691962-3A73-44D5-B224-CE0C6655BD40}</b:Guid>
    <b:Author>
      <b:Author>
        <b:NameList>
          <b:Person>
            <b:Last>Zander</b:Last>
            <b:First>Michael</b:First>
          </b:Person>
        </b:NameList>
      </b:Author>
    </b:Author>
    <b:Title>PACE (The Police And Criminal Evidence) Act 1984: Past, Present And Future</b:Title>
    <b:JournalName>National Law School of India Review Vol 23</b:JournalName>
    <b:Year>2011</b:Year>
    <b:Pages>47-62</b:Pages>
    <b:RefOrder>1</b:RefOrder>
  </b:Source>
  <b:Source>
    <b:Tag>Law13</b:Tag>
    <b:SourceType>InternetSite</b:SourceType>
    <b:Guid>{3F5E4EDE-BDAD-43FE-B73E-5DF2996A80D1}</b:Guid>
    <b:Title> Police and Criminal Evidence Act 1984.</b:Title>
    <b:Year>2013.</b:Year>
    <b:Author>
      <b:Author>
        <b:Corporate>LawTeacher.</b:Corporate>
      </b:Author>
    </b:Author>
    <b:InternetSiteTitle>Lawteacher.net</b:InternetSiteTitle>
    <b:Month> November</b:Month>
    <b:URL>https://www.lawteacher.net/acts/police-and-criminal-evidence-act.php?vref=1</b:URL>
    <b:RefOrder>2</b:RefOrder>
  </b:Source>
  <b:Source>
    <b:Tag>Hom13</b:Tag>
    <b:SourceType>InternetSite</b:SourceType>
    <b:Guid>{1530536F-13D8-45EA-B98A-526C0B4997D6}</b:Guid>
    <b:Author>
      <b:Author>
        <b:Corporate>Home Office </b:Corporate>
      </b:Author>
    </b:Author>
    <b:Title>Police and Criminal Evidence Act 1984 (PACE) codes of practice</b:Title>
    <b:InternetSiteTitle>Gov.uk</b:InternetSiteTitle>
    <b:Year>2013</b:Year>
    <b:Month>March </b:Month>
    <b:Day>26</b:Day>
    <b:URL>https://www.gov.uk/guidance/police-and-criminal-evidence-act-1984-pace-codes-of-practice</b:URL>
    <b:RefOrder>3</b:RefOrder>
  </b:Source>
  <b:Source>
    <b:Tag>Blo82</b:Tag>
    <b:SourceType>JournalArticle</b:SourceType>
    <b:Guid>{3707CD78-5E9F-4582-A8DD-EB4D2CC004DA}</b:Guid>
    <b:Author>
      <b:Author>
        <b:NameList>
          <b:Person>
            <b:Last>Blom-Cooper</b:Last>
            <b:First>Louis</b:First>
            <b:Middle>&amp; Drabble, Richard</b:Middle>
          </b:Person>
        </b:NameList>
      </b:Author>
    </b:Author>
    <b:Title>POLICE PERCEPTION OF CRIME: BRIXTON AND THE OPERATIONAL RESPONSE</b:Title>
    <b:JournalName>The British Journal of Criminology Vol. 22, No. 2 (April 1982),</b:JournalName>
    <b:Year>1982</b:Year>
    <b:Pages>184-187</b:Pages>
    <b:RefOrder>4</b:RefOrder>
  </b:Source>
  <b:Source>
    <b:Tag>Yes13</b:Tag>
    <b:SourceType>JournalArticle</b:SourceType>
    <b:Guid>{3AC1DD15-38C6-4D16-87BB-31D834720353}</b:Guid>
    <b:Title>Discriminatory Use of Police Stop-and-Search Powers in London, UK</b:Title>
    <b:Year>2013</b:Year>
    <b:Author>
      <b:Author>
        <b:NameList>
          <b:Person>
            <b:Last>Yesufu</b:Last>
            <b:First>Shaka</b:First>
          </b:Person>
        </b:NameList>
      </b:Author>
    </b:Author>
    <b:JournalName>International journal of police science &amp; management,  2013, Vol.15 (4),</b:JournalName>
    <b:Pages>p.281-293</b:Pages>
    <b:RefOrder>5</b:RefOrder>
  </b:Source>
  <b:Source>
    <b:Tag>Hil82</b:Tag>
    <b:SourceType>JournalArticle</b:SourceType>
    <b:Guid>{5FA80762-D0CE-477A-8F36-95C972CCF127}</b:Guid>
    <b:Author>
      <b:Author>
        <b:NameList>
          <b:Person>
            <b:Last>Hiller</b:Last>
            <b:First>A</b:First>
          </b:Person>
        </b:NameList>
      </b:Author>
    </b:Author>
    <b:Title>Proposals on Police-Community Relations and Other Matters - The Scarman Report on the Brixton Disorders and the Home Office Report on Racial Attacks</b:Title>
    <b:JournalName>The University of Queensland Law Journal Vol 12</b:JournalName>
    <b:Year>1982</b:Year>
    <b:Pages>23</b:Pages>
    <b:RefOrder>6</b:RefOrder>
  </b:Source>
  <b:Source>
    <b:Tag>BBC04</b:Tag>
    <b:SourceType>InternetSite</b:SourceType>
    <b:Guid>{BD00351A-2AFD-4774-BC0C-9FF71B6F36EB}</b:Guid>
    <b:Title>Q&amp;A: The Scarman Report</b:Title>
    <b:Year>2004</b:Year>
    <b:Author>
      <b:Author>
        <b:Corporate>The BBC,</b:Corporate>
      </b:Author>
    </b:Author>
    <b:InternetSiteTitle>BBC</b:InternetSiteTitle>
    <b:Month>4</b:Month>
    <b:Day>27</b:Day>
    <b:URL>http://news.bbc.co.uk/1/hi/programmes/bbc_parliament/3631579.stm</b:URL>
    <b:RefOrder>7</b:RefOrder>
  </b:Source>
  <b:Source>
    <b:Tag>DGT82</b:Tag>
    <b:SourceType>JournalArticle</b:SourceType>
    <b:Guid>{C20E38F2-2572-44A0-B3DE-983CB7C08122}</b:Guid>
    <b:Title>The Brixton Disorders</b:Title>
    <b:Year>1982</b:Year>
    <b:Author>
      <b:Author>
        <b:NameList>
          <b:Person>
            <b:Last>Williams</b:Last>
            <b:First>D.</b:First>
            <b:Middle>G. T.</b:Middle>
          </b:Person>
        </b:NameList>
      </b:Author>
    </b:Author>
    <b:JournalName>The Cambridge Law Journal</b:JournalName>
    <b:Pages>1-6</b:Pages>
    <b:RefOrder>8</b:RefOrder>
  </b:Source>
  <b:Source>
    <b:Tag>UKG21</b:Tag>
    <b:SourceType>InternetSite</b:SourceType>
    <b:Guid>{5E50C017-BF8B-4855-801B-3E284DB7A348}</b:Guid>
    <b:Author>
      <b:Author>
        <b:Corporate>UK Government </b:Corporate>
      </b:Author>
    </b:Author>
    <b:Title>Confidence in the local police</b:Title>
    <b:InternetSiteTitle>GOV.UK</b:InternetSiteTitle>
    <b:Year>2021</b:Year>
    <b:Month>May</b:Month>
    <b:Day>12</b:Day>
    <b:URL>https://www.ethnicity-facts-figures.service.gov.uk/crime-justice-and-the-law/policing/confidence-in-the-local-police/latest</b:URL>
    <b:RefOrder>9</b:RefOrder>
  </b:Source>
  <b:Source>
    <b:Tag>Hol99</b:Tag>
    <b:SourceType>JournalArticle</b:SourceType>
    <b:Guid>{FBA889B2-F704-4B46-89B4-D1112AFCB8C7}</b:Guid>
    <b:Title>Understanding the Police Investigation of the Murder of Stephen.</b:Title>
    <b:Year>1999</b:Year>
    <b:Author>
      <b:Author>
        <b:NameList>
          <b:Person>
            <b:Last>Holdaway</b:Last>
            <b:First>S.</b:First>
          </b:Person>
        </b:NameList>
      </b:Author>
    </b:Author>
    <b:JournalName>Lawrence: A ‘Mundane Sociological Analysis.’ Sociological Research Online, 4</b:JournalName>
    <b:Pages>107–114. </b:Pages>
    <b:RefOrder>10</b:RefOrder>
  </b:Source>
  <b:Source>
    <b:Tag>Par21</b:Tag>
    <b:SourceType>InternetSite</b:SourceType>
    <b:Guid>{4B5CA4D8-4E84-4653-9DB9-EC64B4E28D01}</b:Guid>
    <b:Title>The Macpherson Report: Twenty-two years on</b:Title>
    <b:Year>2021</b:Year>
    <b:Author>
      <b:Author>
        <b:Corporate>Parliment</b:Corporate>
      </b:Author>
    </b:Author>
    <b:InternetSiteTitle>Parliment.uk</b:InternetSiteTitle>
    <b:Month>July</b:Month>
    <b:Day>30</b:Day>
    <b:URL>https://publications.parliament.uk/pa/cm5802/cmselect/cmhaff/139/13903.htm#:~:text=The%20Macpherson%20report%20recommended%20that,of%20minority%20ethnic%20police%20officers.</b:URL>
    <b:RefOrder>11</b:RefOrder>
  </b:Source>
  <b:Source>
    <b:Tag>Col21</b:Tag>
    <b:SourceType>InternetSite</b:SourceType>
    <b:Guid>{A9D3BDCD-1097-40B2-9181-4DBEFD32049C}</b:Guid>
    <b:Author>
      <b:Author>
        <b:Corporate>College of policing,</b:Corporate>
      </b:Author>
    </b:Author>
    <b:Title>Macpherson report: 22 years on</b:Title>
    <b:InternetSiteTitle>College.police.uk</b:InternetSiteTitle>
    <b:Year>2021</b:Year>
    <b:Month>July</b:Month>
    <b:Day>29</b:Day>
    <b:URL>https://www.college.police.uk/article/macpherson-report-22-years-on</b:URL>
    <b:RefOrder>12</b:RefOrder>
  </b:Source>
  <b:Source>
    <b:Tag>Cro22</b:Tag>
    <b:SourceType>InternetSite</b:SourceType>
    <b:Guid>{B3580564-3AB5-4945-96BD-265A824EF262}</b:Guid>
    <b:Author>
      <b:Author>
        <b:Corporate>Crown Prosecution Service</b:Corporate>
      </b:Author>
    </b:Author>
    <b:Title>Organised crime strategy</b:Title>
    <b:InternetSiteTitle>CPS.gov.uk</b:InternetSiteTitle>
    <b:Year>2022</b:Year>
    <b:URL>https://www.cps.gov.uk/organised-crime-strategy#:~:text=Organised%20Crime%20is%20defined%20as,but%20not%20always%2C%20financial%20gain.</b:URL>
    <b:RefOrder>13</b:RefOrder>
  </b:Source>
  <b:Source>
    <b:Tag>Pub21</b:Tag>
    <b:SourceType>InternetSite</b:SourceType>
    <b:Guid>{E9B32C53-8E86-474E-9D61-2AFFFB97499C}</b:Guid>
    <b:Author>
      <b:Author>
        <b:Corporate>Public Health England</b:Corporate>
      </b:Author>
    </b:Author>
    <b:Title>County Lines exploitation: applying All Our Health</b:Title>
    <b:InternetSiteTitle>gov.uk</b:InternetSiteTitle>
    <b:Year>2021</b:Year>
    <b:Month>02</b:Month>
    <b:Day>12</b:Day>
    <b:URL>https://www.gov.uk/government/publications/county-lines-exploitation-applying-all-our-health/county-lines-exploitation-applying-all-our-health</b:URL>
    <b:RefOrder>14</b:RefOrder>
  </b:Source>
  <b:Source>
    <b:Tag>Nat19</b:Tag>
    <b:SourceType>Report</b:SourceType>
    <b:Guid>{855B7A51-9C5C-48BE-AD18-A67A62B442A1}</b:Guid>
    <b:Title>County Lines, Drug Supply, Vulnerability and Harm 2018 </b:Title>
    <b:Year>2019</b:Year>
    <b:Author>
      <b:Author>
        <b:Corporate>National Crime Agency</b:Corporate>
      </b:Author>
    </b:Author>
    <b:Publisher>National Crime Agency </b:Publisher>
    <b:RefOrder>15</b:RefOrder>
  </b:Source>
  <b:Source>
    <b:Tag>Whi15</b:Tag>
    <b:SourceType>BookSection</b:SourceType>
    <b:Guid>{257F7119-AE16-433B-8583-A9577FF371F3}</b:Guid>
    <b:Title>Social class, youth crime and youth justice</b:Title>
    <b:Year>2015</b:Year>
    <b:Publisher>Sage</b:Publisher>
    <b:City>Los Angeles</b:City>
    <b:BookTitle>Youth Crime and Justice</b:BookTitle>
    <b:Pages>17 - 30 </b:Pages>
    <b:Author>
      <b:Author>
        <b:NameList>
          <b:Person>
            <b:Last>White R</b:Last>
            <b:First>Cunneen</b:First>
            <b:Middle>C,</b:Middle>
          </b:Person>
        </b:NameList>
      </b:Author>
      <b:BookAuthor>
        <b:NameList>
          <b:Person>
            <b:Last>Goldson B</b:Last>
            <b:First>Muncie</b:First>
            <b:Middle>J</b:Middle>
          </b:Person>
        </b:NameList>
      </b:BookAuthor>
    </b:Author>
    <b:RefOrder>16</b:RefOrder>
  </b:Source>
  <b:Source>
    <b:Tag>Emm21</b:Tag>
    <b:SourceType>Report</b:SourceType>
    <b:Guid>{BE1B8868-C067-4BD4-80DA-F0609C1A58BF}</b:Guid>
    <b:Title>Exploited and Criminalised What can the Police, Crime, Sentencing and Courts Bill do to ensure that children who are criminally exploitedreceive the care and support they need? </b:Title>
    <b:Year>2021</b:Year>
    <b:Publisher>Barnardo's</b:Publisher>
    <b:Author>
      <b:Author>
        <b:NameList>
          <b:Person>
            <b:Last>James</b:Last>
            <b:First>Emma</b:First>
          </b:Person>
        </b:NameList>
      </b:Author>
    </b:Author>
    <b:RefOrder>17</b:RefOrder>
  </b:Source>
  <b:Source>
    <b:Tag>Joe20</b:Tag>
    <b:SourceType>Report</b:SourceType>
    <b:Guid>{73BBCDEA-4C5C-4F3C-A3B3-4EBD662E9236}</b:Guid>
    <b:Author>
      <b:Author>
        <b:NameList>
          <b:Person>
            <b:Last>Joe Caluori</b:Last>
            <b:First>Dr.</b:First>
            <b:Middle>Molly Corlett, James Stott</b:Middle>
          </b:Person>
        </b:NameList>
      </b:Author>
    </b:Author>
    <b:Title>County Lines and Looked After Children</b:Title>
    <b:Year>2020</b:Year>
    <b:Publisher>Crest Advisory </b:Publisher>
    <b:RefOrder>18</b:RefOrder>
  </b:Source>
  <b:Source>
    <b:Tag>Gwe21</b:Tag>
    <b:SourceType>InternetSite</b:SourceType>
    <b:Guid>{33732AF0-C020-4AC6-8229-1E45B1BA2754}</b:Guid>
    <b:Title>Gwent Police &amp; Crime Plan 2021 ‒ 2025</b:Title>
    <b:Year>2021</b:Year>
    <b:Author>
      <b:Author>
        <b:Corporate>Gwent Police and Crime Commission</b:Corporate>
      </b:Author>
    </b:Author>
    <b:InternetSiteTitle>Gwent.pcc.police.uk</b:InternetSiteTitle>
    <b:Month>September </b:Month>
    <b:URL>https://www.gwent.pcc.police.uk/en/transparency/publications/police-and-crime-plan/police-and-crime-plan-2021-2025/#d</b:URL>
    <b:RefOrder>19</b:RefOrder>
  </b:Source>
  <b:Source>
    <b:Tag>Pol14</b:Tag>
    <b:SourceType>InternetSite</b:SourceType>
    <b:Guid>{57F859C9-2CAB-437C-9C73-F2732184EB26}</b:Guid>
    <b:Title>Risk and associated investigations</b:Title>
    <b:Year>2014</b:Year>
    <b:Author>
      <b:Author>
        <b:Corporate>College of Policing</b:Corporate>
      </b:Author>
    </b:Author>
    <b:InternetSiteTitle>College.police.uk</b:InternetSiteTitle>
    <b:Month>01</b:Month>
    <b:Day>21</b:Day>
    <b:URL>https://www.college.police.uk/app/major-investigation-and-public-protection/investigating-child-abuse-and-safeguarding-children/police-response-investigating-child-abuse/risk-and-associated-investigations#non-prosecution-of-child-victims</b:URL>
    <b:RefOrder>20</b:RefOrder>
  </b:Source>
  <b:Source>
    <b:Tag>MAP22</b:Tag>
    <b:SourceType>InternetSite</b:SourceType>
    <b:Guid>{00CF8952-FA88-4FB6-A821-6ED6245CA0BA}</b:Guid>
    <b:Author>
      <b:Author>
        <b:Corporate>MAPPA</b:Corporate>
      </b:Author>
    </b:Author>
    <b:Title>Multi-Agency Public Protection Arrangements</b:Title>
    <b:Year>2022</b:Year>
    <b:YearAccessed>2022</b:YearAccessed>
    <b:MonthAccessed>October </b:MonthAccessed>
    <b:DayAccessed>26</b:DayAccessed>
    <b:URL>https://mappa.justice.gov.uk/connect.ti/MAPPA/groupHome</b:URL>
    <b:RefOrder>21</b:RefOrder>
  </b:Source>
  <b:Source>
    <b:Tag>HMI11</b:Tag>
    <b:SourceType>Report</b:SourceType>
    <b:Guid>{3518C117-E903-4E94-8EB2-8ACC9788BEC7}</b:Guid>
    <b:Title>Thematic Inspection Report: Putting the pieces together. An inspection of Multi-Agency Public</b:Title>
    <b:Year>2011</b:Year>
    <b:Author>
      <b:Author>
        <b:NameList>
          <b:Person>
            <b:Last>HMI Probation</b:Last>
            <b:First>HMI</b:First>
            <b:Middle>constabulary</b:Middle>
          </b:Person>
        </b:NameList>
      </b:Author>
    </b:Author>
    <b:Publisher>Criminal Justice</b:Publisher>
    <b:RefOrder>22</b:RefOrder>
  </b:Source>
  <b:Source>
    <b:Tag>Min21</b:Tag>
    <b:SourceType>Report</b:SourceType>
    <b:Guid>{ABBCD271-0EB5-4E41-981F-D6C620F31900}</b:Guid>
    <b:Author>
      <b:Author>
        <b:Corporate>Ministry Of Justice</b:Corporate>
      </b:Author>
    </b:Author>
    <b:Title>Multi-Agency Public Protection Arrangements Annual report 2020/21</b:Title>
    <b:Year>2021</b:Year>
    <b:Publisher>Ministry of Justice</b:Publisher>
    <b:RefOrder>23</b:RefOrder>
  </b:Source>
  <b:Source>
    <b:Tag>Col203</b:Tag>
    <b:SourceType>InternetSite</b:SourceType>
    <b:Guid>{7FD363A6-C13A-4438-8331-9C33B15A315A}</b:Guid>
    <b:Author>
      <b:Author>
        <b:Corporate>College of Policing </b:Corporate>
      </b:Author>
    </b:Author>
    <b:Title>MANAGING SEXUAL OFFENDERS AND VIOLENT OFFENDERS</b:Title>
    <b:Year>2020</b:Year>
    <b:YearAccessed>2022</b:YearAccessed>
    <b:MonthAccessed>10</b:MonthAccessed>
    <b:DayAccessed>26</b:DayAccessed>
    <b:URL>https://www.college.police.uk/app/major-investigation-and-public-protection/managing-sexual-offenders-and-violent-offenders/introduction-managing-sexual-offenders-and-violent-offenders#mosovo-officers</b:URL>
    <b:RefOrder>24</b:RefOrder>
  </b:Source>
  <b:Source>
    <b:Tag>Ess22</b:Tag>
    <b:SourceType>InternetSite</b:SourceType>
    <b:Guid>{4476FF88-AAD0-4568-B414-0559F8519718}</b:Guid>
    <b:Author>
      <b:Author>
        <b:Corporate>Essex Police</b:Corporate>
      </b:Author>
    </b:Author>
    <b:Title>MOSOVO DC</b:Title>
    <b:Year>2022</b:Year>
    <b:YearAccessed>2022</b:YearAccessed>
    <b:MonthAccessed>10</b:MonthAccessed>
    <b:DayAccessed>26</b:DayAccessed>
    <b:URL>https://www.essex.police.uk/police-forces/essex-police/areas/essex-police/ca/job-descriptions/job-descriptions/mosovo-dc/</b:URL>
    <b:RefOrder>25</b:RefOrder>
  </b:Source>
  <b:Source>
    <b:Tag>Edw03</b:Tag>
    <b:SourceType>InternetSite</b:SourceType>
    <b:Guid>{934A6F10-ED71-401C-9F7A-6DB02B9AD6E7}</b:Guid>
    <b:Author>
      <b:Author>
        <b:NameList>
          <b:Person>
            <b:Last>Edwards</b:Last>
            <b:First>David</b:First>
          </b:Person>
        </b:NameList>
      </b:Author>
    </b:Author>
    <b:Title>ViSOR - Violent and Sex Offender Register</b:Title>
    <b:Year>2003</b:Year>
    <b:YearAccessed>2022</b:YearAccessed>
    <b:MonthAccessed>Oct</b:MonthAccessed>
    <b:DayAccessed>26</b:DayAccessed>
    <b:URL>https://www.crimeandjustice.org.uk/publications/cjm/article/visor-violent-and-sex-offender-register</b:URL>
    <b:JournalName>CJM</b:JournalName>
    <b:RefOrder>26</b:RefOrder>
  </b:Source>
  <b:Source>
    <b:Tag>HMP22</b:Tag>
    <b:SourceType>Report</b:SourceType>
    <b:Guid>{C11AE1B2-5067-46A2-B627-733D687FE636}</b:Guid>
    <b:Author>
      <b:Author>
        <b:Corporate>HM Prison &amp; Probation service</b:Corporate>
      </b:Author>
    </b:Author>
    <b:Title>MAPPA Guidance</b:Title>
    <b:Year>2022</b:Year>
    <b:Publisher>HM Prison &amp; Probation Service</b:Publisher>
    <b:RefOrder>27</b:RefOrder>
  </b:Source>
  <b:Source>
    <b:Tag>Kho17</b:Tag>
    <b:SourceType>InternetSite</b:SourceType>
    <b:Guid>{85BD4FE0-794B-40C8-9DBD-5647EADE5323}</b:Guid>
    <b:Title>James Bulger killer back in jail after being caught with abuse images again</b:Title>
    <b:Year>2017</b:Year>
    <b:Author>
      <b:Author>
        <b:NameList>
          <b:Person>
            <b:Last>Khomami</b:Last>
            <b:First>Nadia</b:First>
            <b:Middle>Khomami</b:Middle>
          </b:Person>
        </b:NameList>
      </b:Author>
    </b:Author>
    <b:YearAccessed>2022</b:YearAccessed>
    <b:MonthAccessed>10</b:MonthAccessed>
    <b:DayAccessed>26</b:DayAccessed>
    <b:URL>https://www.theguardian.com/uk-news/2017/nov/23/james-bulger-killer-jon-venables-back-in-jail-after-being-caught-with-abuse-images-again</b:URL>
    <b:RefOrder>28</b:RefOrder>
  </b:Source>
  <b:Source>
    <b:Tag>You22</b:Tag>
    <b:SourceType>Report</b:SourceType>
    <b:Guid>{4A1B1D62-63BC-476B-85DB-A41F79693A16}</b:Guid>
    <b:Title>Youth Justice Statistics </b:Title>
    <b:Year>2022</b:Year>
    <b:Author>
      <b:Author>
        <b:Corporate>Youth Justice Board &amp; Ministry of Justice</b:Corporate>
      </b:Author>
    </b:Author>
    <b:Publisher>Youth Justice Board / Ministry of Justice</b:Publisher>
    <b:RefOrder>29</b:RefOrder>
  </b:Source>
  <b:Source>
    <b:Tag>Tor18</b:Tag>
    <b:SourceType>InternetSite</b:SourceType>
    <b:Guid>{7BF21510-AF38-4D2E-A2EE-7D0F621D1675}</b:Guid>
    <b:Title>Youth Offending</b:Title>
    <b:Year>2018</b:Year>
    <b:Author>
      <b:Author>
        <b:Corporate>Torfaen County Council</b:Corporate>
      </b:Author>
    </b:Author>
    <b:YearAccessed>2022</b:YearAccessed>
    <b:MonthAccessed>Nov</b:MonthAccessed>
    <b:DayAccessed>03</b:DayAccessed>
    <b:URL>https://www.torfaen.gov.uk/en/CrimeEmergencies/Youth-Offending/Youth-Offending.aspx</b:URL>
    <b:RefOrder>30</b:RefOrder>
  </b:Source>
  <b:Source>
    <b:Tag>Col223</b:Tag>
    <b:SourceType>InternetSite</b:SourceType>
    <b:Guid>{D1731E6D-2007-4823-9A37-C6CF64A3BAC7}</b:Guid>
    <b:Author>
      <b:Author>
        <b:Corporate>College of Policing </b:Corporate>
      </b:Author>
    </b:Author>
    <b:Title>Children and young persons</b:Title>
    <b:Year>2022</b:Year>
    <b:YearAccessed>2022</b:YearAccessed>
    <b:MonthAccessed>Nov</b:MonthAccessed>
    <b:DayAccessed>3</b:DayAccessed>
    <b:URL>https://www.college.police.uk/app/detention-and-custody/detainee-care/children-and-young-persons#youth-offending-teams</b:URL>
    <b:RefOrder>31</b:RefOrder>
  </b:Source>
  <b:Source>
    <b:Tag>Dep22</b:Tag>
    <b:SourceType>Report</b:SourceType>
    <b:Guid>{C28345F2-2BB3-4C36-91E1-97DECF6C3395}</b:Guid>
    <b:Title>Characteristics of children in need</b:Title>
    <b:Year>2022</b:Year>
    <b:Author>
      <b:Author>
        <b:Corporate>Department for Education</b:Corporate>
      </b:Author>
    </b:Author>
    <b:Publisher>Department for Education</b:Publisher>
    <b:RefOrder>32</b:RefOrder>
  </b:Source>
  <b:Source>
    <b:Tag>You13</b:Tag>
    <b:SourceType>DocumentFromInternetSite</b:SourceType>
    <b:Guid>{92B4DC95-8565-4281-AD70-3963EA9F0E5D}</b:Guid>
    <b:Title>Youth Out-of-Court Disposals Guide for Police and Youth Offending Services</b:Title>
    <b:Year>2013</b:Year>
    <b:Author>
      <b:Author>
        <b:Corporate>Youth Justice Board </b:Corporate>
      </b:Author>
    </b:Author>
    <b:YearAccessed>2022</b:YearAccessed>
    <b:MonthAccessed>Nov</b:MonthAccessed>
    <b:DayAccessed>04</b:DayAccessed>
    <b:URL>https://assets.publishing.service.gov.uk/government/uploads/system/uploads/attachment_data/file/438139/out-court-disposal-guide.pdf</b:URL>
    <b:RefOrder>33</b:RefOrder>
  </b:Source>
  <b:Source>
    <b:Tag>HMG11</b:Tag>
    <b:SourceType>Report</b:SourceType>
    <b:Guid>{7718B84D-A7D6-44D9-9083-7A582AAADD16}</b:Guid>
    <b:Title>Ending Gang and Youth Violence: A Cross-Government Report</b:Title>
    <b:Year>2011</b:Year>
    <b:Author>
      <b:Author>
        <b:Corporate>HM Government </b:Corporate>
      </b:Author>
    </b:Author>
    <b:Publisher>Home Office</b:Publisher>
    <b:City>London </b:City>
    <b:RefOrder>34</b:RefOrder>
  </b:Source>
  <b:Source>
    <b:Tag>Cot13</b:Tag>
    <b:SourceType>JournalArticle</b:SourceType>
    <b:Guid>{36FDCB5D-3CA3-4E90-B581-59B4E776439E}</b:Guid>
    <b:Title>Ending Gang and Youth Violence: A Critique</b:Title>
    <b:Year>2013</b:Year>
    <b:Author>
      <b:Author>
        <b:NameList>
          <b:Person>
            <b:Last>Cottrell-Boyce</b:Last>
            <b:First>Joe</b:First>
          </b:Person>
        </b:NameList>
      </b:Author>
    </b:Author>
    <b:JournalName>Youth Justice </b:JournalName>
    <b:Pages>193–206</b:Pages>
    <b:Volume>13</b:Volume>
    <b:Issue>3</b:Issue>
    <b:RefOrder>35</b:RefOrder>
  </b:Source>
</b:Sources>
</file>

<file path=customXml/itemProps1.xml><?xml version="1.0" encoding="utf-8"?>
<ds:datastoreItem xmlns:ds="http://schemas.openxmlformats.org/officeDocument/2006/customXml" ds:itemID="{DA41D7A0-8096-474B-A14E-7E1BBBE5B2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14</Pages>
  <Words>5040</Words>
  <Characters>28734</Characters>
  <Application>Microsoft Office Word</Application>
  <DocSecurity>0</DocSecurity>
  <Lines>239</Lines>
  <Paragraphs>67</Paragraphs>
  <ScaleCrop>false</ScaleCrop>
  <Company/>
  <LinksUpToDate>false</LinksUpToDate>
  <CharactersWithSpaces>33707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Higgins, Robbie</dc:creator>
  <cp:keywords/>
  <dc:description/>
  <cp:lastModifiedBy>Higgins, Robbie</cp:lastModifiedBy>
  <cp:revision>1</cp:revision>
  <dcterms:created xsi:type="dcterms:W3CDTF">2022-11-05T20:45:00Z</dcterms:created>
  <dcterms:modified xsi:type="dcterms:W3CDTF">2022-11-05T20:55:00Z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2022-11-05T20:45:53Z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66e64245-a391-4baf-a81b-1d3def8d6252</vt:lpwstr>
  </property>
  <property fmtid="{D5CDD505-2E9C-101B-9397-08002B2CF9AE}" pid="8" name="MSIP_Label_f2acd28b-79a3-4a0f-b0ff-4b75658b1549_ContentBits">
    <vt:lpwstr>0</vt:lpwstr>
  </property>
</Properties>
</file>