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92402189"/>
        <w:docPartObj>
          <w:docPartGallery w:val="Cover Pages"/>
          <w:docPartUnique/>
        </w:docPartObj>
      </w:sdtPr>
      <w:sdtContent>
        <w:p w14:paraId="6772E8FD" w14:textId="2F28C048" w:rsidR="009855D0" w:rsidRPr="009855D0" w:rsidRDefault="00000000" w:rsidP="009855D0">
          <w:r>
            <w:rPr>
              <w:noProof/>
            </w:rPr>
            <w:pict w14:anchorId="45BF959B">
              <v:shapetyp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875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15"/>
                      </w:tblGrid>
                      <w:tr w:rsidR="009855D0" w14:paraId="1868B96B" w14:textId="77777777">
                        <w:trPr>
                          <w:trHeight w:hRule="exact" w:val="9360"/>
                        </w:trPr>
                        <w:tc>
                          <w:tcPr>
                            <w:tcW w:w="5000" w:type="pct"/>
                          </w:tcPr>
                          <w:p w14:paraId="0F3C53D5" w14:textId="77777777" w:rsidR="009855D0" w:rsidRDefault="009855D0">
                            <w:r>
                              <w:rPr>
                                <w:noProof/>
                              </w:rPr>
                              <w:drawing>
                                <wp:inline distT="0" distB="0" distL="0" distR="0" wp14:anchorId="5D8AC256" wp14:editId="2F4E3C7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4">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855D0" w14:paraId="5ED12F37" w14:textId="77777777">
                        <w:trPr>
                          <w:trHeight w:hRule="exact" w:val="4320"/>
                        </w:trPr>
                        <w:tc>
                          <w:tcPr>
                            <w:tcW w:w="5000" w:type="pct"/>
                            <w:shd w:val="clear" w:color="auto" w:fill="156082" w:themeFill="accent1"/>
                            <w:vAlign w:val="center"/>
                          </w:tcPr>
                          <w:p w14:paraId="049E09B4" w14:textId="288BDF0B" w:rsidR="009855D0"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sidR="009855D0">
                                  <w:rPr>
                                    <w:rFonts w:asciiTheme="majorHAnsi" w:hAnsiTheme="majorHAnsi"/>
                                    <w:color w:val="FFFFFF" w:themeColor="background1"/>
                                    <w:sz w:val="96"/>
                                    <w:szCs w:val="96"/>
                                  </w:rPr>
                                  <w:t xml:space="preserve">     </w:t>
                                </w:r>
                              </w:sdtContent>
                            </w:sdt>
                            <w:r w:rsidR="009855D0">
                              <w:t xml:space="preserve"> </w:t>
                            </w:r>
                            <w:r w:rsidR="009855D0" w:rsidRPr="000C4AD3">
                              <w:rPr>
                                <w:rFonts w:asciiTheme="majorHAnsi" w:hAnsiTheme="majorHAnsi"/>
                                <w:color w:val="FFFFFF" w:themeColor="background1"/>
                                <w:sz w:val="96"/>
                                <w:szCs w:val="96"/>
                              </w:rPr>
                              <w:t xml:space="preserve">Case study Hilton </w:t>
                            </w:r>
                            <w:r w:rsidR="00BA2DAC">
                              <w:rPr>
                                <w:rFonts w:asciiTheme="majorHAnsi" w:hAnsiTheme="majorHAnsi"/>
                                <w:color w:val="FFFFFF" w:themeColor="background1"/>
                                <w:sz w:val="96"/>
                                <w:szCs w:val="96"/>
                              </w:rPr>
                              <w:t>H</w:t>
                            </w:r>
                            <w:r w:rsidR="009855D0" w:rsidRPr="000C4AD3">
                              <w:rPr>
                                <w:rFonts w:asciiTheme="majorHAnsi" w:hAnsiTheme="majorHAnsi"/>
                                <w:color w:val="FFFFFF" w:themeColor="background1"/>
                                <w:sz w:val="96"/>
                                <w:szCs w:val="96"/>
                              </w:rPr>
                              <w:t xml:space="preserve">otel </w:t>
                            </w:r>
                            <w:r w:rsidR="00BA2DAC">
                              <w:rPr>
                                <w:rFonts w:asciiTheme="majorHAnsi" w:hAnsiTheme="majorHAnsi"/>
                                <w:color w:val="FFFFFF" w:themeColor="background1"/>
                                <w:sz w:val="96"/>
                                <w:szCs w:val="96"/>
                              </w:rPr>
                              <w:t>G</w:t>
                            </w:r>
                            <w:r w:rsidR="009855D0" w:rsidRPr="000C4AD3">
                              <w:rPr>
                                <w:rFonts w:asciiTheme="majorHAnsi" w:hAnsiTheme="majorHAnsi"/>
                                <w:color w:val="FFFFFF" w:themeColor="background1"/>
                                <w:sz w:val="96"/>
                                <w:szCs w:val="96"/>
                              </w:rPr>
                              <w:t>roup</w:t>
                            </w:r>
                          </w:p>
                          <w:p w14:paraId="0CB3D45D" w14:textId="47E58D08" w:rsidR="009855D0" w:rsidRPr="009855D0" w:rsidRDefault="00000000">
                            <w:pPr>
                              <w:pStyle w:val="NoSpacing"/>
                              <w:spacing w:before="240"/>
                              <w:ind w:left="720" w:right="720"/>
                              <w:rPr>
                                <w:rFonts w:ascii="Arial" w:hAnsi="Arial" w:cs="Arial"/>
                                <w:color w:val="FFFFFF" w:themeColor="background1"/>
                                <w:sz w:val="24"/>
                                <w:szCs w:val="24"/>
                              </w:rPr>
                            </w:pPr>
                            <w:sdt>
                              <w:sdtPr>
                                <w:rPr>
                                  <w:rFonts w:ascii="Arial" w:hAnsi="Arial" w:cs="Arial"/>
                                  <w:color w:val="FFFFFF" w:themeColor="background1"/>
                                  <w:sz w:val="24"/>
                                  <w:szCs w:val="24"/>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9855D0" w:rsidRPr="009855D0">
                                  <w:rPr>
                                    <w:rFonts w:ascii="Arial" w:hAnsi="Arial" w:cs="Arial"/>
                                    <w:color w:val="FFFFFF" w:themeColor="background1"/>
                                    <w:sz w:val="24"/>
                                    <w:szCs w:val="24"/>
                                  </w:rPr>
                                  <w:t xml:space="preserve">     </w:t>
                                </w:r>
                              </w:sdtContent>
                            </w:sdt>
                            <w:r w:rsidR="009855D0" w:rsidRPr="009855D0">
                              <w:rPr>
                                <w:rFonts w:ascii="Arial" w:hAnsi="Arial" w:cs="Arial"/>
                                <w:color w:val="FFFFFF" w:themeColor="background1"/>
                                <w:sz w:val="24"/>
                                <w:szCs w:val="24"/>
                              </w:rPr>
                              <w:t xml:space="preserve">Cecilia Maria Cojocaru(1816288) </w:t>
                            </w:r>
                          </w:p>
                          <w:p w14:paraId="03988D74" w14:textId="6A2EB289" w:rsidR="009855D0" w:rsidRPr="009855D0" w:rsidRDefault="009855D0" w:rsidP="009855D0">
                            <w:pPr>
                              <w:pStyle w:val="NoSpacing"/>
                              <w:spacing w:before="240"/>
                              <w:ind w:left="720" w:right="720"/>
                              <w:rPr>
                                <w:rFonts w:ascii="Arial" w:hAnsi="Arial" w:cs="Arial"/>
                                <w:color w:val="FFFFFF" w:themeColor="background1"/>
                                <w:sz w:val="24"/>
                                <w:szCs w:val="24"/>
                              </w:rPr>
                            </w:pPr>
                            <w:r w:rsidRPr="009855D0">
                              <w:rPr>
                                <w:rFonts w:ascii="Arial" w:hAnsi="Arial" w:cs="Arial"/>
                                <w:color w:val="FFFFFF" w:themeColor="background1"/>
                                <w:sz w:val="24"/>
                                <w:szCs w:val="24"/>
                              </w:rPr>
                              <w:t>Lecture: Daniel Payne</w:t>
                            </w:r>
                          </w:p>
                          <w:p w14:paraId="718590B7" w14:textId="5BAE0194" w:rsidR="009855D0" w:rsidRPr="009855D0" w:rsidRDefault="009855D0" w:rsidP="009855D0">
                            <w:pPr>
                              <w:pStyle w:val="NoSpacing"/>
                              <w:spacing w:before="240"/>
                              <w:ind w:left="720" w:right="720"/>
                              <w:rPr>
                                <w:rFonts w:ascii="Arial" w:hAnsi="Arial" w:cs="Arial"/>
                                <w:color w:val="FFFFFF" w:themeColor="background1"/>
                                <w:sz w:val="24"/>
                                <w:szCs w:val="24"/>
                              </w:rPr>
                            </w:pPr>
                            <w:r w:rsidRPr="009855D0">
                              <w:rPr>
                                <w:rFonts w:ascii="Arial" w:hAnsi="Arial" w:cs="Arial"/>
                                <w:color w:val="FFFFFF" w:themeColor="background1"/>
                                <w:sz w:val="24"/>
                                <w:szCs w:val="24"/>
                              </w:rPr>
                              <w:t>Module: MOB(BMIH5004)</w:t>
                            </w:r>
                          </w:p>
                          <w:p w14:paraId="117EC8AF" w14:textId="77777777" w:rsidR="009855D0" w:rsidRDefault="009855D0" w:rsidP="009855D0">
                            <w:pPr>
                              <w:pStyle w:val="NoSpacing"/>
                              <w:spacing w:before="240"/>
                              <w:ind w:left="720" w:right="720"/>
                              <w:rPr>
                                <w:color w:val="FFFFFF" w:themeColor="background1"/>
                                <w:sz w:val="32"/>
                                <w:szCs w:val="32"/>
                              </w:rPr>
                            </w:pPr>
                          </w:p>
                          <w:p w14:paraId="3DE6EAF9" w14:textId="2A34C5A6" w:rsidR="009855D0" w:rsidRDefault="009855D0">
                            <w:pPr>
                              <w:pStyle w:val="NoSpacing"/>
                              <w:spacing w:before="240"/>
                              <w:ind w:left="720" w:right="720"/>
                              <w:rPr>
                                <w:color w:val="FFFFFF" w:themeColor="background1"/>
                                <w:sz w:val="32"/>
                                <w:szCs w:val="32"/>
                              </w:rPr>
                            </w:pPr>
                          </w:p>
                        </w:tc>
                      </w:tr>
                      <w:tr w:rsidR="009855D0" w14:paraId="35E361B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Pr>
                            <w:tblGrid>
                              <w:gridCol w:w="3605"/>
                              <w:gridCol w:w="3605"/>
                              <w:gridCol w:w="3605"/>
                            </w:tblGrid>
                            <w:tr w:rsidR="009855D0" w14:paraId="03ECDC24"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A0D4C3D" w14:textId="4D48A763" w:rsidR="009855D0" w:rsidRDefault="009855D0">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0B329249" w14:textId="77777777" w:rsidR="009855D0" w:rsidRDefault="009855D0">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E22B0FE" w14:textId="77777777" w:rsidR="009855D0" w:rsidRDefault="009855D0">
                                      <w:pPr>
                                        <w:pStyle w:val="NoSpacing"/>
                                        <w:ind w:left="144" w:right="720"/>
                                        <w:jc w:val="right"/>
                                        <w:rPr>
                                          <w:color w:val="FFFFFF" w:themeColor="background1"/>
                                        </w:rPr>
                                      </w:pPr>
                                      <w:r>
                                        <w:rPr>
                                          <w:color w:val="FFFFFF" w:themeColor="background1"/>
                                        </w:rPr>
                                        <w:t xml:space="preserve">     </w:t>
                                      </w:r>
                                    </w:p>
                                  </w:tc>
                                </w:sdtContent>
                              </w:sdt>
                            </w:tr>
                          </w:tbl>
                          <w:p w14:paraId="30C5F8B7" w14:textId="77777777" w:rsidR="009855D0" w:rsidRDefault="009855D0"/>
                        </w:tc>
                      </w:tr>
                    </w:tbl>
                    <w:p w14:paraId="6F279BA4" w14:textId="77777777" w:rsidR="009855D0" w:rsidRDefault="009855D0" w:rsidP="009855D0"/>
                  </w:txbxContent>
                </v:textbox>
                <w10:wrap anchorx="page" anchory="page"/>
              </v:shape>
            </w:pict>
          </w:r>
        </w:p>
      </w:sdtContent>
    </w:sdt>
    <w:p w14:paraId="64D47A81" w14:textId="77777777" w:rsidR="009855D0" w:rsidRDefault="009855D0" w:rsidP="009855D0">
      <w:pPr>
        <w:rPr>
          <w:lang w:val="en-US"/>
        </w:rPr>
      </w:pPr>
    </w:p>
    <w:p w14:paraId="4E2D2D0F" w14:textId="77777777" w:rsidR="009855D0" w:rsidRDefault="009855D0" w:rsidP="009855D0">
      <w:pPr>
        <w:rPr>
          <w:lang w:val="en-US"/>
        </w:rPr>
      </w:pPr>
    </w:p>
    <w:p w14:paraId="7C5D0E27" w14:textId="77777777" w:rsidR="009855D0" w:rsidRDefault="009855D0" w:rsidP="009855D0">
      <w:pPr>
        <w:rPr>
          <w:lang w:val="en-US"/>
        </w:rPr>
      </w:pPr>
    </w:p>
    <w:p w14:paraId="0957EE05" w14:textId="77777777" w:rsidR="009855D0" w:rsidRDefault="009855D0" w:rsidP="009855D0">
      <w:pPr>
        <w:rPr>
          <w:lang w:val="en-US"/>
        </w:rPr>
      </w:pPr>
    </w:p>
    <w:p w14:paraId="3F096839" w14:textId="77777777" w:rsidR="009855D0" w:rsidRDefault="009855D0" w:rsidP="009855D0">
      <w:pPr>
        <w:rPr>
          <w:lang w:val="en-US"/>
        </w:rPr>
      </w:pPr>
    </w:p>
    <w:p w14:paraId="2612323C" w14:textId="77777777" w:rsidR="009855D0" w:rsidRDefault="009855D0" w:rsidP="009855D0">
      <w:pPr>
        <w:rPr>
          <w:lang w:val="en-US"/>
        </w:rPr>
      </w:pPr>
    </w:p>
    <w:p w14:paraId="4BB3FB20" w14:textId="77777777" w:rsidR="009855D0" w:rsidRDefault="009855D0" w:rsidP="009855D0">
      <w:pPr>
        <w:rPr>
          <w:lang w:val="en-US"/>
        </w:rPr>
      </w:pPr>
    </w:p>
    <w:p w14:paraId="279E68A2" w14:textId="77777777" w:rsidR="009855D0" w:rsidRDefault="009855D0" w:rsidP="009855D0">
      <w:pPr>
        <w:rPr>
          <w:lang w:val="en-US"/>
        </w:rPr>
      </w:pPr>
    </w:p>
    <w:p w14:paraId="1DCB5FA9" w14:textId="77777777" w:rsidR="009855D0" w:rsidRDefault="009855D0" w:rsidP="009855D0">
      <w:pPr>
        <w:rPr>
          <w:lang w:val="en-US"/>
        </w:rPr>
      </w:pPr>
    </w:p>
    <w:p w14:paraId="09766463" w14:textId="77777777" w:rsidR="009855D0" w:rsidRDefault="009855D0" w:rsidP="009855D0">
      <w:pPr>
        <w:rPr>
          <w:lang w:val="en-US"/>
        </w:rPr>
      </w:pPr>
    </w:p>
    <w:p w14:paraId="7B965138" w14:textId="77777777" w:rsidR="009855D0" w:rsidRDefault="009855D0" w:rsidP="009855D0">
      <w:pPr>
        <w:rPr>
          <w:lang w:val="en-US"/>
        </w:rPr>
      </w:pPr>
    </w:p>
    <w:p w14:paraId="11D3AB20" w14:textId="77777777" w:rsidR="009855D0" w:rsidRDefault="009855D0" w:rsidP="009855D0">
      <w:pPr>
        <w:rPr>
          <w:lang w:val="en-US"/>
        </w:rPr>
      </w:pPr>
    </w:p>
    <w:p w14:paraId="638233EF" w14:textId="77777777" w:rsidR="009855D0" w:rsidRDefault="009855D0" w:rsidP="009855D0">
      <w:pPr>
        <w:rPr>
          <w:lang w:val="en-US"/>
        </w:rPr>
      </w:pPr>
    </w:p>
    <w:p w14:paraId="0504EEE5" w14:textId="77777777" w:rsidR="009855D0" w:rsidRDefault="009855D0" w:rsidP="009855D0">
      <w:pPr>
        <w:rPr>
          <w:lang w:val="en-US"/>
        </w:rPr>
      </w:pPr>
    </w:p>
    <w:p w14:paraId="1C596471" w14:textId="77777777" w:rsidR="009855D0" w:rsidRDefault="009855D0" w:rsidP="009855D0">
      <w:pPr>
        <w:rPr>
          <w:lang w:val="en-US"/>
        </w:rPr>
      </w:pPr>
    </w:p>
    <w:p w14:paraId="3AF9A7ED" w14:textId="77777777" w:rsidR="009855D0" w:rsidRDefault="009855D0" w:rsidP="009855D0">
      <w:pPr>
        <w:rPr>
          <w:lang w:val="en-US"/>
        </w:rPr>
      </w:pPr>
    </w:p>
    <w:p w14:paraId="6166CAC8" w14:textId="77777777" w:rsidR="009855D0" w:rsidRDefault="009855D0" w:rsidP="009855D0">
      <w:pPr>
        <w:rPr>
          <w:lang w:val="en-US"/>
        </w:rPr>
      </w:pPr>
    </w:p>
    <w:p w14:paraId="6757A1D1" w14:textId="77777777" w:rsidR="009855D0" w:rsidRDefault="009855D0" w:rsidP="009855D0">
      <w:pPr>
        <w:rPr>
          <w:lang w:val="en-US"/>
        </w:rPr>
      </w:pPr>
    </w:p>
    <w:p w14:paraId="7F16C3CB" w14:textId="77777777" w:rsidR="009855D0" w:rsidRDefault="009855D0" w:rsidP="009855D0">
      <w:pPr>
        <w:rPr>
          <w:lang w:val="en-US"/>
        </w:rPr>
      </w:pPr>
    </w:p>
    <w:p w14:paraId="7CAFB87A" w14:textId="77777777" w:rsidR="009855D0" w:rsidRDefault="009855D0" w:rsidP="009855D0">
      <w:pPr>
        <w:rPr>
          <w:lang w:val="en-US"/>
        </w:rPr>
      </w:pPr>
    </w:p>
    <w:p w14:paraId="0117BC5D" w14:textId="77777777" w:rsidR="009855D0" w:rsidRDefault="009855D0" w:rsidP="009855D0">
      <w:pPr>
        <w:rPr>
          <w:lang w:val="en-US"/>
        </w:rPr>
      </w:pPr>
    </w:p>
    <w:p w14:paraId="0A904F9B" w14:textId="77777777" w:rsidR="009855D0" w:rsidRDefault="009855D0" w:rsidP="009855D0">
      <w:pPr>
        <w:rPr>
          <w:lang w:val="en-US"/>
        </w:rPr>
      </w:pPr>
    </w:p>
    <w:p w14:paraId="15165AFA" w14:textId="77777777" w:rsidR="009855D0" w:rsidRDefault="009855D0" w:rsidP="009855D0">
      <w:pPr>
        <w:rPr>
          <w:lang w:val="en-US"/>
        </w:rPr>
      </w:pPr>
    </w:p>
    <w:p w14:paraId="23CE3E4F" w14:textId="77777777" w:rsidR="009855D0" w:rsidRDefault="009855D0" w:rsidP="009855D0">
      <w:pPr>
        <w:rPr>
          <w:lang w:val="en-US"/>
        </w:rPr>
      </w:pPr>
    </w:p>
    <w:p w14:paraId="3D281DC0" w14:textId="77777777" w:rsidR="009855D0" w:rsidRDefault="009855D0" w:rsidP="009855D0">
      <w:pPr>
        <w:rPr>
          <w:lang w:val="en-US"/>
        </w:rPr>
      </w:pPr>
    </w:p>
    <w:p w14:paraId="6903BA36" w14:textId="77777777" w:rsidR="009855D0" w:rsidRDefault="009855D0" w:rsidP="009855D0">
      <w:pPr>
        <w:rPr>
          <w:lang w:val="en-US"/>
        </w:rPr>
      </w:pPr>
    </w:p>
    <w:p w14:paraId="09823CE0" w14:textId="77777777" w:rsidR="009855D0" w:rsidRDefault="009855D0" w:rsidP="009855D0">
      <w:pPr>
        <w:rPr>
          <w:lang w:val="en-US"/>
        </w:rPr>
      </w:pPr>
    </w:p>
    <w:p w14:paraId="3B5664B8" w14:textId="77777777" w:rsidR="009855D0" w:rsidRDefault="009855D0" w:rsidP="009855D0">
      <w:pPr>
        <w:rPr>
          <w:lang w:val="en-US"/>
        </w:rPr>
      </w:pPr>
    </w:p>
    <w:sdt>
      <w:sdtPr>
        <w:rPr>
          <w:rFonts w:asciiTheme="minorHAnsi" w:eastAsiaTheme="minorHAnsi" w:hAnsiTheme="minorHAnsi" w:cstheme="minorBidi"/>
          <w:color w:val="auto"/>
          <w:kern w:val="2"/>
          <w:sz w:val="22"/>
          <w:szCs w:val="22"/>
          <w:lang w:val="en-GB"/>
        </w:rPr>
        <w:id w:val="1808433340"/>
        <w:docPartObj>
          <w:docPartGallery w:val="Table of Contents"/>
          <w:docPartUnique/>
        </w:docPartObj>
      </w:sdtPr>
      <w:sdtEndPr>
        <w:rPr>
          <w:b/>
          <w:bCs/>
          <w:noProof/>
        </w:rPr>
      </w:sdtEndPr>
      <w:sdtContent>
        <w:p w14:paraId="0523E5C1" w14:textId="77777777" w:rsidR="00BA2DAC" w:rsidRDefault="00BA2DAC">
          <w:pPr>
            <w:pStyle w:val="TOCHeading"/>
          </w:pPr>
        </w:p>
        <w:p w14:paraId="3FD00B5B" w14:textId="61EE118B" w:rsidR="00BA2DAC" w:rsidRDefault="00BA2DAC">
          <w:pPr>
            <w:pStyle w:val="TOCHeading"/>
          </w:pPr>
          <w:r>
            <w:t>Contents</w:t>
          </w:r>
        </w:p>
        <w:p w14:paraId="7F660EB3" w14:textId="77777777" w:rsidR="00BA2DAC" w:rsidRDefault="00BA2DAC">
          <w:pPr>
            <w:pStyle w:val="TOC1"/>
            <w:tabs>
              <w:tab w:val="right" w:leader="dot" w:pos="9016"/>
            </w:tabs>
          </w:pPr>
        </w:p>
        <w:p w14:paraId="34E2FC56" w14:textId="77777777" w:rsidR="00BA2DAC" w:rsidRDefault="00BA2DAC">
          <w:pPr>
            <w:pStyle w:val="TOC1"/>
            <w:tabs>
              <w:tab w:val="right" w:leader="dot" w:pos="9016"/>
            </w:tabs>
          </w:pPr>
        </w:p>
        <w:p w14:paraId="5FF887A0" w14:textId="77777777" w:rsidR="00BA2DAC" w:rsidRDefault="00BA2DAC">
          <w:pPr>
            <w:pStyle w:val="TOC1"/>
            <w:tabs>
              <w:tab w:val="right" w:leader="dot" w:pos="9016"/>
            </w:tabs>
          </w:pPr>
        </w:p>
        <w:p w14:paraId="7D8C3415" w14:textId="77777777" w:rsidR="00BA2DAC" w:rsidRDefault="00BA2DAC">
          <w:pPr>
            <w:pStyle w:val="TOC1"/>
            <w:tabs>
              <w:tab w:val="right" w:leader="dot" w:pos="9016"/>
            </w:tabs>
          </w:pPr>
        </w:p>
        <w:p w14:paraId="37DB784C" w14:textId="77777777" w:rsidR="00BA2DAC" w:rsidRDefault="00BA2DAC">
          <w:pPr>
            <w:pStyle w:val="TOC1"/>
            <w:tabs>
              <w:tab w:val="right" w:leader="dot" w:pos="9016"/>
            </w:tabs>
          </w:pPr>
        </w:p>
        <w:p w14:paraId="76EC0E0F" w14:textId="77777777" w:rsidR="00BA2DAC" w:rsidRDefault="00BA2DAC">
          <w:pPr>
            <w:pStyle w:val="TOC1"/>
            <w:tabs>
              <w:tab w:val="right" w:leader="dot" w:pos="9016"/>
            </w:tabs>
          </w:pPr>
        </w:p>
        <w:p w14:paraId="1BD6BB7D" w14:textId="461BCA6B" w:rsidR="00BA2DAC" w:rsidRDefault="00BA2DA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8088729" w:history="1">
            <w:r w:rsidRPr="00F3633B">
              <w:rPr>
                <w:rStyle w:val="Hyperlink"/>
                <w:noProof/>
              </w:rPr>
              <w:t>Executive summary</w:t>
            </w:r>
            <w:r>
              <w:rPr>
                <w:noProof/>
                <w:webHidden/>
              </w:rPr>
              <w:tab/>
            </w:r>
            <w:r>
              <w:rPr>
                <w:noProof/>
                <w:webHidden/>
              </w:rPr>
              <w:fldChar w:fldCharType="begin"/>
            </w:r>
            <w:r>
              <w:rPr>
                <w:noProof/>
                <w:webHidden/>
              </w:rPr>
              <w:instrText xml:space="preserve"> PAGEREF _Toc168088729 \h </w:instrText>
            </w:r>
            <w:r>
              <w:rPr>
                <w:noProof/>
                <w:webHidden/>
              </w:rPr>
            </w:r>
            <w:r>
              <w:rPr>
                <w:noProof/>
                <w:webHidden/>
              </w:rPr>
              <w:fldChar w:fldCharType="separate"/>
            </w:r>
            <w:r>
              <w:rPr>
                <w:noProof/>
                <w:webHidden/>
              </w:rPr>
              <w:t>2</w:t>
            </w:r>
            <w:r>
              <w:rPr>
                <w:noProof/>
                <w:webHidden/>
              </w:rPr>
              <w:fldChar w:fldCharType="end"/>
            </w:r>
          </w:hyperlink>
        </w:p>
        <w:p w14:paraId="17E366E1" w14:textId="4A8339AB" w:rsidR="00BA2DAC" w:rsidRDefault="00000000">
          <w:pPr>
            <w:pStyle w:val="TOC1"/>
            <w:tabs>
              <w:tab w:val="right" w:leader="dot" w:pos="9016"/>
            </w:tabs>
            <w:rPr>
              <w:rFonts w:eastAsiaTheme="minorEastAsia"/>
              <w:noProof/>
              <w:sz w:val="24"/>
              <w:szCs w:val="24"/>
              <w:lang w:eastAsia="en-GB"/>
            </w:rPr>
          </w:pPr>
          <w:hyperlink w:anchor="_Toc168088730" w:history="1">
            <w:r w:rsidR="00BA2DAC" w:rsidRPr="00F3633B">
              <w:rPr>
                <w:rStyle w:val="Hyperlink"/>
                <w:noProof/>
              </w:rPr>
              <w:t>Introduction</w:t>
            </w:r>
            <w:r w:rsidR="00BA2DAC">
              <w:rPr>
                <w:noProof/>
                <w:webHidden/>
              </w:rPr>
              <w:tab/>
            </w:r>
            <w:r w:rsidR="00BA2DAC">
              <w:rPr>
                <w:noProof/>
                <w:webHidden/>
              </w:rPr>
              <w:fldChar w:fldCharType="begin"/>
            </w:r>
            <w:r w:rsidR="00BA2DAC">
              <w:rPr>
                <w:noProof/>
                <w:webHidden/>
              </w:rPr>
              <w:instrText xml:space="preserve"> PAGEREF _Toc168088730 \h </w:instrText>
            </w:r>
            <w:r w:rsidR="00BA2DAC">
              <w:rPr>
                <w:noProof/>
                <w:webHidden/>
              </w:rPr>
            </w:r>
            <w:r w:rsidR="00BA2DAC">
              <w:rPr>
                <w:noProof/>
                <w:webHidden/>
              </w:rPr>
              <w:fldChar w:fldCharType="separate"/>
            </w:r>
            <w:r w:rsidR="00BA2DAC">
              <w:rPr>
                <w:noProof/>
                <w:webHidden/>
              </w:rPr>
              <w:t>4</w:t>
            </w:r>
            <w:r w:rsidR="00BA2DAC">
              <w:rPr>
                <w:noProof/>
                <w:webHidden/>
              </w:rPr>
              <w:fldChar w:fldCharType="end"/>
            </w:r>
          </w:hyperlink>
        </w:p>
        <w:p w14:paraId="09EE8F9F" w14:textId="55A9F06D" w:rsidR="00BA2DAC" w:rsidRDefault="00000000">
          <w:pPr>
            <w:pStyle w:val="TOC2"/>
            <w:tabs>
              <w:tab w:val="right" w:leader="dot" w:pos="9016"/>
            </w:tabs>
            <w:rPr>
              <w:rFonts w:eastAsiaTheme="minorEastAsia"/>
              <w:noProof/>
              <w:sz w:val="24"/>
              <w:szCs w:val="24"/>
              <w:lang w:eastAsia="en-GB"/>
            </w:rPr>
          </w:pPr>
          <w:hyperlink w:anchor="_Toc168088731" w:history="1">
            <w:r w:rsidR="00BA2DAC" w:rsidRPr="00F3633B">
              <w:rPr>
                <w:rStyle w:val="Hyperlink"/>
                <w:noProof/>
              </w:rPr>
              <w:t>Organisation structure</w:t>
            </w:r>
            <w:r w:rsidR="00BA2DAC">
              <w:rPr>
                <w:noProof/>
                <w:webHidden/>
              </w:rPr>
              <w:tab/>
            </w:r>
            <w:r w:rsidR="00BA2DAC">
              <w:rPr>
                <w:noProof/>
                <w:webHidden/>
              </w:rPr>
              <w:fldChar w:fldCharType="begin"/>
            </w:r>
            <w:r w:rsidR="00BA2DAC">
              <w:rPr>
                <w:noProof/>
                <w:webHidden/>
              </w:rPr>
              <w:instrText xml:space="preserve"> PAGEREF _Toc168088731 \h </w:instrText>
            </w:r>
            <w:r w:rsidR="00BA2DAC">
              <w:rPr>
                <w:noProof/>
                <w:webHidden/>
              </w:rPr>
            </w:r>
            <w:r w:rsidR="00BA2DAC">
              <w:rPr>
                <w:noProof/>
                <w:webHidden/>
              </w:rPr>
              <w:fldChar w:fldCharType="separate"/>
            </w:r>
            <w:r w:rsidR="00BA2DAC">
              <w:rPr>
                <w:noProof/>
                <w:webHidden/>
              </w:rPr>
              <w:t>4</w:t>
            </w:r>
            <w:r w:rsidR="00BA2DAC">
              <w:rPr>
                <w:noProof/>
                <w:webHidden/>
              </w:rPr>
              <w:fldChar w:fldCharType="end"/>
            </w:r>
          </w:hyperlink>
        </w:p>
        <w:p w14:paraId="20087DFC" w14:textId="661656E1" w:rsidR="00BA2DAC" w:rsidRDefault="00000000">
          <w:pPr>
            <w:pStyle w:val="TOC2"/>
            <w:tabs>
              <w:tab w:val="right" w:leader="dot" w:pos="9016"/>
            </w:tabs>
            <w:rPr>
              <w:rFonts w:eastAsiaTheme="minorEastAsia"/>
              <w:noProof/>
              <w:sz w:val="24"/>
              <w:szCs w:val="24"/>
              <w:lang w:eastAsia="en-GB"/>
            </w:rPr>
          </w:pPr>
          <w:hyperlink w:anchor="_Toc168088732" w:history="1">
            <w:r w:rsidR="00BA2DAC" w:rsidRPr="00F3633B">
              <w:rPr>
                <w:rStyle w:val="Hyperlink"/>
                <w:noProof/>
              </w:rPr>
              <w:t>Culture</w:t>
            </w:r>
            <w:r w:rsidR="00BA2DAC">
              <w:rPr>
                <w:noProof/>
                <w:webHidden/>
              </w:rPr>
              <w:tab/>
            </w:r>
            <w:r w:rsidR="00BA2DAC">
              <w:rPr>
                <w:noProof/>
                <w:webHidden/>
              </w:rPr>
              <w:fldChar w:fldCharType="begin"/>
            </w:r>
            <w:r w:rsidR="00BA2DAC">
              <w:rPr>
                <w:noProof/>
                <w:webHidden/>
              </w:rPr>
              <w:instrText xml:space="preserve"> PAGEREF _Toc168088732 \h </w:instrText>
            </w:r>
            <w:r w:rsidR="00BA2DAC">
              <w:rPr>
                <w:noProof/>
                <w:webHidden/>
              </w:rPr>
            </w:r>
            <w:r w:rsidR="00BA2DAC">
              <w:rPr>
                <w:noProof/>
                <w:webHidden/>
              </w:rPr>
              <w:fldChar w:fldCharType="separate"/>
            </w:r>
            <w:r w:rsidR="00BA2DAC">
              <w:rPr>
                <w:noProof/>
                <w:webHidden/>
              </w:rPr>
              <w:t>6</w:t>
            </w:r>
            <w:r w:rsidR="00BA2DAC">
              <w:rPr>
                <w:noProof/>
                <w:webHidden/>
              </w:rPr>
              <w:fldChar w:fldCharType="end"/>
            </w:r>
          </w:hyperlink>
        </w:p>
        <w:p w14:paraId="00D6015F" w14:textId="12E66DCB" w:rsidR="00BA2DAC" w:rsidRDefault="00000000">
          <w:pPr>
            <w:pStyle w:val="TOC2"/>
            <w:tabs>
              <w:tab w:val="right" w:leader="dot" w:pos="9016"/>
            </w:tabs>
            <w:rPr>
              <w:rFonts w:eastAsiaTheme="minorEastAsia"/>
              <w:noProof/>
              <w:sz w:val="24"/>
              <w:szCs w:val="24"/>
              <w:lang w:eastAsia="en-GB"/>
            </w:rPr>
          </w:pPr>
          <w:hyperlink w:anchor="_Toc168088733" w:history="1">
            <w:r w:rsidR="00BA2DAC" w:rsidRPr="00F3633B">
              <w:rPr>
                <w:rStyle w:val="Hyperlink"/>
                <w:noProof/>
              </w:rPr>
              <w:t>Goals</w:t>
            </w:r>
            <w:r w:rsidR="00BA2DAC">
              <w:rPr>
                <w:noProof/>
                <w:webHidden/>
              </w:rPr>
              <w:tab/>
            </w:r>
            <w:r w:rsidR="00BA2DAC">
              <w:rPr>
                <w:noProof/>
                <w:webHidden/>
              </w:rPr>
              <w:fldChar w:fldCharType="begin"/>
            </w:r>
            <w:r w:rsidR="00BA2DAC">
              <w:rPr>
                <w:noProof/>
                <w:webHidden/>
              </w:rPr>
              <w:instrText xml:space="preserve"> PAGEREF _Toc168088733 \h </w:instrText>
            </w:r>
            <w:r w:rsidR="00BA2DAC">
              <w:rPr>
                <w:noProof/>
                <w:webHidden/>
              </w:rPr>
            </w:r>
            <w:r w:rsidR="00BA2DAC">
              <w:rPr>
                <w:noProof/>
                <w:webHidden/>
              </w:rPr>
              <w:fldChar w:fldCharType="separate"/>
            </w:r>
            <w:r w:rsidR="00BA2DAC">
              <w:rPr>
                <w:noProof/>
                <w:webHidden/>
              </w:rPr>
              <w:t>7</w:t>
            </w:r>
            <w:r w:rsidR="00BA2DAC">
              <w:rPr>
                <w:noProof/>
                <w:webHidden/>
              </w:rPr>
              <w:fldChar w:fldCharType="end"/>
            </w:r>
          </w:hyperlink>
        </w:p>
        <w:p w14:paraId="2CFF3E4E" w14:textId="6EFDBE83" w:rsidR="00BA2DAC" w:rsidRDefault="00000000">
          <w:pPr>
            <w:pStyle w:val="TOC2"/>
            <w:tabs>
              <w:tab w:val="right" w:leader="dot" w:pos="9016"/>
            </w:tabs>
            <w:rPr>
              <w:rFonts w:eastAsiaTheme="minorEastAsia"/>
              <w:noProof/>
              <w:sz w:val="24"/>
              <w:szCs w:val="24"/>
              <w:lang w:eastAsia="en-GB"/>
            </w:rPr>
          </w:pPr>
          <w:hyperlink w:anchor="_Toc168088734" w:history="1">
            <w:r w:rsidR="00BA2DAC" w:rsidRPr="00F3633B">
              <w:rPr>
                <w:rStyle w:val="Hyperlink"/>
                <w:noProof/>
              </w:rPr>
              <w:t>Recent change initiatives</w:t>
            </w:r>
            <w:r w:rsidR="00BA2DAC">
              <w:rPr>
                <w:noProof/>
                <w:webHidden/>
              </w:rPr>
              <w:tab/>
            </w:r>
            <w:r w:rsidR="00BA2DAC">
              <w:rPr>
                <w:noProof/>
                <w:webHidden/>
              </w:rPr>
              <w:fldChar w:fldCharType="begin"/>
            </w:r>
            <w:r w:rsidR="00BA2DAC">
              <w:rPr>
                <w:noProof/>
                <w:webHidden/>
              </w:rPr>
              <w:instrText xml:space="preserve"> PAGEREF _Toc168088734 \h </w:instrText>
            </w:r>
            <w:r w:rsidR="00BA2DAC">
              <w:rPr>
                <w:noProof/>
                <w:webHidden/>
              </w:rPr>
            </w:r>
            <w:r w:rsidR="00BA2DAC">
              <w:rPr>
                <w:noProof/>
                <w:webHidden/>
              </w:rPr>
              <w:fldChar w:fldCharType="separate"/>
            </w:r>
            <w:r w:rsidR="00BA2DAC">
              <w:rPr>
                <w:noProof/>
                <w:webHidden/>
              </w:rPr>
              <w:t>7</w:t>
            </w:r>
            <w:r w:rsidR="00BA2DAC">
              <w:rPr>
                <w:noProof/>
                <w:webHidden/>
              </w:rPr>
              <w:fldChar w:fldCharType="end"/>
            </w:r>
          </w:hyperlink>
        </w:p>
        <w:p w14:paraId="5705F0EE" w14:textId="284C0C87" w:rsidR="00BA2DAC" w:rsidRDefault="00000000">
          <w:pPr>
            <w:pStyle w:val="TOC2"/>
            <w:tabs>
              <w:tab w:val="right" w:leader="dot" w:pos="9016"/>
            </w:tabs>
            <w:rPr>
              <w:rFonts w:eastAsiaTheme="minorEastAsia"/>
              <w:noProof/>
              <w:sz w:val="24"/>
              <w:szCs w:val="24"/>
              <w:lang w:eastAsia="en-GB"/>
            </w:rPr>
          </w:pPr>
          <w:hyperlink w:anchor="_Toc168088735" w:history="1">
            <w:r w:rsidR="00BA2DAC" w:rsidRPr="00F3633B">
              <w:rPr>
                <w:rStyle w:val="Hyperlink"/>
                <w:noProof/>
              </w:rPr>
              <w:t>Impact Management Strategy</w:t>
            </w:r>
            <w:r w:rsidR="00BA2DAC">
              <w:rPr>
                <w:noProof/>
                <w:webHidden/>
              </w:rPr>
              <w:tab/>
            </w:r>
            <w:r w:rsidR="00BA2DAC">
              <w:rPr>
                <w:noProof/>
                <w:webHidden/>
              </w:rPr>
              <w:fldChar w:fldCharType="begin"/>
            </w:r>
            <w:r w:rsidR="00BA2DAC">
              <w:rPr>
                <w:noProof/>
                <w:webHidden/>
              </w:rPr>
              <w:instrText xml:space="preserve"> PAGEREF _Toc168088735 \h </w:instrText>
            </w:r>
            <w:r w:rsidR="00BA2DAC">
              <w:rPr>
                <w:noProof/>
                <w:webHidden/>
              </w:rPr>
            </w:r>
            <w:r w:rsidR="00BA2DAC">
              <w:rPr>
                <w:noProof/>
                <w:webHidden/>
              </w:rPr>
              <w:fldChar w:fldCharType="separate"/>
            </w:r>
            <w:r w:rsidR="00BA2DAC">
              <w:rPr>
                <w:noProof/>
                <w:webHidden/>
              </w:rPr>
              <w:t>8</w:t>
            </w:r>
            <w:r w:rsidR="00BA2DAC">
              <w:rPr>
                <w:noProof/>
                <w:webHidden/>
              </w:rPr>
              <w:fldChar w:fldCharType="end"/>
            </w:r>
          </w:hyperlink>
        </w:p>
        <w:p w14:paraId="19F8C174" w14:textId="13188F52" w:rsidR="00BA2DAC" w:rsidRDefault="00000000">
          <w:pPr>
            <w:pStyle w:val="TOC1"/>
            <w:tabs>
              <w:tab w:val="right" w:leader="dot" w:pos="9016"/>
            </w:tabs>
            <w:rPr>
              <w:rFonts w:eastAsiaTheme="minorEastAsia"/>
              <w:noProof/>
              <w:sz w:val="24"/>
              <w:szCs w:val="24"/>
              <w:lang w:eastAsia="en-GB"/>
            </w:rPr>
          </w:pPr>
          <w:hyperlink w:anchor="_Toc168088736" w:history="1">
            <w:r w:rsidR="00BA2DAC" w:rsidRPr="00F3633B">
              <w:rPr>
                <w:rStyle w:val="Hyperlink"/>
                <w:noProof/>
              </w:rPr>
              <w:t>Conclusion</w:t>
            </w:r>
            <w:r w:rsidR="00BA2DAC">
              <w:rPr>
                <w:noProof/>
                <w:webHidden/>
              </w:rPr>
              <w:tab/>
            </w:r>
            <w:r w:rsidR="00BA2DAC">
              <w:rPr>
                <w:noProof/>
                <w:webHidden/>
              </w:rPr>
              <w:fldChar w:fldCharType="begin"/>
            </w:r>
            <w:r w:rsidR="00BA2DAC">
              <w:rPr>
                <w:noProof/>
                <w:webHidden/>
              </w:rPr>
              <w:instrText xml:space="preserve"> PAGEREF _Toc168088736 \h </w:instrText>
            </w:r>
            <w:r w:rsidR="00BA2DAC">
              <w:rPr>
                <w:noProof/>
                <w:webHidden/>
              </w:rPr>
            </w:r>
            <w:r w:rsidR="00BA2DAC">
              <w:rPr>
                <w:noProof/>
                <w:webHidden/>
              </w:rPr>
              <w:fldChar w:fldCharType="separate"/>
            </w:r>
            <w:r w:rsidR="00BA2DAC">
              <w:rPr>
                <w:noProof/>
                <w:webHidden/>
              </w:rPr>
              <w:t>8</w:t>
            </w:r>
            <w:r w:rsidR="00BA2DAC">
              <w:rPr>
                <w:noProof/>
                <w:webHidden/>
              </w:rPr>
              <w:fldChar w:fldCharType="end"/>
            </w:r>
          </w:hyperlink>
        </w:p>
        <w:p w14:paraId="772238FB" w14:textId="358AB438" w:rsidR="00BA2DAC" w:rsidRDefault="00000000">
          <w:pPr>
            <w:pStyle w:val="TOC1"/>
            <w:tabs>
              <w:tab w:val="right" w:leader="dot" w:pos="9016"/>
            </w:tabs>
            <w:rPr>
              <w:rFonts w:eastAsiaTheme="minorEastAsia"/>
              <w:noProof/>
              <w:sz w:val="24"/>
              <w:szCs w:val="24"/>
              <w:lang w:eastAsia="en-GB"/>
            </w:rPr>
          </w:pPr>
          <w:hyperlink w:anchor="_Toc168088737" w:history="1">
            <w:r w:rsidR="00BA2DAC" w:rsidRPr="00F3633B">
              <w:rPr>
                <w:rStyle w:val="Hyperlink"/>
                <w:noProof/>
              </w:rPr>
              <w:t>Recommendation</w:t>
            </w:r>
            <w:r w:rsidR="00BA2DAC">
              <w:rPr>
                <w:noProof/>
                <w:webHidden/>
              </w:rPr>
              <w:tab/>
            </w:r>
            <w:r w:rsidR="00BA2DAC">
              <w:rPr>
                <w:noProof/>
                <w:webHidden/>
              </w:rPr>
              <w:fldChar w:fldCharType="begin"/>
            </w:r>
            <w:r w:rsidR="00BA2DAC">
              <w:rPr>
                <w:noProof/>
                <w:webHidden/>
              </w:rPr>
              <w:instrText xml:space="preserve"> PAGEREF _Toc168088737 \h </w:instrText>
            </w:r>
            <w:r w:rsidR="00BA2DAC">
              <w:rPr>
                <w:noProof/>
                <w:webHidden/>
              </w:rPr>
            </w:r>
            <w:r w:rsidR="00BA2DAC">
              <w:rPr>
                <w:noProof/>
                <w:webHidden/>
              </w:rPr>
              <w:fldChar w:fldCharType="separate"/>
            </w:r>
            <w:r w:rsidR="00BA2DAC">
              <w:rPr>
                <w:noProof/>
                <w:webHidden/>
              </w:rPr>
              <w:t>8</w:t>
            </w:r>
            <w:r w:rsidR="00BA2DAC">
              <w:rPr>
                <w:noProof/>
                <w:webHidden/>
              </w:rPr>
              <w:fldChar w:fldCharType="end"/>
            </w:r>
          </w:hyperlink>
        </w:p>
        <w:p w14:paraId="76F0FE13" w14:textId="259ED348" w:rsidR="00BA2DAC" w:rsidRDefault="00000000">
          <w:pPr>
            <w:pStyle w:val="TOC1"/>
            <w:tabs>
              <w:tab w:val="right" w:leader="dot" w:pos="9016"/>
            </w:tabs>
            <w:rPr>
              <w:rFonts w:eastAsiaTheme="minorEastAsia"/>
              <w:noProof/>
              <w:sz w:val="24"/>
              <w:szCs w:val="24"/>
              <w:lang w:eastAsia="en-GB"/>
            </w:rPr>
          </w:pPr>
          <w:hyperlink w:anchor="_Toc168088738" w:history="1">
            <w:r w:rsidR="00BA2DAC" w:rsidRPr="00F3633B">
              <w:rPr>
                <w:rStyle w:val="Hyperlink"/>
                <w:noProof/>
              </w:rPr>
              <w:t>Reference List</w:t>
            </w:r>
            <w:r w:rsidR="00BA2DAC">
              <w:rPr>
                <w:noProof/>
                <w:webHidden/>
              </w:rPr>
              <w:tab/>
            </w:r>
            <w:r w:rsidR="00BA2DAC">
              <w:rPr>
                <w:noProof/>
                <w:webHidden/>
              </w:rPr>
              <w:fldChar w:fldCharType="begin"/>
            </w:r>
            <w:r w:rsidR="00BA2DAC">
              <w:rPr>
                <w:noProof/>
                <w:webHidden/>
              </w:rPr>
              <w:instrText xml:space="preserve"> PAGEREF _Toc168088738 \h </w:instrText>
            </w:r>
            <w:r w:rsidR="00BA2DAC">
              <w:rPr>
                <w:noProof/>
                <w:webHidden/>
              </w:rPr>
            </w:r>
            <w:r w:rsidR="00BA2DAC">
              <w:rPr>
                <w:noProof/>
                <w:webHidden/>
              </w:rPr>
              <w:fldChar w:fldCharType="separate"/>
            </w:r>
            <w:r w:rsidR="00BA2DAC">
              <w:rPr>
                <w:noProof/>
                <w:webHidden/>
              </w:rPr>
              <w:t>9</w:t>
            </w:r>
            <w:r w:rsidR="00BA2DAC">
              <w:rPr>
                <w:noProof/>
                <w:webHidden/>
              </w:rPr>
              <w:fldChar w:fldCharType="end"/>
            </w:r>
          </w:hyperlink>
        </w:p>
        <w:p w14:paraId="2B508A23" w14:textId="165019B6" w:rsidR="00BA2DAC" w:rsidRDefault="00BA2DAC">
          <w:r>
            <w:rPr>
              <w:b/>
              <w:bCs/>
              <w:noProof/>
            </w:rPr>
            <w:fldChar w:fldCharType="end"/>
          </w:r>
        </w:p>
      </w:sdtContent>
    </w:sdt>
    <w:p w14:paraId="60D8524E" w14:textId="77777777" w:rsidR="009855D0" w:rsidRDefault="009855D0">
      <w:pPr>
        <w:rPr>
          <w:lang w:val="en-US"/>
        </w:rPr>
      </w:pPr>
    </w:p>
    <w:p w14:paraId="410CD319" w14:textId="77777777" w:rsidR="00BA2DAC" w:rsidRPr="00BA2DAC" w:rsidRDefault="00BA2DAC" w:rsidP="00BA2DAC"/>
    <w:p w14:paraId="240B2B78" w14:textId="77777777" w:rsidR="00BA2DAC" w:rsidRPr="00BA2DAC" w:rsidRDefault="00BA2DAC" w:rsidP="00BA2DAC">
      <w:pPr>
        <w:pStyle w:val="Heading1"/>
      </w:pPr>
      <w:bookmarkStart w:id="0" w:name="_Toc168040577"/>
      <w:bookmarkStart w:id="1" w:name="_Toc168088729"/>
      <w:r w:rsidRPr="00BA2DAC">
        <w:t>Executive summary</w:t>
      </w:r>
      <w:bookmarkEnd w:id="0"/>
      <w:bookmarkEnd w:id="1"/>
    </w:p>
    <w:p w14:paraId="5B8F55B6" w14:textId="77777777" w:rsidR="00BA2DAC" w:rsidRPr="00BA2DAC" w:rsidRDefault="00BA2DAC" w:rsidP="00BA2DAC">
      <w:r w:rsidRPr="00BA2DAC">
        <w:t>The purpose of this case study is to investigate the organisational structure of Hilton Hotel Worldwide and to demonstrate how the firm achieves the highest possible levels of operational efficiency and effectiveness within the hospitality industry. A powerful organisational framework has been established by Hilton, a global leader in the hospitality industry. This framework guarantees that strategic goals are effectively implemented at all levels of the business and fosters clear communication throughout the company's enormous network (Bogale and Debela, 2024).</w:t>
      </w:r>
    </w:p>
    <w:p w14:paraId="24D80D06" w14:textId="77777777" w:rsidR="00BA2DAC" w:rsidRPr="00BA2DAC" w:rsidRDefault="00BA2DAC" w:rsidP="00BA2DAC">
      <w:r w:rsidRPr="00BA2DAC">
        <w:t>The assessment focuses on the hierarchical organisational structure that Hilton employs, which is typical of large, traditional businesses that require a high level of control over their operations and decision-making procedures (Maurer, Bach, and Oertel, 2023). Comparing this hierarchical structure to flat and matrix organisational designs, the latter of which has the potential for greater flexibility and communication but also the risk of role ambiguity (Isaac et al., 2021; Gutterman, 2023), This hierarchical structure is compared to both of these organisational designs.</w:t>
      </w:r>
    </w:p>
    <w:p w14:paraId="0F7853DC" w14:textId="77777777" w:rsidR="00BA2DAC" w:rsidRPr="00BA2DAC" w:rsidRDefault="00BA2DAC" w:rsidP="00BA2DAC">
      <w:r w:rsidRPr="00BA2DAC">
        <w:lastRenderedPageBreak/>
        <w:t>A clearly defined hierarchical structure is included in Hilton's business strategy. This structure begins with the Board of Directors and continues on to the Chief Executive Officer and Executive Team, followed by the Corporate Support Team and the Hotel Operations Team. As Hilton responds to changes in the market and implements new practices in digital technology and sustainability, this structure enables rapid and effective decision-making and embeds accountability throughout the organisation. This is crucial for Hilton as it adjusts to these changes (Fachada, 2023).</w:t>
      </w:r>
    </w:p>
    <w:p w14:paraId="1635C6A3" w14:textId="77777777" w:rsidR="00BA2DAC" w:rsidRPr="00BA2DAC" w:rsidRDefault="00BA2DAC" w:rsidP="00BA2DAC">
      <w:r w:rsidRPr="00BA2DAC">
        <w:t>In addition, the study investigates the extent to which Hilton's organisational structure aligns with the company's corporate culture and strategic objectives, with a particular focus on the company's commitment to corporate social responsibility (CSR). It is notable that the organisational culture of Hilton, which is marked by its commitment to diversity, equity, and inclusion, as well as the significant influence of "The Hilton Effect," is a fundamental factor that drives the company's global operations (Helm, 2024).</w:t>
      </w:r>
    </w:p>
    <w:p w14:paraId="28121908" w14:textId="77777777" w:rsidR="00BA2DAC" w:rsidRPr="00BA2DAC" w:rsidRDefault="00BA2DAC" w:rsidP="00BA2DAC">
      <w:r w:rsidRPr="00BA2DAC">
        <w:t>This case study not only sheds light on the effective management practices of a leading hospitality enterprise, but it also provides a critical evaluation of potential challenges and areas for improvement. For example, it highlights the necessity of more dynamic decision-making processes and increased organisational flexibility in order to keep up with the rapidly changing global marketplace.</w:t>
      </w:r>
    </w:p>
    <w:p w14:paraId="59571C20" w14:textId="77777777" w:rsidR="00BA2DAC" w:rsidRPr="00BA2DAC" w:rsidRDefault="00BA2DAC" w:rsidP="00BA2DAC">
      <w:r w:rsidRPr="00BA2DAC">
        <w:t>Hilton not only boosts its corporate identity by firmly incorporating corporate social responsibility (CSR) into its business plan, but it also secures long-term sustainability and profitability, thereby setting a standard for excellence in the hospitality sector. According to the research, corporate social responsibility (CSR) operations should continue to be innovative, with a strategic emphasis on using technology to improve operational efficiency and consumer engagement (Dudovskiy, 2016).</w:t>
      </w:r>
    </w:p>
    <w:p w14:paraId="7DDED7C1" w14:textId="77777777" w:rsidR="00BA2DAC" w:rsidRPr="00BA2DAC" w:rsidRDefault="00BA2DAC" w:rsidP="00BA2DAC">
      <w:r w:rsidRPr="00BA2DAC">
        <w:br w:type="page"/>
      </w:r>
    </w:p>
    <w:sdt>
      <w:sdtPr>
        <w:id w:val="-1144648578"/>
        <w:docPartObj>
          <w:docPartGallery w:val="Table of Contents"/>
          <w:docPartUnique/>
        </w:docPartObj>
      </w:sdtPr>
      <w:sdtEndPr>
        <w:rPr>
          <w:b/>
          <w:bCs/>
        </w:rPr>
      </w:sdtEndPr>
      <w:sdtContent>
        <w:p w14:paraId="69080909" w14:textId="62838CBC" w:rsidR="00BA2DAC" w:rsidRDefault="00BA2DAC" w:rsidP="00BA2DAC"/>
        <w:p w14:paraId="73613721" w14:textId="77777777" w:rsidR="00BA2DAC" w:rsidRDefault="00000000" w:rsidP="00BA2DAC">
          <w:pPr>
            <w:rPr>
              <w:b/>
              <w:bCs/>
            </w:rPr>
          </w:pPr>
        </w:p>
      </w:sdtContent>
    </w:sdt>
    <w:p w14:paraId="5938EB55" w14:textId="3CA725C8" w:rsidR="00BA2DAC" w:rsidRPr="00BA2DAC" w:rsidRDefault="00BA2DAC" w:rsidP="00BA2DAC">
      <w:r w:rsidRPr="00BA2DAC">
        <w:t>Case study Hilton hotel group</w:t>
      </w:r>
    </w:p>
    <w:p w14:paraId="77A91051" w14:textId="77777777" w:rsidR="00BA2DAC" w:rsidRPr="00BA2DAC" w:rsidRDefault="00BA2DAC" w:rsidP="00BA2DAC"/>
    <w:p w14:paraId="2BE3E312" w14:textId="77777777" w:rsidR="00BA2DAC" w:rsidRPr="00BA2DAC" w:rsidRDefault="00BA2DAC" w:rsidP="00BA2DAC">
      <w:pPr>
        <w:pStyle w:val="Heading1"/>
      </w:pPr>
      <w:bookmarkStart w:id="2" w:name="_Toc168040578"/>
      <w:bookmarkStart w:id="3" w:name="_Toc168088730"/>
      <w:r w:rsidRPr="00BA2DAC">
        <w:t>Introduction</w:t>
      </w:r>
      <w:bookmarkEnd w:id="2"/>
      <w:bookmarkEnd w:id="3"/>
    </w:p>
    <w:p w14:paraId="608AF5E4" w14:textId="77777777" w:rsidR="00BA2DAC" w:rsidRPr="00BA2DAC" w:rsidRDefault="00BA2DAC" w:rsidP="00BA2DAC">
      <w:r w:rsidRPr="00BA2DAC">
        <w:t>The case study on Hilton Hotel Worldwide (2024) explores the intricacies of the hotel's organisational structure and delves into the broader context of how businesses within the hospitality industry structure their operations for optimal efficiency and effectiveness (Joseph and Gaba, 2020). as organisational structure plays a crucial role in shaping how responsibilities and information flow within an entity, and Hilton Hotel Worldwide provides a prime example of a hierarchical structure designed to streamline decision-making and enhance operational clarity (Helm 2024).</w:t>
      </w:r>
    </w:p>
    <w:p w14:paraId="4E080930" w14:textId="77777777" w:rsidR="00BA2DAC" w:rsidRPr="00BA2DAC" w:rsidRDefault="00BA2DAC" w:rsidP="00BA2DAC">
      <w:r w:rsidRPr="00BA2DAC">
        <w:t>As one of the leading global hospitality companies, Hilton has developed an organisational framework that supports its expansive operations, which include thousands of properties worldwide. This structure not only facilitates clear communication across the company but also ensures that strategic goals are efficiently implemented at every level, fostering a robust accountability system (Bogale and Debela, 2024).</w:t>
      </w:r>
    </w:p>
    <w:p w14:paraId="25555CB7" w14:textId="77777777" w:rsidR="00BA2DAC" w:rsidRPr="00BA2DAC" w:rsidRDefault="00BA2DAC" w:rsidP="00BA2DAC">
      <w:r w:rsidRPr="00BA2DAC">
        <w:t>This case study will scrutinise how Hilton’s organisational design, particularly its hierarchical nature, enables it to maintain high standards of service and manage its vast network of properties effectively (Fachada, 2023). We will also consider the impact of such a structure on the company’s ability to adapt to market changes and integrate innovative practices, particularly in areas such as digital technology and sustainability, which are increasingly vital in today’s business environment. Furthermore, the study will explore the alignment of Hilton's organisational structure with its corporate culture and strategic objectives, which include a strong emphasis on corporate social responsibility.</w:t>
      </w:r>
    </w:p>
    <w:p w14:paraId="56D2AFFF" w14:textId="77777777" w:rsidR="00BA2DAC" w:rsidRPr="00BA2DAC" w:rsidRDefault="00BA2DAC" w:rsidP="00BA2DAC">
      <w:pPr>
        <w:pStyle w:val="Heading2"/>
      </w:pPr>
      <w:bookmarkStart w:id="4" w:name="_Toc168040579"/>
      <w:bookmarkStart w:id="5" w:name="_Toc168088731"/>
      <w:r w:rsidRPr="00BA2DAC">
        <w:t>Organisation structure</w:t>
      </w:r>
      <w:bookmarkEnd w:id="4"/>
      <w:bookmarkEnd w:id="5"/>
    </w:p>
    <w:p w14:paraId="6BB6A978" w14:textId="77777777" w:rsidR="00BA2DAC" w:rsidRPr="00BA2DAC" w:rsidRDefault="00BA2DAC" w:rsidP="00BA2DAC">
      <w:r w:rsidRPr="00BA2DAC">
        <w:t xml:space="preserve">An organisational structure is a framework that specifies how certain tasks are carried out in order to meet the objectives of the organisation. Usually, these activities have roles, duties, and rules. An organisation's structure dictates how information is distributed across the many levels of management as well as how roles, authority, and duties are given, managed, and coordinated (Joseph and Gaba, 2020). Although there are many different kinds of organisational structures, the most conventional one is hierarchical, featuring a top-down, clearly defined chain of command and linear communication channels (Maurer, Bach, and Oertel, 2023). This form of hierarchy, which is typical in large, traditional firms where stringent control over operations and decision-making processes is required, has each level controlling the level below and being </w:t>
      </w:r>
      <w:r w:rsidRPr="00BA2DAC">
        <w:lastRenderedPageBreak/>
        <w:t>controlled by the level above (Dosi, Marengo, and Virgillito, 2021).</w:t>
      </w:r>
      <w:r w:rsidRPr="00BA2DAC">
        <w:rPr>
          <w:noProof/>
        </w:rPr>
        <w:drawing>
          <wp:inline distT="0" distB="0" distL="0" distR="0" wp14:anchorId="471CD49B" wp14:editId="38151BD2">
            <wp:extent cx="4509157" cy="4010685"/>
            <wp:effectExtent l="0" t="0" r="5715" b="8890"/>
            <wp:docPr id="3115580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58085" name="Picture 1" descr="A screenshot of a computer&#10;&#10;Description automatically generated"/>
                    <pic:cNvPicPr/>
                  </pic:nvPicPr>
                  <pic:blipFill>
                    <a:blip r:embed="rId5"/>
                    <a:stretch>
                      <a:fillRect/>
                    </a:stretch>
                  </pic:blipFill>
                  <pic:spPr>
                    <a:xfrm>
                      <a:off x="0" y="0"/>
                      <a:ext cx="4534728" cy="4033429"/>
                    </a:xfrm>
                    <a:prstGeom prst="rect">
                      <a:avLst/>
                    </a:prstGeom>
                  </pic:spPr>
                </pic:pic>
              </a:graphicData>
            </a:graphic>
          </wp:inline>
        </w:drawing>
      </w:r>
      <w:r w:rsidRPr="00BA2DAC">
        <w:t xml:space="preserve"> Organimi (2024)</w:t>
      </w:r>
    </w:p>
    <w:p w14:paraId="599046A5" w14:textId="77777777" w:rsidR="00BA2DAC" w:rsidRPr="00BA2DAC" w:rsidRDefault="00BA2DAC" w:rsidP="00BA2DAC"/>
    <w:p w14:paraId="0EF31112" w14:textId="77777777" w:rsidR="00BA2DAC" w:rsidRPr="00BA2DAC" w:rsidRDefault="00BA2DAC" w:rsidP="00BA2DAC">
      <w:r w:rsidRPr="00BA2DAC">
        <w:t>In contrast, a flat organisational structure has few or no tiers of middle management separating employees from executives. This style tends to foster a collaborative work atmosphere and increases employee involvement in decision-making (Isac et al., 2021). It is frequently observed in smaller, startup businesses where decision-making agility and speed are highly regarded. Another type is the matrix structure, which is frequently employed by global corporations. According to Guterman (2023), it creates a grid of managers by fusing components of divisional and functional organisations. Although this dual management style promotes effective communication and resource sharing between projects, it can also cause ambiguity in positions. Network structures are more dynamic and comprise links between many agencies or organisations that work together to generate a good or service. This structure enables firms to respond quickly and nimbly to opportunities or changes in the market (Chen et al., 2022). Every organisational structure has advantages and disadvantages, and the choice of structure affects an organisation's effectiveness, adaptability, and capacity to innovate and respond to external changes. These factors include the organisation's size, goals, and strategy. To ensure efficient administration and coordination across the entire organisation, the structure needs to be in line with its objectives and culture.</w:t>
      </w:r>
    </w:p>
    <w:p w14:paraId="1DE28CF3" w14:textId="77777777" w:rsidR="00BA2DAC" w:rsidRPr="00BA2DAC" w:rsidRDefault="00BA2DAC" w:rsidP="00BA2DAC">
      <w:r w:rsidRPr="00BA2DAC">
        <w:t>According to Helm (2024), the organisational structure of the Hilton hotel group is hierarchical. It was created to enable effective management and decision-making, with the Board of Directors at the top, followed by the CEO and Executive Team, the Corporate Support Team, and the Hotel Operations Team. Throughout the organisation, this structure guarantees open communication and responsibility (Nassetta, 2024).</w:t>
      </w:r>
    </w:p>
    <w:p w14:paraId="1745FC9A" w14:textId="77777777" w:rsidR="00BA2DAC" w:rsidRPr="00BA2DAC" w:rsidRDefault="00BA2DAC" w:rsidP="00BA2DAC">
      <w:r w:rsidRPr="00BA2DAC">
        <w:lastRenderedPageBreak/>
        <w:t>The CEO and Executive Team create the strategic goals and vision, leading the overall operations and making sure targets are accomplished. The Board of Directors supervises Hilton's direction and performance, influencing choices to align with shareholder and stakeholder interests. Helm (2024) also talks about The Corporate Support Team helps with strategy implementation by managing critical support tasks in HR, finance, marketing, and technology. The Hotel Operations Team oversees day-to-day operations at all Hilton locations globally, upholding high standards of customer care and operational effectiveness.</w:t>
      </w:r>
    </w:p>
    <w:p w14:paraId="72F86DDE" w14:textId="77777777" w:rsidR="00BA2DAC" w:rsidRPr="00BA2DAC" w:rsidRDefault="00BA2DAC" w:rsidP="00BA2DAC">
      <w:r w:rsidRPr="00BA2DAC">
        <w:t>Hilton benefits from this hierarchical structure because it facilitates quick, efficient decision-making and distinct position definitions, both of which help the business adjust to shifting market conditions. Additionally, it improves Hilton's corporate culture by encouraging openness and cooperation and making sure that each employee is aware of their duties (Dudovskiy, 2016). Hilton's structure, while resembling that of other major hotel chains, is specially designed to fulfil its own operational requirements and strategic goals, enhancing its competitive edge and ensuring uniform quality among its franchisees. Hilton must constantly overcome bureaucratic delays in decision-making in order to support its global expansion and preserve its position in the business (Fachada, 2023).</w:t>
      </w:r>
    </w:p>
    <w:p w14:paraId="3F9BDA41" w14:textId="77777777" w:rsidR="00BA2DAC" w:rsidRPr="00BA2DAC" w:rsidRDefault="00BA2DAC" w:rsidP="00BA2DAC">
      <w:pPr>
        <w:pStyle w:val="Heading2"/>
      </w:pPr>
      <w:bookmarkStart w:id="6" w:name="_Toc168040580"/>
      <w:bookmarkStart w:id="7" w:name="_Toc168088732"/>
      <w:r w:rsidRPr="00BA2DAC">
        <w:t>Culture</w:t>
      </w:r>
      <w:bookmarkEnd w:id="6"/>
      <w:bookmarkEnd w:id="7"/>
      <w:r w:rsidRPr="00BA2DAC">
        <w:t xml:space="preserve"> </w:t>
      </w:r>
    </w:p>
    <w:p w14:paraId="5910CC26" w14:textId="77777777" w:rsidR="00BA2DAC" w:rsidRPr="00BA2DAC" w:rsidRDefault="00BA2DAC" w:rsidP="00BA2DAC">
      <w:r w:rsidRPr="00BA2DAC">
        <w:t>According to Bogole and Debela (2024), organisational culture is the collective set of values, beliefs, norms, and practices that shape the behaviours of individuals within a company. It also affects how employees interact with external stakeholders and each other. Ultimately, organisational culture affects all facets of the business, from internal communications to customer relations and decision-making. This culture, which consists of the attitudes and actions that the organization's leadership either encourages or discourages, is frequently viewed as the "personality" of the company. It can either develop naturally depending on the company's history, the industry it works in, and the backgrounds of its personnel, or it can be purposefully moulded through projects and leadership styles. Strong organisational cultures promote a positive work environment, help employees operate in line with the company's objectives, and have a big impact on performance, productivity, and job satisfaction. On the other hand, low employee motivation, inefficiency, and high turnover rates can result from a weak or negative culture (Schram, 2021). As a result, an organization's performance and well-being greatly depend on its organisational culture.</w:t>
      </w:r>
    </w:p>
    <w:p w14:paraId="7474B427" w14:textId="77777777" w:rsidR="00BA2DAC" w:rsidRPr="00BA2DAC" w:rsidRDefault="00BA2DAC" w:rsidP="00BA2DAC">
      <w:r w:rsidRPr="00BA2DAC">
        <w:t>The organisational culture of Hilton highlights its dedication to being a people-focused corporation and includes important elements like professional progression opportunities, diversity, equity, and inclusion, as well as the noteworthy impact of "The Hilton Effect." This result highlights Hilton's history as a trailblazing international hotel chain that has moulded communities and promoted links throughout the globe. The "Heart of House" programme aims to provide hotel employees with a positive work environment by implementing strategies such as team clothing that is both fashionable and adaptable. In addition, the company's broad reach 5,757 sites worldwide, nearly 10 million team members, and 3 billion guests served illustrates the magnitude of Hilton's influence over its first century of operation. Links to social networking sites and job search engines are also included, promoting interaction and emphasising Hilton's accessibility and openness (Hilton 2024).</w:t>
      </w:r>
    </w:p>
    <w:p w14:paraId="3C304104" w14:textId="77777777" w:rsidR="00BA2DAC" w:rsidRPr="00BA2DAC" w:rsidRDefault="00BA2DAC" w:rsidP="00BA2DAC">
      <w:pPr>
        <w:pStyle w:val="Heading2"/>
      </w:pPr>
      <w:bookmarkStart w:id="8" w:name="_Toc168040581"/>
      <w:bookmarkStart w:id="9" w:name="_Toc168088733"/>
      <w:r w:rsidRPr="00BA2DAC">
        <w:lastRenderedPageBreak/>
        <w:t>Goals</w:t>
      </w:r>
      <w:bookmarkEnd w:id="8"/>
      <w:bookmarkEnd w:id="9"/>
      <w:r w:rsidRPr="00BA2DAC">
        <w:t xml:space="preserve"> </w:t>
      </w:r>
    </w:p>
    <w:p w14:paraId="223B123E" w14:textId="77777777" w:rsidR="00BA2DAC" w:rsidRPr="00BA2DAC" w:rsidRDefault="00BA2DAC" w:rsidP="00BA2DAC">
      <w:r w:rsidRPr="00BA2DAC">
        <w:t>Organizational structure goals refer to the specific objectives that an organization aims to achieve through the design and implementation of its structural framework. The alignment of an organization's communication systems, roles, and hierarchy of authority is predicated on these objectives, which are therefore vital. Sucharete Veiga et al. (2020)</w:t>
      </w:r>
    </w:p>
    <w:p w14:paraId="4F379B8E" w14:textId="77777777" w:rsidR="00BA2DAC" w:rsidRPr="00BA2DAC" w:rsidRDefault="00BA2DAC" w:rsidP="00BA2DAC">
      <w:r w:rsidRPr="00BA2DAC">
        <w:t>Hilton (2022) examines its future objectives in its report, as travel demand rises, the company has augmented its Environmental, Social, and Governance (ESG) commitments in an effort to mitigate climate change and improve social impacts. Established four years ago, the organisation revised its ambitious environmental, social, and governance (ESG) objectives as part of its "Travel with Purpose" strategy, which established climate targets grounded in science that are first in the industry. One of the objectives is to decrease greenhouse gas emissions in managed hotels by 75% by 2030, and in franchised hotels by 56%. This reduction in emissions is supported by the Science Based Targets initiative (SBTi). According to the most recent climate science from the Intergovernmental Panel on Climate Change of the United Nations, the revised objectives are consistent with efforts to limit global temperature rise to 1.5°C above pre-industrial levels. Hilton further endeavours to contribute to the decarbonisation of the real estate industry through its investment in the Climate Tech Fund of Fifth Wall. This fund is dedicated to pioneering technologies that utilise carbon sequestration and renewable energy. Hilton has reaffirmed its dedication to social impact, which includes environmental initiatives and the creation of 5 million learning and career advancement opportunities by 2030, with a particular focus on underrepresented groups. By fostering economic opportunities and community support, the organisation intends to positively influence twenty million individuals while promoting responsible practices throughout its value chain. These endeavours are an integral component of Hilton's overarching approach to safeguarding the environment and communities, thereby guaranteeing the long-term viability of its destinations. Ongoing contributions to the Hilton Global Foundation, which assists communities impacted by climate change and COVID-19, and direct contributions from team members through the company's travel benefits support Hilton's commitment to these objectives. Continual developments and Hilton's progress are detailed on its ESG-oriented website.</w:t>
      </w:r>
    </w:p>
    <w:p w14:paraId="235777EB" w14:textId="77777777" w:rsidR="00BA2DAC" w:rsidRPr="00BA2DAC" w:rsidRDefault="00BA2DAC" w:rsidP="00BA2DAC">
      <w:pPr>
        <w:pStyle w:val="Heading2"/>
      </w:pPr>
      <w:bookmarkStart w:id="10" w:name="_Toc168040582"/>
      <w:bookmarkStart w:id="11" w:name="_Toc168088734"/>
      <w:r w:rsidRPr="00BA2DAC">
        <w:t>Recent change initiatives</w:t>
      </w:r>
      <w:bookmarkEnd w:id="10"/>
      <w:bookmarkEnd w:id="11"/>
      <w:r w:rsidRPr="00BA2DAC">
        <w:t xml:space="preserve"> </w:t>
      </w:r>
    </w:p>
    <w:p w14:paraId="6DA04A56" w14:textId="77777777" w:rsidR="00BA2DAC" w:rsidRPr="00BA2DAC" w:rsidRDefault="00BA2DAC" w:rsidP="00BA2DAC">
      <w:r w:rsidRPr="00BA2DAC">
        <w:t>Hilton (2021) Important areas of emphasis include wellness, which influences spa and overall hotel experiences; fitness, which is gaining popularity due to the rise of app workouts and novel routines; and food and beverage preferences, which are experiencing an increase in demand for distinctive culinary experiences. Additionally, a shift in hotel design preferences influenced by do-it-yourself trends at home and increased pet ownership driving the demand for pet-friendly amenities are highlighted in the report. The Covello Twenty21 As loyalty programmes improve consumer benefits and personalisation, they are gaining importance. Hilton's CEO, Chris Nassetta, underscores the organization's dedication to accommodating and satisfying the changing demands of its clientele in the midst of these transformations. Hilton (2021) highlights a significant transition towards efficiency, wellness, discerning preferences, and a stronger sense of community and sustainability in their report. This depicts the emergence of a more conscientious and involved traveller in the aftermath of the pandemic.</w:t>
      </w:r>
    </w:p>
    <w:p w14:paraId="3950A886" w14:textId="77777777" w:rsidR="00BA2DAC" w:rsidRPr="00BA2DAC" w:rsidRDefault="00BA2DAC" w:rsidP="00BA2DAC">
      <w:pPr>
        <w:pStyle w:val="Heading2"/>
      </w:pPr>
      <w:bookmarkStart w:id="12" w:name="_Toc168040583"/>
      <w:bookmarkStart w:id="13" w:name="_Toc168088735"/>
      <w:r w:rsidRPr="00BA2DAC">
        <w:lastRenderedPageBreak/>
        <w:t>Impact Management Strategy</w:t>
      </w:r>
      <w:bookmarkEnd w:id="12"/>
      <w:bookmarkEnd w:id="13"/>
    </w:p>
    <w:p w14:paraId="665DEA14" w14:textId="77777777" w:rsidR="00BA2DAC" w:rsidRPr="00BA2DAC" w:rsidRDefault="00BA2DAC" w:rsidP="00BA2DAC">
      <w:r w:rsidRPr="00BA2DAC">
        <w:t>An examination of the influence of corporate social responsibility (CSR) on stakeholder management is the subject of the Hilton Hotel Worldwide Reidhead case study (2020), which focuses specifically on the incorporation of CSR into executive compensation. From the perspective of a shareholder contemplating the inclusion of CSR performance in executive compensation, this study examines the multifaceted aspects of CSR in the hospitality sector and the particular initiatives undertaken by HHW.</w:t>
      </w:r>
    </w:p>
    <w:p w14:paraId="3BE9F375" w14:textId="77777777" w:rsidR="00BA2DAC" w:rsidRPr="00BA2DAC" w:rsidRDefault="00BA2DAC" w:rsidP="00BA2DAC">
      <w:r w:rsidRPr="00BA2DAC">
        <w:t>Environmental, legal, ethical, and community responsibilities are all encompassed within CSR initiatives (Li et al., 2022). The organisation has demonstrated a proactive approach in implementing corporate social responsibility (CSR) practices, including a proprietary environmental reporting programme and a resilient CSR communication platform. These endeavours have propelled the company to the forefront of CSR in the hospitality sector (Hilton, 2024). Beyond mere adherence to regulations, these programmes seek to establish competitive edges by aligning with contemporary consumer and societal demands.</w:t>
      </w:r>
    </w:p>
    <w:p w14:paraId="192DA274" w14:textId="77777777" w:rsidR="00BA2DAC" w:rsidRPr="00BA2DAC" w:rsidRDefault="00BA2DAC" w:rsidP="00BA2DAC">
      <w:pPr>
        <w:pStyle w:val="Heading1"/>
      </w:pPr>
      <w:bookmarkStart w:id="14" w:name="_Toc168040584"/>
      <w:bookmarkStart w:id="15" w:name="_Toc168088736"/>
      <w:r w:rsidRPr="00BA2DAC">
        <w:t>Conclusion</w:t>
      </w:r>
      <w:bookmarkEnd w:id="14"/>
      <w:bookmarkEnd w:id="15"/>
    </w:p>
    <w:p w14:paraId="06BDF28B" w14:textId="77777777" w:rsidR="00BA2DAC" w:rsidRPr="00BA2DAC" w:rsidRDefault="00BA2DAC" w:rsidP="00BA2DAC">
      <w:r w:rsidRPr="00BA2DAC">
        <w:t>In conclusion, this Hilton Hotel Worldwide case study offers an exhaustive examination of the organisational framework and strategic congruence that serve as the foundation for Hilton's operational and cultural values. The research demonstrates how Hilton's extensive worldwide network's decision-making processes are facilitated by a hierarchical organisational structure that promotes clarity and efficiency (Helm, 2024). Additionally, it underscores the organization's dedication to cultivating a favourable organisational climate, incorporating cutting-edge methodologies, and upholding elevated levels of service quality—all of which are vital for preserving a competitive edge in the rapidly progressing hospitality sector (Dudovskiy, 2016).</w:t>
      </w:r>
    </w:p>
    <w:p w14:paraId="400E6D07" w14:textId="77777777" w:rsidR="00BA2DAC" w:rsidRPr="00BA2DAC" w:rsidRDefault="00BA2DAC" w:rsidP="00BA2DAC">
      <w:r w:rsidRPr="00BA2DAC">
        <w:t>Additionally, Hilton showcases its commitment to sustainability and social impact through its proactive approach to corporate social responsibility, specifically through its Environmental, Social, and Governance (ESG) initiatives (Hilton, 2022). By actively participating in community development and environmental conservation, Hilton demonstrates its leadership position as a hospitality industry leader that places a premium on corporate citizenship (Reidhead, 2020).</w:t>
      </w:r>
    </w:p>
    <w:p w14:paraId="047977AB" w14:textId="77777777" w:rsidR="00BA2DAC" w:rsidRPr="00BA2DAC" w:rsidRDefault="00BA2DAC" w:rsidP="00BA2DAC">
      <w:r w:rsidRPr="00BA2DAC">
        <w:t>Hilton's adept management of a worldwide hospitality conglomerate is demonstrated through the seamless integration of its corporate social responsibility (CSR) initiatives into its business operations and the congruence of its organisational goals and strategic objectives (Veiga et al., 2020). This case study highlights the significance of strategic alignment and structured organisational management in the hospitality industry for attaining business excellence, sustainability, and effective community engagement.</w:t>
      </w:r>
    </w:p>
    <w:p w14:paraId="42F09198" w14:textId="77777777" w:rsidR="00BA2DAC" w:rsidRPr="00BA2DAC" w:rsidRDefault="00BA2DAC" w:rsidP="00BA2DAC">
      <w:pPr>
        <w:pStyle w:val="Heading1"/>
      </w:pPr>
      <w:bookmarkStart w:id="16" w:name="_Toc168040585"/>
      <w:bookmarkStart w:id="17" w:name="_Toc168088737"/>
      <w:r w:rsidRPr="00BA2DAC">
        <w:t>Recommendation</w:t>
      </w:r>
      <w:bookmarkEnd w:id="16"/>
      <w:bookmarkEnd w:id="17"/>
    </w:p>
    <w:p w14:paraId="220E5015" w14:textId="77777777" w:rsidR="00BA2DAC" w:rsidRPr="00BA2DAC" w:rsidRDefault="00BA2DAC" w:rsidP="00BA2DAC">
      <w:r w:rsidRPr="00BA2DAC">
        <w:t>While Hilton's hierarchical structure has demonstrated efficacy, internal communication could always be enhanced. Incorporating more resilient digital tools that expedite communication among various echelons of management may augment the organisation's responsiveness and agility.</w:t>
      </w:r>
    </w:p>
    <w:p w14:paraId="1A2303A2" w14:textId="77777777" w:rsidR="00BA2DAC" w:rsidRPr="00BA2DAC" w:rsidRDefault="00BA2DAC" w:rsidP="00BA2DAC">
      <w:r w:rsidRPr="00BA2DAC">
        <w:br w:type="page"/>
      </w:r>
    </w:p>
    <w:p w14:paraId="4C4F14B3" w14:textId="77777777" w:rsidR="00BA2DAC" w:rsidRPr="00BA2DAC" w:rsidRDefault="00BA2DAC" w:rsidP="00BA2DAC">
      <w:pPr>
        <w:pStyle w:val="Heading1"/>
      </w:pPr>
      <w:bookmarkStart w:id="18" w:name="_Toc168040586"/>
      <w:bookmarkStart w:id="19" w:name="_Toc168088738"/>
      <w:r w:rsidRPr="00BA2DAC">
        <w:lastRenderedPageBreak/>
        <w:t>Reference List</w:t>
      </w:r>
      <w:bookmarkEnd w:id="18"/>
      <w:bookmarkEnd w:id="19"/>
    </w:p>
    <w:p w14:paraId="10D9EF5F" w14:textId="395426B9" w:rsidR="00BA2DAC" w:rsidRPr="00BA2DAC" w:rsidRDefault="00BA2DAC" w:rsidP="00BA2DAC">
      <w:r w:rsidRPr="00BA2DAC">
        <w:t xml:space="preserve">Bogale A. D., Debela k. L.(2024) </w:t>
      </w:r>
      <w:r w:rsidRPr="00BA2DAC">
        <w:rPr>
          <w:i/>
          <w:iCs/>
        </w:rPr>
        <w:t>Organizational culture: a Systematic Review</w:t>
      </w:r>
      <w:r w:rsidRPr="00BA2DAC">
        <w:t xml:space="preserve">. Cogent Business &amp; Management, [online] 11(1). doi:https://doi.org/10.1080/23311975.2024.2340129 (Accessed </w:t>
      </w:r>
      <w:r w:rsidR="001E65AC">
        <w:t>22</w:t>
      </w:r>
      <w:r w:rsidRPr="00BA2DAC">
        <w:t xml:space="preserve"> May 2024).</w:t>
      </w:r>
    </w:p>
    <w:p w14:paraId="13C0C8E9" w14:textId="4C83C999" w:rsidR="00BA2DAC" w:rsidRPr="00BA2DAC" w:rsidRDefault="00BA2DAC" w:rsidP="00BA2DAC">
      <w:r w:rsidRPr="00BA2DAC">
        <w:t>Chen, H., Mehra, A., Tasselli, S. and Borgatti, S.P. (2022) ‘</w:t>
      </w:r>
      <w:r w:rsidRPr="00BA2DAC">
        <w:rPr>
          <w:i/>
          <w:iCs/>
        </w:rPr>
        <w:t>Network Dynamics and Organizations: A Review and Research Agenda</w:t>
      </w:r>
      <w:r w:rsidRPr="00BA2DAC">
        <w:t xml:space="preserve">’ </w:t>
      </w:r>
      <w:r w:rsidRPr="00BA2DAC">
        <w:rPr>
          <w:i/>
          <w:iCs/>
        </w:rPr>
        <w:t>Journal of Management,</w:t>
      </w:r>
      <w:r w:rsidRPr="00BA2DAC">
        <w:t xml:space="preserve"> 48(6), p.014920632110632. doi:https://doi.org/10.1177/0149206321106321 (Accessed </w:t>
      </w:r>
      <w:r w:rsidR="001E65AC">
        <w:t>23</w:t>
      </w:r>
      <w:r w:rsidRPr="00BA2DAC">
        <w:t xml:space="preserve"> May 2024).</w:t>
      </w:r>
    </w:p>
    <w:p w14:paraId="65E84B5D" w14:textId="650E7D85" w:rsidR="00BA2DAC" w:rsidRPr="00BA2DAC" w:rsidRDefault="00BA2DAC" w:rsidP="00BA2DAC">
      <w:r w:rsidRPr="00BA2DAC">
        <w:t>Chión, S.J., Charles, V. and Morales, J. (2020) ‘</w:t>
      </w:r>
      <w:r w:rsidRPr="00BA2DAC">
        <w:rPr>
          <w:i/>
          <w:iCs/>
        </w:rPr>
        <w:t>The impact of organisational culture, organisational structure and technological infrastructure on process improvement through knowledge sharing’</w:t>
      </w:r>
      <w:r w:rsidRPr="00BA2DAC">
        <w:t xml:space="preserve">. </w:t>
      </w:r>
      <w:r w:rsidRPr="00BA2DAC">
        <w:rPr>
          <w:i/>
          <w:iCs/>
        </w:rPr>
        <w:t>Business Process Management Journal</w:t>
      </w:r>
      <w:r w:rsidRPr="00BA2DAC">
        <w:t>, 26(6), pp.1443–1472.</w:t>
      </w:r>
      <w:r>
        <w:t>( Accesed on 22 May 2024)</w:t>
      </w:r>
    </w:p>
    <w:p w14:paraId="1BA01BE2" w14:textId="5A8B399F" w:rsidR="00BA2DAC" w:rsidRPr="00BA2DAC" w:rsidRDefault="00BA2DAC" w:rsidP="00BA2DAC">
      <w:r w:rsidRPr="00BA2DAC">
        <w:t xml:space="preserve">Covello, L. (2021) </w:t>
      </w:r>
      <w:r w:rsidRPr="00BA2DAC">
        <w:rPr>
          <w:i/>
          <w:iCs/>
        </w:rPr>
        <w:t>Council Post: Why Personalization Is The Holy Grail Of Loyalty</w:t>
      </w:r>
      <w:r w:rsidRPr="00BA2DAC">
        <w:t xml:space="preserve">. [online] Forbes. Available at: https://www.forbes.com/sites/forbestechcouncil/2021/11/09/why-personalization-is-the-holy-grail-of-loyalty/ (Accessed </w:t>
      </w:r>
      <w:r w:rsidR="001E65AC">
        <w:t>2</w:t>
      </w:r>
      <w:r w:rsidRPr="00BA2DAC">
        <w:t>2 May 2024).</w:t>
      </w:r>
    </w:p>
    <w:p w14:paraId="685A728F" w14:textId="1C0B1BFC" w:rsidR="00BA2DAC" w:rsidRPr="00BA2DAC" w:rsidRDefault="00BA2DAC" w:rsidP="00BA2DAC">
      <w:r w:rsidRPr="00BA2DAC">
        <w:t xml:space="preserve">Dosi, G., Marengo, L. and Virgillito, M.E. (2021) </w:t>
      </w:r>
      <w:r w:rsidRPr="00BA2DAC">
        <w:rPr>
          <w:i/>
          <w:iCs/>
        </w:rPr>
        <w:t>Hierarchies, knowledge, and power inside organizations</w:t>
      </w:r>
      <w:r w:rsidRPr="00BA2DAC">
        <w:t xml:space="preserve">. Strategy Science, 6(4), pp.371–384. (Accessed </w:t>
      </w:r>
      <w:r w:rsidR="001E65AC">
        <w:t>22</w:t>
      </w:r>
      <w:r w:rsidRPr="00BA2DAC">
        <w:t xml:space="preserve"> May 2024).</w:t>
      </w:r>
    </w:p>
    <w:p w14:paraId="70E9C066" w14:textId="1153FCDB" w:rsidR="00BA2DAC" w:rsidRPr="00BA2DAC" w:rsidRDefault="00BA2DAC" w:rsidP="00BA2DAC">
      <w:r w:rsidRPr="00BA2DAC">
        <w:t xml:space="preserve">Dudovskiy, J. (2016) </w:t>
      </w:r>
      <w:r w:rsidRPr="00BA2DAC">
        <w:rPr>
          <w:i/>
          <w:iCs/>
        </w:rPr>
        <w:t>Hilton Organizational Structure</w:t>
      </w:r>
      <w:r w:rsidRPr="00BA2DAC">
        <w:t xml:space="preserve"> - Research-Methodology. [online] Research-Methodology. Available at: https://research-methodology.net/hilton-organizational-structure/ (Accessed </w:t>
      </w:r>
      <w:r w:rsidR="001E65AC">
        <w:t>2</w:t>
      </w:r>
      <w:r w:rsidRPr="00BA2DAC">
        <w:t>2 May 2024).</w:t>
      </w:r>
    </w:p>
    <w:p w14:paraId="5286EAD6" w14:textId="660064C9" w:rsidR="00BA2DAC" w:rsidRPr="00BA2DAC" w:rsidRDefault="00BA2DAC" w:rsidP="00BA2DAC">
      <w:r w:rsidRPr="00BA2DAC">
        <w:t>Fachada, B.C. (2023</w:t>
      </w:r>
      <w:r w:rsidRPr="00BA2DAC">
        <w:rPr>
          <w:i/>
          <w:iCs/>
        </w:rPr>
        <w:t>) Business adaptive strategies in crisis.</w:t>
      </w:r>
      <w:r w:rsidRPr="00BA2DAC">
        <w:t xml:space="preserve"> the case of Hilton Hotels Worldwide.</w:t>
      </w:r>
      <w:r>
        <w:t xml:space="preserve"> </w:t>
      </w:r>
      <w:r w:rsidRPr="00BA2DAC">
        <w:t xml:space="preserve">(Accessed </w:t>
      </w:r>
      <w:r>
        <w:t xml:space="preserve">26 </w:t>
      </w:r>
      <w:r w:rsidRPr="00BA2DAC">
        <w:t>May 2024).</w:t>
      </w:r>
    </w:p>
    <w:p w14:paraId="1CEBEF3B" w14:textId="0CE8942C" w:rsidR="00BA2DAC" w:rsidRPr="00BA2DAC" w:rsidRDefault="00BA2DAC" w:rsidP="00BA2DAC">
      <w:r w:rsidRPr="00BA2DAC">
        <w:t xml:space="preserve">Gutterman, P. (2023) </w:t>
      </w:r>
      <w:r w:rsidRPr="00BA2DAC">
        <w:rPr>
          <w:i/>
          <w:iCs/>
        </w:rPr>
        <w:t>Basic Models of Organizational Structure</w:t>
      </w:r>
      <w:r w:rsidRPr="00BA2DAC">
        <w:t>. [online] Social Science Research Network. doi:https://doi.org/10.2139/ssrn.4545843. (Accesse 2</w:t>
      </w:r>
      <w:r w:rsidR="001E65AC">
        <w:t>4</w:t>
      </w:r>
      <w:r w:rsidRPr="00BA2DAC">
        <w:t>May 2021).</w:t>
      </w:r>
    </w:p>
    <w:p w14:paraId="22457BF5" w14:textId="0AB518AE" w:rsidR="00BA2DAC" w:rsidRPr="00BA2DAC" w:rsidRDefault="00BA2DAC" w:rsidP="00BA2DAC">
      <w:r w:rsidRPr="00BA2DAC">
        <w:t xml:space="preserve">Helm, P. (2024) </w:t>
      </w:r>
      <w:r w:rsidRPr="00BA2DAC">
        <w:rPr>
          <w:i/>
          <w:iCs/>
        </w:rPr>
        <w:t>What is Hilton’s organizational structure? -</w:t>
      </w:r>
      <w:r w:rsidRPr="00BA2DAC">
        <w:t xml:space="preserve"> Travel FAQ (2024 Edition). [online] Discovering Employment Paths and Travel Experiences. Available at: https://www.ncesc.com/what-is-hiltons-organizational-structure/ (Accessed </w:t>
      </w:r>
      <w:r w:rsidR="001E65AC">
        <w:t>2</w:t>
      </w:r>
      <w:r>
        <w:t>6</w:t>
      </w:r>
      <w:r w:rsidRPr="00BA2DAC">
        <w:t xml:space="preserve"> May 2024).</w:t>
      </w:r>
    </w:p>
    <w:p w14:paraId="5EB13175" w14:textId="6280E4BB" w:rsidR="00BA2DAC" w:rsidRPr="00BA2DAC" w:rsidRDefault="00BA2DAC" w:rsidP="00BA2DAC">
      <w:r w:rsidRPr="00BA2DAC">
        <w:t xml:space="preserve">Hilton (2021) </w:t>
      </w:r>
      <w:r w:rsidRPr="00BA2DAC">
        <w:rPr>
          <w:i/>
          <w:iCs/>
        </w:rPr>
        <w:t>Hilton Global Trends Report On 2022 Travel, Change</w:t>
      </w:r>
      <w:r w:rsidRPr="00BA2DAC">
        <w:t xml:space="preserve">. [online] Stories From Hilton. Available at: https://stories.hilton.com/releases/hilton-global-trends-report-on-2022-travel-change (Accessed </w:t>
      </w:r>
      <w:r w:rsidR="001E65AC">
        <w:t>26</w:t>
      </w:r>
      <w:r w:rsidRPr="00BA2DAC">
        <w:t xml:space="preserve"> May 2024).</w:t>
      </w:r>
    </w:p>
    <w:p w14:paraId="4EC32BF8" w14:textId="712E637F" w:rsidR="00BA2DAC" w:rsidRPr="00BA2DAC" w:rsidRDefault="00BA2DAC" w:rsidP="00BA2DAC">
      <w:r w:rsidRPr="00BA2DAC">
        <w:t xml:space="preserve">Hilton (2022) </w:t>
      </w:r>
      <w:r w:rsidRPr="00BA2DAC">
        <w:rPr>
          <w:i/>
          <w:iCs/>
        </w:rPr>
        <w:t>Hilton Enhances ESG Targets to Drive Climate Action and Social Impact</w:t>
      </w:r>
      <w:r w:rsidRPr="00BA2DAC">
        <w:t xml:space="preserve">. [online] Stories from Hilton. Available at: https://stories.hilton.com/travel-with-purpose/hilton-enhances-esg-targets-climate-action-social-impact (Accessed </w:t>
      </w:r>
      <w:r w:rsidR="001E65AC">
        <w:t>2</w:t>
      </w:r>
      <w:r>
        <w:t xml:space="preserve">6 </w:t>
      </w:r>
      <w:r w:rsidRPr="00BA2DAC">
        <w:t>May 2024).</w:t>
      </w:r>
    </w:p>
    <w:p w14:paraId="043B2F3D" w14:textId="019C3B00" w:rsidR="00BA2DAC" w:rsidRDefault="00BA2DAC" w:rsidP="00BA2DAC">
      <w:r w:rsidRPr="00BA2DAC">
        <w:t xml:space="preserve">Hilton (2024) </w:t>
      </w:r>
      <w:r w:rsidRPr="00BA2DAC">
        <w:rPr>
          <w:i/>
          <w:iCs/>
        </w:rPr>
        <w:t>Hilton About us</w:t>
      </w:r>
      <w:r w:rsidRPr="00BA2DAC">
        <w:t xml:space="preserve"> [online], Available at: https://esg.hilton.com/ (Accessed </w:t>
      </w:r>
      <w:r w:rsidR="001E65AC">
        <w:t>2</w:t>
      </w:r>
      <w:r>
        <w:t>6</w:t>
      </w:r>
      <w:r w:rsidRPr="00BA2DAC">
        <w:t xml:space="preserve"> May 2024).</w:t>
      </w:r>
    </w:p>
    <w:p w14:paraId="6E17CF31" w14:textId="0A1B0A1E" w:rsidR="00BA2DAC" w:rsidRPr="00BA2DAC" w:rsidRDefault="00BA2DAC" w:rsidP="00BA2DAC">
      <w:r w:rsidRPr="00BA2DAC">
        <w:t xml:space="preserve">Joseph, J. and Gaba, V. (2020) </w:t>
      </w:r>
      <w:r w:rsidRPr="00BA2DAC">
        <w:rPr>
          <w:i/>
          <w:iCs/>
        </w:rPr>
        <w:t>Organizational Structure, Information Processing, and Decision-Making: A Retrospective and Road Map for Research</w:t>
      </w:r>
      <w:r w:rsidRPr="00BA2DAC">
        <w:t xml:space="preserve">. Academy of Management Annals, 14(1), pp.267–302. (Accessed </w:t>
      </w:r>
      <w:r w:rsidR="001E65AC">
        <w:t>26</w:t>
      </w:r>
      <w:r w:rsidRPr="00BA2DAC">
        <w:t xml:space="preserve"> May 2024).</w:t>
      </w:r>
    </w:p>
    <w:p w14:paraId="22748204" w14:textId="37A5F09E" w:rsidR="00BA2DAC" w:rsidRPr="00BA2DAC" w:rsidRDefault="00BA2DAC" w:rsidP="00BA2DAC">
      <w:r w:rsidRPr="00BA2DAC">
        <w:t xml:space="preserve">Li, H., Kuo, Y.K., Mir, M.M. and Omar, M. (2022) </w:t>
      </w:r>
      <w:r w:rsidRPr="00BA2DAC">
        <w:rPr>
          <w:i/>
          <w:iCs/>
        </w:rPr>
        <w:t xml:space="preserve">Corporate social responsibility and environmental sustainability: achieving firms sustainable performance supported by plant </w:t>
      </w:r>
      <w:r w:rsidRPr="00BA2DAC">
        <w:rPr>
          <w:i/>
          <w:iCs/>
        </w:rPr>
        <w:lastRenderedPageBreak/>
        <w:t>capability</w:t>
      </w:r>
      <w:r w:rsidRPr="00BA2DAC">
        <w:t>. Economic Research-Ekonomska Istraživanja, [online] 35(1), pp.1–23. doi:https://doi.org/10.1080/1331677x.2021.2015612. (Accessed  2</w:t>
      </w:r>
      <w:r w:rsidR="001E65AC">
        <w:t>6</w:t>
      </w:r>
      <w:r w:rsidRPr="00BA2DAC">
        <w:t xml:space="preserve"> May 2024).</w:t>
      </w:r>
    </w:p>
    <w:p w14:paraId="6AAC86A0" w14:textId="539B1103" w:rsidR="00BA2DAC" w:rsidRPr="00BA2DAC" w:rsidRDefault="00BA2DAC" w:rsidP="00BA2DAC">
      <w:r w:rsidRPr="00BA2DAC">
        <w:t>Maurer, M., Bach, N. and Oertel, S. (2023)</w:t>
      </w:r>
      <w:r w:rsidRPr="00BA2DAC">
        <w:rPr>
          <w:i/>
          <w:iCs/>
        </w:rPr>
        <w:t xml:space="preserve"> Changes in formal structure towards selfmanaging organization and their effects on the intraorganizational communication network</w:t>
      </w:r>
      <w:r w:rsidRPr="00BA2DAC">
        <w:t>. Journal of Organization Design, 12(3), pp.83–98. (Accessed 2</w:t>
      </w:r>
      <w:r w:rsidR="001E65AC">
        <w:t>8</w:t>
      </w:r>
      <w:r w:rsidRPr="00BA2DAC">
        <w:t xml:space="preserve"> May 2024).</w:t>
      </w:r>
    </w:p>
    <w:p w14:paraId="77B5AAA6" w14:textId="77777777" w:rsidR="00BA2DAC" w:rsidRPr="00BA2DAC" w:rsidRDefault="00BA2DAC" w:rsidP="00BA2DAC">
      <w:r w:rsidRPr="00BA2DAC">
        <w:t xml:space="preserve">Nassetta, C. (2024) </w:t>
      </w:r>
      <w:r w:rsidRPr="00BA2DAC">
        <w:rPr>
          <w:i/>
          <w:iCs/>
        </w:rPr>
        <w:t>Board of Directors.</w:t>
      </w:r>
      <w:r w:rsidRPr="00BA2DAC">
        <w:t xml:space="preserve"> [online] ir.hilton.com. Available at: https://ir.hilton.com/corporate-governance/board-of-directors (Accessed 22 May 2024).</w:t>
      </w:r>
    </w:p>
    <w:p w14:paraId="0F608C2F" w14:textId="3B0794FB" w:rsidR="00BA2DAC" w:rsidRPr="00BA2DAC" w:rsidRDefault="00BA2DAC" w:rsidP="00BA2DAC">
      <w:r w:rsidRPr="00BA2DAC">
        <w:t xml:space="preserve">Organ, C. (2023) </w:t>
      </w:r>
      <w:r w:rsidRPr="00BA2DAC">
        <w:rPr>
          <w:i/>
          <w:iCs/>
        </w:rPr>
        <w:t>7 Organizational Structure Types</w:t>
      </w:r>
      <w:r w:rsidRPr="00BA2DAC">
        <w:t xml:space="preserve">. [online] Forbes. Available at: https://www.forbes.com/advisor/business/organizational-structure/ (Accessed </w:t>
      </w:r>
      <w:r w:rsidR="001E65AC">
        <w:t>24</w:t>
      </w:r>
      <w:r w:rsidRPr="00BA2DAC">
        <w:t xml:space="preserve"> May 2024).</w:t>
      </w:r>
    </w:p>
    <w:p w14:paraId="05EE8D84" w14:textId="77777777" w:rsidR="00BA2DAC" w:rsidRPr="00BA2DAC" w:rsidRDefault="00BA2DAC" w:rsidP="00BA2DAC">
      <w:r w:rsidRPr="00BA2DAC">
        <w:t>Organimi (2024) Hilton’s Organizational Structure [Interactive Chart]. [online] Organimi. Available at: https://www.organimi.com/organizational-structures/hilton/ (Accessed 31 May 2024).</w:t>
      </w:r>
    </w:p>
    <w:p w14:paraId="2BB7BB66" w14:textId="197D7F04" w:rsidR="00BA2DAC" w:rsidRPr="00BA2DAC" w:rsidRDefault="00BA2DAC" w:rsidP="00BA2DAC">
      <w:r w:rsidRPr="00BA2DAC">
        <w:t>Reidhead, C. (2020)</w:t>
      </w:r>
      <w:r w:rsidRPr="00BA2DAC">
        <w:rPr>
          <w:i/>
          <w:iCs/>
        </w:rPr>
        <w:t xml:space="preserve"> Impact of Organizational Culture on Employee Satisfaction: A Case of Hilton Hotel, United Kingdom.</w:t>
      </w:r>
      <w:r w:rsidRPr="00BA2DAC">
        <w:t xml:space="preserve"> [online] papers.ssrn.com. Available at: https://papers.ssrn.com/sol3/papers.cfm?abstract_id=3563546 (Accessed  </w:t>
      </w:r>
      <w:r>
        <w:t>25</w:t>
      </w:r>
      <w:r w:rsidRPr="00BA2DAC">
        <w:t>May 2024).</w:t>
      </w:r>
    </w:p>
    <w:p w14:paraId="429D059B" w14:textId="2D9DD1EC" w:rsidR="00BA2DAC" w:rsidRPr="00BA2DAC" w:rsidRDefault="00BA2DAC" w:rsidP="00BA2DAC">
      <w:r w:rsidRPr="00BA2DAC">
        <w:t xml:space="preserve">Schram, E. (2021) </w:t>
      </w:r>
      <w:r w:rsidRPr="00BA2DAC">
        <w:rPr>
          <w:i/>
          <w:iCs/>
        </w:rPr>
        <w:t>Council Post: How To Build A Strong Organizational Culture</w:t>
      </w:r>
      <w:r w:rsidRPr="00BA2DAC">
        <w:t>. [online] Forbes. Available at: https://www.forbes.com/sites/forbesbusinesscouncil/2021/07/14/how-to-build-a-strong-organizational-culture/ (Accessed</w:t>
      </w:r>
      <w:r w:rsidR="001E65AC">
        <w:t xml:space="preserve"> 23</w:t>
      </w:r>
      <w:r w:rsidRPr="00BA2DAC">
        <w:t>May 2024).</w:t>
      </w:r>
    </w:p>
    <w:p w14:paraId="1CECE513" w14:textId="5CAA46BD" w:rsidR="00BA2DAC" w:rsidRPr="00BA2DAC" w:rsidRDefault="00BA2DAC" w:rsidP="00BA2DAC">
      <w:r w:rsidRPr="00BA2DAC">
        <w:t xml:space="preserve">Veiga, D., Astakhova, Liudmila V, Botha, A. and Herselman, M. (2020) </w:t>
      </w:r>
      <w:r w:rsidRPr="00BA2DAC">
        <w:rPr>
          <w:i/>
          <w:iCs/>
        </w:rPr>
        <w:t>Defining organisational information security culture - Perspectives from academia and industry</w:t>
      </w:r>
      <w:r w:rsidRPr="00BA2DAC">
        <w:t>. Computers &amp; Security, 92, p.101713. (Accessed 2</w:t>
      </w:r>
      <w:r w:rsidR="001E65AC">
        <w:t>2</w:t>
      </w:r>
      <w:r w:rsidRPr="00BA2DAC">
        <w:t xml:space="preserve"> May 2024).</w:t>
      </w:r>
    </w:p>
    <w:p w14:paraId="66FFEFCF" w14:textId="77777777" w:rsidR="00BA2DAC" w:rsidRPr="009855D0" w:rsidRDefault="00BA2DAC">
      <w:pPr>
        <w:rPr>
          <w:lang w:val="en-US"/>
        </w:rPr>
      </w:pPr>
    </w:p>
    <w:sectPr w:rsidR="00BA2DAC" w:rsidRPr="00985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56FB8"/>
    <w:rsid w:val="001E65AC"/>
    <w:rsid w:val="002B53DE"/>
    <w:rsid w:val="00737F8E"/>
    <w:rsid w:val="00850189"/>
    <w:rsid w:val="00856FB8"/>
    <w:rsid w:val="009275F8"/>
    <w:rsid w:val="009855D0"/>
    <w:rsid w:val="00AC084F"/>
    <w:rsid w:val="00BA2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3C7995"/>
  <w15:docId w15:val="{D9DA3590-771B-4615-AF24-C10CD1E9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F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6F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F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F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F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F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F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F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F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F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6F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F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F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F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F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F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F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FB8"/>
    <w:rPr>
      <w:rFonts w:eastAsiaTheme="majorEastAsia" w:cstheme="majorBidi"/>
      <w:color w:val="272727" w:themeColor="text1" w:themeTint="D8"/>
    </w:rPr>
  </w:style>
  <w:style w:type="paragraph" w:styleId="Title">
    <w:name w:val="Title"/>
    <w:basedOn w:val="Normal"/>
    <w:next w:val="Normal"/>
    <w:link w:val="TitleChar"/>
    <w:uiPriority w:val="10"/>
    <w:qFormat/>
    <w:rsid w:val="00856F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F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F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F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FB8"/>
    <w:pPr>
      <w:spacing w:before="160"/>
      <w:jc w:val="center"/>
    </w:pPr>
    <w:rPr>
      <w:i/>
      <w:iCs/>
      <w:color w:val="404040" w:themeColor="text1" w:themeTint="BF"/>
    </w:rPr>
  </w:style>
  <w:style w:type="character" w:customStyle="1" w:styleId="QuoteChar">
    <w:name w:val="Quote Char"/>
    <w:basedOn w:val="DefaultParagraphFont"/>
    <w:link w:val="Quote"/>
    <w:uiPriority w:val="29"/>
    <w:rsid w:val="00856FB8"/>
    <w:rPr>
      <w:i/>
      <w:iCs/>
      <w:color w:val="404040" w:themeColor="text1" w:themeTint="BF"/>
    </w:rPr>
  </w:style>
  <w:style w:type="paragraph" w:styleId="ListParagraph">
    <w:name w:val="List Paragraph"/>
    <w:basedOn w:val="Normal"/>
    <w:uiPriority w:val="34"/>
    <w:qFormat/>
    <w:rsid w:val="00856FB8"/>
    <w:pPr>
      <w:ind w:left="720"/>
      <w:contextualSpacing/>
    </w:pPr>
  </w:style>
  <w:style w:type="character" w:styleId="IntenseEmphasis">
    <w:name w:val="Intense Emphasis"/>
    <w:basedOn w:val="DefaultParagraphFont"/>
    <w:uiPriority w:val="21"/>
    <w:qFormat/>
    <w:rsid w:val="00856FB8"/>
    <w:rPr>
      <w:i/>
      <w:iCs/>
      <w:color w:val="0F4761" w:themeColor="accent1" w:themeShade="BF"/>
    </w:rPr>
  </w:style>
  <w:style w:type="paragraph" w:styleId="IntenseQuote">
    <w:name w:val="Intense Quote"/>
    <w:basedOn w:val="Normal"/>
    <w:next w:val="Normal"/>
    <w:link w:val="IntenseQuoteChar"/>
    <w:uiPriority w:val="30"/>
    <w:qFormat/>
    <w:rsid w:val="00856F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FB8"/>
    <w:rPr>
      <w:i/>
      <w:iCs/>
      <w:color w:val="0F4761" w:themeColor="accent1" w:themeShade="BF"/>
    </w:rPr>
  </w:style>
  <w:style w:type="character" w:styleId="IntenseReference">
    <w:name w:val="Intense Reference"/>
    <w:basedOn w:val="DefaultParagraphFont"/>
    <w:uiPriority w:val="32"/>
    <w:qFormat/>
    <w:rsid w:val="00856FB8"/>
    <w:rPr>
      <w:b/>
      <w:bCs/>
      <w:smallCaps/>
      <w:color w:val="0F4761" w:themeColor="accent1" w:themeShade="BF"/>
      <w:spacing w:val="5"/>
    </w:rPr>
  </w:style>
  <w:style w:type="paragraph" w:styleId="NoSpacing">
    <w:name w:val="No Spacing"/>
    <w:uiPriority w:val="1"/>
    <w:qFormat/>
    <w:rsid w:val="009855D0"/>
    <w:pPr>
      <w:spacing w:after="0" w:line="240" w:lineRule="auto"/>
    </w:pPr>
  </w:style>
  <w:style w:type="character" w:styleId="Hyperlink">
    <w:name w:val="Hyperlink"/>
    <w:basedOn w:val="DefaultParagraphFont"/>
    <w:uiPriority w:val="99"/>
    <w:unhideWhenUsed/>
    <w:rsid w:val="009855D0"/>
    <w:rPr>
      <w:color w:val="467886" w:themeColor="hyperlink"/>
      <w:u w:val="single"/>
    </w:rPr>
  </w:style>
  <w:style w:type="character" w:styleId="UnresolvedMention">
    <w:name w:val="Unresolved Mention"/>
    <w:basedOn w:val="DefaultParagraphFont"/>
    <w:uiPriority w:val="99"/>
    <w:semiHidden/>
    <w:unhideWhenUsed/>
    <w:rsid w:val="009855D0"/>
    <w:rPr>
      <w:color w:val="605E5C"/>
      <w:shd w:val="clear" w:color="auto" w:fill="E1DFDD"/>
    </w:rPr>
  </w:style>
  <w:style w:type="paragraph" w:styleId="TOCHeading">
    <w:name w:val="TOC Heading"/>
    <w:basedOn w:val="Heading1"/>
    <w:next w:val="Normal"/>
    <w:uiPriority w:val="39"/>
    <w:unhideWhenUsed/>
    <w:qFormat/>
    <w:rsid w:val="009855D0"/>
    <w:pPr>
      <w:spacing w:before="240" w:after="0"/>
      <w:outlineLvl w:val="9"/>
    </w:pPr>
    <w:rPr>
      <w:kern w:val="0"/>
      <w:sz w:val="32"/>
      <w:szCs w:val="32"/>
      <w:lang w:val="en-US"/>
    </w:rPr>
  </w:style>
  <w:style w:type="paragraph" w:styleId="TOC1">
    <w:name w:val="toc 1"/>
    <w:basedOn w:val="Normal"/>
    <w:next w:val="Normal"/>
    <w:autoRedefine/>
    <w:uiPriority w:val="39"/>
    <w:unhideWhenUsed/>
    <w:rsid w:val="009855D0"/>
    <w:pPr>
      <w:spacing w:after="100"/>
    </w:pPr>
  </w:style>
  <w:style w:type="paragraph" w:styleId="TOC2">
    <w:name w:val="toc 2"/>
    <w:basedOn w:val="Normal"/>
    <w:next w:val="Normal"/>
    <w:autoRedefine/>
    <w:uiPriority w:val="39"/>
    <w:unhideWhenUsed/>
    <w:rsid w:val="009855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1853</TotalTime>
  <Pages>1</Pages>
  <Words>3521</Words>
  <Characters>20072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mary cojocaru</cp:lastModifiedBy>
  <cp:revision>4</cp:revision>
  <dcterms:created xsi:type="dcterms:W3CDTF">2024-05-22T04:23:00Z</dcterms:created>
  <dcterms:modified xsi:type="dcterms:W3CDTF">2024-05-31T22:00:00Z</dcterms:modified>
</cp:coreProperties>
</file>