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4667E82" w14:textId="3D37C39B" w:rsidR="00E93308" w:rsidRDefault="00F24D9D">
      <w:pPr>
        <w:rPr>
          <w:rFonts w:ascii="Arial" w:hAnsi="Arial" w:cs="Arial"/>
          <w:sz w:val="52"/>
          <w:szCs w:val="52"/>
        </w:rPr>
      </w:pPr>
      <w:r>
        <w:rPr>
          <w:rFonts w:ascii="Arial" w:hAnsi="Arial" w:cs="Arial"/>
          <w:sz w:val="52"/>
          <w:szCs w:val="52"/>
        </w:rPr>
        <w:t xml:space="preserve">BANKING FINANCIAL </w:t>
      </w:r>
      <w:r w:rsidR="003155F4">
        <w:rPr>
          <w:rFonts w:ascii="Arial" w:hAnsi="Arial" w:cs="Arial"/>
          <w:sz w:val="52"/>
          <w:szCs w:val="52"/>
        </w:rPr>
        <w:t xml:space="preserve">MANAGEMENT AND FINANCIAL MARKETS </w:t>
      </w:r>
    </w:p>
    <w:p w14:paraId="1F57E9CD" w14:textId="77777777" w:rsidR="00F24D9D" w:rsidRDefault="00F24D9D">
      <w:pPr>
        <w:rPr>
          <w:rFonts w:ascii="Arial" w:hAnsi="Arial" w:cs="Arial"/>
          <w:sz w:val="52"/>
          <w:szCs w:val="52"/>
        </w:rPr>
      </w:pPr>
    </w:p>
    <w:p w14:paraId="0AB124CF" w14:textId="77777777" w:rsidR="00F24D9D" w:rsidRDefault="00F24D9D">
      <w:pPr>
        <w:rPr>
          <w:rFonts w:ascii="Arial" w:hAnsi="Arial" w:cs="Arial"/>
          <w:sz w:val="52"/>
          <w:szCs w:val="52"/>
        </w:rPr>
      </w:pPr>
    </w:p>
    <w:p w14:paraId="48DDC9AD" w14:textId="77777777" w:rsidR="00F24D9D" w:rsidRDefault="00F24D9D">
      <w:pPr>
        <w:rPr>
          <w:rFonts w:ascii="Arial" w:hAnsi="Arial" w:cs="Arial"/>
          <w:sz w:val="52"/>
          <w:szCs w:val="52"/>
        </w:rPr>
      </w:pPr>
    </w:p>
    <w:p w14:paraId="7B101E5C" w14:textId="77777777" w:rsidR="003155F4" w:rsidRDefault="003155F4">
      <w:pPr>
        <w:rPr>
          <w:rFonts w:ascii="Arial" w:hAnsi="Arial" w:cs="Arial"/>
          <w:sz w:val="52"/>
          <w:szCs w:val="52"/>
        </w:rPr>
      </w:pPr>
    </w:p>
    <w:p w14:paraId="69883A42" w14:textId="77777777" w:rsidR="00F24D9D" w:rsidRDefault="00F24D9D">
      <w:pPr>
        <w:rPr>
          <w:rFonts w:ascii="Arial" w:hAnsi="Arial" w:cs="Arial"/>
          <w:sz w:val="52"/>
          <w:szCs w:val="52"/>
        </w:rPr>
      </w:pPr>
    </w:p>
    <w:p w14:paraId="06DE3431" w14:textId="1397A0BC" w:rsidR="00884C7A" w:rsidRDefault="00884C7A">
      <w:pPr>
        <w:rPr>
          <w:rFonts w:ascii="Arial" w:hAnsi="Arial" w:cs="Arial"/>
          <w:sz w:val="52"/>
          <w:szCs w:val="52"/>
        </w:rPr>
      </w:pPr>
      <w:r>
        <w:rPr>
          <w:rFonts w:ascii="Arial" w:hAnsi="Arial" w:cs="Arial"/>
          <w:sz w:val="52"/>
          <w:szCs w:val="52"/>
        </w:rPr>
        <w:t xml:space="preserve">      </w:t>
      </w:r>
      <w:r w:rsidR="00F24D9D">
        <w:rPr>
          <w:rFonts w:ascii="Arial" w:hAnsi="Arial" w:cs="Arial"/>
          <w:sz w:val="52"/>
          <w:szCs w:val="52"/>
        </w:rPr>
        <w:t xml:space="preserve">ROYAL BANK OF SCOTLAND </w:t>
      </w:r>
    </w:p>
    <w:p w14:paraId="281E657E" w14:textId="77777777" w:rsidR="00884C7A" w:rsidRDefault="00884C7A">
      <w:pPr>
        <w:rPr>
          <w:rFonts w:ascii="Arial" w:hAnsi="Arial" w:cs="Arial"/>
          <w:sz w:val="52"/>
          <w:szCs w:val="52"/>
        </w:rPr>
      </w:pPr>
      <w:r>
        <w:rPr>
          <w:rFonts w:ascii="Arial" w:hAnsi="Arial" w:cs="Arial"/>
          <w:sz w:val="52"/>
          <w:szCs w:val="52"/>
        </w:rPr>
        <w:t xml:space="preserve">        </w:t>
      </w:r>
    </w:p>
    <w:p w14:paraId="1C059125" w14:textId="741594A6" w:rsidR="00884C7A" w:rsidRDefault="00884C7A">
      <w:pPr>
        <w:rPr>
          <w:rFonts w:ascii="Arial" w:hAnsi="Arial" w:cs="Arial"/>
          <w:sz w:val="52"/>
          <w:szCs w:val="52"/>
        </w:rPr>
      </w:pPr>
      <w:r>
        <w:rPr>
          <w:rFonts w:ascii="Arial" w:hAnsi="Arial" w:cs="Arial"/>
          <w:sz w:val="52"/>
          <w:szCs w:val="52"/>
        </w:rPr>
        <w:t xml:space="preserve">                          </w:t>
      </w:r>
      <w:r w:rsidR="00F24D9D">
        <w:rPr>
          <w:rFonts w:ascii="Arial" w:hAnsi="Arial" w:cs="Arial"/>
          <w:sz w:val="52"/>
          <w:szCs w:val="52"/>
        </w:rPr>
        <w:t xml:space="preserve">Vs. </w:t>
      </w:r>
    </w:p>
    <w:p w14:paraId="70D24F27" w14:textId="77777777" w:rsidR="00884C7A" w:rsidRDefault="00884C7A">
      <w:pPr>
        <w:rPr>
          <w:rFonts w:ascii="Arial" w:hAnsi="Arial" w:cs="Arial"/>
          <w:sz w:val="52"/>
          <w:szCs w:val="52"/>
        </w:rPr>
      </w:pPr>
    </w:p>
    <w:p w14:paraId="3469A729" w14:textId="4126F41D" w:rsidR="003155F4" w:rsidRDefault="00884C7A">
      <w:pPr>
        <w:rPr>
          <w:rFonts w:ascii="Arial" w:hAnsi="Arial" w:cs="Arial"/>
          <w:sz w:val="52"/>
          <w:szCs w:val="52"/>
        </w:rPr>
      </w:pPr>
      <w:r>
        <w:rPr>
          <w:rFonts w:ascii="Arial" w:hAnsi="Arial" w:cs="Arial"/>
          <w:sz w:val="52"/>
          <w:szCs w:val="52"/>
        </w:rPr>
        <w:t xml:space="preserve">            </w:t>
      </w:r>
      <w:r w:rsidR="003155F4">
        <w:rPr>
          <w:rFonts w:ascii="Arial" w:hAnsi="Arial" w:cs="Arial"/>
          <w:sz w:val="52"/>
          <w:szCs w:val="52"/>
        </w:rPr>
        <w:t>SANTANDER BANK</w:t>
      </w:r>
    </w:p>
    <w:p w14:paraId="1DFC0CEA" w14:textId="77777777" w:rsidR="00F24D9D" w:rsidRDefault="00F24D9D">
      <w:pPr>
        <w:rPr>
          <w:rFonts w:ascii="Arial" w:hAnsi="Arial" w:cs="Arial"/>
          <w:sz w:val="52"/>
          <w:szCs w:val="52"/>
        </w:rPr>
      </w:pPr>
    </w:p>
    <w:p w14:paraId="543E8D8F" w14:textId="77777777" w:rsidR="003155F4" w:rsidRDefault="003155F4">
      <w:pPr>
        <w:rPr>
          <w:rFonts w:ascii="Arial" w:hAnsi="Arial" w:cs="Arial"/>
          <w:sz w:val="52"/>
          <w:szCs w:val="52"/>
        </w:rPr>
      </w:pPr>
    </w:p>
    <w:p w14:paraId="7F8EDFB0" w14:textId="77777777" w:rsidR="00F24D9D" w:rsidRDefault="00F24D9D">
      <w:pPr>
        <w:rPr>
          <w:rFonts w:ascii="Arial" w:hAnsi="Arial" w:cs="Arial"/>
          <w:sz w:val="52"/>
          <w:szCs w:val="52"/>
        </w:rPr>
      </w:pPr>
    </w:p>
    <w:p w14:paraId="27286E15" w14:textId="77777777" w:rsidR="00F24D9D" w:rsidRDefault="00F24D9D">
      <w:pPr>
        <w:rPr>
          <w:rFonts w:ascii="Arial" w:hAnsi="Arial" w:cs="Arial"/>
          <w:sz w:val="52"/>
          <w:szCs w:val="52"/>
        </w:rPr>
      </w:pPr>
    </w:p>
    <w:p w14:paraId="7EC99397" w14:textId="77777777" w:rsidR="003155F4" w:rsidRDefault="003155F4">
      <w:pPr>
        <w:rPr>
          <w:rFonts w:ascii="Arial" w:hAnsi="Arial" w:cs="Arial"/>
          <w:sz w:val="52"/>
          <w:szCs w:val="52"/>
        </w:rPr>
      </w:pPr>
    </w:p>
    <w:p w14:paraId="16301699" w14:textId="77777777" w:rsidR="003155F4" w:rsidRDefault="003155F4">
      <w:pPr>
        <w:rPr>
          <w:rFonts w:ascii="Arial" w:hAnsi="Arial" w:cs="Arial"/>
          <w:sz w:val="52"/>
          <w:szCs w:val="52"/>
        </w:rPr>
      </w:pPr>
      <w:r>
        <w:rPr>
          <w:rFonts w:ascii="Arial" w:hAnsi="Arial" w:cs="Arial"/>
          <w:sz w:val="52"/>
          <w:szCs w:val="52"/>
        </w:rPr>
        <w:t>BHUPINDER SINGH (1706150)</w:t>
      </w:r>
    </w:p>
    <w:p w14:paraId="4DDFA01B" w14:textId="77777777" w:rsidR="003155F4" w:rsidRDefault="003155F4">
      <w:pPr>
        <w:rPr>
          <w:rFonts w:ascii="Arial" w:hAnsi="Arial" w:cs="Arial"/>
          <w:sz w:val="52"/>
          <w:szCs w:val="52"/>
        </w:rPr>
      </w:pPr>
    </w:p>
    <w:p w14:paraId="5513DAF1" w14:textId="77777777" w:rsidR="00F24D9D" w:rsidRDefault="00F24D9D">
      <w:pPr>
        <w:rPr>
          <w:rFonts w:ascii="Arial" w:hAnsi="Arial" w:cs="Arial"/>
          <w:sz w:val="52"/>
          <w:szCs w:val="52"/>
        </w:rPr>
      </w:pPr>
    </w:p>
    <w:p w14:paraId="75C33C0B" w14:textId="77777777" w:rsidR="00F24D9D" w:rsidRDefault="00F24D9D">
      <w:pPr>
        <w:rPr>
          <w:rFonts w:ascii="Arial" w:hAnsi="Arial" w:cs="Arial"/>
          <w:sz w:val="52"/>
          <w:szCs w:val="52"/>
        </w:rPr>
      </w:pPr>
    </w:p>
    <w:p w14:paraId="73B3B037" w14:textId="77777777" w:rsidR="00884C7A" w:rsidRDefault="003155F4">
      <w:pPr>
        <w:rPr>
          <w:rFonts w:ascii="Arial" w:hAnsi="Arial" w:cs="Arial"/>
          <w:sz w:val="52"/>
          <w:szCs w:val="52"/>
        </w:rPr>
      </w:pPr>
      <w:r>
        <w:rPr>
          <w:rFonts w:ascii="Arial" w:hAnsi="Arial" w:cs="Arial"/>
          <w:sz w:val="52"/>
          <w:szCs w:val="52"/>
        </w:rPr>
        <w:t>Dr. JIA MIAO</w:t>
      </w:r>
    </w:p>
    <w:p w14:paraId="352F3D24" w14:textId="4F7C3048" w:rsidR="003155F4" w:rsidRPr="00C07674" w:rsidRDefault="003155F4">
      <w:pPr>
        <w:rPr>
          <w:rFonts w:ascii="Arial" w:hAnsi="Arial" w:cs="Arial"/>
        </w:rPr>
      </w:pPr>
      <w:r w:rsidRPr="00C07674">
        <w:rPr>
          <w:rFonts w:ascii="Arial" w:hAnsi="Arial" w:cs="Arial"/>
        </w:rPr>
        <w:lastRenderedPageBreak/>
        <w:t>INTRODUCTION</w:t>
      </w:r>
    </w:p>
    <w:p w14:paraId="37996858" w14:textId="77777777" w:rsidR="008D69FE" w:rsidRDefault="008D69FE">
      <w:pPr>
        <w:rPr>
          <w:rFonts w:ascii="Arial" w:hAnsi="Arial" w:cs="Arial"/>
        </w:rPr>
      </w:pPr>
    </w:p>
    <w:p w14:paraId="6DCA7295" w14:textId="04B79400" w:rsidR="005356DB" w:rsidRDefault="008D69FE" w:rsidP="00C70000">
      <w:pPr>
        <w:jc w:val="both"/>
        <w:rPr>
          <w:rFonts w:ascii="Arial" w:hAnsi="Arial" w:cs="Arial"/>
        </w:rPr>
      </w:pPr>
      <w:r>
        <w:rPr>
          <w:rFonts w:ascii="Arial" w:hAnsi="Arial" w:cs="Arial"/>
        </w:rPr>
        <w:t>The</w:t>
      </w:r>
      <w:r w:rsidR="00DD22C9">
        <w:rPr>
          <w:rFonts w:ascii="Arial" w:hAnsi="Arial" w:cs="Arial"/>
        </w:rPr>
        <w:t xml:space="preserve"> establishment of Royal Bank of Scotland was in Edinburgh in 1727. In the past three centuries RBS playing an essential role in the development of the Scotland’s economy and industrial sector.</w:t>
      </w:r>
      <w:r w:rsidR="00CD4B9B">
        <w:rPr>
          <w:rFonts w:ascii="Arial" w:hAnsi="Arial" w:cs="Arial"/>
        </w:rPr>
        <w:t xml:space="preserve"> In the year 1783 RBS has opened its first branch in Glasgow. </w:t>
      </w:r>
      <w:r w:rsidR="0097424E">
        <w:rPr>
          <w:rFonts w:ascii="Arial" w:hAnsi="Arial" w:cs="Arial"/>
        </w:rPr>
        <w:t>Later in the year 1830’s RBS has started establishing a group of branches over</w:t>
      </w:r>
      <w:r w:rsidR="00D205EA">
        <w:rPr>
          <w:rFonts w:ascii="Arial" w:hAnsi="Arial" w:cs="Arial"/>
        </w:rPr>
        <w:t xml:space="preserve"> Scotland among the communities and now days it serves approximately 650 communities of Scotland by the 23 mobile branches. </w:t>
      </w:r>
      <w:r w:rsidR="0097424E">
        <w:rPr>
          <w:rFonts w:ascii="Arial" w:hAnsi="Arial" w:cs="Arial"/>
        </w:rPr>
        <w:t>In the year 1972 it was the only bank of UK that offered a loan for purchasing a house. Recently, in the year 2011 it has</w:t>
      </w:r>
      <w:r w:rsidR="00D03A15">
        <w:rPr>
          <w:rFonts w:ascii="Arial" w:hAnsi="Arial" w:cs="Arial"/>
        </w:rPr>
        <w:t xml:space="preserve"> invented </w:t>
      </w:r>
      <w:r w:rsidR="00D205EA">
        <w:rPr>
          <w:rFonts w:ascii="Arial" w:hAnsi="Arial" w:cs="Arial"/>
        </w:rPr>
        <w:t xml:space="preserve">the first fully loaded functional app for banking in the world. </w:t>
      </w:r>
      <w:r w:rsidR="0026013D">
        <w:rPr>
          <w:rFonts w:ascii="Arial" w:hAnsi="Arial" w:cs="Arial"/>
        </w:rPr>
        <w:t xml:space="preserve">In June 2012, the bank has a very big IT failure due to which </w:t>
      </w:r>
      <w:r w:rsidR="0047193E">
        <w:rPr>
          <w:rFonts w:ascii="Arial" w:hAnsi="Arial" w:cs="Arial"/>
        </w:rPr>
        <w:t xml:space="preserve">the customers of the RBS could not be able to have an access to their accounts for few days which later lead the bank to pay the fine of £50 millions for the issue they have with the IT department. A year later in </w:t>
      </w:r>
      <w:r w:rsidR="00711F0B">
        <w:rPr>
          <w:rFonts w:ascii="Arial" w:hAnsi="Arial" w:cs="Arial"/>
        </w:rPr>
        <w:t xml:space="preserve">February 2013 RBS got fined by £390 millions for the ‘widespread offence’ in manipulating the LIBOR and in </w:t>
      </w:r>
      <w:r w:rsidR="0047193E">
        <w:rPr>
          <w:rFonts w:ascii="Arial" w:hAnsi="Arial" w:cs="Arial"/>
        </w:rPr>
        <w:t>June 2013 Hester who was th</w:t>
      </w:r>
      <w:r w:rsidR="006504C1">
        <w:rPr>
          <w:rFonts w:ascii="Arial" w:hAnsi="Arial" w:cs="Arial"/>
        </w:rPr>
        <w:t>e chief executive was removed by the RBS and Ross McEwan was got promoted on the position of Hester from retail banking operations. In</w:t>
      </w:r>
      <w:r w:rsidR="005356DB">
        <w:rPr>
          <w:rFonts w:ascii="Arial" w:hAnsi="Arial" w:cs="Arial"/>
        </w:rPr>
        <w:t xml:space="preserve"> April 2008 RBS has a cash call of £12 billions and in December 2016 the bank declared the settlement of £800 million with the shareholders group. In  2017 </w:t>
      </w:r>
      <w:r w:rsidR="00C70000">
        <w:rPr>
          <w:rFonts w:ascii="Arial" w:hAnsi="Arial" w:cs="Arial"/>
        </w:rPr>
        <w:t xml:space="preserve">the bank states that there wouldn’t </w:t>
      </w:r>
      <w:r w:rsidR="005356DB">
        <w:rPr>
          <w:rFonts w:ascii="Arial" w:hAnsi="Arial" w:cs="Arial"/>
        </w:rPr>
        <w:t xml:space="preserve">be any profit until 2018 due to the losses in the </w:t>
      </w:r>
      <w:r w:rsidR="00C70000">
        <w:rPr>
          <w:rFonts w:ascii="Arial" w:hAnsi="Arial" w:cs="Arial"/>
        </w:rPr>
        <w:t xml:space="preserve">last 10 years from the time it bailed out and further make decision to sell 300 branches that asked by EU in return of authority bailout. </w:t>
      </w:r>
    </w:p>
    <w:p w14:paraId="2B0F11C5" w14:textId="77777777" w:rsidR="00B57841" w:rsidRDefault="00B57841" w:rsidP="00C70000">
      <w:pPr>
        <w:jc w:val="both"/>
        <w:rPr>
          <w:rFonts w:ascii="Arial" w:hAnsi="Arial" w:cs="Arial"/>
        </w:rPr>
      </w:pPr>
    </w:p>
    <w:p w14:paraId="5DC068B3" w14:textId="419852A2" w:rsidR="00B57841" w:rsidRDefault="003866EE" w:rsidP="007443A5">
      <w:pPr>
        <w:jc w:val="both"/>
        <w:rPr>
          <w:rFonts w:ascii="Arial" w:hAnsi="Arial" w:cs="Arial"/>
        </w:rPr>
      </w:pPr>
      <w:r>
        <w:rPr>
          <w:rFonts w:ascii="Arial" w:hAnsi="Arial" w:cs="Arial"/>
        </w:rPr>
        <w:t>Banco Santander as it gives a clue about the origin of the company in Spain in Santander. The</w:t>
      </w:r>
      <w:r w:rsidR="00B57841">
        <w:rPr>
          <w:rFonts w:ascii="Arial" w:hAnsi="Arial" w:cs="Arial"/>
        </w:rPr>
        <w:t xml:space="preserve"> introduction of the Santander bank in the UK is in November 2004. It has altered its business from tradition of three former building societies to retail and commercial banking in full-service. </w:t>
      </w:r>
      <w:r>
        <w:rPr>
          <w:rFonts w:ascii="Arial" w:hAnsi="Arial" w:cs="Arial"/>
        </w:rPr>
        <w:t xml:space="preserve">In the year 2009 Alliance and Leicester plc </w:t>
      </w:r>
      <w:r w:rsidR="007443A5">
        <w:rPr>
          <w:rFonts w:ascii="Arial" w:hAnsi="Arial" w:cs="Arial"/>
        </w:rPr>
        <w:t xml:space="preserve">converted into Santander UK plc, </w:t>
      </w:r>
      <w:r>
        <w:rPr>
          <w:rFonts w:ascii="Arial" w:hAnsi="Arial" w:cs="Arial"/>
        </w:rPr>
        <w:t xml:space="preserve">which </w:t>
      </w:r>
      <w:r w:rsidR="007443A5">
        <w:rPr>
          <w:rFonts w:ascii="Arial" w:hAnsi="Arial" w:cs="Arial"/>
        </w:rPr>
        <w:t xml:space="preserve">was picked up by Banco Santander, S.A. </w:t>
      </w:r>
    </w:p>
    <w:p w14:paraId="0BA6EBBE" w14:textId="77777777" w:rsidR="007443A5" w:rsidRDefault="007443A5" w:rsidP="007443A5">
      <w:pPr>
        <w:jc w:val="both"/>
        <w:rPr>
          <w:rFonts w:ascii="Arial" w:hAnsi="Arial" w:cs="Arial"/>
        </w:rPr>
      </w:pPr>
    </w:p>
    <w:p w14:paraId="1DAE982A" w14:textId="77777777" w:rsidR="007443A5" w:rsidRDefault="007443A5" w:rsidP="007443A5">
      <w:pPr>
        <w:jc w:val="both"/>
        <w:rPr>
          <w:rFonts w:ascii="Arial" w:hAnsi="Arial" w:cs="Arial"/>
        </w:rPr>
      </w:pPr>
    </w:p>
    <w:p w14:paraId="4E104951" w14:textId="6F72E75D" w:rsidR="007443A5" w:rsidRDefault="007443A5" w:rsidP="007443A5">
      <w:pPr>
        <w:jc w:val="both"/>
        <w:rPr>
          <w:rFonts w:ascii="Arial" w:hAnsi="Arial" w:cs="Arial"/>
        </w:rPr>
      </w:pPr>
      <w:r>
        <w:rPr>
          <w:rFonts w:ascii="Arial" w:hAnsi="Arial" w:cs="Arial"/>
        </w:rPr>
        <w:t>BANKS FINANCIAL PERFORMANCE ANALYSIS</w:t>
      </w:r>
    </w:p>
    <w:p w14:paraId="61D97BE5" w14:textId="77777777" w:rsidR="007443A5" w:rsidRDefault="007443A5" w:rsidP="007443A5">
      <w:pPr>
        <w:jc w:val="both"/>
        <w:rPr>
          <w:rFonts w:ascii="Arial" w:hAnsi="Arial" w:cs="Arial"/>
        </w:rPr>
      </w:pPr>
    </w:p>
    <w:p w14:paraId="4F974934" w14:textId="77777777" w:rsidR="004A0EB5" w:rsidRDefault="004A0EB5" w:rsidP="007443A5">
      <w:pPr>
        <w:jc w:val="both"/>
        <w:rPr>
          <w:rFonts w:ascii="Arial" w:hAnsi="Arial" w:cs="Arial"/>
        </w:rPr>
      </w:pPr>
    </w:p>
    <w:p w14:paraId="5DC82445" w14:textId="06C88798" w:rsidR="00AB10E5" w:rsidRDefault="003B03EB" w:rsidP="007443A5">
      <w:pPr>
        <w:jc w:val="both"/>
        <w:rPr>
          <w:rFonts w:ascii="Arial" w:hAnsi="Arial" w:cs="Arial"/>
        </w:rPr>
      </w:pPr>
      <w:r>
        <w:rPr>
          <w:rFonts w:ascii="Arial" w:hAnsi="Arial" w:cs="Arial"/>
        </w:rPr>
        <w:t xml:space="preserve">CAPITALISATION </w:t>
      </w:r>
    </w:p>
    <w:p w14:paraId="07986F4E" w14:textId="77777777" w:rsidR="003B03EB" w:rsidRDefault="003B03EB" w:rsidP="007443A5">
      <w:pPr>
        <w:jc w:val="both"/>
        <w:rPr>
          <w:rFonts w:ascii="Arial" w:hAnsi="Arial" w:cs="Arial"/>
        </w:rPr>
      </w:pPr>
    </w:p>
    <w:p w14:paraId="68D70C9B" w14:textId="68CD926B" w:rsidR="003319DD" w:rsidRDefault="003B03EB" w:rsidP="00DF2814">
      <w:pPr>
        <w:jc w:val="both"/>
        <w:rPr>
          <w:rFonts w:ascii="Arial" w:hAnsi="Arial" w:cs="Arial"/>
        </w:rPr>
      </w:pPr>
      <w:r>
        <w:rPr>
          <w:rFonts w:ascii="Arial" w:hAnsi="Arial" w:cs="Arial"/>
        </w:rPr>
        <w:t>Capitalisation examines the level of equity over</w:t>
      </w:r>
      <w:r w:rsidR="006B69BA">
        <w:rPr>
          <w:rFonts w:ascii="Arial" w:hAnsi="Arial" w:cs="Arial"/>
        </w:rPr>
        <w:t xml:space="preserve"> the assets of the </w:t>
      </w:r>
      <w:r w:rsidR="002C2AE4">
        <w:rPr>
          <w:rFonts w:ascii="Arial" w:hAnsi="Arial" w:cs="Arial"/>
        </w:rPr>
        <w:t>bank</w:t>
      </w:r>
      <w:r w:rsidR="006B69BA">
        <w:rPr>
          <w:rFonts w:ascii="Arial" w:hAnsi="Arial" w:cs="Arial"/>
        </w:rPr>
        <w:t>.</w:t>
      </w:r>
      <w:r w:rsidR="00CF7CDE">
        <w:rPr>
          <w:rFonts w:ascii="Arial" w:hAnsi="Arial" w:cs="Arial"/>
        </w:rPr>
        <w:t xml:space="preserve"> There are various ratios through which capitalisation of the </w:t>
      </w:r>
      <w:r w:rsidR="002C2AE4">
        <w:rPr>
          <w:rFonts w:ascii="Arial" w:hAnsi="Arial" w:cs="Arial"/>
        </w:rPr>
        <w:t>bank</w:t>
      </w:r>
      <w:r w:rsidR="00CF7CDE">
        <w:rPr>
          <w:rFonts w:ascii="Arial" w:hAnsi="Arial" w:cs="Arial"/>
        </w:rPr>
        <w:t xml:space="preserve"> can be calculated</w:t>
      </w:r>
      <w:r w:rsidR="003319DD">
        <w:rPr>
          <w:rFonts w:ascii="Arial" w:hAnsi="Arial" w:cs="Arial"/>
        </w:rPr>
        <w:t xml:space="preserve"> such as deb</w:t>
      </w:r>
      <w:r w:rsidR="002C2AE4">
        <w:rPr>
          <w:rFonts w:ascii="Arial" w:hAnsi="Arial" w:cs="Arial"/>
        </w:rPr>
        <w:t>t-equity, debt-ratio, long-term-</w:t>
      </w:r>
      <w:r w:rsidR="003319DD">
        <w:rPr>
          <w:rFonts w:ascii="Arial" w:hAnsi="Arial" w:cs="Arial"/>
        </w:rPr>
        <w:t>debt equity etc. that accesses the level of debt among its assets.</w:t>
      </w:r>
      <w:r w:rsidR="002C2AE4">
        <w:rPr>
          <w:rFonts w:ascii="Arial" w:hAnsi="Arial" w:cs="Arial"/>
        </w:rPr>
        <w:t xml:space="preserve"> It is beneficial for the bank to have a low debt level, however the bank having a high debt level have a burden to payoff their debts rather than utilising their assets for future projection. There are two types of capitalisations in the finance that is overcapitalisation and undercapitalisation. </w:t>
      </w:r>
      <w:r w:rsidR="004A0EB5">
        <w:rPr>
          <w:rFonts w:ascii="Arial" w:hAnsi="Arial" w:cs="Arial"/>
        </w:rPr>
        <w:t>Under</w:t>
      </w:r>
      <w:r w:rsidR="002C2AE4">
        <w:rPr>
          <w:rFonts w:ascii="Arial" w:hAnsi="Arial" w:cs="Arial"/>
        </w:rPr>
        <w:t>capitalisation refers to the situation where the banks performance is hi</w:t>
      </w:r>
      <w:r w:rsidR="004A0EB5">
        <w:rPr>
          <w:rFonts w:ascii="Arial" w:hAnsi="Arial" w:cs="Arial"/>
        </w:rPr>
        <w:t>gh and making high profits and there is no need of any additional capital required. On the other hand overcapitalisation refers to that situation when there is not enough money to pay the cost of capital, dividends, interests for borrowings etc.</w:t>
      </w:r>
    </w:p>
    <w:p w14:paraId="6F499D38" w14:textId="77777777" w:rsidR="003319DD" w:rsidRDefault="003319DD" w:rsidP="007443A5">
      <w:pPr>
        <w:jc w:val="both"/>
        <w:rPr>
          <w:rFonts w:ascii="Arial" w:hAnsi="Arial" w:cs="Arial"/>
        </w:rPr>
      </w:pPr>
    </w:p>
    <w:p w14:paraId="3D1E545D" w14:textId="77777777" w:rsidR="004A0EB5" w:rsidRDefault="004A0EB5" w:rsidP="007443A5">
      <w:pPr>
        <w:jc w:val="both"/>
        <w:rPr>
          <w:rFonts w:ascii="Arial" w:hAnsi="Arial" w:cs="Arial"/>
        </w:rPr>
      </w:pPr>
    </w:p>
    <w:p w14:paraId="698F0B91" w14:textId="42F59FAD" w:rsidR="003B03EB" w:rsidRDefault="003B03EB" w:rsidP="007443A5">
      <w:pPr>
        <w:jc w:val="both"/>
        <w:rPr>
          <w:rFonts w:ascii="Arial" w:hAnsi="Arial" w:cs="Arial"/>
        </w:rPr>
      </w:pPr>
      <w:r>
        <w:rPr>
          <w:rFonts w:ascii="Arial" w:hAnsi="Arial" w:cs="Arial"/>
        </w:rPr>
        <w:t xml:space="preserve">LEVERAGE RATIO </w:t>
      </w:r>
      <w:r w:rsidR="00DF2814">
        <w:rPr>
          <w:rFonts w:ascii="Arial" w:hAnsi="Arial" w:cs="Arial"/>
        </w:rPr>
        <w:t xml:space="preserve">   </w:t>
      </w:r>
      <w:r>
        <w:rPr>
          <w:rFonts w:ascii="Arial" w:hAnsi="Arial" w:cs="Arial"/>
        </w:rPr>
        <w:t xml:space="preserve">=  </w:t>
      </w:r>
      <w:r w:rsidR="00DF2814">
        <w:rPr>
          <w:rFonts w:ascii="Arial" w:hAnsi="Arial" w:cs="Arial"/>
        </w:rPr>
        <w:t xml:space="preserve">  </w:t>
      </w:r>
      <w:r>
        <w:rPr>
          <w:rFonts w:ascii="Arial" w:hAnsi="Arial" w:cs="Arial"/>
        </w:rPr>
        <w:t xml:space="preserve"> </w:t>
      </w:r>
      <w:r w:rsidRPr="003B03EB">
        <w:rPr>
          <w:rFonts w:ascii="Arial" w:hAnsi="Arial" w:cs="Arial"/>
          <w:u w:val="single"/>
        </w:rPr>
        <w:t>TOTAL EQU</w:t>
      </w:r>
      <w:r>
        <w:rPr>
          <w:rFonts w:ascii="Arial" w:hAnsi="Arial" w:cs="Arial"/>
          <w:u w:val="single"/>
        </w:rPr>
        <w:t>ITY</w:t>
      </w:r>
    </w:p>
    <w:p w14:paraId="04F01C48" w14:textId="63FB8FAE" w:rsidR="003B03EB" w:rsidRDefault="003B03EB" w:rsidP="007443A5">
      <w:pPr>
        <w:jc w:val="both"/>
        <w:rPr>
          <w:rFonts w:ascii="Arial" w:hAnsi="Arial" w:cs="Arial"/>
        </w:rPr>
      </w:pPr>
      <w:r>
        <w:rPr>
          <w:rFonts w:ascii="Arial" w:hAnsi="Arial" w:cs="Arial"/>
        </w:rPr>
        <w:t xml:space="preserve">                                     </w:t>
      </w:r>
      <w:r w:rsidR="00DF2814">
        <w:rPr>
          <w:rFonts w:ascii="Arial" w:hAnsi="Arial" w:cs="Arial"/>
        </w:rPr>
        <w:t xml:space="preserve">      </w:t>
      </w:r>
      <w:r>
        <w:rPr>
          <w:rFonts w:ascii="Arial" w:hAnsi="Arial" w:cs="Arial"/>
        </w:rPr>
        <w:t>TOTAL ASSETS</w:t>
      </w:r>
    </w:p>
    <w:p w14:paraId="780A2B4A" w14:textId="77777777" w:rsidR="00DF2814" w:rsidRDefault="00DF2814" w:rsidP="007443A5">
      <w:pPr>
        <w:jc w:val="both"/>
        <w:rPr>
          <w:rFonts w:ascii="Arial" w:hAnsi="Arial" w:cs="Arial"/>
        </w:rPr>
      </w:pPr>
    </w:p>
    <w:p w14:paraId="35826977" w14:textId="262BF1F9" w:rsidR="003B03EB" w:rsidRPr="003B03EB" w:rsidRDefault="003B03EB" w:rsidP="007443A5">
      <w:pPr>
        <w:jc w:val="both"/>
        <w:rPr>
          <w:rFonts w:ascii="Arial" w:hAnsi="Arial" w:cs="Arial"/>
        </w:rPr>
      </w:pPr>
      <w:r>
        <w:rPr>
          <w:rFonts w:ascii="Arial" w:hAnsi="Arial" w:cs="Arial"/>
        </w:rPr>
        <w:t>TAB</w:t>
      </w:r>
      <w:r w:rsidR="00A439C7">
        <w:rPr>
          <w:rFonts w:ascii="Arial" w:hAnsi="Arial" w:cs="Arial"/>
        </w:rPr>
        <w:t>: 1</w:t>
      </w:r>
    </w:p>
    <w:p w14:paraId="0F28B157" w14:textId="77777777" w:rsidR="004A01B0" w:rsidRDefault="004A01B0" w:rsidP="007443A5">
      <w:pPr>
        <w:jc w:val="both"/>
        <w:rPr>
          <w:rFonts w:ascii="Arial" w:hAnsi="Arial" w:cs="Arial"/>
        </w:rPr>
      </w:pPr>
    </w:p>
    <w:tbl>
      <w:tblPr>
        <w:tblW w:w="5534" w:type="pct"/>
        <w:tblLook w:val="04A0" w:firstRow="1" w:lastRow="0" w:firstColumn="1" w:lastColumn="0" w:noHBand="0" w:noVBand="1"/>
      </w:tblPr>
      <w:tblGrid>
        <w:gridCol w:w="2310"/>
        <w:gridCol w:w="1151"/>
        <w:gridCol w:w="1068"/>
        <w:gridCol w:w="946"/>
        <w:gridCol w:w="946"/>
        <w:gridCol w:w="946"/>
        <w:gridCol w:w="2113"/>
      </w:tblGrid>
      <w:tr w:rsidR="00FD2512" w:rsidRPr="00FD2512" w14:paraId="48CDB348" w14:textId="77777777" w:rsidTr="00FD2512">
        <w:trPr>
          <w:trHeight w:val="318"/>
        </w:trPr>
        <w:tc>
          <w:tcPr>
            <w:tcW w:w="122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D4DB3A" w14:textId="77777777" w:rsidR="00FD2512" w:rsidRPr="00FD2512" w:rsidRDefault="00FD2512" w:rsidP="00FD2512">
            <w:pPr>
              <w:rPr>
                <w:rFonts w:ascii="Arial" w:eastAsia="Times New Roman" w:hAnsi="Arial" w:cs="Arial"/>
                <w:color w:val="000000"/>
              </w:rPr>
            </w:pPr>
            <w:r w:rsidRPr="00FD2512">
              <w:rPr>
                <w:rFonts w:ascii="Arial" w:eastAsia="Times New Roman" w:hAnsi="Arial" w:cs="Arial"/>
                <w:color w:val="000000"/>
              </w:rPr>
              <w:t>ITEMS</w:t>
            </w:r>
          </w:p>
        </w:tc>
        <w:tc>
          <w:tcPr>
            <w:tcW w:w="611" w:type="pct"/>
            <w:tcBorders>
              <w:top w:val="single" w:sz="4" w:space="0" w:color="auto"/>
              <w:left w:val="nil"/>
              <w:bottom w:val="single" w:sz="4" w:space="0" w:color="auto"/>
              <w:right w:val="single" w:sz="4" w:space="0" w:color="auto"/>
            </w:tcBorders>
            <w:shd w:val="clear" w:color="auto" w:fill="auto"/>
            <w:noWrap/>
            <w:vAlign w:val="bottom"/>
            <w:hideMark/>
          </w:tcPr>
          <w:p w14:paraId="62EB2DEA" w14:textId="77777777" w:rsidR="00FD2512" w:rsidRPr="00FD2512" w:rsidRDefault="00FD2512" w:rsidP="00FD2512">
            <w:pPr>
              <w:jc w:val="right"/>
              <w:rPr>
                <w:rFonts w:ascii="Arial" w:eastAsia="Times New Roman" w:hAnsi="Arial" w:cs="Arial"/>
                <w:color w:val="000000"/>
              </w:rPr>
            </w:pPr>
            <w:r w:rsidRPr="00FD2512">
              <w:rPr>
                <w:rFonts w:ascii="Arial" w:eastAsia="Times New Roman" w:hAnsi="Arial" w:cs="Arial"/>
                <w:color w:val="000000"/>
              </w:rPr>
              <w:t>2013</w:t>
            </w:r>
          </w:p>
        </w:tc>
        <w:tc>
          <w:tcPr>
            <w:tcW w:w="567" w:type="pct"/>
            <w:tcBorders>
              <w:top w:val="single" w:sz="4" w:space="0" w:color="auto"/>
              <w:left w:val="nil"/>
              <w:bottom w:val="single" w:sz="4" w:space="0" w:color="auto"/>
              <w:right w:val="single" w:sz="4" w:space="0" w:color="auto"/>
            </w:tcBorders>
            <w:shd w:val="clear" w:color="auto" w:fill="auto"/>
            <w:noWrap/>
            <w:vAlign w:val="bottom"/>
            <w:hideMark/>
          </w:tcPr>
          <w:p w14:paraId="734D4EC9" w14:textId="77777777" w:rsidR="00FD2512" w:rsidRPr="00FD2512" w:rsidRDefault="00FD2512" w:rsidP="00FD2512">
            <w:pPr>
              <w:jc w:val="right"/>
              <w:rPr>
                <w:rFonts w:ascii="Calibri" w:eastAsia="Times New Roman" w:hAnsi="Calibri" w:cs="Times New Roman"/>
                <w:color w:val="000000"/>
              </w:rPr>
            </w:pPr>
            <w:r w:rsidRPr="00FD2512">
              <w:rPr>
                <w:rFonts w:ascii="Calibri" w:eastAsia="Times New Roman" w:hAnsi="Calibri" w:cs="Times New Roman"/>
                <w:color w:val="000000"/>
              </w:rPr>
              <w:t>2014</w:t>
            </w:r>
          </w:p>
        </w:tc>
        <w:tc>
          <w:tcPr>
            <w:tcW w:w="502" w:type="pct"/>
            <w:tcBorders>
              <w:top w:val="single" w:sz="4" w:space="0" w:color="auto"/>
              <w:left w:val="nil"/>
              <w:bottom w:val="single" w:sz="4" w:space="0" w:color="auto"/>
              <w:right w:val="single" w:sz="4" w:space="0" w:color="auto"/>
            </w:tcBorders>
            <w:shd w:val="clear" w:color="auto" w:fill="auto"/>
            <w:noWrap/>
            <w:vAlign w:val="bottom"/>
            <w:hideMark/>
          </w:tcPr>
          <w:p w14:paraId="77D45A9F" w14:textId="77777777" w:rsidR="00FD2512" w:rsidRPr="00FD2512" w:rsidRDefault="00FD2512" w:rsidP="00FD2512">
            <w:pPr>
              <w:jc w:val="right"/>
              <w:rPr>
                <w:rFonts w:ascii="Calibri" w:eastAsia="Times New Roman" w:hAnsi="Calibri" w:cs="Times New Roman"/>
                <w:color w:val="000000"/>
              </w:rPr>
            </w:pPr>
            <w:r w:rsidRPr="00FD2512">
              <w:rPr>
                <w:rFonts w:ascii="Calibri" w:eastAsia="Times New Roman" w:hAnsi="Calibri" w:cs="Times New Roman"/>
                <w:color w:val="000000"/>
              </w:rPr>
              <w:t>2015</w:t>
            </w:r>
          </w:p>
        </w:tc>
        <w:tc>
          <w:tcPr>
            <w:tcW w:w="502" w:type="pct"/>
            <w:tcBorders>
              <w:top w:val="single" w:sz="4" w:space="0" w:color="auto"/>
              <w:left w:val="nil"/>
              <w:bottom w:val="single" w:sz="4" w:space="0" w:color="auto"/>
              <w:right w:val="single" w:sz="4" w:space="0" w:color="auto"/>
            </w:tcBorders>
            <w:shd w:val="clear" w:color="auto" w:fill="auto"/>
            <w:noWrap/>
            <w:vAlign w:val="bottom"/>
            <w:hideMark/>
          </w:tcPr>
          <w:p w14:paraId="28A56B4B" w14:textId="77777777" w:rsidR="00FD2512" w:rsidRPr="00FD2512" w:rsidRDefault="00FD2512" w:rsidP="00FD2512">
            <w:pPr>
              <w:jc w:val="right"/>
              <w:rPr>
                <w:rFonts w:ascii="Calibri" w:eastAsia="Times New Roman" w:hAnsi="Calibri" w:cs="Times New Roman"/>
                <w:color w:val="000000"/>
              </w:rPr>
            </w:pPr>
            <w:r w:rsidRPr="00FD2512">
              <w:rPr>
                <w:rFonts w:ascii="Calibri" w:eastAsia="Times New Roman" w:hAnsi="Calibri" w:cs="Times New Roman"/>
                <w:color w:val="000000"/>
              </w:rPr>
              <w:t>2016</w:t>
            </w:r>
          </w:p>
        </w:tc>
        <w:tc>
          <w:tcPr>
            <w:tcW w:w="502" w:type="pct"/>
            <w:tcBorders>
              <w:top w:val="single" w:sz="4" w:space="0" w:color="auto"/>
              <w:left w:val="nil"/>
              <w:bottom w:val="single" w:sz="4" w:space="0" w:color="auto"/>
              <w:right w:val="single" w:sz="4" w:space="0" w:color="auto"/>
            </w:tcBorders>
            <w:shd w:val="clear" w:color="auto" w:fill="auto"/>
            <w:noWrap/>
            <w:vAlign w:val="bottom"/>
            <w:hideMark/>
          </w:tcPr>
          <w:p w14:paraId="6D11D484" w14:textId="77777777" w:rsidR="00FD2512" w:rsidRPr="00FD2512" w:rsidRDefault="00FD2512" w:rsidP="00FD2512">
            <w:pPr>
              <w:jc w:val="right"/>
              <w:rPr>
                <w:rFonts w:ascii="Calibri" w:eastAsia="Times New Roman" w:hAnsi="Calibri" w:cs="Times New Roman"/>
                <w:color w:val="000000"/>
              </w:rPr>
            </w:pPr>
            <w:r w:rsidRPr="00FD2512">
              <w:rPr>
                <w:rFonts w:ascii="Calibri" w:eastAsia="Times New Roman" w:hAnsi="Calibri" w:cs="Times New Roman"/>
                <w:color w:val="000000"/>
              </w:rPr>
              <w:t>2017</w:t>
            </w:r>
          </w:p>
        </w:tc>
        <w:tc>
          <w:tcPr>
            <w:tcW w:w="1092" w:type="pct"/>
            <w:tcBorders>
              <w:top w:val="single" w:sz="4" w:space="0" w:color="auto"/>
              <w:left w:val="nil"/>
              <w:bottom w:val="single" w:sz="4" w:space="0" w:color="auto"/>
              <w:right w:val="single" w:sz="4" w:space="0" w:color="auto"/>
            </w:tcBorders>
            <w:shd w:val="clear" w:color="auto" w:fill="auto"/>
            <w:noWrap/>
            <w:vAlign w:val="bottom"/>
            <w:hideMark/>
          </w:tcPr>
          <w:p w14:paraId="6012B59A" w14:textId="72EC3D80" w:rsidR="00FD2512" w:rsidRPr="00FD2512" w:rsidRDefault="00A439C7" w:rsidP="00FD2512">
            <w:pPr>
              <w:rPr>
                <w:rFonts w:ascii="Calibri" w:eastAsia="Times New Roman" w:hAnsi="Calibri" w:cs="Times New Roman"/>
                <w:color w:val="000000"/>
              </w:rPr>
            </w:pPr>
            <w:r w:rsidRPr="00FD2512">
              <w:rPr>
                <w:rFonts w:ascii="Calibri" w:eastAsia="Times New Roman" w:hAnsi="Calibri" w:cs="Times New Roman"/>
                <w:color w:val="000000"/>
              </w:rPr>
              <w:t>SANTANDER (</w:t>
            </w:r>
            <w:r w:rsidR="00FD2512" w:rsidRPr="00FD2512">
              <w:rPr>
                <w:rFonts w:ascii="Calibri" w:eastAsia="Times New Roman" w:hAnsi="Calibri" w:cs="Times New Roman"/>
                <w:color w:val="000000"/>
              </w:rPr>
              <w:t>2017)</w:t>
            </w:r>
          </w:p>
        </w:tc>
      </w:tr>
      <w:tr w:rsidR="00FD2512" w:rsidRPr="00FD2512" w14:paraId="7012F87C" w14:textId="77777777" w:rsidTr="00FD2512">
        <w:trPr>
          <w:trHeight w:val="318"/>
        </w:trPr>
        <w:tc>
          <w:tcPr>
            <w:tcW w:w="1225" w:type="pct"/>
            <w:tcBorders>
              <w:top w:val="nil"/>
              <w:left w:val="single" w:sz="4" w:space="0" w:color="auto"/>
              <w:bottom w:val="single" w:sz="4" w:space="0" w:color="auto"/>
              <w:right w:val="single" w:sz="4" w:space="0" w:color="auto"/>
            </w:tcBorders>
            <w:shd w:val="clear" w:color="auto" w:fill="auto"/>
            <w:noWrap/>
            <w:vAlign w:val="bottom"/>
            <w:hideMark/>
          </w:tcPr>
          <w:p w14:paraId="16639EEF" w14:textId="77777777" w:rsidR="00FD2512" w:rsidRPr="00FD2512" w:rsidRDefault="00FD2512" w:rsidP="00FD2512">
            <w:pPr>
              <w:rPr>
                <w:rFonts w:ascii="Arial" w:eastAsia="Times New Roman" w:hAnsi="Arial" w:cs="Arial"/>
                <w:color w:val="000000"/>
              </w:rPr>
            </w:pPr>
            <w:r w:rsidRPr="00FD2512">
              <w:rPr>
                <w:rFonts w:ascii="Arial" w:eastAsia="Times New Roman" w:hAnsi="Arial" w:cs="Arial"/>
                <w:color w:val="000000"/>
              </w:rPr>
              <w:t>TOTAL EQUITY</w:t>
            </w:r>
          </w:p>
        </w:tc>
        <w:tc>
          <w:tcPr>
            <w:tcW w:w="611" w:type="pct"/>
            <w:tcBorders>
              <w:top w:val="nil"/>
              <w:left w:val="nil"/>
              <w:bottom w:val="single" w:sz="4" w:space="0" w:color="auto"/>
              <w:right w:val="single" w:sz="4" w:space="0" w:color="auto"/>
            </w:tcBorders>
            <w:shd w:val="clear" w:color="auto" w:fill="auto"/>
            <w:noWrap/>
            <w:vAlign w:val="bottom"/>
            <w:hideMark/>
          </w:tcPr>
          <w:p w14:paraId="06D4FF22" w14:textId="77777777" w:rsidR="00FD2512" w:rsidRPr="00FD2512" w:rsidRDefault="00FD2512" w:rsidP="00FD2512">
            <w:pPr>
              <w:jc w:val="right"/>
              <w:rPr>
                <w:rFonts w:ascii="Arial" w:eastAsia="Times New Roman" w:hAnsi="Arial" w:cs="Arial"/>
                <w:color w:val="000000"/>
              </w:rPr>
            </w:pPr>
            <w:r w:rsidRPr="00FD2512">
              <w:rPr>
                <w:rFonts w:ascii="Arial" w:eastAsia="Times New Roman" w:hAnsi="Arial" w:cs="Arial"/>
                <w:color w:val="000000"/>
              </w:rPr>
              <w:t>60192</w:t>
            </w:r>
          </w:p>
        </w:tc>
        <w:tc>
          <w:tcPr>
            <w:tcW w:w="567" w:type="pct"/>
            <w:tcBorders>
              <w:top w:val="nil"/>
              <w:left w:val="nil"/>
              <w:bottom w:val="single" w:sz="4" w:space="0" w:color="auto"/>
              <w:right w:val="single" w:sz="4" w:space="0" w:color="auto"/>
            </w:tcBorders>
            <w:shd w:val="clear" w:color="auto" w:fill="auto"/>
            <w:noWrap/>
            <w:vAlign w:val="bottom"/>
            <w:hideMark/>
          </w:tcPr>
          <w:p w14:paraId="344C79B1" w14:textId="77777777" w:rsidR="00FD2512" w:rsidRPr="00FD2512" w:rsidRDefault="00FD2512" w:rsidP="00FD2512">
            <w:pPr>
              <w:jc w:val="right"/>
              <w:rPr>
                <w:rFonts w:ascii="Calibri" w:eastAsia="Times New Roman" w:hAnsi="Calibri" w:cs="Times New Roman"/>
                <w:color w:val="000000"/>
              </w:rPr>
            </w:pPr>
            <w:r w:rsidRPr="00FD2512">
              <w:rPr>
                <w:rFonts w:ascii="Calibri" w:eastAsia="Times New Roman" w:hAnsi="Calibri" w:cs="Times New Roman"/>
                <w:color w:val="000000"/>
              </w:rPr>
              <w:t>59215</w:t>
            </w:r>
          </w:p>
        </w:tc>
        <w:tc>
          <w:tcPr>
            <w:tcW w:w="502" w:type="pct"/>
            <w:tcBorders>
              <w:top w:val="nil"/>
              <w:left w:val="nil"/>
              <w:bottom w:val="single" w:sz="4" w:space="0" w:color="auto"/>
              <w:right w:val="single" w:sz="4" w:space="0" w:color="auto"/>
            </w:tcBorders>
            <w:shd w:val="clear" w:color="auto" w:fill="auto"/>
            <w:noWrap/>
            <w:vAlign w:val="bottom"/>
            <w:hideMark/>
          </w:tcPr>
          <w:p w14:paraId="74E559EF" w14:textId="77777777" w:rsidR="00FD2512" w:rsidRPr="00FD2512" w:rsidRDefault="00FD2512" w:rsidP="00FD2512">
            <w:pPr>
              <w:jc w:val="right"/>
              <w:rPr>
                <w:rFonts w:ascii="Calibri" w:eastAsia="Times New Roman" w:hAnsi="Calibri" w:cs="Times New Roman"/>
                <w:color w:val="000000"/>
              </w:rPr>
            </w:pPr>
            <w:r w:rsidRPr="00FD2512">
              <w:rPr>
                <w:rFonts w:ascii="Calibri" w:eastAsia="Times New Roman" w:hAnsi="Calibri" w:cs="Times New Roman"/>
                <w:color w:val="000000"/>
              </w:rPr>
              <w:t>54147</w:t>
            </w:r>
          </w:p>
        </w:tc>
        <w:tc>
          <w:tcPr>
            <w:tcW w:w="502" w:type="pct"/>
            <w:tcBorders>
              <w:top w:val="nil"/>
              <w:left w:val="nil"/>
              <w:bottom w:val="single" w:sz="4" w:space="0" w:color="auto"/>
              <w:right w:val="single" w:sz="4" w:space="0" w:color="auto"/>
            </w:tcBorders>
            <w:shd w:val="clear" w:color="auto" w:fill="auto"/>
            <w:noWrap/>
            <w:vAlign w:val="bottom"/>
            <w:hideMark/>
          </w:tcPr>
          <w:p w14:paraId="1DB80F7A" w14:textId="77777777" w:rsidR="00FD2512" w:rsidRPr="00FD2512" w:rsidRDefault="00FD2512" w:rsidP="00FD2512">
            <w:pPr>
              <w:jc w:val="right"/>
              <w:rPr>
                <w:rFonts w:ascii="Calibri" w:eastAsia="Times New Roman" w:hAnsi="Calibri" w:cs="Times New Roman"/>
                <w:color w:val="000000"/>
              </w:rPr>
            </w:pPr>
            <w:r w:rsidRPr="00FD2512">
              <w:rPr>
                <w:rFonts w:ascii="Calibri" w:eastAsia="Times New Roman" w:hAnsi="Calibri" w:cs="Times New Roman"/>
                <w:color w:val="000000"/>
              </w:rPr>
              <w:t>49404</w:t>
            </w:r>
          </w:p>
        </w:tc>
        <w:tc>
          <w:tcPr>
            <w:tcW w:w="502" w:type="pct"/>
            <w:tcBorders>
              <w:top w:val="nil"/>
              <w:left w:val="nil"/>
              <w:bottom w:val="single" w:sz="4" w:space="0" w:color="auto"/>
              <w:right w:val="single" w:sz="4" w:space="0" w:color="auto"/>
            </w:tcBorders>
            <w:shd w:val="clear" w:color="auto" w:fill="auto"/>
            <w:noWrap/>
            <w:vAlign w:val="bottom"/>
            <w:hideMark/>
          </w:tcPr>
          <w:p w14:paraId="3936734B" w14:textId="77777777" w:rsidR="00FD2512" w:rsidRPr="00FD2512" w:rsidRDefault="00FD2512" w:rsidP="00FD2512">
            <w:pPr>
              <w:jc w:val="right"/>
              <w:rPr>
                <w:rFonts w:ascii="Calibri" w:eastAsia="Times New Roman" w:hAnsi="Calibri" w:cs="Times New Roman"/>
                <w:color w:val="000000"/>
              </w:rPr>
            </w:pPr>
            <w:r w:rsidRPr="00FD2512">
              <w:rPr>
                <w:rFonts w:ascii="Calibri" w:eastAsia="Times New Roman" w:hAnsi="Calibri" w:cs="Times New Roman"/>
                <w:color w:val="000000"/>
              </w:rPr>
              <w:t>49093</w:t>
            </w:r>
          </w:p>
        </w:tc>
        <w:tc>
          <w:tcPr>
            <w:tcW w:w="1092" w:type="pct"/>
            <w:tcBorders>
              <w:top w:val="nil"/>
              <w:left w:val="nil"/>
              <w:bottom w:val="single" w:sz="4" w:space="0" w:color="auto"/>
              <w:right w:val="single" w:sz="4" w:space="0" w:color="auto"/>
            </w:tcBorders>
            <w:shd w:val="clear" w:color="auto" w:fill="auto"/>
            <w:noWrap/>
            <w:vAlign w:val="bottom"/>
            <w:hideMark/>
          </w:tcPr>
          <w:p w14:paraId="78F1D205" w14:textId="77777777" w:rsidR="00FD2512" w:rsidRPr="00FD2512" w:rsidRDefault="00FD2512" w:rsidP="00FD2512">
            <w:pPr>
              <w:jc w:val="right"/>
              <w:rPr>
                <w:rFonts w:ascii="Calibri" w:eastAsia="Times New Roman" w:hAnsi="Calibri" w:cs="Times New Roman"/>
                <w:color w:val="000000"/>
              </w:rPr>
            </w:pPr>
            <w:r w:rsidRPr="00FD2512">
              <w:rPr>
                <w:rFonts w:ascii="Calibri" w:eastAsia="Times New Roman" w:hAnsi="Calibri" w:cs="Times New Roman"/>
                <w:color w:val="000000"/>
              </w:rPr>
              <w:t>16202</w:t>
            </w:r>
          </w:p>
        </w:tc>
      </w:tr>
      <w:tr w:rsidR="00FD2512" w:rsidRPr="00FD2512" w14:paraId="126FA9F5" w14:textId="77777777" w:rsidTr="00FD2512">
        <w:trPr>
          <w:trHeight w:val="318"/>
        </w:trPr>
        <w:tc>
          <w:tcPr>
            <w:tcW w:w="1225" w:type="pct"/>
            <w:tcBorders>
              <w:top w:val="nil"/>
              <w:left w:val="single" w:sz="4" w:space="0" w:color="auto"/>
              <w:bottom w:val="single" w:sz="4" w:space="0" w:color="auto"/>
              <w:right w:val="single" w:sz="4" w:space="0" w:color="auto"/>
            </w:tcBorders>
            <w:shd w:val="clear" w:color="auto" w:fill="auto"/>
            <w:noWrap/>
            <w:vAlign w:val="bottom"/>
            <w:hideMark/>
          </w:tcPr>
          <w:p w14:paraId="22D391D4" w14:textId="77777777" w:rsidR="00FD2512" w:rsidRPr="00FD2512" w:rsidRDefault="00FD2512" w:rsidP="00FD2512">
            <w:pPr>
              <w:rPr>
                <w:rFonts w:ascii="Arial" w:eastAsia="Times New Roman" w:hAnsi="Arial" w:cs="Arial"/>
                <w:color w:val="000000"/>
              </w:rPr>
            </w:pPr>
            <w:r w:rsidRPr="00FD2512">
              <w:rPr>
                <w:rFonts w:ascii="Arial" w:eastAsia="Times New Roman" w:hAnsi="Arial" w:cs="Arial"/>
                <w:color w:val="000000"/>
              </w:rPr>
              <w:t>TOTAL ASSETS</w:t>
            </w:r>
          </w:p>
        </w:tc>
        <w:tc>
          <w:tcPr>
            <w:tcW w:w="611" w:type="pct"/>
            <w:tcBorders>
              <w:top w:val="nil"/>
              <w:left w:val="nil"/>
              <w:bottom w:val="single" w:sz="4" w:space="0" w:color="auto"/>
              <w:right w:val="single" w:sz="4" w:space="0" w:color="auto"/>
            </w:tcBorders>
            <w:shd w:val="clear" w:color="auto" w:fill="auto"/>
            <w:noWrap/>
            <w:vAlign w:val="bottom"/>
            <w:hideMark/>
          </w:tcPr>
          <w:p w14:paraId="298E3155" w14:textId="77777777" w:rsidR="00FD2512" w:rsidRPr="00FD2512" w:rsidRDefault="00FD2512" w:rsidP="00FD2512">
            <w:pPr>
              <w:jc w:val="right"/>
              <w:rPr>
                <w:rFonts w:ascii="Arial" w:eastAsia="Times New Roman" w:hAnsi="Arial" w:cs="Arial"/>
                <w:color w:val="000000"/>
              </w:rPr>
            </w:pPr>
            <w:r w:rsidRPr="00FD2512">
              <w:rPr>
                <w:rFonts w:ascii="Arial" w:eastAsia="Times New Roman" w:hAnsi="Arial" w:cs="Arial"/>
                <w:color w:val="000000"/>
              </w:rPr>
              <w:t>1027878</w:t>
            </w:r>
          </w:p>
        </w:tc>
        <w:tc>
          <w:tcPr>
            <w:tcW w:w="567" w:type="pct"/>
            <w:tcBorders>
              <w:top w:val="nil"/>
              <w:left w:val="nil"/>
              <w:bottom w:val="single" w:sz="4" w:space="0" w:color="auto"/>
              <w:right w:val="single" w:sz="4" w:space="0" w:color="auto"/>
            </w:tcBorders>
            <w:shd w:val="clear" w:color="auto" w:fill="auto"/>
            <w:noWrap/>
            <w:vAlign w:val="bottom"/>
            <w:hideMark/>
          </w:tcPr>
          <w:p w14:paraId="4F075003" w14:textId="77777777" w:rsidR="00FD2512" w:rsidRPr="00FD2512" w:rsidRDefault="00FD2512" w:rsidP="00FD2512">
            <w:pPr>
              <w:jc w:val="right"/>
              <w:rPr>
                <w:rFonts w:ascii="Calibri" w:eastAsia="Times New Roman" w:hAnsi="Calibri" w:cs="Times New Roman"/>
                <w:color w:val="000000"/>
              </w:rPr>
            </w:pPr>
            <w:r w:rsidRPr="00FD2512">
              <w:rPr>
                <w:rFonts w:ascii="Calibri" w:eastAsia="Times New Roman" w:hAnsi="Calibri" w:cs="Times New Roman"/>
                <w:color w:val="000000"/>
              </w:rPr>
              <w:t>1050763</w:t>
            </w:r>
          </w:p>
        </w:tc>
        <w:tc>
          <w:tcPr>
            <w:tcW w:w="502" w:type="pct"/>
            <w:tcBorders>
              <w:top w:val="nil"/>
              <w:left w:val="nil"/>
              <w:bottom w:val="single" w:sz="4" w:space="0" w:color="auto"/>
              <w:right w:val="single" w:sz="4" w:space="0" w:color="auto"/>
            </w:tcBorders>
            <w:shd w:val="clear" w:color="auto" w:fill="auto"/>
            <w:noWrap/>
            <w:vAlign w:val="bottom"/>
            <w:hideMark/>
          </w:tcPr>
          <w:p w14:paraId="66955D87" w14:textId="77777777" w:rsidR="00FD2512" w:rsidRPr="00FD2512" w:rsidRDefault="00FD2512" w:rsidP="00FD2512">
            <w:pPr>
              <w:jc w:val="right"/>
              <w:rPr>
                <w:rFonts w:ascii="Calibri" w:eastAsia="Times New Roman" w:hAnsi="Calibri" w:cs="Times New Roman"/>
                <w:color w:val="000000"/>
              </w:rPr>
            </w:pPr>
            <w:r w:rsidRPr="00FD2512">
              <w:rPr>
                <w:rFonts w:ascii="Calibri" w:eastAsia="Times New Roman" w:hAnsi="Calibri" w:cs="Times New Roman"/>
                <w:color w:val="000000"/>
              </w:rPr>
              <w:t>815408</w:t>
            </w:r>
          </w:p>
        </w:tc>
        <w:tc>
          <w:tcPr>
            <w:tcW w:w="502" w:type="pct"/>
            <w:tcBorders>
              <w:top w:val="nil"/>
              <w:left w:val="nil"/>
              <w:bottom w:val="single" w:sz="4" w:space="0" w:color="auto"/>
              <w:right w:val="single" w:sz="4" w:space="0" w:color="auto"/>
            </w:tcBorders>
            <w:shd w:val="clear" w:color="auto" w:fill="auto"/>
            <w:noWrap/>
            <w:vAlign w:val="bottom"/>
            <w:hideMark/>
          </w:tcPr>
          <w:p w14:paraId="0B31E71A" w14:textId="77777777" w:rsidR="00FD2512" w:rsidRPr="00FD2512" w:rsidRDefault="00FD2512" w:rsidP="00FD2512">
            <w:pPr>
              <w:jc w:val="right"/>
              <w:rPr>
                <w:rFonts w:ascii="Calibri" w:eastAsia="Times New Roman" w:hAnsi="Calibri" w:cs="Times New Roman"/>
                <w:color w:val="000000"/>
              </w:rPr>
            </w:pPr>
            <w:r w:rsidRPr="00FD2512">
              <w:rPr>
                <w:rFonts w:ascii="Calibri" w:eastAsia="Times New Roman" w:hAnsi="Calibri" w:cs="Times New Roman"/>
                <w:color w:val="000000"/>
              </w:rPr>
              <w:t>798656</w:t>
            </w:r>
          </w:p>
        </w:tc>
        <w:tc>
          <w:tcPr>
            <w:tcW w:w="502" w:type="pct"/>
            <w:tcBorders>
              <w:top w:val="nil"/>
              <w:left w:val="nil"/>
              <w:bottom w:val="single" w:sz="4" w:space="0" w:color="auto"/>
              <w:right w:val="single" w:sz="4" w:space="0" w:color="auto"/>
            </w:tcBorders>
            <w:shd w:val="clear" w:color="auto" w:fill="auto"/>
            <w:noWrap/>
            <w:vAlign w:val="bottom"/>
            <w:hideMark/>
          </w:tcPr>
          <w:p w14:paraId="147B88DF" w14:textId="77777777" w:rsidR="00FD2512" w:rsidRPr="00FD2512" w:rsidRDefault="00FD2512" w:rsidP="00FD2512">
            <w:pPr>
              <w:jc w:val="right"/>
              <w:rPr>
                <w:rFonts w:ascii="Calibri" w:eastAsia="Times New Roman" w:hAnsi="Calibri" w:cs="Times New Roman"/>
                <w:color w:val="000000"/>
              </w:rPr>
            </w:pPr>
            <w:r w:rsidRPr="00FD2512">
              <w:rPr>
                <w:rFonts w:ascii="Calibri" w:eastAsia="Times New Roman" w:hAnsi="Calibri" w:cs="Times New Roman"/>
                <w:color w:val="000000"/>
              </w:rPr>
              <w:t>738056</w:t>
            </w:r>
          </w:p>
        </w:tc>
        <w:tc>
          <w:tcPr>
            <w:tcW w:w="1092" w:type="pct"/>
            <w:tcBorders>
              <w:top w:val="nil"/>
              <w:left w:val="nil"/>
              <w:bottom w:val="single" w:sz="4" w:space="0" w:color="auto"/>
              <w:right w:val="single" w:sz="4" w:space="0" w:color="auto"/>
            </w:tcBorders>
            <w:shd w:val="clear" w:color="auto" w:fill="auto"/>
            <w:noWrap/>
            <w:vAlign w:val="bottom"/>
            <w:hideMark/>
          </w:tcPr>
          <w:p w14:paraId="623E7DDE" w14:textId="77777777" w:rsidR="00FD2512" w:rsidRPr="00FD2512" w:rsidRDefault="00FD2512" w:rsidP="00FD2512">
            <w:pPr>
              <w:jc w:val="right"/>
              <w:rPr>
                <w:rFonts w:ascii="Calibri" w:eastAsia="Times New Roman" w:hAnsi="Calibri" w:cs="Times New Roman"/>
                <w:color w:val="000000"/>
              </w:rPr>
            </w:pPr>
            <w:r w:rsidRPr="00FD2512">
              <w:rPr>
                <w:rFonts w:ascii="Calibri" w:eastAsia="Times New Roman" w:hAnsi="Calibri" w:cs="Times New Roman"/>
                <w:color w:val="000000"/>
              </w:rPr>
              <w:t>314760</w:t>
            </w:r>
          </w:p>
        </w:tc>
      </w:tr>
      <w:tr w:rsidR="00FD2512" w:rsidRPr="00FD2512" w14:paraId="24E25D0A" w14:textId="77777777" w:rsidTr="00FD2512">
        <w:trPr>
          <w:trHeight w:val="318"/>
        </w:trPr>
        <w:tc>
          <w:tcPr>
            <w:tcW w:w="1225" w:type="pct"/>
            <w:tcBorders>
              <w:top w:val="nil"/>
              <w:left w:val="single" w:sz="4" w:space="0" w:color="auto"/>
              <w:bottom w:val="single" w:sz="4" w:space="0" w:color="auto"/>
              <w:right w:val="single" w:sz="4" w:space="0" w:color="auto"/>
            </w:tcBorders>
            <w:shd w:val="clear" w:color="auto" w:fill="auto"/>
            <w:noWrap/>
            <w:vAlign w:val="bottom"/>
            <w:hideMark/>
          </w:tcPr>
          <w:p w14:paraId="60D7DC97" w14:textId="77777777" w:rsidR="00FD2512" w:rsidRPr="00FD2512" w:rsidRDefault="00FD2512" w:rsidP="00FD2512">
            <w:pPr>
              <w:rPr>
                <w:rFonts w:ascii="Arial" w:eastAsia="Times New Roman" w:hAnsi="Arial" w:cs="Arial"/>
                <w:color w:val="000000"/>
              </w:rPr>
            </w:pPr>
            <w:r w:rsidRPr="00FD2512">
              <w:rPr>
                <w:rFonts w:ascii="Arial" w:eastAsia="Times New Roman" w:hAnsi="Arial" w:cs="Arial"/>
                <w:color w:val="000000"/>
              </w:rPr>
              <w:t>LEVERAGE RATIO</w:t>
            </w:r>
          </w:p>
        </w:tc>
        <w:tc>
          <w:tcPr>
            <w:tcW w:w="611" w:type="pct"/>
            <w:tcBorders>
              <w:top w:val="nil"/>
              <w:left w:val="nil"/>
              <w:bottom w:val="single" w:sz="4" w:space="0" w:color="auto"/>
              <w:right w:val="single" w:sz="4" w:space="0" w:color="auto"/>
            </w:tcBorders>
            <w:shd w:val="clear" w:color="auto" w:fill="auto"/>
            <w:noWrap/>
            <w:vAlign w:val="bottom"/>
            <w:hideMark/>
          </w:tcPr>
          <w:p w14:paraId="54367CB9" w14:textId="77777777" w:rsidR="00FD2512" w:rsidRPr="00FD2512" w:rsidRDefault="00FD2512" w:rsidP="00FD2512">
            <w:pPr>
              <w:jc w:val="right"/>
              <w:rPr>
                <w:rFonts w:ascii="Arial" w:eastAsia="Times New Roman" w:hAnsi="Arial" w:cs="Arial"/>
                <w:color w:val="000000"/>
              </w:rPr>
            </w:pPr>
            <w:r w:rsidRPr="00FD2512">
              <w:rPr>
                <w:rFonts w:ascii="Arial" w:eastAsia="Times New Roman" w:hAnsi="Arial" w:cs="Arial"/>
                <w:color w:val="000000"/>
              </w:rPr>
              <w:t>0.059</w:t>
            </w:r>
          </w:p>
        </w:tc>
        <w:tc>
          <w:tcPr>
            <w:tcW w:w="567" w:type="pct"/>
            <w:tcBorders>
              <w:top w:val="nil"/>
              <w:left w:val="nil"/>
              <w:bottom w:val="single" w:sz="4" w:space="0" w:color="auto"/>
              <w:right w:val="single" w:sz="4" w:space="0" w:color="auto"/>
            </w:tcBorders>
            <w:shd w:val="clear" w:color="auto" w:fill="auto"/>
            <w:noWrap/>
            <w:vAlign w:val="bottom"/>
            <w:hideMark/>
          </w:tcPr>
          <w:p w14:paraId="495BA650" w14:textId="77777777" w:rsidR="00FD2512" w:rsidRPr="00FD2512" w:rsidRDefault="00FD2512" w:rsidP="00FD2512">
            <w:pPr>
              <w:jc w:val="right"/>
              <w:rPr>
                <w:rFonts w:ascii="Arial" w:eastAsia="Times New Roman" w:hAnsi="Arial" w:cs="Arial"/>
                <w:color w:val="000000"/>
              </w:rPr>
            </w:pPr>
            <w:r w:rsidRPr="00FD2512">
              <w:rPr>
                <w:rFonts w:ascii="Arial" w:eastAsia="Times New Roman" w:hAnsi="Arial" w:cs="Arial"/>
                <w:color w:val="000000"/>
              </w:rPr>
              <w:t>0.056</w:t>
            </w:r>
          </w:p>
        </w:tc>
        <w:tc>
          <w:tcPr>
            <w:tcW w:w="502" w:type="pct"/>
            <w:tcBorders>
              <w:top w:val="nil"/>
              <w:left w:val="nil"/>
              <w:bottom w:val="single" w:sz="4" w:space="0" w:color="auto"/>
              <w:right w:val="single" w:sz="4" w:space="0" w:color="auto"/>
            </w:tcBorders>
            <w:shd w:val="clear" w:color="auto" w:fill="auto"/>
            <w:noWrap/>
            <w:vAlign w:val="bottom"/>
            <w:hideMark/>
          </w:tcPr>
          <w:p w14:paraId="5C08347C" w14:textId="77777777" w:rsidR="00FD2512" w:rsidRPr="00FD2512" w:rsidRDefault="00FD2512" w:rsidP="00FD2512">
            <w:pPr>
              <w:jc w:val="right"/>
              <w:rPr>
                <w:rFonts w:ascii="Arial" w:eastAsia="Times New Roman" w:hAnsi="Arial" w:cs="Arial"/>
                <w:color w:val="000000"/>
              </w:rPr>
            </w:pPr>
            <w:r w:rsidRPr="00FD2512">
              <w:rPr>
                <w:rFonts w:ascii="Arial" w:eastAsia="Times New Roman" w:hAnsi="Arial" w:cs="Arial"/>
                <w:color w:val="000000"/>
              </w:rPr>
              <w:t>0.066</w:t>
            </w:r>
          </w:p>
        </w:tc>
        <w:tc>
          <w:tcPr>
            <w:tcW w:w="502" w:type="pct"/>
            <w:tcBorders>
              <w:top w:val="nil"/>
              <w:left w:val="nil"/>
              <w:bottom w:val="single" w:sz="4" w:space="0" w:color="auto"/>
              <w:right w:val="single" w:sz="4" w:space="0" w:color="auto"/>
            </w:tcBorders>
            <w:shd w:val="clear" w:color="auto" w:fill="auto"/>
            <w:noWrap/>
            <w:vAlign w:val="bottom"/>
            <w:hideMark/>
          </w:tcPr>
          <w:p w14:paraId="41D268B1" w14:textId="77777777" w:rsidR="00FD2512" w:rsidRPr="00FD2512" w:rsidRDefault="00FD2512" w:rsidP="00FD2512">
            <w:pPr>
              <w:jc w:val="right"/>
              <w:rPr>
                <w:rFonts w:ascii="Arial" w:eastAsia="Times New Roman" w:hAnsi="Arial" w:cs="Arial"/>
                <w:color w:val="000000"/>
              </w:rPr>
            </w:pPr>
            <w:r w:rsidRPr="00FD2512">
              <w:rPr>
                <w:rFonts w:ascii="Arial" w:eastAsia="Times New Roman" w:hAnsi="Arial" w:cs="Arial"/>
                <w:color w:val="000000"/>
              </w:rPr>
              <w:t>0.062</w:t>
            </w:r>
          </w:p>
        </w:tc>
        <w:tc>
          <w:tcPr>
            <w:tcW w:w="502" w:type="pct"/>
            <w:tcBorders>
              <w:top w:val="nil"/>
              <w:left w:val="nil"/>
              <w:bottom w:val="single" w:sz="4" w:space="0" w:color="auto"/>
              <w:right w:val="single" w:sz="4" w:space="0" w:color="auto"/>
            </w:tcBorders>
            <w:shd w:val="clear" w:color="auto" w:fill="auto"/>
            <w:noWrap/>
            <w:vAlign w:val="bottom"/>
            <w:hideMark/>
          </w:tcPr>
          <w:p w14:paraId="40071A81" w14:textId="77777777" w:rsidR="00FD2512" w:rsidRPr="00FD2512" w:rsidRDefault="00FD2512" w:rsidP="00FD2512">
            <w:pPr>
              <w:jc w:val="right"/>
              <w:rPr>
                <w:rFonts w:ascii="Arial" w:eastAsia="Times New Roman" w:hAnsi="Arial" w:cs="Arial"/>
                <w:color w:val="000000"/>
              </w:rPr>
            </w:pPr>
            <w:r w:rsidRPr="00FD2512">
              <w:rPr>
                <w:rFonts w:ascii="Arial" w:eastAsia="Times New Roman" w:hAnsi="Arial" w:cs="Arial"/>
                <w:color w:val="000000"/>
              </w:rPr>
              <w:t>0.067</w:t>
            </w:r>
          </w:p>
        </w:tc>
        <w:tc>
          <w:tcPr>
            <w:tcW w:w="1092" w:type="pct"/>
            <w:tcBorders>
              <w:top w:val="nil"/>
              <w:left w:val="nil"/>
              <w:bottom w:val="single" w:sz="4" w:space="0" w:color="auto"/>
              <w:right w:val="single" w:sz="4" w:space="0" w:color="auto"/>
            </w:tcBorders>
            <w:shd w:val="clear" w:color="auto" w:fill="auto"/>
            <w:noWrap/>
            <w:vAlign w:val="bottom"/>
            <w:hideMark/>
          </w:tcPr>
          <w:p w14:paraId="6B909649" w14:textId="77777777" w:rsidR="00FD2512" w:rsidRPr="00FD2512" w:rsidRDefault="00FD2512" w:rsidP="00FD2512">
            <w:pPr>
              <w:jc w:val="right"/>
              <w:rPr>
                <w:rFonts w:ascii="Arial" w:eastAsia="Times New Roman" w:hAnsi="Arial" w:cs="Arial"/>
                <w:color w:val="000000"/>
              </w:rPr>
            </w:pPr>
            <w:r w:rsidRPr="00FD2512">
              <w:rPr>
                <w:rFonts w:ascii="Arial" w:eastAsia="Times New Roman" w:hAnsi="Arial" w:cs="Arial"/>
                <w:color w:val="000000"/>
              </w:rPr>
              <w:t>0.051</w:t>
            </w:r>
          </w:p>
        </w:tc>
      </w:tr>
    </w:tbl>
    <w:p w14:paraId="6C0E1ADA" w14:textId="77777777" w:rsidR="00EA5BED" w:rsidRDefault="00EA5BED" w:rsidP="007443A5">
      <w:pPr>
        <w:jc w:val="both"/>
        <w:rPr>
          <w:rFonts w:ascii="Arial" w:hAnsi="Arial" w:cs="Arial"/>
        </w:rPr>
      </w:pPr>
    </w:p>
    <w:p w14:paraId="511043E9" w14:textId="77777777" w:rsidR="00DF2814" w:rsidRDefault="00DF2814" w:rsidP="007443A5">
      <w:pPr>
        <w:jc w:val="both"/>
        <w:rPr>
          <w:rFonts w:ascii="Arial" w:hAnsi="Arial" w:cs="Arial"/>
        </w:rPr>
      </w:pPr>
    </w:p>
    <w:p w14:paraId="0588E1BC" w14:textId="05A5BA94" w:rsidR="00B22F80" w:rsidRPr="00DF2814" w:rsidRDefault="00633BF9" w:rsidP="00B22F80">
      <w:pPr>
        <w:jc w:val="both"/>
        <w:rPr>
          <w:rFonts w:ascii="Arial" w:hAnsi="Arial" w:cs="Arial"/>
        </w:rPr>
      </w:pPr>
      <w:r>
        <w:rPr>
          <w:rFonts w:ascii="Arial" w:hAnsi="Arial" w:cs="Arial"/>
        </w:rPr>
        <w:t xml:space="preserve">The leverage ratio examines the amount of debts </w:t>
      </w:r>
      <w:r w:rsidR="00E80228">
        <w:rPr>
          <w:rFonts w:ascii="Arial" w:hAnsi="Arial" w:cs="Arial"/>
        </w:rPr>
        <w:t xml:space="preserve">owns by a bank over its assets. </w:t>
      </w:r>
      <w:r w:rsidR="00B22F80">
        <w:rPr>
          <w:rFonts w:ascii="Arial" w:hAnsi="Arial" w:cs="Arial"/>
        </w:rPr>
        <w:t xml:space="preserve">It also examines the affordability of a bank to generate cash through assets relative to the debts it owns. Higher leverage ratio of a bank leads to create burden on the bank to pay off their debt and on the contrary lower leverage ratio gives a benefit to the bank to invest to expand </w:t>
      </w:r>
      <w:r w:rsidR="00E50910">
        <w:rPr>
          <w:rFonts w:ascii="Arial" w:hAnsi="Arial" w:cs="Arial"/>
        </w:rPr>
        <w:t>its</w:t>
      </w:r>
      <w:r w:rsidR="00B22F80">
        <w:rPr>
          <w:rFonts w:ascii="Arial" w:hAnsi="Arial" w:cs="Arial"/>
        </w:rPr>
        <w:t xml:space="preserve"> business. </w:t>
      </w:r>
    </w:p>
    <w:p w14:paraId="0253004D" w14:textId="77777777" w:rsidR="00B22F80" w:rsidRDefault="00B22F80" w:rsidP="007443A5">
      <w:pPr>
        <w:jc w:val="both"/>
        <w:rPr>
          <w:rFonts w:ascii="Arial" w:hAnsi="Arial" w:cs="Arial"/>
        </w:rPr>
      </w:pPr>
    </w:p>
    <w:p w14:paraId="06BBA31D" w14:textId="090F454E" w:rsidR="00B22F80" w:rsidRDefault="00FD2512" w:rsidP="007443A5">
      <w:pPr>
        <w:jc w:val="both"/>
        <w:rPr>
          <w:rFonts w:ascii="Arial" w:hAnsi="Arial" w:cs="Arial"/>
        </w:rPr>
      </w:pPr>
      <w:r>
        <w:rPr>
          <w:rFonts w:ascii="Arial" w:hAnsi="Arial" w:cs="Arial"/>
        </w:rPr>
        <w:t xml:space="preserve">The above table describes about the </w:t>
      </w:r>
      <w:r w:rsidR="006B69BA">
        <w:rPr>
          <w:rFonts w:ascii="Arial" w:hAnsi="Arial" w:cs="Arial"/>
        </w:rPr>
        <w:t>leve</w:t>
      </w:r>
      <w:r w:rsidR="00210095">
        <w:rPr>
          <w:rFonts w:ascii="Arial" w:hAnsi="Arial" w:cs="Arial"/>
        </w:rPr>
        <w:t xml:space="preserve">rage ratio of the RBS </w:t>
      </w:r>
      <w:r w:rsidR="006B69BA">
        <w:rPr>
          <w:rFonts w:ascii="Arial" w:hAnsi="Arial" w:cs="Arial"/>
        </w:rPr>
        <w:t xml:space="preserve">for last five years and compares to the Santander </w:t>
      </w:r>
      <w:r w:rsidR="00DF2814">
        <w:rPr>
          <w:rFonts w:ascii="Arial" w:hAnsi="Arial" w:cs="Arial"/>
        </w:rPr>
        <w:t xml:space="preserve">bank </w:t>
      </w:r>
      <w:r w:rsidR="00633BF9">
        <w:rPr>
          <w:rFonts w:ascii="Arial" w:hAnsi="Arial" w:cs="Arial"/>
        </w:rPr>
        <w:t>for the year 2017.</w:t>
      </w:r>
      <w:r w:rsidR="007D55EA">
        <w:rPr>
          <w:rFonts w:ascii="Arial" w:hAnsi="Arial" w:cs="Arial"/>
        </w:rPr>
        <w:t xml:space="preserve"> </w:t>
      </w:r>
      <w:r w:rsidR="00B22F80">
        <w:rPr>
          <w:rFonts w:ascii="Arial" w:hAnsi="Arial" w:cs="Arial"/>
        </w:rPr>
        <w:t xml:space="preserve">The leverage ratio of the </w:t>
      </w:r>
      <w:r w:rsidR="00210095">
        <w:rPr>
          <w:rFonts w:ascii="Arial" w:hAnsi="Arial" w:cs="Arial"/>
        </w:rPr>
        <w:t>RBS</w:t>
      </w:r>
      <w:r w:rsidR="00B22F80">
        <w:rPr>
          <w:rFonts w:ascii="Arial" w:hAnsi="Arial" w:cs="Arial"/>
        </w:rPr>
        <w:t xml:space="preserve"> is increasing from the last five years and in the year 2017 it is 0.067 as compare to the Santander bank that is 0.051. It clearly shows that </w:t>
      </w:r>
      <w:r w:rsidR="00210095">
        <w:rPr>
          <w:rFonts w:ascii="Arial" w:hAnsi="Arial" w:cs="Arial"/>
        </w:rPr>
        <w:t>RBS</w:t>
      </w:r>
      <w:r w:rsidR="00B22F80">
        <w:rPr>
          <w:rFonts w:ascii="Arial" w:hAnsi="Arial" w:cs="Arial"/>
        </w:rPr>
        <w:t xml:space="preserve"> has a slightly high debt ratio against the Santander Bank as a result its ability to payoff its debts is relatively less than Santander Bank. However </w:t>
      </w:r>
      <w:r w:rsidR="00EF6493">
        <w:rPr>
          <w:rFonts w:ascii="Arial" w:hAnsi="Arial" w:cs="Arial"/>
        </w:rPr>
        <w:t xml:space="preserve">£1of </w:t>
      </w:r>
      <w:r w:rsidR="00210095">
        <w:rPr>
          <w:rFonts w:ascii="Arial" w:hAnsi="Arial" w:cs="Arial"/>
        </w:rPr>
        <w:t>RBS</w:t>
      </w:r>
      <w:r w:rsidR="00B22F80">
        <w:rPr>
          <w:rFonts w:ascii="Arial" w:hAnsi="Arial" w:cs="Arial"/>
        </w:rPr>
        <w:t xml:space="preserve"> </w:t>
      </w:r>
      <w:r w:rsidR="00EF6493">
        <w:rPr>
          <w:rFonts w:ascii="Arial" w:hAnsi="Arial" w:cs="Arial"/>
        </w:rPr>
        <w:t>has a liability to pay £0.067to their creditors whereas Santander Bank has to pay £0.051 to their credito</w:t>
      </w:r>
      <w:r w:rsidR="00790CED">
        <w:rPr>
          <w:rFonts w:ascii="Arial" w:hAnsi="Arial" w:cs="Arial"/>
        </w:rPr>
        <w:t xml:space="preserve">rs over every 1 pound they own. </w:t>
      </w:r>
      <w:r w:rsidR="00821BA3">
        <w:rPr>
          <w:rFonts w:ascii="Arial" w:hAnsi="Arial" w:cs="Arial"/>
        </w:rPr>
        <w:t>Withdrawn of equity in the year 2015 and increase in borrowings per year increasing the leverage of the banks with nearly 10% in the past five years.</w:t>
      </w:r>
    </w:p>
    <w:p w14:paraId="193C9C8A" w14:textId="77777777" w:rsidR="00E50910" w:rsidRDefault="00E50910" w:rsidP="007443A5">
      <w:pPr>
        <w:jc w:val="both"/>
        <w:rPr>
          <w:rFonts w:ascii="Arial" w:hAnsi="Arial" w:cs="Arial"/>
        </w:rPr>
      </w:pPr>
    </w:p>
    <w:p w14:paraId="454E0D02" w14:textId="366F83FF" w:rsidR="00E50910" w:rsidRDefault="00E50910" w:rsidP="007443A5">
      <w:pPr>
        <w:jc w:val="both"/>
        <w:rPr>
          <w:rFonts w:ascii="Arial" w:hAnsi="Arial" w:cs="Arial"/>
        </w:rPr>
      </w:pPr>
      <w:r>
        <w:rPr>
          <w:rFonts w:ascii="Arial" w:hAnsi="Arial" w:cs="Arial"/>
        </w:rPr>
        <w:t xml:space="preserve">Banks that have low leverage are able to attract more </w:t>
      </w:r>
      <w:r w:rsidR="00E6110C">
        <w:rPr>
          <w:rFonts w:ascii="Arial" w:hAnsi="Arial" w:cs="Arial"/>
        </w:rPr>
        <w:t>investors</w:t>
      </w:r>
      <w:r>
        <w:rPr>
          <w:rFonts w:ascii="Arial" w:hAnsi="Arial" w:cs="Arial"/>
        </w:rPr>
        <w:t xml:space="preserve"> due to the </w:t>
      </w:r>
      <w:r w:rsidR="00E6110C">
        <w:rPr>
          <w:rFonts w:ascii="Arial" w:hAnsi="Arial" w:cs="Arial"/>
        </w:rPr>
        <w:t>benefits in the interest payments, as there are more chances of getting their return on investment, on the other hand shareholder’s will also get something in return at the time of diminishing of the business.</w:t>
      </w:r>
    </w:p>
    <w:p w14:paraId="6F27A394" w14:textId="77777777" w:rsidR="00E6110C" w:rsidRDefault="00E6110C" w:rsidP="007443A5">
      <w:pPr>
        <w:jc w:val="both"/>
        <w:rPr>
          <w:rFonts w:ascii="Arial" w:hAnsi="Arial" w:cs="Arial"/>
        </w:rPr>
      </w:pPr>
    </w:p>
    <w:p w14:paraId="746BD3EF" w14:textId="77777777" w:rsidR="00A06DB3" w:rsidRDefault="00A06DB3" w:rsidP="007443A5">
      <w:pPr>
        <w:jc w:val="both"/>
        <w:rPr>
          <w:rFonts w:ascii="Arial" w:hAnsi="Arial" w:cs="Arial"/>
        </w:rPr>
      </w:pPr>
    </w:p>
    <w:p w14:paraId="5EBB4BB7" w14:textId="52549B7F" w:rsidR="00E6110C" w:rsidRDefault="00E6110C" w:rsidP="007443A5">
      <w:pPr>
        <w:jc w:val="both"/>
        <w:rPr>
          <w:rFonts w:ascii="Arial" w:hAnsi="Arial" w:cs="Arial"/>
        </w:rPr>
      </w:pPr>
      <w:r>
        <w:rPr>
          <w:rFonts w:ascii="Arial" w:hAnsi="Arial" w:cs="Arial"/>
        </w:rPr>
        <w:t xml:space="preserve">PROFITABILITY RATIO </w:t>
      </w:r>
    </w:p>
    <w:p w14:paraId="54AF7277" w14:textId="43903FA3" w:rsidR="00FD2512" w:rsidRDefault="00FD2512" w:rsidP="007443A5">
      <w:pPr>
        <w:jc w:val="both"/>
        <w:rPr>
          <w:rFonts w:ascii="Arial" w:hAnsi="Arial" w:cs="Arial"/>
        </w:rPr>
      </w:pPr>
    </w:p>
    <w:p w14:paraId="7615A175" w14:textId="0EB275DE" w:rsidR="001240F8" w:rsidRDefault="001240F8" w:rsidP="007443A5">
      <w:pPr>
        <w:jc w:val="both"/>
        <w:rPr>
          <w:rFonts w:ascii="Arial" w:hAnsi="Arial" w:cs="Arial"/>
        </w:rPr>
      </w:pPr>
      <w:r>
        <w:rPr>
          <w:rFonts w:ascii="Arial" w:hAnsi="Arial" w:cs="Arial"/>
        </w:rPr>
        <w:t xml:space="preserve">To determine about the resources and the performance of the bank it is essential to examine the profitability ratios such as ROA, ROE and NIM that provides a crystal clear idea of a bank’s earnings during the year. These ratios will provide an idea, as the assets and liabilities and equities are used efficiently to make more profits. </w:t>
      </w:r>
    </w:p>
    <w:p w14:paraId="6F608A81" w14:textId="77777777" w:rsidR="001240F8" w:rsidRDefault="001240F8" w:rsidP="007443A5">
      <w:pPr>
        <w:jc w:val="both"/>
        <w:rPr>
          <w:rFonts w:ascii="Arial" w:hAnsi="Arial" w:cs="Arial"/>
        </w:rPr>
      </w:pPr>
    </w:p>
    <w:p w14:paraId="3A989D83" w14:textId="77777777" w:rsidR="00BA5FE2" w:rsidRDefault="00BA5FE2" w:rsidP="007443A5">
      <w:pPr>
        <w:jc w:val="both"/>
        <w:rPr>
          <w:rFonts w:ascii="Arial" w:hAnsi="Arial" w:cs="Arial"/>
        </w:rPr>
      </w:pPr>
    </w:p>
    <w:p w14:paraId="65AE744B" w14:textId="562D38FC" w:rsidR="001240F8" w:rsidRDefault="001240F8" w:rsidP="007443A5">
      <w:pPr>
        <w:jc w:val="both"/>
        <w:rPr>
          <w:rFonts w:ascii="Arial" w:hAnsi="Arial" w:cs="Arial"/>
        </w:rPr>
      </w:pPr>
      <w:r>
        <w:rPr>
          <w:rFonts w:ascii="Arial" w:hAnsi="Arial" w:cs="Arial"/>
        </w:rPr>
        <w:t xml:space="preserve">RETURN ON ASSETS    =       </w:t>
      </w:r>
      <w:r w:rsidRPr="001240F8">
        <w:rPr>
          <w:rFonts w:ascii="Arial" w:hAnsi="Arial" w:cs="Arial"/>
          <w:u w:val="single"/>
        </w:rPr>
        <w:t>Net Income</w:t>
      </w:r>
      <w:r>
        <w:rPr>
          <w:rFonts w:ascii="Arial" w:hAnsi="Arial" w:cs="Arial"/>
          <w:u w:val="single"/>
        </w:rPr>
        <w:t xml:space="preserve"> </w:t>
      </w:r>
    </w:p>
    <w:p w14:paraId="50323579" w14:textId="1FF001C0" w:rsidR="001240F8" w:rsidRDefault="001240F8" w:rsidP="007443A5">
      <w:pPr>
        <w:jc w:val="both"/>
        <w:rPr>
          <w:rFonts w:ascii="Arial" w:hAnsi="Arial" w:cs="Arial"/>
        </w:rPr>
      </w:pPr>
      <w:r>
        <w:rPr>
          <w:rFonts w:ascii="Arial" w:hAnsi="Arial" w:cs="Arial"/>
        </w:rPr>
        <w:t xml:space="preserve">                                                 Total Assets</w:t>
      </w:r>
    </w:p>
    <w:p w14:paraId="64B455FE" w14:textId="77777777" w:rsidR="00FD6BDB" w:rsidRDefault="00FD6BDB" w:rsidP="007443A5">
      <w:pPr>
        <w:jc w:val="both"/>
        <w:rPr>
          <w:rFonts w:ascii="Arial" w:hAnsi="Arial" w:cs="Arial"/>
        </w:rPr>
      </w:pPr>
    </w:p>
    <w:p w14:paraId="4DCFB6AC" w14:textId="77777777" w:rsidR="00A06DB3" w:rsidRDefault="00A06DB3" w:rsidP="007443A5">
      <w:pPr>
        <w:jc w:val="both"/>
        <w:rPr>
          <w:rFonts w:ascii="Arial" w:hAnsi="Arial" w:cs="Arial"/>
        </w:rPr>
      </w:pPr>
    </w:p>
    <w:p w14:paraId="7553DA05" w14:textId="77777777" w:rsidR="00FD6BDB" w:rsidRDefault="00FD6BDB" w:rsidP="007443A5">
      <w:pPr>
        <w:jc w:val="both"/>
        <w:rPr>
          <w:rFonts w:ascii="Arial" w:hAnsi="Arial" w:cs="Arial"/>
        </w:rPr>
      </w:pPr>
    </w:p>
    <w:p w14:paraId="2CDFEF79" w14:textId="77777777" w:rsidR="00FD6BDB" w:rsidRDefault="00FD6BDB" w:rsidP="007443A5">
      <w:pPr>
        <w:jc w:val="both"/>
        <w:rPr>
          <w:rFonts w:ascii="Arial" w:hAnsi="Arial" w:cs="Arial"/>
        </w:rPr>
      </w:pPr>
    </w:p>
    <w:p w14:paraId="51067B10" w14:textId="0751E842" w:rsidR="00FD6BDB" w:rsidRDefault="00FD6BDB" w:rsidP="007443A5">
      <w:pPr>
        <w:jc w:val="both"/>
        <w:rPr>
          <w:rFonts w:ascii="Arial" w:hAnsi="Arial" w:cs="Arial"/>
        </w:rPr>
      </w:pPr>
      <w:r>
        <w:rPr>
          <w:rFonts w:ascii="Arial" w:hAnsi="Arial" w:cs="Arial"/>
        </w:rPr>
        <w:t>TAB:</w:t>
      </w:r>
      <w:r w:rsidR="00BA5FE2">
        <w:rPr>
          <w:rFonts w:ascii="Arial" w:hAnsi="Arial" w:cs="Arial"/>
        </w:rPr>
        <w:t xml:space="preserve"> </w:t>
      </w:r>
      <w:r>
        <w:rPr>
          <w:rFonts w:ascii="Arial" w:hAnsi="Arial" w:cs="Arial"/>
        </w:rPr>
        <w:t>2</w:t>
      </w:r>
    </w:p>
    <w:tbl>
      <w:tblPr>
        <w:tblpPr w:leftFromText="180" w:rightFromText="180" w:vertAnchor="page" w:horzAnchor="page" w:tblpX="1369" w:tblpY="2161"/>
        <w:tblW w:w="5777" w:type="pct"/>
        <w:tblLook w:val="04A0" w:firstRow="1" w:lastRow="0" w:firstColumn="1" w:lastColumn="0" w:noHBand="0" w:noVBand="1"/>
      </w:tblPr>
      <w:tblGrid>
        <w:gridCol w:w="2005"/>
        <w:gridCol w:w="1151"/>
        <w:gridCol w:w="1151"/>
        <w:gridCol w:w="1029"/>
        <w:gridCol w:w="1029"/>
        <w:gridCol w:w="1017"/>
        <w:gridCol w:w="2457"/>
      </w:tblGrid>
      <w:tr w:rsidR="00A06DB3" w:rsidRPr="00FD6BDB" w14:paraId="19F5129C" w14:textId="77777777" w:rsidTr="00A06DB3">
        <w:trPr>
          <w:trHeight w:val="352"/>
        </w:trPr>
        <w:tc>
          <w:tcPr>
            <w:tcW w:w="101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4F77C8" w14:textId="77777777" w:rsidR="00A06DB3" w:rsidRPr="00FD6BDB" w:rsidRDefault="00A06DB3" w:rsidP="00A06DB3">
            <w:pPr>
              <w:rPr>
                <w:rFonts w:ascii="Arial" w:eastAsia="Times New Roman" w:hAnsi="Arial" w:cs="Arial"/>
                <w:color w:val="000000"/>
              </w:rPr>
            </w:pPr>
            <w:r w:rsidRPr="00FD6BDB">
              <w:rPr>
                <w:rFonts w:ascii="Arial" w:eastAsia="Times New Roman" w:hAnsi="Arial" w:cs="Arial"/>
                <w:color w:val="000000"/>
              </w:rPr>
              <w:t>ITEMS</w:t>
            </w:r>
          </w:p>
        </w:tc>
        <w:tc>
          <w:tcPr>
            <w:tcW w:w="585" w:type="pct"/>
            <w:tcBorders>
              <w:top w:val="single" w:sz="4" w:space="0" w:color="auto"/>
              <w:left w:val="nil"/>
              <w:bottom w:val="single" w:sz="4" w:space="0" w:color="auto"/>
              <w:right w:val="single" w:sz="4" w:space="0" w:color="auto"/>
            </w:tcBorders>
            <w:shd w:val="clear" w:color="auto" w:fill="auto"/>
            <w:noWrap/>
            <w:vAlign w:val="bottom"/>
            <w:hideMark/>
          </w:tcPr>
          <w:p w14:paraId="08B311D8" w14:textId="77777777" w:rsidR="00A06DB3" w:rsidRPr="00FD6BDB" w:rsidRDefault="00A06DB3" w:rsidP="00A06DB3">
            <w:pPr>
              <w:jc w:val="right"/>
              <w:rPr>
                <w:rFonts w:ascii="Arial" w:eastAsia="Times New Roman" w:hAnsi="Arial" w:cs="Arial"/>
                <w:color w:val="000000"/>
              </w:rPr>
            </w:pPr>
            <w:r w:rsidRPr="00FD6BDB">
              <w:rPr>
                <w:rFonts w:ascii="Arial" w:eastAsia="Times New Roman" w:hAnsi="Arial" w:cs="Arial"/>
                <w:color w:val="000000"/>
              </w:rPr>
              <w:t>2013</w:t>
            </w:r>
          </w:p>
        </w:tc>
        <w:tc>
          <w:tcPr>
            <w:tcW w:w="585" w:type="pct"/>
            <w:tcBorders>
              <w:top w:val="single" w:sz="4" w:space="0" w:color="auto"/>
              <w:left w:val="nil"/>
              <w:bottom w:val="single" w:sz="4" w:space="0" w:color="auto"/>
              <w:right w:val="single" w:sz="4" w:space="0" w:color="auto"/>
            </w:tcBorders>
            <w:shd w:val="clear" w:color="auto" w:fill="auto"/>
            <w:noWrap/>
            <w:vAlign w:val="bottom"/>
            <w:hideMark/>
          </w:tcPr>
          <w:p w14:paraId="58C04B4E" w14:textId="77777777" w:rsidR="00A06DB3" w:rsidRPr="00FD6BDB" w:rsidRDefault="00A06DB3" w:rsidP="00A06DB3">
            <w:pPr>
              <w:jc w:val="right"/>
              <w:rPr>
                <w:rFonts w:ascii="Arial" w:eastAsia="Times New Roman" w:hAnsi="Arial" w:cs="Arial"/>
                <w:color w:val="000000"/>
              </w:rPr>
            </w:pPr>
            <w:r w:rsidRPr="00FD6BDB">
              <w:rPr>
                <w:rFonts w:ascii="Arial" w:eastAsia="Times New Roman" w:hAnsi="Arial" w:cs="Arial"/>
                <w:color w:val="000000"/>
              </w:rPr>
              <w:t>2014</w:t>
            </w:r>
          </w:p>
        </w:tc>
        <w:tc>
          <w:tcPr>
            <w:tcW w:w="523" w:type="pct"/>
            <w:tcBorders>
              <w:top w:val="single" w:sz="4" w:space="0" w:color="auto"/>
              <w:left w:val="nil"/>
              <w:bottom w:val="single" w:sz="4" w:space="0" w:color="auto"/>
              <w:right w:val="single" w:sz="4" w:space="0" w:color="auto"/>
            </w:tcBorders>
            <w:shd w:val="clear" w:color="auto" w:fill="auto"/>
            <w:noWrap/>
            <w:vAlign w:val="bottom"/>
            <w:hideMark/>
          </w:tcPr>
          <w:p w14:paraId="6415E63F" w14:textId="77777777" w:rsidR="00A06DB3" w:rsidRPr="00FD6BDB" w:rsidRDefault="00A06DB3" w:rsidP="00A06DB3">
            <w:pPr>
              <w:jc w:val="right"/>
              <w:rPr>
                <w:rFonts w:ascii="Arial" w:eastAsia="Times New Roman" w:hAnsi="Arial" w:cs="Arial"/>
                <w:color w:val="000000"/>
              </w:rPr>
            </w:pPr>
            <w:r w:rsidRPr="00FD6BDB">
              <w:rPr>
                <w:rFonts w:ascii="Arial" w:eastAsia="Times New Roman" w:hAnsi="Arial" w:cs="Arial"/>
                <w:color w:val="000000"/>
              </w:rPr>
              <w:t>2015</w:t>
            </w:r>
          </w:p>
        </w:tc>
        <w:tc>
          <w:tcPr>
            <w:tcW w:w="523" w:type="pct"/>
            <w:tcBorders>
              <w:top w:val="single" w:sz="4" w:space="0" w:color="auto"/>
              <w:left w:val="nil"/>
              <w:bottom w:val="single" w:sz="4" w:space="0" w:color="auto"/>
              <w:right w:val="single" w:sz="4" w:space="0" w:color="auto"/>
            </w:tcBorders>
            <w:shd w:val="clear" w:color="auto" w:fill="auto"/>
            <w:noWrap/>
            <w:vAlign w:val="bottom"/>
            <w:hideMark/>
          </w:tcPr>
          <w:p w14:paraId="372EE2D8" w14:textId="77777777" w:rsidR="00A06DB3" w:rsidRPr="00FD6BDB" w:rsidRDefault="00A06DB3" w:rsidP="00A06DB3">
            <w:pPr>
              <w:jc w:val="right"/>
              <w:rPr>
                <w:rFonts w:ascii="Arial" w:eastAsia="Times New Roman" w:hAnsi="Arial" w:cs="Arial"/>
                <w:color w:val="000000"/>
              </w:rPr>
            </w:pPr>
            <w:r w:rsidRPr="00FD6BDB">
              <w:rPr>
                <w:rFonts w:ascii="Arial" w:eastAsia="Times New Roman" w:hAnsi="Arial" w:cs="Arial"/>
                <w:color w:val="000000"/>
              </w:rPr>
              <w:t>2016</w:t>
            </w:r>
          </w:p>
        </w:tc>
        <w:tc>
          <w:tcPr>
            <w:tcW w:w="517" w:type="pct"/>
            <w:tcBorders>
              <w:top w:val="single" w:sz="4" w:space="0" w:color="auto"/>
              <w:left w:val="nil"/>
              <w:bottom w:val="single" w:sz="4" w:space="0" w:color="auto"/>
              <w:right w:val="single" w:sz="4" w:space="0" w:color="auto"/>
            </w:tcBorders>
            <w:shd w:val="clear" w:color="auto" w:fill="auto"/>
            <w:noWrap/>
            <w:vAlign w:val="bottom"/>
            <w:hideMark/>
          </w:tcPr>
          <w:p w14:paraId="1CC137C9" w14:textId="77777777" w:rsidR="00A06DB3" w:rsidRPr="00FD6BDB" w:rsidRDefault="00A06DB3" w:rsidP="00A06DB3">
            <w:pPr>
              <w:jc w:val="right"/>
              <w:rPr>
                <w:rFonts w:ascii="Arial" w:eastAsia="Times New Roman" w:hAnsi="Arial" w:cs="Arial"/>
                <w:color w:val="000000"/>
              </w:rPr>
            </w:pPr>
            <w:r w:rsidRPr="00FD6BDB">
              <w:rPr>
                <w:rFonts w:ascii="Arial" w:eastAsia="Times New Roman" w:hAnsi="Arial" w:cs="Arial"/>
                <w:color w:val="000000"/>
              </w:rPr>
              <w:t>2017</w:t>
            </w:r>
          </w:p>
        </w:tc>
        <w:tc>
          <w:tcPr>
            <w:tcW w:w="1249" w:type="pct"/>
            <w:tcBorders>
              <w:top w:val="single" w:sz="4" w:space="0" w:color="auto"/>
              <w:left w:val="nil"/>
              <w:bottom w:val="single" w:sz="4" w:space="0" w:color="auto"/>
              <w:right w:val="single" w:sz="4" w:space="0" w:color="auto"/>
            </w:tcBorders>
            <w:shd w:val="clear" w:color="auto" w:fill="auto"/>
            <w:noWrap/>
            <w:vAlign w:val="bottom"/>
            <w:hideMark/>
          </w:tcPr>
          <w:p w14:paraId="3B85E027" w14:textId="77777777" w:rsidR="00A06DB3" w:rsidRPr="00FD6BDB" w:rsidRDefault="00A06DB3" w:rsidP="00A06DB3">
            <w:pPr>
              <w:rPr>
                <w:rFonts w:ascii="Arial" w:eastAsia="Times New Roman" w:hAnsi="Arial" w:cs="Arial"/>
                <w:color w:val="000000"/>
              </w:rPr>
            </w:pPr>
            <w:r w:rsidRPr="00FD6BDB">
              <w:rPr>
                <w:rFonts w:ascii="Arial" w:eastAsia="Times New Roman" w:hAnsi="Arial" w:cs="Arial"/>
                <w:color w:val="000000"/>
              </w:rPr>
              <w:t>SANTANDER (2017)</w:t>
            </w:r>
          </w:p>
        </w:tc>
      </w:tr>
      <w:tr w:rsidR="00A06DB3" w:rsidRPr="00FD6BDB" w14:paraId="4BF5F610" w14:textId="77777777" w:rsidTr="00A06DB3">
        <w:trPr>
          <w:trHeight w:val="352"/>
        </w:trPr>
        <w:tc>
          <w:tcPr>
            <w:tcW w:w="1019" w:type="pct"/>
            <w:tcBorders>
              <w:top w:val="nil"/>
              <w:left w:val="single" w:sz="4" w:space="0" w:color="auto"/>
              <w:bottom w:val="single" w:sz="4" w:space="0" w:color="auto"/>
              <w:right w:val="single" w:sz="4" w:space="0" w:color="auto"/>
            </w:tcBorders>
            <w:shd w:val="clear" w:color="auto" w:fill="auto"/>
            <w:noWrap/>
            <w:vAlign w:val="bottom"/>
            <w:hideMark/>
          </w:tcPr>
          <w:p w14:paraId="69D7A75D" w14:textId="77777777" w:rsidR="00A06DB3" w:rsidRPr="00FD6BDB" w:rsidRDefault="00A06DB3" w:rsidP="00A06DB3">
            <w:pPr>
              <w:rPr>
                <w:rFonts w:ascii="Arial" w:eastAsia="Times New Roman" w:hAnsi="Arial" w:cs="Arial"/>
                <w:color w:val="000000"/>
              </w:rPr>
            </w:pPr>
            <w:r w:rsidRPr="00FD6BDB">
              <w:rPr>
                <w:rFonts w:ascii="Arial" w:eastAsia="Times New Roman" w:hAnsi="Arial" w:cs="Arial"/>
                <w:color w:val="000000"/>
              </w:rPr>
              <w:t>NET INCOME</w:t>
            </w:r>
          </w:p>
        </w:tc>
        <w:tc>
          <w:tcPr>
            <w:tcW w:w="585" w:type="pct"/>
            <w:tcBorders>
              <w:top w:val="nil"/>
              <w:left w:val="nil"/>
              <w:bottom w:val="single" w:sz="4" w:space="0" w:color="auto"/>
              <w:right w:val="single" w:sz="4" w:space="0" w:color="auto"/>
            </w:tcBorders>
            <w:shd w:val="clear" w:color="auto" w:fill="auto"/>
            <w:noWrap/>
            <w:vAlign w:val="bottom"/>
            <w:hideMark/>
          </w:tcPr>
          <w:p w14:paraId="113C7993" w14:textId="77777777" w:rsidR="00A06DB3" w:rsidRPr="00FD6BDB" w:rsidRDefault="00A06DB3" w:rsidP="00A06DB3">
            <w:pPr>
              <w:jc w:val="right"/>
              <w:rPr>
                <w:rFonts w:ascii="Arial" w:eastAsia="Times New Roman" w:hAnsi="Arial" w:cs="Arial"/>
                <w:color w:val="000000"/>
              </w:rPr>
            </w:pPr>
            <w:r w:rsidRPr="00FD6BDB">
              <w:rPr>
                <w:rFonts w:ascii="Arial" w:eastAsia="Times New Roman" w:hAnsi="Arial" w:cs="Arial"/>
                <w:color w:val="000000"/>
              </w:rPr>
              <w:t>-8477</w:t>
            </w:r>
          </w:p>
        </w:tc>
        <w:tc>
          <w:tcPr>
            <w:tcW w:w="585" w:type="pct"/>
            <w:tcBorders>
              <w:top w:val="nil"/>
              <w:left w:val="nil"/>
              <w:bottom w:val="single" w:sz="4" w:space="0" w:color="auto"/>
              <w:right w:val="single" w:sz="4" w:space="0" w:color="auto"/>
            </w:tcBorders>
            <w:shd w:val="clear" w:color="auto" w:fill="auto"/>
            <w:noWrap/>
            <w:vAlign w:val="bottom"/>
            <w:hideMark/>
          </w:tcPr>
          <w:p w14:paraId="5810A743" w14:textId="77777777" w:rsidR="00A06DB3" w:rsidRPr="00FD6BDB" w:rsidRDefault="00A06DB3" w:rsidP="00A06DB3">
            <w:pPr>
              <w:jc w:val="right"/>
              <w:rPr>
                <w:rFonts w:ascii="Arial" w:eastAsia="Times New Roman" w:hAnsi="Arial" w:cs="Arial"/>
                <w:color w:val="000000"/>
              </w:rPr>
            </w:pPr>
            <w:r w:rsidRPr="00FD6BDB">
              <w:rPr>
                <w:rFonts w:ascii="Arial" w:eastAsia="Times New Roman" w:hAnsi="Arial" w:cs="Arial"/>
                <w:color w:val="000000"/>
              </w:rPr>
              <w:t>-2711</w:t>
            </w:r>
          </w:p>
        </w:tc>
        <w:tc>
          <w:tcPr>
            <w:tcW w:w="523" w:type="pct"/>
            <w:tcBorders>
              <w:top w:val="nil"/>
              <w:left w:val="nil"/>
              <w:bottom w:val="single" w:sz="4" w:space="0" w:color="auto"/>
              <w:right w:val="single" w:sz="4" w:space="0" w:color="auto"/>
            </w:tcBorders>
            <w:shd w:val="clear" w:color="auto" w:fill="auto"/>
            <w:noWrap/>
            <w:vAlign w:val="bottom"/>
            <w:hideMark/>
          </w:tcPr>
          <w:p w14:paraId="11ED8B49" w14:textId="77777777" w:rsidR="00A06DB3" w:rsidRPr="00FD6BDB" w:rsidRDefault="00A06DB3" w:rsidP="00A06DB3">
            <w:pPr>
              <w:jc w:val="right"/>
              <w:rPr>
                <w:rFonts w:ascii="Arial" w:eastAsia="Times New Roman" w:hAnsi="Arial" w:cs="Arial"/>
                <w:color w:val="000000"/>
              </w:rPr>
            </w:pPr>
            <w:r w:rsidRPr="00FD6BDB">
              <w:rPr>
                <w:rFonts w:ascii="Arial" w:eastAsia="Times New Roman" w:hAnsi="Arial" w:cs="Arial"/>
                <w:color w:val="000000"/>
              </w:rPr>
              <w:t>-1185</w:t>
            </w:r>
          </w:p>
        </w:tc>
        <w:tc>
          <w:tcPr>
            <w:tcW w:w="523" w:type="pct"/>
            <w:tcBorders>
              <w:top w:val="nil"/>
              <w:left w:val="nil"/>
              <w:bottom w:val="single" w:sz="4" w:space="0" w:color="auto"/>
              <w:right w:val="single" w:sz="4" w:space="0" w:color="auto"/>
            </w:tcBorders>
            <w:shd w:val="clear" w:color="auto" w:fill="auto"/>
            <w:noWrap/>
            <w:vAlign w:val="bottom"/>
            <w:hideMark/>
          </w:tcPr>
          <w:p w14:paraId="6105301B" w14:textId="77777777" w:rsidR="00A06DB3" w:rsidRPr="00FD6BDB" w:rsidRDefault="00A06DB3" w:rsidP="00A06DB3">
            <w:pPr>
              <w:jc w:val="right"/>
              <w:rPr>
                <w:rFonts w:ascii="Arial" w:eastAsia="Times New Roman" w:hAnsi="Arial" w:cs="Arial"/>
                <w:color w:val="000000"/>
              </w:rPr>
            </w:pPr>
            <w:r w:rsidRPr="00FD6BDB">
              <w:rPr>
                <w:rFonts w:ascii="Arial" w:eastAsia="Times New Roman" w:hAnsi="Arial" w:cs="Arial"/>
                <w:color w:val="000000"/>
              </w:rPr>
              <w:t>-5248</w:t>
            </w:r>
          </w:p>
        </w:tc>
        <w:tc>
          <w:tcPr>
            <w:tcW w:w="517" w:type="pct"/>
            <w:tcBorders>
              <w:top w:val="nil"/>
              <w:left w:val="nil"/>
              <w:bottom w:val="single" w:sz="4" w:space="0" w:color="auto"/>
              <w:right w:val="single" w:sz="4" w:space="0" w:color="auto"/>
            </w:tcBorders>
            <w:shd w:val="clear" w:color="auto" w:fill="auto"/>
            <w:noWrap/>
            <w:vAlign w:val="bottom"/>
            <w:hideMark/>
          </w:tcPr>
          <w:p w14:paraId="1F136BAE" w14:textId="77777777" w:rsidR="00A06DB3" w:rsidRPr="00FD6BDB" w:rsidRDefault="00A06DB3" w:rsidP="00A06DB3">
            <w:pPr>
              <w:jc w:val="right"/>
              <w:rPr>
                <w:rFonts w:ascii="Arial" w:eastAsia="Times New Roman" w:hAnsi="Arial" w:cs="Arial"/>
                <w:color w:val="000000"/>
              </w:rPr>
            </w:pPr>
            <w:r w:rsidRPr="00FD6BDB">
              <w:rPr>
                <w:rFonts w:ascii="Arial" w:eastAsia="Times New Roman" w:hAnsi="Arial" w:cs="Arial"/>
                <w:color w:val="000000"/>
              </w:rPr>
              <w:t>1415</w:t>
            </w:r>
          </w:p>
        </w:tc>
        <w:tc>
          <w:tcPr>
            <w:tcW w:w="1249" w:type="pct"/>
            <w:tcBorders>
              <w:top w:val="nil"/>
              <w:left w:val="nil"/>
              <w:bottom w:val="single" w:sz="4" w:space="0" w:color="auto"/>
              <w:right w:val="single" w:sz="4" w:space="0" w:color="auto"/>
            </w:tcBorders>
            <w:shd w:val="clear" w:color="auto" w:fill="auto"/>
            <w:noWrap/>
            <w:vAlign w:val="bottom"/>
            <w:hideMark/>
          </w:tcPr>
          <w:p w14:paraId="4716ACF4" w14:textId="77777777" w:rsidR="00A06DB3" w:rsidRPr="00FD6BDB" w:rsidRDefault="00A06DB3" w:rsidP="00A06DB3">
            <w:pPr>
              <w:jc w:val="right"/>
              <w:rPr>
                <w:rFonts w:ascii="Arial" w:eastAsia="Times New Roman" w:hAnsi="Arial" w:cs="Arial"/>
                <w:color w:val="000000"/>
              </w:rPr>
            </w:pPr>
            <w:r w:rsidRPr="00FD6BDB">
              <w:rPr>
                <w:rFonts w:ascii="Arial" w:eastAsia="Times New Roman" w:hAnsi="Arial" w:cs="Arial"/>
                <w:color w:val="000000"/>
              </w:rPr>
              <w:t>1254</w:t>
            </w:r>
          </w:p>
        </w:tc>
      </w:tr>
      <w:tr w:rsidR="00A06DB3" w:rsidRPr="00FD6BDB" w14:paraId="7F691598" w14:textId="77777777" w:rsidTr="00A06DB3">
        <w:trPr>
          <w:trHeight w:val="352"/>
        </w:trPr>
        <w:tc>
          <w:tcPr>
            <w:tcW w:w="1019" w:type="pct"/>
            <w:tcBorders>
              <w:top w:val="nil"/>
              <w:left w:val="single" w:sz="4" w:space="0" w:color="auto"/>
              <w:bottom w:val="single" w:sz="4" w:space="0" w:color="auto"/>
              <w:right w:val="single" w:sz="4" w:space="0" w:color="auto"/>
            </w:tcBorders>
            <w:shd w:val="clear" w:color="auto" w:fill="auto"/>
            <w:noWrap/>
            <w:vAlign w:val="bottom"/>
            <w:hideMark/>
          </w:tcPr>
          <w:p w14:paraId="35EDB375" w14:textId="77777777" w:rsidR="00A06DB3" w:rsidRPr="00FD6BDB" w:rsidRDefault="00A06DB3" w:rsidP="00A06DB3">
            <w:pPr>
              <w:rPr>
                <w:rFonts w:ascii="Arial" w:eastAsia="Times New Roman" w:hAnsi="Arial" w:cs="Arial"/>
                <w:color w:val="000000"/>
              </w:rPr>
            </w:pPr>
            <w:r w:rsidRPr="00FD6BDB">
              <w:rPr>
                <w:rFonts w:ascii="Arial" w:eastAsia="Times New Roman" w:hAnsi="Arial" w:cs="Arial"/>
                <w:color w:val="000000"/>
              </w:rPr>
              <w:t>TOTAL ASSETS</w:t>
            </w:r>
          </w:p>
        </w:tc>
        <w:tc>
          <w:tcPr>
            <w:tcW w:w="585" w:type="pct"/>
            <w:tcBorders>
              <w:top w:val="nil"/>
              <w:left w:val="nil"/>
              <w:bottom w:val="single" w:sz="4" w:space="0" w:color="auto"/>
              <w:right w:val="single" w:sz="4" w:space="0" w:color="auto"/>
            </w:tcBorders>
            <w:shd w:val="clear" w:color="auto" w:fill="auto"/>
            <w:noWrap/>
            <w:vAlign w:val="bottom"/>
            <w:hideMark/>
          </w:tcPr>
          <w:p w14:paraId="7B0A5BB4" w14:textId="77777777" w:rsidR="00A06DB3" w:rsidRPr="00FD6BDB" w:rsidRDefault="00A06DB3" w:rsidP="00A06DB3">
            <w:pPr>
              <w:jc w:val="right"/>
              <w:rPr>
                <w:rFonts w:ascii="Arial" w:eastAsia="Times New Roman" w:hAnsi="Arial" w:cs="Arial"/>
                <w:color w:val="000000"/>
              </w:rPr>
            </w:pPr>
            <w:r w:rsidRPr="00FD6BDB">
              <w:rPr>
                <w:rFonts w:ascii="Arial" w:eastAsia="Times New Roman" w:hAnsi="Arial" w:cs="Arial"/>
                <w:color w:val="000000"/>
              </w:rPr>
              <w:t>1027878</w:t>
            </w:r>
          </w:p>
        </w:tc>
        <w:tc>
          <w:tcPr>
            <w:tcW w:w="585" w:type="pct"/>
            <w:tcBorders>
              <w:top w:val="nil"/>
              <w:left w:val="nil"/>
              <w:bottom w:val="single" w:sz="4" w:space="0" w:color="auto"/>
              <w:right w:val="single" w:sz="4" w:space="0" w:color="auto"/>
            </w:tcBorders>
            <w:shd w:val="clear" w:color="auto" w:fill="auto"/>
            <w:noWrap/>
            <w:vAlign w:val="bottom"/>
            <w:hideMark/>
          </w:tcPr>
          <w:p w14:paraId="576CFE2D" w14:textId="77777777" w:rsidR="00A06DB3" w:rsidRPr="00FD6BDB" w:rsidRDefault="00A06DB3" w:rsidP="00A06DB3">
            <w:pPr>
              <w:jc w:val="right"/>
              <w:rPr>
                <w:rFonts w:ascii="Arial" w:eastAsia="Times New Roman" w:hAnsi="Arial" w:cs="Arial"/>
                <w:color w:val="000000"/>
              </w:rPr>
            </w:pPr>
            <w:r w:rsidRPr="00FD6BDB">
              <w:rPr>
                <w:rFonts w:ascii="Arial" w:eastAsia="Times New Roman" w:hAnsi="Arial" w:cs="Arial"/>
                <w:color w:val="000000"/>
              </w:rPr>
              <w:t>1050763</w:t>
            </w:r>
          </w:p>
        </w:tc>
        <w:tc>
          <w:tcPr>
            <w:tcW w:w="523" w:type="pct"/>
            <w:tcBorders>
              <w:top w:val="nil"/>
              <w:left w:val="nil"/>
              <w:bottom w:val="single" w:sz="4" w:space="0" w:color="auto"/>
              <w:right w:val="single" w:sz="4" w:space="0" w:color="auto"/>
            </w:tcBorders>
            <w:shd w:val="clear" w:color="auto" w:fill="auto"/>
            <w:noWrap/>
            <w:vAlign w:val="bottom"/>
            <w:hideMark/>
          </w:tcPr>
          <w:p w14:paraId="0B5FF2DF" w14:textId="77777777" w:rsidR="00A06DB3" w:rsidRPr="00FD6BDB" w:rsidRDefault="00A06DB3" w:rsidP="00A06DB3">
            <w:pPr>
              <w:jc w:val="right"/>
              <w:rPr>
                <w:rFonts w:ascii="Arial" w:eastAsia="Times New Roman" w:hAnsi="Arial" w:cs="Arial"/>
                <w:color w:val="000000"/>
              </w:rPr>
            </w:pPr>
            <w:r w:rsidRPr="00FD6BDB">
              <w:rPr>
                <w:rFonts w:ascii="Arial" w:eastAsia="Times New Roman" w:hAnsi="Arial" w:cs="Arial"/>
                <w:color w:val="000000"/>
              </w:rPr>
              <w:t>815408</w:t>
            </w:r>
          </w:p>
        </w:tc>
        <w:tc>
          <w:tcPr>
            <w:tcW w:w="523" w:type="pct"/>
            <w:tcBorders>
              <w:top w:val="nil"/>
              <w:left w:val="nil"/>
              <w:bottom w:val="single" w:sz="4" w:space="0" w:color="auto"/>
              <w:right w:val="single" w:sz="4" w:space="0" w:color="auto"/>
            </w:tcBorders>
            <w:shd w:val="clear" w:color="auto" w:fill="auto"/>
            <w:noWrap/>
            <w:vAlign w:val="bottom"/>
            <w:hideMark/>
          </w:tcPr>
          <w:p w14:paraId="7AF5056A" w14:textId="77777777" w:rsidR="00A06DB3" w:rsidRPr="00FD6BDB" w:rsidRDefault="00A06DB3" w:rsidP="00A06DB3">
            <w:pPr>
              <w:jc w:val="right"/>
              <w:rPr>
                <w:rFonts w:ascii="Arial" w:eastAsia="Times New Roman" w:hAnsi="Arial" w:cs="Arial"/>
                <w:color w:val="000000"/>
              </w:rPr>
            </w:pPr>
            <w:r w:rsidRPr="00FD6BDB">
              <w:rPr>
                <w:rFonts w:ascii="Arial" w:eastAsia="Times New Roman" w:hAnsi="Arial" w:cs="Arial"/>
                <w:color w:val="000000"/>
              </w:rPr>
              <w:t>798656</w:t>
            </w:r>
          </w:p>
        </w:tc>
        <w:tc>
          <w:tcPr>
            <w:tcW w:w="517" w:type="pct"/>
            <w:tcBorders>
              <w:top w:val="nil"/>
              <w:left w:val="nil"/>
              <w:bottom w:val="single" w:sz="4" w:space="0" w:color="auto"/>
              <w:right w:val="single" w:sz="4" w:space="0" w:color="auto"/>
            </w:tcBorders>
            <w:shd w:val="clear" w:color="auto" w:fill="auto"/>
            <w:noWrap/>
            <w:vAlign w:val="bottom"/>
            <w:hideMark/>
          </w:tcPr>
          <w:p w14:paraId="24DD9A63" w14:textId="77777777" w:rsidR="00A06DB3" w:rsidRPr="00FD6BDB" w:rsidRDefault="00A06DB3" w:rsidP="00A06DB3">
            <w:pPr>
              <w:jc w:val="right"/>
              <w:rPr>
                <w:rFonts w:ascii="Arial" w:eastAsia="Times New Roman" w:hAnsi="Arial" w:cs="Arial"/>
                <w:color w:val="000000"/>
              </w:rPr>
            </w:pPr>
            <w:r w:rsidRPr="00FD6BDB">
              <w:rPr>
                <w:rFonts w:ascii="Arial" w:eastAsia="Times New Roman" w:hAnsi="Arial" w:cs="Arial"/>
                <w:color w:val="000000"/>
              </w:rPr>
              <w:t>738056</w:t>
            </w:r>
          </w:p>
        </w:tc>
        <w:tc>
          <w:tcPr>
            <w:tcW w:w="1249" w:type="pct"/>
            <w:tcBorders>
              <w:top w:val="nil"/>
              <w:left w:val="nil"/>
              <w:bottom w:val="single" w:sz="4" w:space="0" w:color="auto"/>
              <w:right w:val="single" w:sz="4" w:space="0" w:color="auto"/>
            </w:tcBorders>
            <w:shd w:val="clear" w:color="auto" w:fill="auto"/>
            <w:noWrap/>
            <w:vAlign w:val="bottom"/>
            <w:hideMark/>
          </w:tcPr>
          <w:p w14:paraId="64788A93" w14:textId="77777777" w:rsidR="00A06DB3" w:rsidRPr="00FD6BDB" w:rsidRDefault="00A06DB3" w:rsidP="00A06DB3">
            <w:pPr>
              <w:jc w:val="right"/>
              <w:rPr>
                <w:rFonts w:ascii="Arial" w:eastAsia="Times New Roman" w:hAnsi="Arial" w:cs="Arial"/>
                <w:color w:val="000000"/>
              </w:rPr>
            </w:pPr>
            <w:r w:rsidRPr="00FD6BDB">
              <w:rPr>
                <w:rFonts w:ascii="Arial" w:eastAsia="Times New Roman" w:hAnsi="Arial" w:cs="Arial"/>
                <w:color w:val="000000"/>
              </w:rPr>
              <w:t>314760</w:t>
            </w:r>
          </w:p>
        </w:tc>
      </w:tr>
      <w:tr w:rsidR="00A06DB3" w:rsidRPr="00FD6BDB" w14:paraId="6435863E" w14:textId="77777777" w:rsidTr="00A06DB3">
        <w:trPr>
          <w:trHeight w:val="352"/>
        </w:trPr>
        <w:tc>
          <w:tcPr>
            <w:tcW w:w="1019" w:type="pct"/>
            <w:tcBorders>
              <w:top w:val="nil"/>
              <w:left w:val="single" w:sz="4" w:space="0" w:color="auto"/>
              <w:bottom w:val="single" w:sz="4" w:space="0" w:color="auto"/>
              <w:right w:val="single" w:sz="4" w:space="0" w:color="auto"/>
            </w:tcBorders>
            <w:shd w:val="clear" w:color="auto" w:fill="auto"/>
            <w:noWrap/>
            <w:vAlign w:val="bottom"/>
            <w:hideMark/>
          </w:tcPr>
          <w:p w14:paraId="7D6E7382" w14:textId="77777777" w:rsidR="00A06DB3" w:rsidRPr="00FD6BDB" w:rsidRDefault="00A06DB3" w:rsidP="00A06DB3">
            <w:pPr>
              <w:rPr>
                <w:rFonts w:ascii="Arial" w:eastAsia="Times New Roman" w:hAnsi="Arial" w:cs="Arial"/>
                <w:color w:val="000000"/>
              </w:rPr>
            </w:pPr>
            <w:r w:rsidRPr="00FD6BDB">
              <w:rPr>
                <w:rFonts w:ascii="Arial" w:eastAsia="Times New Roman" w:hAnsi="Arial" w:cs="Arial"/>
                <w:color w:val="000000"/>
              </w:rPr>
              <w:t>ROA</w:t>
            </w:r>
            <w:r>
              <w:rPr>
                <w:rFonts w:ascii="Arial" w:eastAsia="Times New Roman" w:hAnsi="Arial" w:cs="Arial"/>
                <w:color w:val="000000"/>
              </w:rPr>
              <w:t xml:space="preserve"> (%)</w:t>
            </w:r>
          </w:p>
        </w:tc>
        <w:tc>
          <w:tcPr>
            <w:tcW w:w="585" w:type="pct"/>
            <w:tcBorders>
              <w:top w:val="nil"/>
              <w:left w:val="nil"/>
              <w:bottom w:val="single" w:sz="4" w:space="0" w:color="auto"/>
              <w:right w:val="single" w:sz="4" w:space="0" w:color="auto"/>
            </w:tcBorders>
            <w:shd w:val="clear" w:color="auto" w:fill="auto"/>
            <w:noWrap/>
            <w:vAlign w:val="bottom"/>
            <w:hideMark/>
          </w:tcPr>
          <w:p w14:paraId="115235D8" w14:textId="77777777" w:rsidR="00A06DB3" w:rsidRPr="00FD6BDB" w:rsidRDefault="00A06DB3" w:rsidP="00A06DB3">
            <w:pPr>
              <w:jc w:val="right"/>
              <w:rPr>
                <w:rFonts w:ascii="Arial" w:eastAsia="Times New Roman" w:hAnsi="Arial" w:cs="Arial"/>
                <w:color w:val="000000"/>
              </w:rPr>
            </w:pPr>
            <w:r>
              <w:rPr>
                <w:rFonts w:ascii="Arial" w:eastAsia="Times New Roman" w:hAnsi="Arial" w:cs="Arial"/>
                <w:color w:val="000000"/>
              </w:rPr>
              <w:t>-0.</w:t>
            </w:r>
            <w:r w:rsidRPr="00FD6BDB">
              <w:rPr>
                <w:rFonts w:ascii="Arial" w:eastAsia="Times New Roman" w:hAnsi="Arial" w:cs="Arial"/>
                <w:color w:val="000000"/>
              </w:rPr>
              <w:t>82</w:t>
            </w:r>
          </w:p>
        </w:tc>
        <w:tc>
          <w:tcPr>
            <w:tcW w:w="585" w:type="pct"/>
            <w:tcBorders>
              <w:top w:val="nil"/>
              <w:left w:val="nil"/>
              <w:bottom w:val="single" w:sz="4" w:space="0" w:color="auto"/>
              <w:right w:val="single" w:sz="4" w:space="0" w:color="auto"/>
            </w:tcBorders>
            <w:shd w:val="clear" w:color="auto" w:fill="auto"/>
            <w:noWrap/>
            <w:vAlign w:val="bottom"/>
            <w:hideMark/>
          </w:tcPr>
          <w:p w14:paraId="19E85D70" w14:textId="77777777" w:rsidR="00A06DB3" w:rsidRPr="00FD6BDB" w:rsidRDefault="00A06DB3" w:rsidP="00A06DB3">
            <w:pPr>
              <w:jc w:val="right"/>
              <w:rPr>
                <w:rFonts w:ascii="Arial" w:eastAsia="Times New Roman" w:hAnsi="Arial" w:cs="Arial"/>
                <w:color w:val="000000"/>
              </w:rPr>
            </w:pPr>
            <w:r>
              <w:rPr>
                <w:rFonts w:ascii="Arial" w:eastAsia="Times New Roman" w:hAnsi="Arial" w:cs="Arial"/>
                <w:color w:val="000000"/>
              </w:rPr>
              <w:t>-0.</w:t>
            </w:r>
            <w:r w:rsidRPr="00FD6BDB">
              <w:rPr>
                <w:rFonts w:ascii="Arial" w:eastAsia="Times New Roman" w:hAnsi="Arial" w:cs="Arial"/>
                <w:color w:val="000000"/>
              </w:rPr>
              <w:t>26</w:t>
            </w:r>
          </w:p>
        </w:tc>
        <w:tc>
          <w:tcPr>
            <w:tcW w:w="523" w:type="pct"/>
            <w:tcBorders>
              <w:top w:val="nil"/>
              <w:left w:val="nil"/>
              <w:bottom w:val="single" w:sz="4" w:space="0" w:color="auto"/>
              <w:right w:val="single" w:sz="4" w:space="0" w:color="auto"/>
            </w:tcBorders>
            <w:shd w:val="clear" w:color="auto" w:fill="auto"/>
            <w:noWrap/>
            <w:vAlign w:val="bottom"/>
            <w:hideMark/>
          </w:tcPr>
          <w:p w14:paraId="02554D7C" w14:textId="77777777" w:rsidR="00A06DB3" w:rsidRPr="00FD6BDB" w:rsidRDefault="00A06DB3" w:rsidP="00A06DB3">
            <w:pPr>
              <w:jc w:val="right"/>
              <w:rPr>
                <w:rFonts w:ascii="Arial" w:eastAsia="Times New Roman" w:hAnsi="Arial" w:cs="Arial"/>
                <w:color w:val="000000"/>
              </w:rPr>
            </w:pPr>
            <w:r>
              <w:rPr>
                <w:rFonts w:ascii="Arial" w:eastAsia="Times New Roman" w:hAnsi="Arial" w:cs="Arial"/>
                <w:color w:val="000000"/>
              </w:rPr>
              <w:t>-0.</w:t>
            </w:r>
            <w:r w:rsidRPr="00FD6BDB">
              <w:rPr>
                <w:rFonts w:ascii="Arial" w:eastAsia="Times New Roman" w:hAnsi="Arial" w:cs="Arial"/>
                <w:color w:val="000000"/>
              </w:rPr>
              <w:t>15</w:t>
            </w:r>
          </w:p>
        </w:tc>
        <w:tc>
          <w:tcPr>
            <w:tcW w:w="523" w:type="pct"/>
            <w:tcBorders>
              <w:top w:val="nil"/>
              <w:left w:val="nil"/>
              <w:bottom w:val="single" w:sz="4" w:space="0" w:color="auto"/>
              <w:right w:val="single" w:sz="4" w:space="0" w:color="auto"/>
            </w:tcBorders>
            <w:shd w:val="clear" w:color="auto" w:fill="auto"/>
            <w:noWrap/>
            <w:vAlign w:val="bottom"/>
            <w:hideMark/>
          </w:tcPr>
          <w:p w14:paraId="1D8A3F94" w14:textId="77777777" w:rsidR="00A06DB3" w:rsidRPr="00FD6BDB" w:rsidRDefault="00A06DB3" w:rsidP="00A06DB3">
            <w:pPr>
              <w:jc w:val="right"/>
              <w:rPr>
                <w:rFonts w:ascii="Arial" w:eastAsia="Times New Roman" w:hAnsi="Arial" w:cs="Arial"/>
                <w:color w:val="000000"/>
              </w:rPr>
            </w:pPr>
            <w:r>
              <w:rPr>
                <w:rFonts w:ascii="Arial" w:eastAsia="Times New Roman" w:hAnsi="Arial" w:cs="Arial"/>
                <w:color w:val="000000"/>
              </w:rPr>
              <w:t>-0.</w:t>
            </w:r>
            <w:r w:rsidRPr="00FD6BDB">
              <w:rPr>
                <w:rFonts w:ascii="Arial" w:eastAsia="Times New Roman" w:hAnsi="Arial" w:cs="Arial"/>
                <w:color w:val="000000"/>
              </w:rPr>
              <w:t>66</w:t>
            </w:r>
          </w:p>
        </w:tc>
        <w:tc>
          <w:tcPr>
            <w:tcW w:w="517" w:type="pct"/>
            <w:tcBorders>
              <w:top w:val="nil"/>
              <w:left w:val="nil"/>
              <w:bottom w:val="single" w:sz="4" w:space="0" w:color="auto"/>
              <w:right w:val="single" w:sz="4" w:space="0" w:color="auto"/>
            </w:tcBorders>
            <w:shd w:val="clear" w:color="auto" w:fill="auto"/>
            <w:noWrap/>
            <w:vAlign w:val="bottom"/>
            <w:hideMark/>
          </w:tcPr>
          <w:p w14:paraId="5BB5C6B7" w14:textId="77777777" w:rsidR="00A06DB3" w:rsidRPr="00FD6BDB" w:rsidRDefault="00A06DB3" w:rsidP="00A06DB3">
            <w:pPr>
              <w:jc w:val="right"/>
              <w:rPr>
                <w:rFonts w:ascii="Arial" w:eastAsia="Times New Roman" w:hAnsi="Arial" w:cs="Arial"/>
                <w:color w:val="000000"/>
              </w:rPr>
            </w:pPr>
            <w:r>
              <w:rPr>
                <w:rFonts w:ascii="Arial" w:eastAsia="Times New Roman" w:hAnsi="Arial" w:cs="Arial"/>
                <w:color w:val="000000"/>
              </w:rPr>
              <w:t>0.</w:t>
            </w:r>
            <w:r w:rsidRPr="00FD6BDB">
              <w:rPr>
                <w:rFonts w:ascii="Arial" w:eastAsia="Times New Roman" w:hAnsi="Arial" w:cs="Arial"/>
                <w:color w:val="000000"/>
              </w:rPr>
              <w:t>19</w:t>
            </w:r>
          </w:p>
        </w:tc>
        <w:tc>
          <w:tcPr>
            <w:tcW w:w="1249" w:type="pct"/>
            <w:tcBorders>
              <w:top w:val="nil"/>
              <w:left w:val="nil"/>
              <w:bottom w:val="single" w:sz="4" w:space="0" w:color="auto"/>
              <w:right w:val="single" w:sz="4" w:space="0" w:color="auto"/>
            </w:tcBorders>
            <w:shd w:val="clear" w:color="auto" w:fill="auto"/>
            <w:noWrap/>
            <w:vAlign w:val="bottom"/>
            <w:hideMark/>
          </w:tcPr>
          <w:p w14:paraId="679542EE" w14:textId="77777777" w:rsidR="00A06DB3" w:rsidRPr="00FD6BDB" w:rsidRDefault="00A06DB3" w:rsidP="00A06DB3">
            <w:pPr>
              <w:jc w:val="right"/>
              <w:rPr>
                <w:rFonts w:ascii="Arial" w:eastAsia="Times New Roman" w:hAnsi="Arial" w:cs="Arial"/>
                <w:color w:val="000000"/>
              </w:rPr>
            </w:pPr>
            <w:r>
              <w:rPr>
                <w:rFonts w:ascii="Arial" w:eastAsia="Times New Roman" w:hAnsi="Arial" w:cs="Arial"/>
                <w:color w:val="000000"/>
              </w:rPr>
              <w:t>0.</w:t>
            </w:r>
            <w:r w:rsidRPr="00FD6BDB">
              <w:rPr>
                <w:rFonts w:ascii="Arial" w:eastAsia="Times New Roman" w:hAnsi="Arial" w:cs="Arial"/>
                <w:color w:val="000000"/>
              </w:rPr>
              <w:t>40</w:t>
            </w:r>
          </w:p>
        </w:tc>
      </w:tr>
    </w:tbl>
    <w:p w14:paraId="68D3ACFD" w14:textId="77777777" w:rsidR="00FD6BDB" w:rsidRDefault="00FD6BDB" w:rsidP="007443A5">
      <w:pPr>
        <w:jc w:val="both"/>
        <w:rPr>
          <w:rFonts w:ascii="Arial" w:hAnsi="Arial" w:cs="Arial"/>
        </w:rPr>
      </w:pPr>
    </w:p>
    <w:p w14:paraId="25F2BFF6" w14:textId="77777777" w:rsidR="00FD6BDB" w:rsidRDefault="00FD6BDB" w:rsidP="007443A5">
      <w:pPr>
        <w:jc w:val="both"/>
        <w:rPr>
          <w:rFonts w:ascii="Arial" w:hAnsi="Arial" w:cs="Arial"/>
        </w:rPr>
      </w:pPr>
    </w:p>
    <w:p w14:paraId="14A3EA07" w14:textId="0082A4C4" w:rsidR="00FD2512" w:rsidRDefault="00FD6BDB" w:rsidP="007443A5">
      <w:pPr>
        <w:jc w:val="both"/>
        <w:rPr>
          <w:rFonts w:ascii="Arial" w:hAnsi="Arial" w:cs="Arial"/>
        </w:rPr>
      </w:pPr>
      <w:r>
        <w:rPr>
          <w:rFonts w:ascii="Arial" w:hAnsi="Arial" w:cs="Arial"/>
        </w:rPr>
        <w:t>Return on assets is also known as (ROA), as it determines that how much earnings has made by the Bank during the year according to</w:t>
      </w:r>
      <w:r w:rsidR="00BA5FE2">
        <w:rPr>
          <w:rFonts w:ascii="Arial" w:hAnsi="Arial" w:cs="Arial"/>
        </w:rPr>
        <w:t xml:space="preserve"> its total assets. Its</w:t>
      </w:r>
      <w:r>
        <w:rPr>
          <w:rFonts w:ascii="Arial" w:hAnsi="Arial" w:cs="Arial"/>
        </w:rPr>
        <w:t xml:space="preserve"> good for the bank to have a high percentage of ROA as it is earning more by investing low.</w:t>
      </w:r>
      <w:r w:rsidR="00022293">
        <w:rPr>
          <w:rFonts w:ascii="Arial" w:hAnsi="Arial" w:cs="Arial"/>
        </w:rPr>
        <w:t xml:space="preserve"> </w:t>
      </w:r>
    </w:p>
    <w:p w14:paraId="6C005886" w14:textId="77777777" w:rsidR="00A439C7" w:rsidRDefault="00A439C7" w:rsidP="007443A5">
      <w:pPr>
        <w:jc w:val="both"/>
        <w:rPr>
          <w:rFonts w:ascii="Arial" w:hAnsi="Arial" w:cs="Arial"/>
        </w:rPr>
      </w:pPr>
    </w:p>
    <w:p w14:paraId="2EF7AC60" w14:textId="624B7A2F" w:rsidR="00022293" w:rsidRDefault="00022293" w:rsidP="007443A5">
      <w:pPr>
        <w:jc w:val="both"/>
        <w:rPr>
          <w:rFonts w:ascii="Arial" w:hAnsi="Arial" w:cs="Arial"/>
        </w:rPr>
      </w:pPr>
      <w:r>
        <w:rPr>
          <w:rFonts w:ascii="Arial" w:hAnsi="Arial" w:cs="Arial"/>
        </w:rPr>
        <w:t xml:space="preserve">The above table describes about the performance of the </w:t>
      </w:r>
      <w:r w:rsidR="00210095">
        <w:rPr>
          <w:rFonts w:ascii="Arial" w:hAnsi="Arial" w:cs="Arial"/>
        </w:rPr>
        <w:t xml:space="preserve">RBS </w:t>
      </w:r>
      <w:r>
        <w:rPr>
          <w:rFonts w:ascii="Arial" w:hAnsi="Arial" w:cs="Arial"/>
        </w:rPr>
        <w:t xml:space="preserve">for last five years compares to the performance of Santander </w:t>
      </w:r>
      <w:r w:rsidR="0062119A">
        <w:rPr>
          <w:rFonts w:ascii="Arial" w:hAnsi="Arial" w:cs="Arial"/>
        </w:rPr>
        <w:t xml:space="preserve">Bank for the year 2017. </w:t>
      </w:r>
      <w:r w:rsidR="00B91E44">
        <w:rPr>
          <w:rFonts w:ascii="Arial" w:hAnsi="Arial" w:cs="Arial"/>
        </w:rPr>
        <w:t xml:space="preserve">As the </w:t>
      </w:r>
      <w:r w:rsidR="00210095">
        <w:rPr>
          <w:rFonts w:ascii="Arial" w:hAnsi="Arial" w:cs="Arial"/>
        </w:rPr>
        <w:t>RBS</w:t>
      </w:r>
      <w:r w:rsidR="00B91E44">
        <w:rPr>
          <w:rFonts w:ascii="Arial" w:hAnsi="Arial" w:cs="Arial"/>
        </w:rPr>
        <w:t xml:space="preserve"> faces loss in the past four years that makes their ROA in negative results</w:t>
      </w:r>
      <w:r w:rsidR="00B91E44" w:rsidRPr="00B91E44">
        <w:rPr>
          <w:rFonts w:ascii="Arial" w:hAnsi="Arial" w:cs="Arial"/>
        </w:rPr>
        <w:t xml:space="preserve"> </w:t>
      </w:r>
      <w:r w:rsidR="00CC6698">
        <w:rPr>
          <w:rFonts w:ascii="Arial" w:hAnsi="Arial" w:cs="Arial"/>
        </w:rPr>
        <w:t xml:space="preserve">due to loss in the Citizens Financial Groups (CFG) </w:t>
      </w:r>
      <w:r w:rsidR="00B91E44">
        <w:rPr>
          <w:rFonts w:ascii="Arial" w:hAnsi="Arial" w:cs="Arial"/>
        </w:rPr>
        <w:t>and made a profit in the year 2017 tha</w:t>
      </w:r>
      <w:r w:rsidR="00034302">
        <w:rPr>
          <w:rFonts w:ascii="Arial" w:hAnsi="Arial" w:cs="Arial"/>
        </w:rPr>
        <w:t xml:space="preserve">t turns it into positive amount as the operating expenses like litigation and conduct cost are reduced by approximately £4600 that gives profit to RBS in 2017, </w:t>
      </w:r>
      <w:r w:rsidR="00B91E44">
        <w:rPr>
          <w:rFonts w:ascii="Arial" w:hAnsi="Arial" w:cs="Arial"/>
        </w:rPr>
        <w:t>on the other hand Santander Bank has more return on a</w:t>
      </w:r>
      <w:r w:rsidR="00511B00">
        <w:rPr>
          <w:rFonts w:ascii="Arial" w:hAnsi="Arial" w:cs="Arial"/>
        </w:rPr>
        <w:t>ssets by 0.40%</w:t>
      </w:r>
      <w:r w:rsidR="00B91E44">
        <w:rPr>
          <w:rFonts w:ascii="Arial" w:hAnsi="Arial" w:cs="Arial"/>
        </w:rPr>
        <w:t xml:space="preserve"> as compare to </w:t>
      </w:r>
      <w:r w:rsidR="00210095">
        <w:rPr>
          <w:rFonts w:ascii="Arial" w:hAnsi="Arial" w:cs="Arial"/>
        </w:rPr>
        <w:t>RBS</w:t>
      </w:r>
      <w:r w:rsidR="00511B00">
        <w:rPr>
          <w:rFonts w:ascii="Arial" w:hAnsi="Arial" w:cs="Arial"/>
        </w:rPr>
        <w:t xml:space="preserve"> that has 0.19%</w:t>
      </w:r>
      <w:r w:rsidR="00B91E44">
        <w:rPr>
          <w:rFonts w:ascii="Arial" w:hAnsi="Arial" w:cs="Arial"/>
        </w:rPr>
        <w:t xml:space="preserve">. </w:t>
      </w:r>
      <w:r w:rsidR="00A439C7">
        <w:rPr>
          <w:rFonts w:ascii="Arial" w:hAnsi="Arial" w:cs="Arial"/>
        </w:rPr>
        <w:t xml:space="preserve">However, each pound that </w:t>
      </w:r>
      <w:r w:rsidR="00210095">
        <w:rPr>
          <w:rFonts w:ascii="Arial" w:hAnsi="Arial" w:cs="Arial"/>
        </w:rPr>
        <w:t>RBS</w:t>
      </w:r>
      <w:r w:rsidR="00A439C7">
        <w:rPr>
          <w:rFonts w:ascii="Arial" w:hAnsi="Arial" w:cs="Arial"/>
        </w:rPr>
        <w:t xml:space="preserve"> has invested in their assets they generate </w:t>
      </w:r>
      <w:r w:rsidR="00511B00">
        <w:rPr>
          <w:rFonts w:ascii="Arial" w:hAnsi="Arial" w:cs="Arial"/>
        </w:rPr>
        <w:t xml:space="preserve">0.40 pence of their net income. </w:t>
      </w:r>
      <w:r w:rsidR="00A439C7">
        <w:rPr>
          <w:rFonts w:ascii="Arial" w:hAnsi="Arial" w:cs="Arial"/>
        </w:rPr>
        <w:t xml:space="preserve">Due to lower ROA ratio </w:t>
      </w:r>
      <w:r w:rsidR="00210095">
        <w:rPr>
          <w:rFonts w:ascii="Arial" w:hAnsi="Arial" w:cs="Arial"/>
        </w:rPr>
        <w:t>RBS</w:t>
      </w:r>
      <w:r w:rsidR="00A439C7">
        <w:rPr>
          <w:rFonts w:ascii="Arial" w:hAnsi="Arial" w:cs="Arial"/>
        </w:rPr>
        <w:t xml:space="preserve"> is less likely to generate more earnings from their total assets than Santander Bank as a result from the investor point of view they would be less interested to invest </w:t>
      </w:r>
      <w:r w:rsidR="00210095">
        <w:rPr>
          <w:rFonts w:ascii="Arial" w:hAnsi="Arial" w:cs="Arial"/>
        </w:rPr>
        <w:t>RBS</w:t>
      </w:r>
      <w:r w:rsidR="00A439C7">
        <w:rPr>
          <w:rFonts w:ascii="Arial" w:hAnsi="Arial" w:cs="Arial"/>
        </w:rPr>
        <w:t xml:space="preserve"> t</w:t>
      </w:r>
      <w:r w:rsidR="00511B00">
        <w:rPr>
          <w:rFonts w:ascii="Arial" w:hAnsi="Arial" w:cs="Arial"/>
        </w:rPr>
        <w:t xml:space="preserve">han investing in Santander Bank due to inefficient use of assets by </w:t>
      </w:r>
      <w:r w:rsidR="00210095">
        <w:rPr>
          <w:rFonts w:ascii="Arial" w:hAnsi="Arial" w:cs="Arial"/>
        </w:rPr>
        <w:t>RBS</w:t>
      </w:r>
      <w:r w:rsidR="00511B00">
        <w:rPr>
          <w:rFonts w:ascii="Arial" w:hAnsi="Arial" w:cs="Arial"/>
        </w:rPr>
        <w:t>.</w:t>
      </w:r>
      <w:r w:rsidR="00821BA3">
        <w:rPr>
          <w:rFonts w:ascii="Arial" w:hAnsi="Arial" w:cs="Arial"/>
        </w:rPr>
        <w:t xml:space="preserve"> </w:t>
      </w:r>
    </w:p>
    <w:p w14:paraId="0FF65564" w14:textId="77777777" w:rsidR="00511B00" w:rsidRDefault="00511B00" w:rsidP="007443A5">
      <w:pPr>
        <w:jc w:val="both"/>
        <w:rPr>
          <w:rFonts w:ascii="Arial" w:hAnsi="Arial" w:cs="Arial"/>
        </w:rPr>
      </w:pPr>
    </w:p>
    <w:p w14:paraId="34387E69" w14:textId="77777777" w:rsidR="00511B00" w:rsidRDefault="00511B00" w:rsidP="007443A5">
      <w:pPr>
        <w:jc w:val="both"/>
        <w:rPr>
          <w:rFonts w:ascii="Arial" w:hAnsi="Arial" w:cs="Arial"/>
        </w:rPr>
      </w:pPr>
    </w:p>
    <w:p w14:paraId="55198EF4" w14:textId="5251F8EC" w:rsidR="00511B00" w:rsidRPr="00511B00" w:rsidRDefault="00296C88" w:rsidP="007443A5">
      <w:pPr>
        <w:jc w:val="both"/>
        <w:rPr>
          <w:rFonts w:ascii="Arial" w:hAnsi="Arial" w:cs="Arial"/>
        </w:rPr>
      </w:pPr>
      <w:r>
        <w:rPr>
          <w:rFonts w:ascii="Arial" w:hAnsi="Arial" w:cs="Arial"/>
        </w:rPr>
        <w:t xml:space="preserve">Net interest income margin   </w:t>
      </w:r>
      <w:r w:rsidR="00511B00">
        <w:rPr>
          <w:rFonts w:ascii="Arial" w:hAnsi="Arial" w:cs="Arial"/>
        </w:rPr>
        <w:t xml:space="preserve"> = </w:t>
      </w:r>
      <w:r>
        <w:rPr>
          <w:rFonts w:ascii="Arial" w:hAnsi="Arial" w:cs="Arial"/>
        </w:rPr>
        <w:t xml:space="preserve"> </w:t>
      </w:r>
      <w:r>
        <w:rPr>
          <w:rFonts w:ascii="Arial" w:hAnsi="Arial" w:cs="Arial"/>
          <w:u w:val="single"/>
        </w:rPr>
        <w:t xml:space="preserve"> Total interest income –</w:t>
      </w:r>
      <w:r w:rsidR="007659CC">
        <w:rPr>
          <w:rFonts w:ascii="Arial" w:hAnsi="Arial" w:cs="Arial"/>
          <w:u w:val="single"/>
        </w:rPr>
        <w:t xml:space="preserve"> t</w:t>
      </w:r>
      <w:r>
        <w:rPr>
          <w:rFonts w:ascii="Arial" w:hAnsi="Arial" w:cs="Arial"/>
          <w:u w:val="single"/>
        </w:rPr>
        <w:t>otal interest expense</w:t>
      </w:r>
    </w:p>
    <w:p w14:paraId="33B379BC" w14:textId="6A09CE55" w:rsidR="00BA5FE2" w:rsidRDefault="00511B00" w:rsidP="007443A5">
      <w:pPr>
        <w:jc w:val="both"/>
        <w:rPr>
          <w:rFonts w:ascii="Arial" w:hAnsi="Arial" w:cs="Arial"/>
        </w:rPr>
      </w:pPr>
      <w:r>
        <w:rPr>
          <w:rFonts w:ascii="Arial" w:hAnsi="Arial" w:cs="Arial"/>
        </w:rPr>
        <w:t xml:space="preserve">                                                                         </w:t>
      </w:r>
      <w:r w:rsidR="00296C88">
        <w:rPr>
          <w:rFonts w:ascii="Arial" w:hAnsi="Arial" w:cs="Arial"/>
        </w:rPr>
        <w:t>Total assets</w:t>
      </w:r>
    </w:p>
    <w:tbl>
      <w:tblPr>
        <w:tblpPr w:leftFromText="180" w:rightFromText="180" w:vertAnchor="text" w:horzAnchor="page" w:tblpX="1369" w:tblpY="790"/>
        <w:tblW w:w="9653" w:type="dxa"/>
        <w:tblLook w:val="04A0" w:firstRow="1" w:lastRow="0" w:firstColumn="1" w:lastColumn="0" w:noHBand="0" w:noVBand="1"/>
      </w:tblPr>
      <w:tblGrid>
        <w:gridCol w:w="2239"/>
        <w:gridCol w:w="1199"/>
        <w:gridCol w:w="1199"/>
        <w:gridCol w:w="1059"/>
        <w:gridCol w:w="1059"/>
        <w:gridCol w:w="1059"/>
        <w:gridCol w:w="1839"/>
      </w:tblGrid>
      <w:tr w:rsidR="00A06DB3" w:rsidRPr="00022293" w14:paraId="4A79BB83" w14:textId="77777777" w:rsidTr="00A06DB3">
        <w:trPr>
          <w:trHeight w:val="247"/>
        </w:trPr>
        <w:tc>
          <w:tcPr>
            <w:tcW w:w="22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480361" w14:textId="77777777" w:rsidR="00A06DB3" w:rsidRPr="00022293" w:rsidRDefault="00A06DB3" w:rsidP="00A06DB3">
            <w:pPr>
              <w:rPr>
                <w:rFonts w:ascii="Arial" w:eastAsia="Times New Roman" w:hAnsi="Arial" w:cs="Arial"/>
                <w:color w:val="000000"/>
              </w:rPr>
            </w:pPr>
            <w:r w:rsidRPr="00022293">
              <w:rPr>
                <w:rFonts w:ascii="Arial" w:eastAsia="Times New Roman" w:hAnsi="Arial" w:cs="Arial"/>
                <w:color w:val="000000"/>
              </w:rPr>
              <w:t>ITEMS</w:t>
            </w:r>
          </w:p>
        </w:tc>
        <w:tc>
          <w:tcPr>
            <w:tcW w:w="1199" w:type="dxa"/>
            <w:tcBorders>
              <w:top w:val="single" w:sz="4" w:space="0" w:color="auto"/>
              <w:left w:val="nil"/>
              <w:bottom w:val="single" w:sz="4" w:space="0" w:color="auto"/>
              <w:right w:val="single" w:sz="4" w:space="0" w:color="auto"/>
            </w:tcBorders>
            <w:shd w:val="clear" w:color="auto" w:fill="auto"/>
            <w:noWrap/>
            <w:vAlign w:val="bottom"/>
            <w:hideMark/>
          </w:tcPr>
          <w:p w14:paraId="60B65E94"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2013</w:t>
            </w:r>
          </w:p>
        </w:tc>
        <w:tc>
          <w:tcPr>
            <w:tcW w:w="1199" w:type="dxa"/>
            <w:tcBorders>
              <w:top w:val="single" w:sz="4" w:space="0" w:color="auto"/>
              <w:left w:val="nil"/>
              <w:bottom w:val="single" w:sz="4" w:space="0" w:color="auto"/>
              <w:right w:val="single" w:sz="4" w:space="0" w:color="auto"/>
            </w:tcBorders>
            <w:shd w:val="clear" w:color="auto" w:fill="auto"/>
            <w:noWrap/>
            <w:vAlign w:val="bottom"/>
            <w:hideMark/>
          </w:tcPr>
          <w:p w14:paraId="4F573266"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2014</w:t>
            </w:r>
          </w:p>
        </w:tc>
        <w:tc>
          <w:tcPr>
            <w:tcW w:w="1059" w:type="dxa"/>
            <w:tcBorders>
              <w:top w:val="single" w:sz="4" w:space="0" w:color="auto"/>
              <w:left w:val="nil"/>
              <w:bottom w:val="single" w:sz="4" w:space="0" w:color="auto"/>
              <w:right w:val="single" w:sz="4" w:space="0" w:color="auto"/>
            </w:tcBorders>
            <w:shd w:val="clear" w:color="auto" w:fill="auto"/>
            <w:noWrap/>
            <w:vAlign w:val="bottom"/>
            <w:hideMark/>
          </w:tcPr>
          <w:p w14:paraId="5F355CB4"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2015</w:t>
            </w:r>
          </w:p>
        </w:tc>
        <w:tc>
          <w:tcPr>
            <w:tcW w:w="1059" w:type="dxa"/>
            <w:tcBorders>
              <w:top w:val="single" w:sz="4" w:space="0" w:color="auto"/>
              <w:left w:val="nil"/>
              <w:bottom w:val="single" w:sz="4" w:space="0" w:color="auto"/>
              <w:right w:val="single" w:sz="4" w:space="0" w:color="auto"/>
            </w:tcBorders>
            <w:shd w:val="clear" w:color="auto" w:fill="auto"/>
            <w:noWrap/>
            <w:vAlign w:val="bottom"/>
            <w:hideMark/>
          </w:tcPr>
          <w:p w14:paraId="1D324394"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2016</w:t>
            </w:r>
          </w:p>
        </w:tc>
        <w:tc>
          <w:tcPr>
            <w:tcW w:w="1059" w:type="dxa"/>
            <w:tcBorders>
              <w:top w:val="single" w:sz="4" w:space="0" w:color="auto"/>
              <w:left w:val="nil"/>
              <w:bottom w:val="single" w:sz="4" w:space="0" w:color="auto"/>
              <w:right w:val="single" w:sz="4" w:space="0" w:color="auto"/>
            </w:tcBorders>
            <w:shd w:val="clear" w:color="auto" w:fill="auto"/>
            <w:noWrap/>
            <w:vAlign w:val="bottom"/>
            <w:hideMark/>
          </w:tcPr>
          <w:p w14:paraId="2C57449B"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2017</w:t>
            </w:r>
          </w:p>
        </w:tc>
        <w:tc>
          <w:tcPr>
            <w:tcW w:w="1839" w:type="dxa"/>
            <w:tcBorders>
              <w:top w:val="single" w:sz="4" w:space="0" w:color="auto"/>
              <w:left w:val="nil"/>
              <w:bottom w:val="single" w:sz="4" w:space="0" w:color="auto"/>
              <w:right w:val="single" w:sz="4" w:space="0" w:color="auto"/>
            </w:tcBorders>
            <w:shd w:val="clear" w:color="auto" w:fill="auto"/>
            <w:noWrap/>
            <w:vAlign w:val="bottom"/>
            <w:hideMark/>
          </w:tcPr>
          <w:p w14:paraId="2AEFBEDC" w14:textId="77777777" w:rsidR="00A06DB3" w:rsidRPr="00022293" w:rsidRDefault="00A06DB3" w:rsidP="00A06DB3">
            <w:pPr>
              <w:rPr>
                <w:rFonts w:ascii="Arial" w:eastAsia="Times New Roman" w:hAnsi="Arial" w:cs="Arial"/>
                <w:color w:val="000000"/>
              </w:rPr>
            </w:pPr>
            <w:r w:rsidRPr="00022293">
              <w:rPr>
                <w:rFonts w:ascii="Arial" w:eastAsia="Times New Roman" w:hAnsi="Arial" w:cs="Arial"/>
                <w:color w:val="000000"/>
              </w:rPr>
              <w:t>SANTANDER (2017)</w:t>
            </w:r>
          </w:p>
        </w:tc>
      </w:tr>
      <w:tr w:rsidR="00A06DB3" w:rsidRPr="00022293" w14:paraId="51B49447" w14:textId="77777777" w:rsidTr="00A06DB3">
        <w:trPr>
          <w:trHeight w:val="247"/>
        </w:trPr>
        <w:tc>
          <w:tcPr>
            <w:tcW w:w="2239" w:type="dxa"/>
            <w:tcBorders>
              <w:top w:val="nil"/>
              <w:left w:val="single" w:sz="4" w:space="0" w:color="auto"/>
              <w:bottom w:val="single" w:sz="4" w:space="0" w:color="auto"/>
              <w:right w:val="single" w:sz="4" w:space="0" w:color="auto"/>
            </w:tcBorders>
            <w:shd w:val="clear" w:color="auto" w:fill="auto"/>
            <w:noWrap/>
            <w:vAlign w:val="bottom"/>
            <w:hideMark/>
          </w:tcPr>
          <w:p w14:paraId="3B1B7645" w14:textId="77777777" w:rsidR="00A06DB3" w:rsidRPr="00022293" w:rsidRDefault="00A06DB3" w:rsidP="00A06DB3">
            <w:pPr>
              <w:rPr>
                <w:rFonts w:ascii="Arial" w:eastAsia="Times New Roman" w:hAnsi="Arial" w:cs="Arial"/>
                <w:color w:val="000000"/>
              </w:rPr>
            </w:pPr>
            <w:r w:rsidRPr="00022293">
              <w:rPr>
                <w:rFonts w:ascii="Arial" w:eastAsia="Times New Roman" w:hAnsi="Arial" w:cs="Arial"/>
                <w:color w:val="000000"/>
              </w:rPr>
              <w:t>NET INTEREST INCOME</w:t>
            </w:r>
          </w:p>
        </w:tc>
        <w:tc>
          <w:tcPr>
            <w:tcW w:w="1199" w:type="dxa"/>
            <w:tcBorders>
              <w:top w:val="nil"/>
              <w:left w:val="nil"/>
              <w:bottom w:val="single" w:sz="4" w:space="0" w:color="auto"/>
              <w:right w:val="single" w:sz="4" w:space="0" w:color="auto"/>
            </w:tcBorders>
            <w:shd w:val="clear" w:color="auto" w:fill="auto"/>
            <w:noWrap/>
            <w:vAlign w:val="bottom"/>
            <w:hideMark/>
          </w:tcPr>
          <w:p w14:paraId="2794FB33"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9017</w:t>
            </w:r>
          </w:p>
        </w:tc>
        <w:tc>
          <w:tcPr>
            <w:tcW w:w="1199" w:type="dxa"/>
            <w:tcBorders>
              <w:top w:val="nil"/>
              <w:left w:val="nil"/>
              <w:bottom w:val="single" w:sz="4" w:space="0" w:color="auto"/>
              <w:right w:val="single" w:sz="4" w:space="0" w:color="auto"/>
            </w:tcBorders>
            <w:shd w:val="clear" w:color="auto" w:fill="auto"/>
            <w:noWrap/>
            <w:vAlign w:val="bottom"/>
            <w:hideMark/>
          </w:tcPr>
          <w:p w14:paraId="1975ADF8"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9258</w:t>
            </w:r>
          </w:p>
        </w:tc>
        <w:tc>
          <w:tcPr>
            <w:tcW w:w="1059" w:type="dxa"/>
            <w:tcBorders>
              <w:top w:val="nil"/>
              <w:left w:val="nil"/>
              <w:bottom w:val="single" w:sz="4" w:space="0" w:color="auto"/>
              <w:right w:val="single" w:sz="4" w:space="0" w:color="auto"/>
            </w:tcBorders>
            <w:shd w:val="clear" w:color="auto" w:fill="auto"/>
            <w:noWrap/>
            <w:vAlign w:val="bottom"/>
            <w:hideMark/>
          </w:tcPr>
          <w:p w14:paraId="529FBFC9"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8767</w:t>
            </w:r>
          </w:p>
        </w:tc>
        <w:tc>
          <w:tcPr>
            <w:tcW w:w="1059" w:type="dxa"/>
            <w:tcBorders>
              <w:top w:val="nil"/>
              <w:left w:val="nil"/>
              <w:bottom w:val="single" w:sz="4" w:space="0" w:color="auto"/>
              <w:right w:val="single" w:sz="4" w:space="0" w:color="auto"/>
            </w:tcBorders>
            <w:shd w:val="clear" w:color="auto" w:fill="auto"/>
            <w:noWrap/>
            <w:vAlign w:val="bottom"/>
            <w:hideMark/>
          </w:tcPr>
          <w:p w14:paraId="558D60CE"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8708</w:t>
            </w:r>
          </w:p>
        </w:tc>
        <w:tc>
          <w:tcPr>
            <w:tcW w:w="1059" w:type="dxa"/>
            <w:tcBorders>
              <w:top w:val="nil"/>
              <w:left w:val="nil"/>
              <w:bottom w:val="single" w:sz="4" w:space="0" w:color="auto"/>
              <w:right w:val="single" w:sz="4" w:space="0" w:color="auto"/>
            </w:tcBorders>
            <w:shd w:val="clear" w:color="auto" w:fill="auto"/>
            <w:noWrap/>
            <w:vAlign w:val="bottom"/>
            <w:hideMark/>
          </w:tcPr>
          <w:p w14:paraId="2BC7900F"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8987</w:t>
            </w:r>
          </w:p>
        </w:tc>
        <w:tc>
          <w:tcPr>
            <w:tcW w:w="1839" w:type="dxa"/>
            <w:tcBorders>
              <w:top w:val="nil"/>
              <w:left w:val="nil"/>
              <w:bottom w:val="single" w:sz="4" w:space="0" w:color="auto"/>
              <w:right w:val="single" w:sz="4" w:space="0" w:color="auto"/>
            </w:tcBorders>
            <w:shd w:val="clear" w:color="auto" w:fill="auto"/>
            <w:noWrap/>
            <w:vAlign w:val="bottom"/>
            <w:hideMark/>
          </w:tcPr>
          <w:p w14:paraId="21EE6565"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3803</w:t>
            </w:r>
          </w:p>
        </w:tc>
      </w:tr>
      <w:tr w:rsidR="00A06DB3" w:rsidRPr="00022293" w14:paraId="00869D8A" w14:textId="77777777" w:rsidTr="00A06DB3">
        <w:trPr>
          <w:trHeight w:val="247"/>
        </w:trPr>
        <w:tc>
          <w:tcPr>
            <w:tcW w:w="2239" w:type="dxa"/>
            <w:tcBorders>
              <w:top w:val="nil"/>
              <w:left w:val="single" w:sz="4" w:space="0" w:color="auto"/>
              <w:bottom w:val="single" w:sz="4" w:space="0" w:color="auto"/>
              <w:right w:val="single" w:sz="4" w:space="0" w:color="auto"/>
            </w:tcBorders>
            <w:shd w:val="clear" w:color="auto" w:fill="auto"/>
            <w:noWrap/>
            <w:vAlign w:val="bottom"/>
            <w:hideMark/>
          </w:tcPr>
          <w:p w14:paraId="17A957AA" w14:textId="77777777" w:rsidR="00A06DB3" w:rsidRPr="00022293" w:rsidRDefault="00A06DB3" w:rsidP="00A06DB3">
            <w:pPr>
              <w:rPr>
                <w:rFonts w:ascii="Arial" w:eastAsia="Times New Roman" w:hAnsi="Arial" w:cs="Arial"/>
                <w:color w:val="000000"/>
              </w:rPr>
            </w:pPr>
            <w:r w:rsidRPr="00022293">
              <w:rPr>
                <w:rFonts w:ascii="Arial" w:eastAsia="Times New Roman" w:hAnsi="Arial" w:cs="Arial"/>
                <w:color w:val="000000"/>
              </w:rPr>
              <w:t>TOTAL ASSETS</w:t>
            </w:r>
          </w:p>
        </w:tc>
        <w:tc>
          <w:tcPr>
            <w:tcW w:w="1199" w:type="dxa"/>
            <w:tcBorders>
              <w:top w:val="nil"/>
              <w:left w:val="nil"/>
              <w:bottom w:val="single" w:sz="4" w:space="0" w:color="auto"/>
              <w:right w:val="single" w:sz="4" w:space="0" w:color="auto"/>
            </w:tcBorders>
            <w:shd w:val="clear" w:color="auto" w:fill="auto"/>
            <w:noWrap/>
            <w:vAlign w:val="bottom"/>
            <w:hideMark/>
          </w:tcPr>
          <w:p w14:paraId="5694CF80"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1027878</w:t>
            </w:r>
          </w:p>
        </w:tc>
        <w:tc>
          <w:tcPr>
            <w:tcW w:w="1199" w:type="dxa"/>
            <w:tcBorders>
              <w:top w:val="nil"/>
              <w:left w:val="nil"/>
              <w:bottom w:val="single" w:sz="4" w:space="0" w:color="auto"/>
              <w:right w:val="single" w:sz="4" w:space="0" w:color="auto"/>
            </w:tcBorders>
            <w:shd w:val="clear" w:color="auto" w:fill="auto"/>
            <w:noWrap/>
            <w:vAlign w:val="bottom"/>
            <w:hideMark/>
          </w:tcPr>
          <w:p w14:paraId="25E94AED"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1050763</w:t>
            </w:r>
          </w:p>
        </w:tc>
        <w:tc>
          <w:tcPr>
            <w:tcW w:w="1059" w:type="dxa"/>
            <w:tcBorders>
              <w:top w:val="nil"/>
              <w:left w:val="nil"/>
              <w:bottom w:val="single" w:sz="4" w:space="0" w:color="auto"/>
              <w:right w:val="single" w:sz="4" w:space="0" w:color="auto"/>
            </w:tcBorders>
            <w:shd w:val="clear" w:color="auto" w:fill="auto"/>
            <w:noWrap/>
            <w:vAlign w:val="bottom"/>
            <w:hideMark/>
          </w:tcPr>
          <w:p w14:paraId="01EC2F62"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815408</w:t>
            </w:r>
          </w:p>
        </w:tc>
        <w:tc>
          <w:tcPr>
            <w:tcW w:w="1059" w:type="dxa"/>
            <w:tcBorders>
              <w:top w:val="nil"/>
              <w:left w:val="nil"/>
              <w:bottom w:val="single" w:sz="4" w:space="0" w:color="auto"/>
              <w:right w:val="single" w:sz="4" w:space="0" w:color="auto"/>
            </w:tcBorders>
            <w:shd w:val="clear" w:color="auto" w:fill="auto"/>
            <w:noWrap/>
            <w:vAlign w:val="bottom"/>
            <w:hideMark/>
          </w:tcPr>
          <w:p w14:paraId="5CE26870"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798656</w:t>
            </w:r>
          </w:p>
        </w:tc>
        <w:tc>
          <w:tcPr>
            <w:tcW w:w="1059" w:type="dxa"/>
            <w:tcBorders>
              <w:top w:val="nil"/>
              <w:left w:val="nil"/>
              <w:bottom w:val="single" w:sz="4" w:space="0" w:color="auto"/>
              <w:right w:val="single" w:sz="4" w:space="0" w:color="auto"/>
            </w:tcBorders>
            <w:shd w:val="clear" w:color="auto" w:fill="auto"/>
            <w:noWrap/>
            <w:vAlign w:val="bottom"/>
            <w:hideMark/>
          </w:tcPr>
          <w:p w14:paraId="74CD8679"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738056</w:t>
            </w:r>
          </w:p>
        </w:tc>
        <w:tc>
          <w:tcPr>
            <w:tcW w:w="1839" w:type="dxa"/>
            <w:tcBorders>
              <w:top w:val="nil"/>
              <w:left w:val="nil"/>
              <w:bottom w:val="single" w:sz="4" w:space="0" w:color="auto"/>
              <w:right w:val="single" w:sz="4" w:space="0" w:color="auto"/>
            </w:tcBorders>
            <w:shd w:val="clear" w:color="auto" w:fill="auto"/>
            <w:noWrap/>
            <w:vAlign w:val="bottom"/>
            <w:hideMark/>
          </w:tcPr>
          <w:p w14:paraId="0BACD57C"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314760</w:t>
            </w:r>
          </w:p>
        </w:tc>
      </w:tr>
      <w:tr w:rsidR="00A06DB3" w:rsidRPr="00022293" w14:paraId="1668CEBC" w14:textId="77777777" w:rsidTr="00A06DB3">
        <w:trPr>
          <w:trHeight w:val="247"/>
        </w:trPr>
        <w:tc>
          <w:tcPr>
            <w:tcW w:w="2239" w:type="dxa"/>
            <w:tcBorders>
              <w:top w:val="nil"/>
              <w:left w:val="single" w:sz="4" w:space="0" w:color="auto"/>
              <w:bottom w:val="single" w:sz="4" w:space="0" w:color="auto"/>
              <w:right w:val="single" w:sz="4" w:space="0" w:color="auto"/>
            </w:tcBorders>
            <w:shd w:val="clear" w:color="auto" w:fill="auto"/>
            <w:noWrap/>
            <w:vAlign w:val="bottom"/>
            <w:hideMark/>
          </w:tcPr>
          <w:p w14:paraId="4756600B" w14:textId="77777777" w:rsidR="00A06DB3" w:rsidRPr="00022293" w:rsidRDefault="00A06DB3" w:rsidP="00A06DB3">
            <w:pPr>
              <w:rPr>
                <w:rFonts w:ascii="Arial" w:eastAsia="Times New Roman" w:hAnsi="Arial" w:cs="Arial"/>
                <w:color w:val="000000"/>
              </w:rPr>
            </w:pPr>
            <w:r w:rsidRPr="00022293">
              <w:rPr>
                <w:rFonts w:ascii="Arial" w:eastAsia="Times New Roman" w:hAnsi="Arial" w:cs="Arial"/>
                <w:color w:val="000000"/>
              </w:rPr>
              <w:t>NIM</w:t>
            </w:r>
            <w:r>
              <w:rPr>
                <w:rFonts w:ascii="Arial" w:eastAsia="Times New Roman" w:hAnsi="Arial" w:cs="Arial"/>
                <w:color w:val="000000"/>
              </w:rPr>
              <w:t xml:space="preserve"> </w:t>
            </w:r>
            <w:r w:rsidRPr="00022293">
              <w:rPr>
                <w:rFonts w:ascii="Arial" w:eastAsia="Times New Roman" w:hAnsi="Arial" w:cs="Arial"/>
                <w:color w:val="000000"/>
              </w:rPr>
              <w:t>(%)</w:t>
            </w:r>
          </w:p>
        </w:tc>
        <w:tc>
          <w:tcPr>
            <w:tcW w:w="1199" w:type="dxa"/>
            <w:tcBorders>
              <w:top w:val="nil"/>
              <w:left w:val="nil"/>
              <w:bottom w:val="single" w:sz="4" w:space="0" w:color="auto"/>
              <w:right w:val="single" w:sz="4" w:space="0" w:color="auto"/>
            </w:tcBorders>
            <w:shd w:val="clear" w:color="auto" w:fill="auto"/>
            <w:noWrap/>
            <w:vAlign w:val="bottom"/>
            <w:hideMark/>
          </w:tcPr>
          <w:p w14:paraId="57AF6694"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0.88</w:t>
            </w:r>
          </w:p>
        </w:tc>
        <w:tc>
          <w:tcPr>
            <w:tcW w:w="1199" w:type="dxa"/>
            <w:tcBorders>
              <w:top w:val="nil"/>
              <w:left w:val="nil"/>
              <w:bottom w:val="single" w:sz="4" w:space="0" w:color="auto"/>
              <w:right w:val="single" w:sz="4" w:space="0" w:color="auto"/>
            </w:tcBorders>
            <w:shd w:val="clear" w:color="auto" w:fill="auto"/>
            <w:noWrap/>
            <w:vAlign w:val="bottom"/>
            <w:hideMark/>
          </w:tcPr>
          <w:p w14:paraId="7EFF263C"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0.88</w:t>
            </w:r>
          </w:p>
        </w:tc>
        <w:tc>
          <w:tcPr>
            <w:tcW w:w="1059" w:type="dxa"/>
            <w:tcBorders>
              <w:top w:val="nil"/>
              <w:left w:val="nil"/>
              <w:bottom w:val="single" w:sz="4" w:space="0" w:color="auto"/>
              <w:right w:val="single" w:sz="4" w:space="0" w:color="auto"/>
            </w:tcBorders>
            <w:shd w:val="clear" w:color="auto" w:fill="auto"/>
            <w:noWrap/>
            <w:vAlign w:val="bottom"/>
            <w:hideMark/>
          </w:tcPr>
          <w:p w14:paraId="1D6AD046"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1.08</w:t>
            </w:r>
          </w:p>
        </w:tc>
        <w:tc>
          <w:tcPr>
            <w:tcW w:w="1059" w:type="dxa"/>
            <w:tcBorders>
              <w:top w:val="nil"/>
              <w:left w:val="nil"/>
              <w:bottom w:val="single" w:sz="4" w:space="0" w:color="auto"/>
              <w:right w:val="single" w:sz="4" w:space="0" w:color="auto"/>
            </w:tcBorders>
            <w:shd w:val="clear" w:color="auto" w:fill="auto"/>
            <w:noWrap/>
            <w:vAlign w:val="bottom"/>
            <w:hideMark/>
          </w:tcPr>
          <w:p w14:paraId="25C4C64D"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1.09</w:t>
            </w:r>
          </w:p>
        </w:tc>
        <w:tc>
          <w:tcPr>
            <w:tcW w:w="1059" w:type="dxa"/>
            <w:tcBorders>
              <w:top w:val="nil"/>
              <w:left w:val="nil"/>
              <w:bottom w:val="single" w:sz="4" w:space="0" w:color="auto"/>
              <w:right w:val="single" w:sz="4" w:space="0" w:color="auto"/>
            </w:tcBorders>
            <w:shd w:val="clear" w:color="auto" w:fill="auto"/>
            <w:noWrap/>
            <w:vAlign w:val="bottom"/>
            <w:hideMark/>
          </w:tcPr>
          <w:p w14:paraId="08F84CA5"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1.22</w:t>
            </w:r>
          </w:p>
        </w:tc>
        <w:tc>
          <w:tcPr>
            <w:tcW w:w="1839" w:type="dxa"/>
            <w:tcBorders>
              <w:top w:val="nil"/>
              <w:left w:val="nil"/>
              <w:bottom w:val="single" w:sz="4" w:space="0" w:color="auto"/>
              <w:right w:val="single" w:sz="4" w:space="0" w:color="auto"/>
            </w:tcBorders>
            <w:shd w:val="clear" w:color="auto" w:fill="auto"/>
            <w:noWrap/>
            <w:vAlign w:val="bottom"/>
            <w:hideMark/>
          </w:tcPr>
          <w:p w14:paraId="38A11329" w14:textId="77777777" w:rsidR="00A06DB3" w:rsidRPr="00022293" w:rsidRDefault="00A06DB3" w:rsidP="00A06DB3">
            <w:pPr>
              <w:jc w:val="right"/>
              <w:rPr>
                <w:rFonts w:ascii="Arial" w:eastAsia="Times New Roman" w:hAnsi="Arial" w:cs="Arial"/>
                <w:color w:val="000000"/>
              </w:rPr>
            </w:pPr>
            <w:r w:rsidRPr="00022293">
              <w:rPr>
                <w:rFonts w:ascii="Arial" w:eastAsia="Times New Roman" w:hAnsi="Arial" w:cs="Arial"/>
                <w:color w:val="000000"/>
              </w:rPr>
              <w:t>1.21</w:t>
            </w:r>
          </w:p>
        </w:tc>
      </w:tr>
    </w:tbl>
    <w:p w14:paraId="7627994F" w14:textId="77777777" w:rsidR="00296C88" w:rsidRDefault="00296C88" w:rsidP="007443A5">
      <w:pPr>
        <w:jc w:val="both"/>
        <w:rPr>
          <w:rFonts w:ascii="Arial" w:hAnsi="Arial" w:cs="Arial"/>
        </w:rPr>
      </w:pPr>
    </w:p>
    <w:p w14:paraId="080A03E2" w14:textId="55032ECF" w:rsidR="00296C88" w:rsidRDefault="00296C88" w:rsidP="007443A5">
      <w:pPr>
        <w:jc w:val="both"/>
        <w:rPr>
          <w:rFonts w:ascii="Arial" w:hAnsi="Arial" w:cs="Arial"/>
        </w:rPr>
      </w:pPr>
      <w:r>
        <w:rPr>
          <w:rFonts w:ascii="Arial" w:hAnsi="Arial" w:cs="Arial"/>
        </w:rPr>
        <w:t>TAB: 3</w:t>
      </w:r>
    </w:p>
    <w:p w14:paraId="0343A44F" w14:textId="77777777" w:rsidR="00296C88" w:rsidRDefault="00296C88" w:rsidP="007443A5">
      <w:pPr>
        <w:jc w:val="both"/>
        <w:rPr>
          <w:rFonts w:ascii="Arial" w:hAnsi="Arial" w:cs="Arial"/>
        </w:rPr>
      </w:pPr>
    </w:p>
    <w:p w14:paraId="76564EA5" w14:textId="77777777" w:rsidR="00511B00" w:rsidRDefault="00511B00" w:rsidP="007443A5">
      <w:pPr>
        <w:jc w:val="both"/>
        <w:rPr>
          <w:rFonts w:ascii="Arial" w:hAnsi="Arial" w:cs="Arial"/>
        </w:rPr>
      </w:pPr>
    </w:p>
    <w:p w14:paraId="4FE3EF8A" w14:textId="3945AE6F" w:rsidR="00C860D7" w:rsidRDefault="00511B00" w:rsidP="007443A5">
      <w:pPr>
        <w:jc w:val="both"/>
        <w:rPr>
          <w:rFonts w:ascii="Arial" w:hAnsi="Arial" w:cs="Arial"/>
        </w:rPr>
      </w:pPr>
      <w:r>
        <w:rPr>
          <w:rFonts w:ascii="Arial" w:hAnsi="Arial" w:cs="Arial"/>
        </w:rPr>
        <w:t>Net intere</w:t>
      </w:r>
      <w:r w:rsidR="00296C88">
        <w:rPr>
          <w:rFonts w:ascii="Arial" w:hAnsi="Arial" w:cs="Arial"/>
        </w:rPr>
        <w:t>st income ma</w:t>
      </w:r>
      <w:r w:rsidR="007F0C7D">
        <w:rPr>
          <w:rFonts w:ascii="Arial" w:hAnsi="Arial" w:cs="Arial"/>
        </w:rPr>
        <w:t xml:space="preserve">rgin determines how efficiently </w:t>
      </w:r>
      <w:r w:rsidR="00C860D7">
        <w:rPr>
          <w:rFonts w:ascii="Arial" w:hAnsi="Arial" w:cs="Arial"/>
        </w:rPr>
        <w:t>a bank is</w:t>
      </w:r>
      <w:r w:rsidR="007F0C7D">
        <w:rPr>
          <w:rFonts w:ascii="Arial" w:hAnsi="Arial" w:cs="Arial"/>
        </w:rPr>
        <w:t xml:space="preserve"> </w:t>
      </w:r>
      <w:r w:rsidR="007659CC">
        <w:rPr>
          <w:rFonts w:ascii="Arial" w:hAnsi="Arial" w:cs="Arial"/>
        </w:rPr>
        <w:t>investing</w:t>
      </w:r>
      <w:r w:rsidR="00FA5824">
        <w:rPr>
          <w:rFonts w:ascii="Arial" w:hAnsi="Arial" w:cs="Arial"/>
        </w:rPr>
        <w:t xml:space="preserve"> </w:t>
      </w:r>
      <w:r w:rsidR="007659CC">
        <w:rPr>
          <w:rFonts w:ascii="Arial" w:hAnsi="Arial" w:cs="Arial"/>
        </w:rPr>
        <w:t xml:space="preserve">their funding over the expenses. A positive NIM represents that bank has made an appropriate decisions in investing their funding that causes less interest expenses compare to the earning made from investments. </w:t>
      </w:r>
    </w:p>
    <w:p w14:paraId="5CC98023" w14:textId="77777777" w:rsidR="007659CC" w:rsidRDefault="007659CC" w:rsidP="007443A5">
      <w:pPr>
        <w:jc w:val="both"/>
        <w:rPr>
          <w:rFonts w:ascii="Arial" w:hAnsi="Arial" w:cs="Arial"/>
        </w:rPr>
      </w:pPr>
    </w:p>
    <w:p w14:paraId="4F43983D" w14:textId="2A0A2A47" w:rsidR="007659CC" w:rsidRDefault="007659CC" w:rsidP="007443A5">
      <w:pPr>
        <w:jc w:val="both"/>
        <w:rPr>
          <w:rFonts w:ascii="Arial" w:hAnsi="Arial" w:cs="Arial"/>
        </w:rPr>
      </w:pPr>
      <w:r>
        <w:rPr>
          <w:rFonts w:ascii="Arial" w:hAnsi="Arial" w:cs="Arial"/>
        </w:rPr>
        <w:t xml:space="preserve">The above table determines the NIM of </w:t>
      </w:r>
      <w:r w:rsidR="00210095">
        <w:rPr>
          <w:rFonts w:ascii="Arial" w:hAnsi="Arial" w:cs="Arial"/>
        </w:rPr>
        <w:t>RBS</w:t>
      </w:r>
      <w:r>
        <w:rPr>
          <w:rFonts w:ascii="Arial" w:hAnsi="Arial" w:cs="Arial"/>
        </w:rPr>
        <w:t xml:space="preserve"> from the last five year as compare to the Santander Bank in the year 2017. </w:t>
      </w:r>
      <w:r w:rsidR="00204F7B">
        <w:rPr>
          <w:rFonts w:ascii="Arial" w:hAnsi="Arial" w:cs="Arial"/>
        </w:rPr>
        <w:t xml:space="preserve">It is shown in the table that the net interest income margin of </w:t>
      </w:r>
      <w:r w:rsidR="00210095">
        <w:rPr>
          <w:rFonts w:ascii="Arial" w:hAnsi="Arial" w:cs="Arial"/>
        </w:rPr>
        <w:t>RBS</w:t>
      </w:r>
      <w:r w:rsidR="00204F7B">
        <w:rPr>
          <w:rFonts w:ascii="Arial" w:hAnsi="Arial" w:cs="Arial"/>
        </w:rPr>
        <w:t xml:space="preserve"> is increasing from 0.88% in 2013 to 1.22% in 2017 </w:t>
      </w:r>
      <w:r w:rsidR="00CC6698">
        <w:rPr>
          <w:rFonts w:ascii="Arial" w:hAnsi="Arial" w:cs="Arial"/>
        </w:rPr>
        <w:t xml:space="preserve">due to the increasing volumes of the mortgages in UK PBB </w:t>
      </w:r>
      <w:r w:rsidR="00F64FD8">
        <w:rPr>
          <w:rFonts w:ascii="Arial" w:hAnsi="Arial" w:cs="Arial"/>
        </w:rPr>
        <w:t xml:space="preserve">by 3.7% and commercial banking benefits, </w:t>
      </w:r>
      <w:r w:rsidR="00204F7B">
        <w:rPr>
          <w:rFonts w:ascii="Arial" w:hAnsi="Arial" w:cs="Arial"/>
        </w:rPr>
        <w:t>where on the other hand Santander Bank also have a same NIM on the year 2017. Both the Bank’s in this situation is making an effective decision in investing for their funds that has low interest expense relative to net income generated from investments.</w:t>
      </w:r>
    </w:p>
    <w:p w14:paraId="54502836" w14:textId="77777777" w:rsidR="00204F7B" w:rsidRDefault="00204F7B" w:rsidP="007443A5">
      <w:pPr>
        <w:jc w:val="both"/>
        <w:rPr>
          <w:rFonts w:ascii="Arial" w:hAnsi="Arial" w:cs="Arial"/>
        </w:rPr>
      </w:pPr>
    </w:p>
    <w:p w14:paraId="40F82381" w14:textId="77777777" w:rsidR="00A06DB3" w:rsidRDefault="00A06DB3" w:rsidP="007443A5">
      <w:pPr>
        <w:jc w:val="both"/>
        <w:rPr>
          <w:rFonts w:ascii="Arial" w:hAnsi="Arial" w:cs="Arial"/>
        </w:rPr>
      </w:pPr>
    </w:p>
    <w:p w14:paraId="22238991" w14:textId="3068C36A" w:rsidR="00204F7B" w:rsidRDefault="00204F7B" w:rsidP="007443A5">
      <w:pPr>
        <w:jc w:val="both"/>
        <w:rPr>
          <w:rFonts w:ascii="Arial" w:hAnsi="Arial" w:cs="Arial"/>
        </w:rPr>
      </w:pPr>
      <w:r>
        <w:rPr>
          <w:rFonts w:ascii="Arial" w:hAnsi="Arial" w:cs="Arial"/>
        </w:rPr>
        <w:t>ASSETS QUALITY RATIO</w:t>
      </w:r>
    </w:p>
    <w:p w14:paraId="6876CB79" w14:textId="77777777" w:rsidR="00204F7B" w:rsidRDefault="00204F7B" w:rsidP="007443A5">
      <w:pPr>
        <w:jc w:val="both"/>
        <w:rPr>
          <w:rFonts w:ascii="Arial" w:hAnsi="Arial" w:cs="Arial"/>
        </w:rPr>
      </w:pPr>
    </w:p>
    <w:p w14:paraId="3E1D86E9" w14:textId="12AB1598" w:rsidR="00204F7B" w:rsidRDefault="00204F7B" w:rsidP="007443A5">
      <w:pPr>
        <w:jc w:val="both"/>
        <w:rPr>
          <w:rFonts w:ascii="Arial" w:hAnsi="Arial" w:cs="Arial"/>
        </w:rPr>
      </w:pPr>
      <w:r>
        <w:rPr>
          <w:rFonts w:ascii="Arial" w:hAnsi="Arial" w:cs="Arial"/>
        </w:rPr>
        <w:t>This ratio examines the quality of the assets</w:t>
      </w:r>
      <w:r w:rsidR="001D76BA">
        <w:rPr>
          <w:rFonts w:ascii="Arial" w:hAnsi="Arial" w:cs="Arial"/>
        </w:rPr>
        <w:t xml:space="preserve"> and the efficient use</w:t>
      </w:r>
      <w:r w:rsidR="00102473">
        <w:rPr>
          <w:rFonts w:ascii="Arial" w:hAnsi="Arial" w:cs="Arial"/>
        </w:rPr>
        <w:t xml:space="preserve"> of</w:t>
      </w:r>
      <w:r w:rsidR="001D76BA">
        <w:rPr>
          <w:rFonts w:ascii="Arial" w:hAnsi="Arial" w:cs="Arial"/>
        </w:rPr>
        <w:t xml:space="preserve"> the assets that are loans and investment and the interest payments it receive</w:t>
      </w:r>
      <w:r w:rsidR="00102473">
        <w:rPr>
          <w:rFonts w:ascii="Arial" w:hAnsi="Arial" w:cs="Arial"/>
        </w:rPr>
        <w:t xml:space="preserve"> as well as considering the risk related to it. There are two types of assets quality ratio such as Provision for Loan Loss (PLL) and Loan Ratio that accesses the quality of the assets and risk related to it. </w:t>
      </w:r>
    </w:p>
    <w:p w14:paraId="40FBB066" w14:textId="77777777" w:rsidR="00102473" w:rsidRDefault="00102473" w:rsidP="007443A5">
      <w:pPr>
        <w:jc w:val="both"/>
        <w:rPr>
          <w:rFonts w:ascii="Arial" w:hAnsi="Arial" w:cs="Arial"/>
        </w:rPr>
      </w:pPr>
    </w:p>
    <w:p w14:paraId="4AD3D505" w14:textId="77777777" w:rsidR="00210095" w:rsidRDefault="00210095" w:rsidP="007443A5">
      <w:pPr>
        <w:jc w:val="both"/>
        <w:rPr>
          <w:rFonts w:ascii="Arial" w:hAnsi="Arial" w:cs="Arial"/>
        </w:rPr>
      </w:pPr>
    </w:p>
    <w:p w14:paraId="48682835" w14:textId="72A407A3" w:rsidR="00102473" w:rsidRDefault="00102473" w:rsidP="007443A5">
      <w:pPr>
        <w:jc w:val="both"/>
        <w:rPr>
          <w:rFonts w:ascii="Arial" w:hAnsi="Arial" w:cs="Arial"/>
          <w:u w:val="single"/>
        </w:rPr>
      </w:pPr>
      <w:r>
        <w:rPr>
          <w:rFonts w:ascii="Arial" w:hAnsi="Arial" w:cs="Arial"/>
        </w:rPr>
        <w:t xml:space="preserve">PROVISION FOR LOAN LOSS    =  </w:t>
      </w:r>
      <w:r w:rsidRPr="00102473">
        <w:rPr>
          <w:rFonts w:ascii="Arial" w:hAnsi="Arial" w:cs="Arial"/>
          <w:u w:val="single"/>
        </w:rPr>
        <w:t>PROVISION FOR LOAN LOSS</w:t>
      </w:r>
    </w:p>
    <w:p w14:paraId="19C5F62C" w14:textId="3D430F09" w:rsidR="00102473" w:rsidRDefault="00102473" w:rsidP="007443A5">
      <w:pPr>
        <w:jc w:val="both"/>
        <w:rPr>
          <w:rFonts w:ascii="Arial" w:hAnsi="Arial" w:cs="Arial"/>
        </w:rPr>
      </w:pPr>
      <w:r>
        <w:rPr>
          <w:rFonts w:ascii="Arial" w:hAnsi="Arial" w:cs="Arial"/>
        </w:rPr>
        <w:t xml:space="preserve">                                                                    TOTAL LOANS</w:t>
      </w:r>
    </w:p>
    <w:p w14:paraId="50A4B17F" w14:textId="77777777" w:rsidR="00102473" w:rsidRDefault="00102473" w:rsidP="007443A5">
      <w:pPr>
        <w:jc w:val="both"/>
        <w:rPr>
          <w:rFonts w:ascii="Arial" w:hAnsi="Arial" w:cs="Arial"/>
        </w:rPr>
      </w:pPr>
    </w:p>
    <w:p w14:paraId="3B9FED18" w14:textId="2F690064" w:rsidR="00210095" w:rsidRDefault="0008328F" w:rsidP="007443A5">
      <w:pPr>
        <w:jc w:val="both"/>
        <w:rPr>
          <w:rFonts w:ascii="Arial" w:hAnsi="Arial" w:cs="Arial"/>
        </w:rPr>
      </w:pPr>
      <w:r>
        <w:rPr>
          <w:rFonts w:ascii="Arial" w:hAnsi="Arial" w:cs="Arial"/>
        </w:rPr>
        <w:t>Tab: 4</w:t>
      </w:r>
    </w:p>
    <w:p w14:paraId="756352E5" w14:textId="77777777" w:rsidR="00210095" w:rsidRDefault="00210095" w:rsidP="007443A5">
      <w:pPr>
        <w:jc w:val="both"/>
        <w:rPr>
          <w:rFonts w:ascii="Arial" w:hAnsi="Arial" w:cs="Arial"/>
        </w:rPr>
      </w:pPr>
    </w:p>
    <w:tbl>
      <w:tblPr>
        <w:tblpPr w:leftFromText="180" w:rightFromText="180" w:vertAnchor="page" w:horzAnchor="page" w:tblpX="1189" w:tblpY="7381"/>
        <w:tblW w:w="9796" w:type="dxa"/>
        <w:tblLayout w:type="fixed"/>
        <w:tblLook w:val="04A0" w:firstRow="1" w:lastRow="0" w:firstColumn="1" w:lastColumn="0" w:noHBand="0" w:noVBand="1"/>
      </w:tblPr>
      <w:tblGrid>
        <w:gridCol w:w="2142"/>
        <w:gridCol w:w="1134"/>
        <w:gridCol w:w="1239"/>
        <w:gridCol w:w="1170"/>
        <w:gridCol w:w="1134"/>
        <w:gridCol w:w="1276"/>
        <w:gridCol w:w="1701"/>
      </w:tblGrid>
      <w:tr w:rsidR="00A06DB3" w:rsidRPr="0008328F" w14:paraId="27975BB7" w14:textId="77777777" w:rsidTr="00A06DB3">
        <w:trPr>
          <w:trHeight w:val="376"/>
        </w:trPr>
        <w:tc>
          <w:tcPr>
            <w:tcW w:w="21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21E8CB" w14:textId="77777777" w:rsidR="00A06DB3" w:rsidRPr="0008328F" w:rsidRDefault="00A06DB3" w:rsidP="00A06DB3">
            <w:pPr>
              <w:rPr>
                <w:rFonts w:ascii="Arial" w:eastAsia="Times New Roman" w:hAnsi="Arial" w:cs="Arial"/>
                <w:color w:val="000000"/>
              </w:rPr>
            </w:pPr>
            <w:r w:rsidRPr="0008328F">
              <w:rPr>
                <w:rFonts w:ascii="Arial" w:eastAsia="Times New Roman" w:hAnsi="Arial" w:cs="Arial"/>
                <w:color w:val="000000"/>
              </w:rPr>
              <w:t>ITEMS</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10EC9D06"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2013</w:t>
            </w:r>
          </w:p>
        </w:tc>
        <w:tc>
          <w:tcPr>
            <w:tcW w:w="1239" w:type="dxa"/>
            <w:tcBorders>
              <w:top w:val="single" w:sz="4" w:space="0" w:color="auto"/>
              <w:left w:val="nil"/>
              <w:bottom w:val="single" w:sz="4" w:space="0" w:color="auto"/>
              <w:right w:val="single" w:sz="4" w:space="0" w:color="auto"/>
            </w:tcBorders>
            <w:shd w:val="clear" w:color="auto" w:fill="auto"/>
            <w:noWrap/>
            <w:vAlign w:val="bottom"/>
            <w:hideMark/>
          </w:tcPr>
          <w:p w14:paraId="6050AA85"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2014</w:t>
            </w:r>
          </w:p>
        </w:tc>
        <w:tc>
          <w:tcPr>
            <w:tcW w:w="1170" w:type="dxa"/>
            <w:tcBorders>
              <w:top w:val="single" w:sz="4" w:space="0" w:color="auto"/>
              <w:left w:val="nil"/>
              <w:bottom w:val="single" w:sz="4" w:space="0" w:color="auto"/>
              <w:right w:val="single" w:sz="4" w:space="0" w:color="auto"/>
            </w:tcBorders>
            <w:shd w:val="clear" w:color="auto" w:fill="auto"/>
            <w:noWrap/>
            <w:vAlign w:val="bottom"/>
            <w:hideMark/>
          </w:tcPr>
          <w:p w14:paraId="11AAAB21"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2015</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5B73B94C"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2016</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01988E2D"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2017</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4930799" w14:textId="77777777" w:rsidR="00A06DB3" w:rsidRPr="0008328F" w:rsidRDefault="00A06DB3" w:rsidP="00A06DB3">
            <w:pPr>
              <w:rPr>
                <w:rFonts w:ascii="Arial" w:eastAsia="Times New Roman" w:hAnsi="Arial" w:cs="Arial"/>
                <w:color w:val="000000"/>
              </w:rPr>
            </w:pPr>
            <w:r w:rsidRPr="0008328F">
              <w:rPr>
                <w:rFonts w:ascii="Arial" w:eastAsia="Times New Roman" w:hAnsi="Arial" w:cs="Arial"/>
                <w:color w:val="000000"/>
              </w:rPr>
              <w:t>SANTANDER (2017)</w:t>
            </w:r>
          </w:p>
        </w:tc>
      </w:tr>
      <w:tr w:rsidR="00A06DB3" w:rsidRPr="0008328F" w14:paraId="7776E852" w14:textId="77777777" w:rsidTr="00A06DB3">
        <w:trPr>
          <w:trHeight w:val="376"/>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14:paraId="74A64655" w14:textId="77777777" w:rsidR="00A06DB3" w:rsidRPr="0008328F" w:rsidRDefault="00A06DB3" w:rsidP="00A06DB3">
            <w:pPr>
              <w:rPr>
                <w:rFonts w:ascii="Arial" w:eastAsia="Times New Roman" w:hAnsi="Arial" w:cs="Arial"/>
                <w:color w:val="000000"/>
              </w:rPr>
            </w:pPr>
            <w:r w:rsidRPr="0008328F">
              <w:rPr>
                <w:rFonts w:ascii="Arial" w:eastAsia="Times New Roman" w:hAnsi="Arial" w:cs="Arial"/>
                <w:color w:val="000000"/>
              </w:rPr>
              <w:t>PROVISION FOR LOAN LOSSES</w:t>
            </w:r>
          </w:p>
        </w:tc>
        <w:tc>
          <w:tcPr>
            <w:tcW w:w="1134" w:type="dxa"/>
            <w:tcBorders>
              <w:top w:val="nil"/>
              <w:left w:val="nil"/>
              <w:bottom w:val="single" w:sz="4" w:space="0" w:color="auto"/>
              <w:right w:val="single" w:sz="4" w:space="0" w:color="auto"/>
            </w:tcBorders>
            <w:shd w:val="clear" w:color="auto" w:fill="auto"/>
            <w:noWrap/>
            <w:vAlign w:val="bottom"/>
            <w:hideMark/>
          </w:tcPr>
          <w:p w14:paraId="29E51654"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175</w:t>
            </w:r>
          </w:p>
        </w:tc>
        <w:tc>
          <w:tcPr>
            <w:tcW w:w="1239" w:type="dxa"/>
            <w:tcBorders>
              <w:top w:val="nil"/>
              <w:left w:val="nil"/>
              <w:bottom w:val="single" w:sz="4" w:space="0" w:color="auto"/>
              <w:right w:val="single" w:sz="4" w:space="0" w:color="auto"/>
            </w:tcBorders>
            <w:shd w:val="clear" w:color="auto" w:fill="auto"/>
            <w:noWrap/>
            <w:vAlign w:val="bottom"/>
            <w:hideMark/>
          </w:tcPr>
          <w:p w14:paraId="54965A46"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20</w:t>
            </w:r>
          </w:p>
        </w:tc>
        <w:tc>
          <w:tcPr>
            <w:tcW w:w="1170" w:type="dxa"/>
            <w:tcBorders>
              <w:top w:val="nil"/>
              <w:left w:val="nil"/>
              <w:bottom w:val="single" w:sz="4" w:space="0" w:color="auto"/>
              <w:right w:val="single" w:sz="4" w:space="0" w:color="auto"/>
            </w:tcBorders>
            <w:shd w:val="clear" w:color="auto" w:fill="auto"/>
            <w:noWrap/>
            <w:vAlign w:val="bottom"/>
            <w:hideMark/>
          </w:tcPr>
          <w:p w14:paraId="27120D64"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263</w:t>
            </w:r>
          </w:p>
        </w:tc>
        <w:tc>
          <w:tcPr>
            <w:tcW w:w="1134" w:type="dxa"/>
            <w:tcBorders>
              <w:top w:val="nil"/>
              <w:left w:val="nil"/>
              <w:bottom w:val="single" w:sz="4" w:space="0" w:color="auto"/>
              <w:right w:val="single" w:sz="4" w:space="0" w:color="auto"/>
            </w:tcBorders>
            <w:shd w:val="clear" w:color="auto" w:fill="auto"/>
            <w:noWrap/>
            <w:vAlign w:val="bottom"/>
            <w:hideMark/>
          </w:tcPr>
          <w:p w14:paraId="7A98869F"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126</w:t>
            </w:r>
          </w:p>
        </w:tc>
        <w:tc>
          <w:tcPr>
            <w:tcW w:w="1276" w:type="dxa"/>
            <w:tcBorders>
              <w:top w:val="nil"/>
              <w:left w:val="nil"/>
              <w:bottom w:val="single" w:sz="4" w:space="0" w:color="auto"/>
              <w:right w:val="single" w:sz="4" w:space="0" w:color="auto"/>
            </w:tcBorders>
            <w:shd w:val="clear" w:color="auto" w:fill="auto"/>
            <w:noWrap/>
            <w:vAlign w:val="bottom"/>
            <w:hideMark/>
          </w:tcPr>
          <w:p w14:paraId="48718509"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7</w:t>
            </w:r>
          </w:p>
        </w:tc>
        <w:tc>
          <w:tcPr>
            <w:tcW w:w="1701" w:type="dxa"/>
            <w:tcBorders>
              <w:top w:val="nil"/>
              <w:left w:val="nil"/>
              <w:bottom w:val="single" w:sz="4" w:space="0" w:color="auto"/>
              <w:right w:val="single" w:sz="4" w:space="0" w:color="auto"/>
            </w:tcBorders>
            <w:shd w:val="clear" w:color="auto" w:fill="auto"/>
            <w:noWrap/>
            <w:vAlign w:val="bottom"/>
            <w:hideMark/>
          </w:tcPr>
          <w:p w14:paraId="46098D1A"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393</w:t>
            </w:r>
          </w:p>
        </w:tc>
      </w:tr>
      <w:tr w:rsidR="00A06DB3" w:rsidRPr="0008328F" w14:paraId="4117C9A5" w14:textId="77777777" w:rsidTr="00A06DB3">
        <w:trPr>
          <w:trHeight w:val="376"/>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14:paraId="27BB95BD" w14:textId="77777777" w:rsidR="00A06DB3" w:rsidRPr="0008328F" w:rsidRDefault="00A06DB3" w:rsidP="00A06DB3">
            <w:pPr>
              <w:rPr>
                <w:rFonts w:ascii="Arial" w:eastAsia="Times New Roman" w:hAnsi="Arial" w:cs="Arial"/>
                <w:color w:val="000000"/>
              </w:rPr>
            </w:pPr>
            <w:r w:rsidRPr="0008328F">
              <w:rPr>
                <w:rFonts w:ascii="Arial" w:eastAsia="Times New Roman" w:hAnsi="Arial" w:cs="Arial"/>
                <w:color w:val="000000"/>
              </w:rPr>
              <w:t>TOTAL LOANS</w:t>
            </w:r>
          </w:p>
        </w:tc>
        <w:tc>
          <w:tcPr>
            <w:tcW w:w="1134" w:type="dxa"/>
            <w:tcBorders>
              <w:top w:val="nil"/>
              <w:left w:val="nil"/>
              <w:bottom w:val="single" w:sz="4" w:space="0" w:color="auto"/>
              <w:right w:val="single" w:sz="4" w:space="0" w:color="auto"/>
            </w:tcBorders>
            <w:shd w:val="clear" w:color="auto" w:fill="auto"/>
            <w:noWrap/>
            <w:vAlign w:val="bottom"/>
            <w:hideMark/>
          </w:tcPr>
          <w:p w14:paraId="626C488D"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494793</w:t>
            </w:r>
          </w:p>
        </w:tc>
        <w:tc>
          <w:tcPr>
            <w:tcW w:w="1239" w:type="dxa"/>
            <w:tcBorders>
              <w:top w:val="nil"/>
              <w:left w:val="nil"/>
              <w:bottom w:val="single" w:sz="4" w:space="0" w:color="auto"/>
              <w:right w:val="single" w:sz="4" w:space="0" w:color="auto"/>
            </w:tcBorders>
            <w:shd w:val="clear" w:color="auto" w:fill="auto"/>
            <w:noWrap/>
            <w:vAlign w:val="bottom"/>
            <w:hideMark/>
          </w:tcPr>
          <w:p w14:paraId="6F2841B4"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421973</w:t>
            </w:r>
          </w:p>
        </w:tc>
        <w:tc>
          <w:tcPr>
            <w:tcW w:w="1170" w:type="dxa"/>
            <w:tcBorders>
              <w:top w:val="nil"/>
              <w:left w:val="nil"/>
              <w:bottom w:val="single" w:sz="4" w:space="0" w:color="auto"/>
              <w:right w:val="single" w:sz="4" w:space="0" w:color="auto"/>
            </w:tcBorders>
            <w:shd w:val="clear" w:color="auto" w:fill="auto"/>
            <w:noWrap/>
            <w:vAlign w:val="bottom"/>
            <w:hideMark/>
          </w:tcPr>
          <w:p w14:paraId="766D9996"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364538</w:t>
            </w:r>
          </w:p>
        </w:tc>
        <w:tc>
          <w:tcPr>
            <w:tcW w:w="1134" w:type="dxa"/>
            <w:tcBorders>
              <w:top w:val="nil"/>
              <w:left w:val="nil"/>
              <w:bottom w:val="single" w:sz="4" w:space="0" w:color="auto"/>
              <w:right w:val="single" w:sz="4" w:space="0" w:color="auto"/>
            </w:tcBorders>
            <w:shd w:val="clear" w:color="auto" w:fill="auto"/>
            <w:noWrap/>
            <w:vAlign w:val="bottom"/>
            <w:hideMark/>
          </w:tcPr>
          <w:p w14:paraId="65AA11CA"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382088</w:t>
            </w:r>
          </w:p>
        </w:tc>
        <w:tc>
          <w:tcPr>
            <w:tcW w:w="1276" w:type="dxa"/>
            <w:tcBorders>
              <w:top w:val="nil"/>
              <w:left w:val="nil"/>
              <w:bottom w:val="single" w:sz="4" w:space="0" w:color="auto"/>
              <w:right w:val="single" w:sz="4" w:space="0" w:color="auto"/>
            </w:tcBorders>
            <w:shd w:val="clear" w:color="auto" w:fill="auto"/>
            <w:noWrap/>
            <w:vAlign w:val="bottom"/>
            <w:hideMark/>
          </w:tcPr>
          <w:p w14:paraId="48796DCA"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380170</w:t>
            </w:r>
          </w:p>
        </w:tc>
        <w:tc>
          <w:tcPr>
            <w:tcW w:w="1701" w:type="dxa"/>
            <w:tcBorders>
              <w:top w:val="nil"/>
              <w:left w:val="nil"/>
              <w:bottom w:val="single" w:sz="4" w:space="0" w:color="auto"/>
              <w:right w:val="single" w:sz="4" w:space="0" w:color="auto"/>
            </w:tcBorders>
            <w:shd w:val="clear" w:color="auto" w:fill="auto"/>
            <w:noWrap/>
            <w:vAlign w:val="bottom"/>
            <w:hideMark/>
          </w:tcPr>
          <w:p w14:paraId="7575BE70"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205412</w:t>
            </w:r>
          </w:p>
        </w:tc>
      </w:tr>
      <w:tr w:rsidR="00A06DB3" w:rsidRPr="0008328F" w14:paraId="2619B94C" w14:textId="77777777" w:rsidTr="00A06DB3">
        <w:trPr>
          <w:trHeight w:val="376"/>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14:paraId="489F9BA1" w14:textId="77777777" w:rsidR="00A06DB3" w:rsidRPr="0008328F" w:rsidRDefault="00A06DB3" w:rsidP="00A06DB3">
            <w:pPr>
              <w:rPr>
                <w:rFonts w:ascii="Arial" w:eastAsia="Times New Roman" w:hAnsi="Arial" w:cs="Arial"/>
                <w:color w:val="000000"/>
              </w:rPr>
            </w:pPr>
            <w:r w:rsidRPr="0008328F">
              <w:rPr>
                <w:rFonts w:ascii="Arial" w:eastAsia="Times New Roman" w:hAnsi="Arial" w:cs="Arial"/>
                <w:color w:val="000000"/>
              </w:rPr>
              <w:t>PLL</w:t>
            </w:r>
          </w:p>
        </w:tc>
        <w:tc>
          <w:tcPr>
            <w:tcW w:w="1134" w:type="dxa"/>
            <w:tcBorders>
              <w:top w:val="nil"/>
              <w:left w:val="nil"/>
              <w:bottom w:val="single" w:sz="4" w:space="0" w:color="auto"/>
              <w:right w:val="single" w:sz="4" w:space="0" w:color="auto"/>
            </w:tcBorders>
            <w:shd w:val="clear" w:color="auto" w:fill="auto"/>
            <w:noWrap/>
            <w:vAlign w:val="bottom"/>
            <w:hideMark/>
          </w:tcPr>
          <w:p w14:paraId="2E223D6A"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0.00035</w:t>
            </w:r>
          </w:p>
        </w:tc>
        <w:tc>
          <w:tcPr>
            <w:tcW w:w="1239" w:type="dxa"/>
            <w:tcBorders>
              <w:top w:val="nil"/>
              <w:left w:val="nil"/>
              <w:bottom w:val="single" w:sz="4" w:space="0" w:color="auto"/>
              <w:right w:val="single" w:sz="4" w:space="0" w:color="auto"/>
            </w:tcBorders>
            <w:shd w:val="clear" w:color="auto" w:fill="auto"/>
            <w:noWrap/>
            <w:vAlign w:val="bottom"/>
            <w:hideMark/>
          </w:tcPr>
          <w:p w14:paraId="729AE1BF" w14:textId="77777777" w:rsidR="00A06DB3" w:rsidRPr="0008328F" w:rsidRDefault="00A06DB3" w:rsidP="00A06DB3">
            <w:pPr>
              <w:jc w:val="right"/>
              <w:rPr>
                <w:rFonts w:ascii="Arial" w:eastAsia="Times New Roman" w:hAnsi="Arial" w:cs="Arial"/>
                <w:color w:val="000000"/>
              </w:rPr>
            </w:pPr>
            <w:r>
              <w:rPr>
                <w:rFonts w:ascii="Arial" w:eastAsia="Times New Roman" w:hAnsi="Arial" w:cs="Arial"/>
                <w:color w:val="000000"/>
              </w:rPr>
              <w:t>0.000040</w:t>
            </w:r>
          </w:p>
        </w:tc>
        <w:tc>
          <w:tcPr>
            <w:tcW w:w="1170" w:type="dxa"/>
            <w:tcBorders>
              <w:top w:val="nil"/>
              <w:left w:val="nil"/>
              <w:bottom w:val="single" w:sz="4" w:space="0" w:color="auto"/>
              <w:right w:val="single" w:sz="4" w:space="0" w:color="auto"/>
            </w:tcBorders>
            <w:shd w:val="clear" w:color="auto" w:fill="auto"/>
            <w:noWrap/>
            <w:vAlign w:val="bottom"/>
            <w:hideMark/>
          </w:tcPr>
          <w:p w14:paraId="3AD35F36"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0.00072</w:t>
            </w:r>
          </w:p>
        </w:tc>
        <w:tc>
          <w:tcPr>
            <w:tcW w:w="1134" w:type="dxa"/>
            <w:tcBorders>
              <w:top w:val="nil"/>
              <w:left w:val="nil"/>
              <w:bottom w:val="single" w:sz="4" w:space="0" w:color="auto"/>
              <w:right w:val="single" w:sz="4" w:space="0" w:color="auto"/>
            </w:tcBorders>
            <w:shd w:val="clear" w:color="auto" w:fill="auto"/>
            <w:noWrap/>
            <w:vAlign w:val="bottom"/>
            <w:hideMark/>
          </w:tcPr>
          <w:p w14:paraId="59F87A26"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0.00033</w:t>
            </w:r>
          </w:p>
        </w:tc>
        <w:tc>
          <w:tcPr>
            <w:tcW w:w="1276" w:type="dxa"/>
            <w:tcBorders>
              <w:top w:val="nil"/>
              <w:left w:val="nil"/>
              <w:bottom w:val="single" w:sz="4" w:space="0" w:color="auto"/>
              <w:right w:val="single" w:sz="4" w:space="0" w:color="auto"/>
            </w:tcBorders>
            <w:shd w:val="clear" w:color="auto" w:fill="auto"/>
            <w:noWrap/>
            <w:vAlign w:val="bottom"/>
            <w:hideMark/>
          </w:tcPr>
          <w:p w14:paraId="2C72F459" w14:textId="77777777" w:rsidR="00A06DB3" w:rsidRPr="0008328F" w:rsidRDefault="00A06DB3" w:rsidP="00A06DB3">
            <w:pPr>
              <w:jc w:val="right"/>
              <w:rPr>
                <w:rFonts w:ascii="Arial" w:eastAsia="Times New Roman" w:hAnsi="Arial" w:cs="Arial"/>
                <w:color w:val="000000"/>
              </w:rPr>
            </w:pPr>
            <w:r>
              <w:rPr>
                <w:rFonts w:ascii="Arial" w:eastAsia="Times New Roman" w:hAnsi="Arial" w:cs="Arial"/>
                <w:color w:val="000000"/>
              </w:rPr>
              <w:t>0.000018</w:t>
            </w:r>
          </w:p>
        </w:tc>
        <w:tc>
          <w:tcPr>
            <w:tcW w:w="1701" w:type="dxa"/>
            <w:tcBorders>
              <w:top w:val="nil"/>
              <w:left w:val="nil"/>
              <w:bottom w:val="single" w:sz="4" w:space="0" w:color="auto"/>
              <w:right w:val="single" w:sz="4" w:space="0" w:color="auto"/>
            </w:tcBorders>
            <w:shd w:val="clear" w:color="auto" w:fill="auto"/>
            <w:noWrap/>
            <w:vAlign w:val="bottom"/>
            <w:hideMark/>
          </w:tcPr>
          <w:p w14:paraId="5114CD6D" w14:textId="77777777" w:rsidR="00A06DB3" w:rsidRPr="0008328F" w:rsidRDefault="00A06DB3" w:rsidP="00A06DB3">
            <w:pPr>
              <w:jc w:val="right"/>
              <w:rPr>
                <w:rFonts w:ascii="Arial" w:eastAsia="Times New Roman" w:hAnsi="Arial" w:cs="Arial"/>
                <w:color w:val="000000"/>
              </w:rPr>
            </w:pPr>
            <w:r w:rsidRPr="0008328F">
              <w:rPr>
                <w:rFonts w:ascii="Arial" w:eastAsia="Times New Roman" w:hAnsi="Arial" w:cs="Arial"/>
                <w:color w:val="000000"/>
              </w:rPr>
              <w:t>0.00</w:t>
            </w:r>
            <w:r>
              <w:rPr>
                <w:rFonts w:ascii="Arial" w:eastAsia="Times New Roman" w:hAnsi="Arial" w:cs="Arial"/>
                <w:color w:val="000000"/>
              </w:rPr>
              <w:t>19</w:t>
            </w:r>
          </w:p>
        </w:tc>
      </w:tr>
    </w:tbl>
    <w:p w14:paraId="7E7007E9" w14:textId="77777777" w:rsidR="00210095" w:rsidRDefault="00210095" w:rsidP="007443A5">
      <w:pPr>
        <w:jc w:val="both"/>
        <w:rPr>
          <w:rFonts w:ascii="Arial" w:hAnsi="Arial" w:cs="Arial"/>
        </w:rPr>
      </w:pPr>
    </w:p>
    <w:p w14:paraId="7EF47922" w14:textId="11211FDF" w:rsidR="00CC0697" w:rsidRDefault="00A51A2E" w:rsidP="007443A5">
      <w:pPr>
        <w:jc w:val="both"/>
        <w:rPr>
          <w:rFonts w:ascii="Arial" w:hAnsi="Arial" w:cs="Arial"/>
        </w:rPr>
      </w:pPr>
      <w:r>
        <w:rPr>
          <w:rFonts w:ascii="Arial" w:hAnsi="Arial" w:cs="Arial"/>
        </w:rPr>
        <w:t xml:space="preserve">The above table describes about the Provisions and loan losses they create every year, so that any bad debts or losses are recovered under these </w:t>
      </w:r>
      <w:r w:rsidR="00BB5341">
        <w:rPr>
          <w:rFonts w:ascii="Arial" w:hAnsi="Arial" w:cs="Arial"/>
        </w:rPr>
        <w:t xml:space="preserve">provisions and do not affect the bank’s profits. As it shows that the provisions made by the Royal Bank of Scotland is different every year that is relative to the bad debts and chances of facing loss in the future. </w:t>
      </w:r>
      <w:r w:rsidR="0099796A">
        <w:rPr>
          <w:rFonts w:ascii="Arial" w:hAnsi="Arial" w:cs="Arial"/>
        </w:rPr>
        <w:t xml:space="preserve">In the year 2013 and 2014 </w:t>
      </w:r>
      <w:r w:rsidR="00671B2B">
        <w:rPr>
          <w:rFonts w:ascii="Arial" w:hAnsi="Arial" w:cs="Arial"/>
        </w:rPr>
        <w:t xml:space="preserve">RBS </w:t>
      </w:r>
      <w:r w:rsidR="00C90646">
        <w:rPr>
          <w:rFonts w:ascii="Arial" w:hAnsi="Arial" w:cs="Arial"/>
        </w:rPr>
        <w:t>has a gain of £175m and £20m</w:t>
      </w:r>
      <w:r w:rsidR="00C13A5F">
        <w:rPr>
          <w:rFonts w:ascii="Arial" w:hAnsi="Arial" w:cs="Arial"/>
        </w:rPr>
        <w:t xml:space="preserve"> in provisions</w:t>
      </w:r>
      <w:r w:rsidR="00C90646">
        <w:rPr>
          <w:rFonts w:ascii="Arial" w:hAnsi="Arial" w:cs="Arial"/>
        </w:rPr>
        <w:t>, where</w:t>
      </w:r>
      <w:r w:rsidR="0099796A">
        <w:rPr>
          <w:rFonts w:ascii="Arial" w:hAnsi="Arial" w:cs="Arial"/>
        </w:rPr>
        <w:t xml:space="preserve">as </w:t>
      </w:r>
      <w:r w:rsidR="00A55290">
        <w:rPr>
          <w:rFonts w:ascii="Arial" w:hAnsi="Arial" w:cs="Arial"/>
        </w:rPr>
        <w:t xml:space="preserve">it </w:t>
      </w:r>
      <w:r w:rsidR="0099796A">
        <w:rPr>
          <w:rFonts w:ascii="Arial" w:hAnsi="Arial" w:cs="Arial"/>
        </w:rPr>
        <w:t xml:space="preserve">suffered loss in the </w:t>
      </w:r>
      <w:r w:rsidR="00A55290">
        <w:rPr>
          <w:rFonts w:ascii="Arial" w:hAnsi="Arial" w:cs="Arial"/>
        </w:rPr>
        <w:t xml:space="preserve">redemption of own debt at </w:t>
      </w:r>
      <w:r w:rsidR="000546DE">
        <w:rPr>
          <w:rFonts w:ascii="Arial" w:hAnsi="Arial" w:cs="Arial"/>
        </w:rPr>
        <w:t>2015</w:t>
      </w:r>
      <w:r w:rsidR="0099796A">
        <w:rPr>
          <w:rFonts w:ascii="Arial" w:hAnsi="Arial" w:cs="Arial"/>
        </w:rPr>
        <w:t xml:space="preserve"> by £263m </w:t>
      </w:r>
      <w:r w:rsidR="00C90646">
        <w:rPr>
          <w:rFonts w:ascii="Arial" w:hAnsi="Arial" w:cs="Arial"/>
        </w:rPr>
        <w:t xml:space="preserve">due to purchasing of foreign currency as debt securities </w:t>
      </w:r>
      <w:r w:rsidR="00210095">
        <w:rPr>
          <w:rFonts w:ascii="Arial" w:hAnsi="Arial" w:cs="Arial"/>
        </w:rPr>
        <w:t>again</w:t>
      </w:r>
      <w:r w:rsidR="00671B2B">
        <w:rPr>
          <w:rFonts w:ascii="Arial" w:hAnsi="Arial" w:cs="Arial"/>
        </w:rPr>
        <w:t xml:space="preserve"> by</w:t>
      </w:r>
      <w:r w:rsidR="000546DE">
        <w:rPr>
          <w:rFonts w:ascii="Arial" w:hAnsi="Arial" w:cs="Arial"/>
        </w:rPr>
        <w:t xml:space="preserve"> the debt management of the RBS relative to gain in the 2014 by £20m. Due to low rate of pound against US dollar in the year 2016, loss on own debts decreases to £126m.</w:t>
      </w:r>
      <w:r w:rsidR="00CC0697">
        <w:rPr>
          <w:rFonts w:ascii="Arial" w:hAnsi="Arial" w:cs="Arial"/>
        </w:rPr>
        <w:t>The amount of loss reduces to £7m in the year 2017 where on the other hand Santander Bank has a £393m provision for loan loss and also face loss in the provision.</w:t>
      </w:r>
      <w:r w:rsidR="000546DE">
        <w:rPr>
          <w:rFonts w:ascii="Arial" w:hAnsi="Arial" w:cs="Arial"/>
        </w:rPr>
        <w:t xml:space="preserve"> This shows that the quality of loans offered by the RBS is more that has less possibility of bad debts as compare to Santander</w:t>
      </w:r>
      <w:r w:rsidR="00E319D4">
        <w:rPr>
          <w:rFonts w:ascii="Arial" w:hAnsi="Arial" w:cs="Arial"/>
        </w:rPr>
        <w:t xml:space="preserve"> Bank have problems with financial reporting due to bereavements and treated as non-performing.</w:t>
      </w:r>
    </w:p>
    <w:p w14:paraId="4A6083DE" w14:textId="77777777" w:rsidR="00E319D4" w:rsidRDefault="00E319D4" w:rsidP="007443A5">
      <w:pPr>
        <w:jc w:val="both"/>
        <w:rPr>
          <w:rFonts w:ascii="Arial" w:hAnsi="Arial" w:cs="Arial"/>
        </w:rPr>
      </w:pPr>
    </w:p>
    <w:p w14:paraId="241B1393" w14:textId="77777777" w:rsidR="00E319D4" w:rsidRDefault="00E319D4" w:rsidP="007443A5">
      <w:pPr>
        <w:jc w:val="both"/>
        <w:rPr>
          <w:rFonts w:ascii="Arial" w:hAnsi="Arial" w:cs="Arial"/>
        </w:rPr>
      </w:pPr>
    </w:p>
    <w:p w14:paraId="1CBFAA79" w14:textId="60C9F22F" w:rsidR="00E319D4" w:rsidRDefault="00E319D4" w:rsidP="007443A5">
      <w:pPr>
        <w:jc w:val="both"/>
        <w:rPr>
          <w:rFonts w:ascii="Arial" w:hAnsi="Arial" w:cs="Arial"/>
        </w:rPr>
      </w:pPr>
      <w:r>
        <w:rPr>
          <w:rFonts w:ascii="Arial" w:hAnsi="Arial" w:cs="Arial"/>
        </w:rPr>
        <w:t xml:space="preserve">LOAN RATIO      =         </w:t>
      </w:r>
      <w:r>
        <w:rPr>
          <w:rFonts w:ascii="Arial" w:hAnsi="Arial" w:cs="Arial"/>
          <w:u w:val="single"/>
        </w:rPr>
        <w:t xml:space="preserve">TOTAL LOANS </w:t>
      </w:r>
    </w:p>
    <w:p w14:paraId="2A331460" w14:textId="332EE62C" w:rsidR="00A06DB3" w:rsidRDefault="00E319D4" w:rsidP="007443A5">
      <w:pPr>
        <w:jc w:val="both"/>
        <w:rPr>
          <w:rFonts w:ascii="Arial" w:hAnsi="Arial" w:cs="Arial"/>
        </w:rPr>
      </w:pPr>
      <w:r>
        <w:rPr>
          <w:rFonts w:ascii="Arial" w:hAnsi="Arial" w:cs="Arial"/>
        </w:rPr>
        <w:t xml:space="preserve">      </w:t>
      </w:r>
      <w:r w:rsidR="00A06DB3">
        <w:rPr>
          <w:rFonts w:ascii="Arial" w:hAnsi="Arial" w:cs="Arial"/>
        </w:rPr>
        <w:t xml:space="preserve">                                TOTAL ASSTES</w:t>
      </w:r>
    </w:p>
    <w:p w14:paraId="27258DE2" w14:textId="77777777" w:rsidR="008E6633" w:rsidRDefault="008E6633" w:rsidP="007443A5">
      <w:pPr>
        <w:jc w:val="both"/>
        <w:rPr>
          <w:rFonts w:ascii="Arial" w:hAnsi="Arial" w:cs="Arial"/>
        </w:rPr>
      </w:pPr>
    </w:p>
    <w:p w14:paraId="0B0D2694" w14:textId="77777777" w:rsidR="00E319D4" w:rsidRDefault="00E319D4" w:rsidP="007443A5">
      <w:pPr>
        <w:jc w:val="both"/>
        <w:rPr>
          <w:rFonts w:ascii="Arial" w:hAnsi="Arial" w:cs="Arial"/>
        </w:rPr>
      </w:pPr>
    </w:p>
    <w:p w14:paraId="04EF54A0" w14:textId="77777777" w:rsidR="00403D6B" w:rsidRPr="00E319D4" w:rsidRDefault="00403D6B" w:rsidP="007443A5">
      <w:pPr>
        <w:jc w:val="both"/>
        <w:rPr>
          <w:rFonts w:ascii="Arial" w:hAnsi="Arial" w:cs="Arial"/>
        </w:rPr>
      </w:pPr>
    </w:p>
    <w:tbl>
      <w:tblPr>
        <w:tblpPr w:leftFromText="180" w:rightFromText="180" w:vertAnchor="page" w:horzAnchor="page" w:tblpX="1369" w:tblpY="2341"/>
        <w:tblW w:w="9322" w:type="dxa"/>
        <w:tblLayout w:type="fixed"/>
        <w:tblLook w:val="04A0" w:firstRow="1" w:lastRow="0" w:firstColumn="1" w:lastColumn="0" w:noHBand="0" w:noVBand="1"/>
      </w:tblPr>
      <w:tblGrid>
        <w:gridCol w:w="1723"/>
        <w:gridCol w:w="1220"/>
        <w:gridCol w:w="1276"/>
        <w:gridCol w:w="1134"/>
        <w:gridCol w:w="1134"/>
        <w:gridCol w:w="1134"/>
        <w:gridCol w:w="1701"/>
      </w:tblGrid>
      <w:tr w:rsidR="00A06DB3" w:rsidRPr="008E6633" w14:paraId="2B2946A4" w14:textId="77777777" w:rsidTr="00A06DB3">
        <w:trPr>
          <w:trHeight w:val="300"/>
        </w:trPr>
        <w:tc>
          <w:tcPr>
            <w:tcW w:w="172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C322D9" w14:textId="77777777" w:rsidR="00A06DB3" w:rsidRPr="008E6633" w:rsidRDefault="00A06DB3" w:rsidP="00A06DB3">
            <w:pPr>
              <w:rPr>
                <w:rFonts w:ascii="Arial" w:eastAsia="Times New Roman" w:hAnsi="Arial" w:cs="Arial"/>
                <w:color w:val="000000"/>
              </w:rPr>
            </w:pPr>
            <w:r w:rsidRPr="008E6633">
              <w:rPr>
                <w:rFonts w:ascii="Arial" w:eastAsia="Times New Roman" w:hAnsi="Arial" w:cs="Arial"/>
                <w:color w:val="000000"/>
              </w:rPr>
              <w:t>ITEMS</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501CD2AC"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2013</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7CCAE347"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2014</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0E7E0FFC"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2015</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1537ED53"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2016</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1D98342A"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2017</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7315ECC5" w14:textId="77777777" w:rsidR="00A06DB3" w:rsidRPr="008E6633" w:rsidRDefault="00A06DB3" w:rsidP="00A06DB3">
            <w:pPr>
              <w:rPr>
                <w:rFonts w:ascii="Arial" w:eastAsia="Times New Roman" w:hAnsi="Arial" w:cs="Arial"/>
                <w:color w:val="000000"/>
              </w:rPr>
            </w:pPr>
            <w:r w:rsidRPr="008E6633">
              <w:rPr>
                <w:rFonts w:ascii="Arial" w:eastAsia="Times New Roman" w:hAnsi="Arial" w:cs="Arial"/>
                <w:color w:val="000000"/>
              </w:rPr>
              <w:t>SANTANDER (2017)</w:t>
            </w:r>
          </w:p>
        </w:tc>
      </w:tr>
      <w:tr w:rsidR="00A06DB3" w:rsidRPr="008E6633" w14:paraId="4A8EB22D" w14:textId="77777777" w:rsidTr="00A06DB3">
        <w:trPr>
          <w:trHeight w:val="300"/>
        </w:trPr>
        <w:tc>
          <w:tcPr>
            <w:tcW w:w="1723" w:type="dxa"/>
            <w:tcBorders>
              <w:top w:val="nil"/>
              <w:left w:val="single" w:sz="4" w:space="0" w:color="auto"/>
              <w:bottom w:val="single" w:sz="4" w:space="0" w:color="auto"/>
              <w:right w:val="single" w:sz="4" w:space="0" w:color="auto"/>
            </w:tcBorders>
            <w:shd w:val="clear" w:color="auto" w:fill="auto"/>
            <w:noWrap/>
            <w:vAlign w:val="bottom"/>
            <w:hideMark/>
          </w:tcPr>
          <w:p w14:paraId="6987CBD4" w14:textId="77777777" w:rsidR="00A06DB3" w:rsidRPr="008E6633" w:rsidRDefault="00A06DB3" w:rsidP="00A06DB3">
            <w:pPr>
              <w:rPr>
                <w:rFonts w:ascii="Arial" w:eastAsia="Times New Roman" w:hAnsi="Arial" w:cs="Arial"/>
                <w:color w:val="000000"/>
              </w:rPr>
            </w:pPr>
            <w:r w:rsidRPr="008E6633">
              <w:rPr>
                <w:rFonts w:ascii="Arial" w:eastAsia="Times New Roman" w:hAnsi="Arial" w:cs="Arial"/>
                <w:color w:val="000000"/>
              </w:rPr>
              <w:t>TOTAL ASSETS</w:t>
            </w:r>
          </w:p>
        </w:tc>
        <w:tc>
          <w:tcPr>
            <w:tcW w:w="1220" w:type="dxa"/>
            <w:tcBorders>
              <w:top w:val="nil"/>
              <w:left w:val="nil"/>
              <w:bottom w:val="single" w:sz="4" w:space="0" w:color="auto"/>
              <w:right w:val="single" w:sz="4" w:space="0" w:color="auto"/>
            </w:tcBorders>
            <w:shd w:val="clear" w:color="auto" w:fill="auto"/>
            <w:noWrap/>
            <w:vAlign w:val="bottom"/>
            <w:hideMark/>
          </w:tcPr>
          <w:p w14:paraId="19A38472"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1027878</w:t>
            </w:r>
          </w:p>
        </w:tc>
        <w:tc>
          <w:tcPr>
            <w:tcW w:w="1276" w:type="dxa"/>
            <w:tcBorders>
              <w:top w:val="nil"/>
              <w:left w:val="nil"/>
              <w:bottom w:val="single" w:sz="4" w:space="0" w:color="auto"/>
              <w:right w:val="single" w:sz="4" w:space="0" w:color="auto"/>
            </w:tcBorders>
            <w:shd w:val="clear" w:color="auto" w:fill="auto"/>
            <w:noWrap/>
            <w:vAlign w:val="bottom"/>
            <w:hideMark/>
          </w:tcPr>
          <w:p w14:paraId="311CC9A1"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1050763</w:t>
            </w:r>
          </w:p>
        </w:tc>
        <w:tc>
          <w:tcPr>
            <w:tcW w:w="1134" w:type="dxa"/>
            <w:tcBorders>
              <w:top w:val="nil"/>
              <w:left w:val="nil"/>
              <w:bottom w:val="single" w:sz="4" w:space="0" w:color="auto"/>
              <w:right w:val="single" w:sz="4" w:space="0" w:color="auto"/>
            </w:tcBorders>
            <w:shd w:val="clear" w:color="auto" w:fill="auto"/>
            <w:noWrap/>
            <w:vAlign w:val="bottom"/>
            <w:hideMark/>
          </w:tcPr>
          <w:p w14:paraId="386FF284"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815408</w:t>
            </w:r>
          </w:p>
        </w:tc>
        <w:tc>
          <w:tcPr>
            <w:tcW w:w="1134" w:type="dxa"/>
            <w:tcBorders>
              <w:top w:val="nil"/>
              <w:left w:val="nil"/>
              <w:bottom w:val="single" w:sz="4" w:space="0" w:color="auto"/>
              <w:right w:val="single" w:sz="4" w:space="0" w:color="auto"/>
            </w:tcBorders>
            <w:shd w:val="clear" w:color="auto" w:fill="auto"/>
            <w:noWrap/>
            <w:vAlign w:val="bottom"/>
            <w:hideMark/>
          </w:tcPr>
          <w:p w14:paraId="39B7814E"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798656</w:t>
            </w:r>
          </w:p>
        </w:tc>
        <w:tc>
          <w:tcPr>
            <w:tcW w:w="1134" w:type="dxa"/>
            <w:tcBorders>
              <w:top w:val="nil"/>
              <w:left w:val="nil"/>
              <w:bottom w:val="single" w:sz="4" w:space="0" w:color="auto"/>
              <w:right w:val="single" w:sz="4" w:space="0" w:color="auto"/>
            </w:tcBorders>
            <w:shd w:val="clear" w:color="auto" w:fill="auto"/>
            <w:noWrap/>
            <w:vAlign w:val="bottom"/>
            <w:hideMark/>
          </w:tcPr>
          <w:p w14:paraId="4FE84E86"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738056</w:t>
            </w:r>
          </w:p>
        </w:tc>
        <w:tc>
          <w:tcPr>
            <w:tcW w:w="1701" w:type="dxa"/>
            <w:tcBorders>
              <w:top w:val="nil"/>
              <w:left w:val="nil"/>
              <w:bottom w:val="single" w:sz="4" w:space="0" w:color="auto"/>
              <w:right w:val="single" w:sz="4" w:space="0" w:color="auto"/>
            </w:tcBorders>
            <w:shd w:val="clear" w:color="auto" w:fill="auto"/>
            <w:noWrap/>
            <w:vAlign w:val="bottom"/>
            <w:hideMark/>
          </w:tcPr>
          <w:p w14:paraId="1E194592"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314760</w:t>
            </w:r>
          </w:p>
        </w:tc>
      </w:tr>
      <w:tr w:rsidR="00A06DB3" w:rsidRPr="008E6633" w14:paraId="49A5B004" w14:textId="77777777" w:rsidTr="00A06DB3">
        <w:trPr>
          <w:trHeight w:val="300"/>
        </w:trPr>
        <w:tc>
          <w:tcPr>
            <w:tcW w:w="1723" w:type="dxa"/>
            <w:tcBorders>
              <w:top w:val="nil"/>
              <w:left w:val="single" w:sz="4" w:space="0" w:color="auto"/>
              <w:bottom w:val="single" w:sz="4" w:space="0" w:color="auto"/>
              <w:right w:val="single" w:sz="4" w:space="0" w:color="auto"/>
            </w:tcBorders>
            <w:shd w:val="clear" w:color="auto" w:fill="auto"/>
            <w:noWrap/>
            <w:vAlign w:val="bottom"/>
            <w:hideMark/>
          </w:tcPr>
          <w:p w14:paraId="5F5654C4" w14:textId="77777777" w:rsidR="00A06DB3" w:rsidRPr="008E6633" w:rsidRDefault="00A06DB3" w:rsidP="00A06DB3">
            <w:pPr>
              <w:rPr>
                <w:rFonts w:ascii="Arial" w:eastAsia="Times New Roman" w:hAnsi="Arial" w:cs="Arial"/>
                <w:color w:val="000000"/>
              </w:rPr>
            </w:pPr>
            <w:r w:rsidRPr="008E6633">
              <w:rPr>
                <w:rFonts w:ascii="Arial" w:eastAsia="Times New Roman" w:hAnsi="Arial" w:cs="Arial"/>
                <w:color w:val="000000"/>
              </w:rPr>
              <w:t>TOTAL LOANS</w:t>
            </w:r>
          </w:p>
        </w:tc>
        <w:tc>
          <w:tcPr>
            <w:tcW w:w="1220" w:type="dxa"/>
            <w:tcBorders>
              <w:top w:val="nil"/>
              <w:left w:val="nil"/>
              <w:bottom w:val="single" w:sz="4" w:space="0" w:color="auto"/>
              <w:right w:val="single" w:sz="4" w:space="0" w:color="auto"/>
            </w:tcBorders>
            <w:shd w:val="clear" w:color="auto" w:fill="auto"/>
            <w:noWrap/>
            <w:vAlign w:val="bottom"/>
            <w:hideMark/>
          </w:tcPr>
          <w:p w14:paraId="0DFEDD0A"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494793</w:t>
            </w:r>
          </w:p>
        </w:tc>
        <w:tc>
          <w:tcPr>
            <w:tcW w:w="1276" w:type="dxa"/>
            <w:tcBorders>
              <w:top w:val="nil"/>
              <w:left w:val="nil"/>
              <w:bottom w:val="single" w:sz="4" w:space="0" w:color="auto"/>
              <w:right w:val="single" w:sz="4" w:space="0" w:color="auto"/>
            </w:tcBorders>
            <w:shd w:val="clear" w:color="auto" w:fill="auto"/>
            <w:noWrap/>
            <w:vAlign w:val="bottom"/>
            <w:hideMark/>
          </w:tcPr>
          <w:p w14:paraId="05728973"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421973</w:t>
            </w:r>
          </w:p>
        </w:tc>
        <w:tc>
          <w:tcPr>
            <w:tcW w:w="1134" w:type="dxa"/>
            <w:tcBorders>
              <w:top w:val="nil"/>
              <w:left w:val="nil"/>
              <w:bottom w:val="single" w:sz="4" w:space="0" w:color="auto"/>
              <w:right w:val="single" w:sz="4" w:space="0" w:color="auto"/>
            </w:tcBorders>
            <w:shd w:val="clear" w:color="auto" w:fill="auto"/>
            <w:noWrap/>
            <w:vAlign w:val="bottom"/>
            <w:hideMark/>
          </w:tcPr>
          <w:p w14:paraId="160FB8D4"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364538</w:t>
            </w:r>
          </w:p>
        </w:tc>
        <w:tc>
          <w:tcPr>
            <w:tcW w:w="1134" w:type="dxa"/>
            <w:tcBorders>
              <w:top w:val="nil"/>
              <w:left w:val="nil"/>
              <w:bottom w:val="single" w:sz="4" w:space="0" w:color="auto"/>
              <w:right w:val="single" w:sz="4" w:space="0" w:color="auto"/>
            </w:tcBorders>
            <w:shd w:val="clear" w:color="auto" w:fill="auto"/>
            <w:noWrap/>
            <w:vAlign w:val="bottom"/>
            <w:hideMark/>
          </w:tcPr>
          <w:p w14:paraId="74324B65"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382088</w:t>
            </w:r>
          </w:p>
        </w:tc>
        <w:tc>
          <w:tcPr>
            <w:tcW w:w="1134" w:type="dxa"/>
            <w:tcBorders>
              <w:top w:val="nil"/>
              <w:left w:val="nil"/>
              <w:bottom w:val="single" w:sz="4" w:space="0" w:color="auto"/>
              <w:right w:val="single" w:sz="4" w:space="0" w:color="auto"/>
            </w:tcBorders>
            <w:shd w:val="clear" w:color="auto" w:fill="auto"/>
            <w:noWrap/>
            <w:vAlign w:val="bottom"/>
            <w:hideMark/>
          </w:tcPr>
          <w:p w14:paraId="48834C3D"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380170</w:t>
            </w:r>
          </w:p>
        </w:tc>
        <w:tc>
          <w:tcPr>
            <w:tcW w:w="1701" w:type="dxa"/>
            <w:tcBorders>
              <w:top w:val="nil"/>
              <w:left w:val="nil"/>
              <w:bottom w:val="single" w:sz="4" w:space="0" w:color="auto"/>
              <w:right w:val="single" w:sz="4" w:space="0" w:color="auto"/>
            </w:tcBorders>
            <w:shd w:val="clear" w:color="auto" w:fill="auto"/>
            <w:noWrap/>
            <w:vAlign w:val="bottom"/>
            <w:hideMark/>
          </w:tcPr>
          <w:p w14:paraId="7010A563"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205412</w:t>
            </w:r>
          </w:p>
        </w:tc>
      </w:tr>
      <w:tr w:rsidR="00A06DB3" w:rsidRPr="008E6633" w14:paraId="3F5D387D" w14:textId="77777777" w:rsidTr="00A06DB3">
        <w:trPr>
          <w:trHeight w:val="300"/>
        </w:trPr>
        <w:tc>
          <w:tcPr>
            <w:tcW w:w="1723" w:type="dxa"/>
            <w:tcBorders>
              <w:top w:val="nil"/>
              <w:left w:val="single" w:sz="4" w:space="0" w:color="auto"/>
              <w:bottom w:val="single" w:sz="4" w:space="0" w:color="auto"/>
              <w:right w:val="single" w:sz="4" w:space="0" w:color="auto"/>
            </w:tcBorders>
            <w:shd w:val="clear" w:color="auto" w:fill="auto"/>
            <w:noWrap/>
            <w:vAlign w:val="bottom"/>
            <w:hideMark/>
          </w:tcPr>
          <w:p w14:paraId="745E5667" w14:textId="77777777" w:rsidR="00A06DB3" w:rsidRPr="008E6633" w:rsidRDefault="00A06DB3" w:rsidP="00A06DB3">
            <w:pPr>
              <w:rPr>
                <w:rFonts w:ascii="Arial" w:eastAsia="Times New Roman" w:hAnsi="Arial" w:cs="Arial"/>
                <w:color w:val="000000"/>
              </w:rPr>
            </w:pPr>
            <w:r w:rsidRPr="008E6633">
              <w:rPr>
                <w:rFonts w:ascii="Arial" w:eastAsia="Times New Roman" w:hAnsi="Arial" w:cs="Arial"/>
                <w:color w:val="000000"/>
              </w:rPr>
              <w:t>LOAN RATIO</w:t>
            </w:r>
          </w:p>
        </w:tc>
        <w:tc>
          <w:tcPr>
            <w:tcW w:w="1220" w:type="dxa"/>
            <w:tcBorders>
              <w:top w:val="nil"/>
              <w:left w:val="nil"/>
              <w:bottom w:val="single" w:sz="4" w:space="0" w:color="auto"/>
              <w:right w:val="single" w:sz="4" w:space="0" w:color="auto"/>
            </w:tcBorders>
            <w:shd w:val="clear" w:color="auto" w:fill="auto"/>
            <w:noWrap/>
            <w:vAlign w:val="bottom"/>
            <w:hideMark/>
          </w:tcPr>
          <w:p w14:paraId="62259C29"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48%</w:t>
            </w:r>
          </w:p>
        </w:tc>
        <w:tc>
          <w:tcPr>
            <w:tcW w:w="1276" w:type="dxa"/>
            <w:tcBorders>
              <w:top w:val="nil"/>
              <w:left w:val="nil"/>
              <w:bottom w:val="single" w:sz="4" w:space="0" w:color="auto"/>
              <w:right w:val="single" w:sz="4" w:space="0" w:color="auto"/>
            </w:tcBorders>
            <w:shd w:val="clear" w:color="auto" w:fill="auto"/>
            <w:noWrap/>
            <w:vAlign w:val="bottom"/>
            <w:hideMark/>
          </w:tcPr>
          <w:p w14:paraId="57E4BCB7"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40%</w:t>
            </w:r>
          </w:p>
        </w:tc>
        <w:tc>
          <w:tcPr>
            <w:tcW w:w="1134" w:type="dxa"/>
            <w:tcBorders>
              <w:top w:val="nil"/>
              <w:left w:val="nil"/>
              <w:bottom w:val="single" w:sz="4" w:space="0" w:color="auto"/>
              <w:right w:val="single" w:sz="4" w:space="0" w:color="auto"/>
            </w:tcBorders>
            <w:shd w:val="clear" w:color="auto" w:fill="auto"/>
            <w:noWrap/>
            <w:vAlign w:val="bottom"/>
            <w:hideMark/>
          </w:tcPr>
          <w:p w14:paraId="7D28A0ED"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45%</w:t>
            </w:r>
          </w:p>
        </w:tc>
        <w:tc>
          <w:tcPr>
            <w:tcW w:w="1134" w:type="dxa"/>
            <w:tcBorders>
              <w:top w:val="nil"/>
              <w:left w:val="nil"/>
              <w:bottom w:val="single" w:sz="4" w:space="0" w:color="auto"/>
              <w:right w:val="single" w:sz="4" w:space="0" w:color="auto"/>
            </w:tcBorders>
            <w:shd w:val="clear" w:color="auto" w:fill="auto"/>
            <w:noWrap/>
            <w:vAlign w:val="bottom"/>
            <w:hideMark/>
          </w:tcPr>
          <w:p w14:paraId="1AB2AC3F"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48%</w:t>
            </w:r>
          </w:p>
        </w:tc>
        <w:tc>
          <w:tcPr>
            <w:tcW w:w="1134" w:type="dxa"/>
            <w:tcBorders>
              <w:top w:val="nil"/>
              <w:left w:val="nil"/>
              <w:bottom w:val="single" w:sz="4" w:space="0" w:color="auto"/>
              <w:right w:val="single" w:sz="4" w:space="0" w:color="auto"/>
            </w:tcBorders>
            <w:shd w:val="clear" w:color="auto" w:fill="auto"/>
            <w:noWrap/>
            <w:vAlign w:val="bottom"/>
            <w:hideMark/>
          </w:tcPr>
          <w:p w14:paraId="5386A203"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52%</w:t>
            </w:r>
          </w:p>
        </w:tc>
        <w:tc>
          <w:tcPr>
            <w:tcW w:w="1701" w:type="dxa"/>
            <w:tcBorders>
              <w:top w:val="nil"/>
              <w:left w:val="nil"/>
              <w:bottom w:val="single" w:sz="4" w:space="0" w:color="auto"/>
              <w:right w:val="single" w:sz="4" w:space="0" w:color="auto"/>
            </w:tcBorders>
            <w:shd w:val="clear" w:color="auto" w:fill="auto"/>
            <w:noWrap/>
            <w:vAlign w:val="bottom"/>
            <w:hideMark/>
          </w:tcPr>
          <w:p w14:paraId="6F021E9C" w14:textId="77777777" w:rsidR="00A06DB3" w:rsidRPr="008E6633" w:rsidRDefault="00A06DB3" w:rsidP="00A06DB3">
            <w:pPr>
              <w:jc w:val="right"/>
              <w:rPr>
                <w:rFonts w:ascii="Arial" w:eastAsia="Times New Roman" w:hAnsi="Arial" w:cs="Arial"/>
                <w:color w:val="000000"/>
              </w:rPr>
            </w:pPr>
            <w:r w:rsidRPr="008E6633">
              <w:rPr>
                <w:rFonts w:ascii="Arial" w:eastAsia="Times New Roman" w:hAnsi="Arial" w:cs="Arial"/>
                <w:color w:val="000000"/>
              </w:rPr>
              <w:t>65%</w:t>
            </w:r>
          </w:p>
        </w:tc>
      </w:tr>
    </w:tbl>
    <w:p w14:paraId="6B15F896" w14:textId="378954B1" w:rsidR="0099796A" w:rsidRDefault="00403D6B" w:rsidP="007443A5">
      <w:pPr>
        <w:jc w:val="both"/>
        <w:rPr>
          <w:rFonts w:ascii="Arial" w:hAnsi="Arial" w:cs="Arial"/>
        </w:rPr>
      </w:pPr>
      <w:r>
        <w:rPr>
          <w:rFonts w:ascii="Arial" w:hAnsi="Arial" w:cs="Arial"/>
        </w:rPr>
        <w:t>TAB:</w:t>
      </w:r>
      <w:r w:rsidR="00431D43">
        <w:rPr>
          <w:rFonts w:ascii="Arial" w:hAnsi="Arial" w:cs="Arial"/>
        </w:rPr>
        <w:t xml:space="preserve"> </w:t>
      </w:r>
      <w:r>
        <w:rPr>
          <w:rFonts w:ascii="Arial" w:hAnsi="Arial" w:cs="Arial"/>
        </w:rPr>
        <w:t>5</w:t>
      </w:r>
    </w:p>
    <w:p w14:paraId="7FB8079C" w14:textId="77777777" w:rsidR="00A06DB3" w:rsidRDefault="00A06DB3" w:rsidP="007443A5">
      <w:pPr>
        <w:jc w:val="both"/>
        <w:rPr>
          <w:rFonts w:ascii="Arial" w:hAnsi="Arial" w:cs="Arial"/>
        </w:rPr>
      </w:pPr>
    </w:p>
    <w:p w14:paraId="2728188B" w14:textId="55A435A5" w:rsidR="004A01B0" w:rsidRDefault="007D1610" w:rsidP="007443A5">
      <w:pPr>
        <w:jc w:val="both"/>
        <w:rPr>
          <w:rFonts w:ascii="Arial" w:hAnsi="Arial" w:cs="Arial"/>
        </w:rPr>
      </w:pPr>
      <w:r>
        <w:rPr>
          <w:rFonts w:ascii="Arial" w:hAnsi="Arial" w:cs="Arial"/>
        </w:rPr>
        <w:t xml:space="preserve">Total loan ratio of the RBS is increasing </w:t>
      </w:r>
      <w:r w:rsidR="00B13EC6">
        <w:rPr>
          <w:rFonts w:ascii="Arial" w:hAnsi="Arial" w:cs="Arial"/>
        </w:rPr>
        <w:t>from the five past years as their total assets are decreasing relatively. The higher the ratio the better it is for the banks as they are issuing more of their assets.</w:t>
      </w:r>
      <w:r w:rsidR="00207BF1">
        <w:rPr>
          <w:rFonts w:ascii="Arial" w:hAnsi="Arial" w:cs="Arial"/>
        </w:rPr>
        <w:t xml:space="preserve"> In the above table the loan ratio of the RBS is increasing within the last five years from 48% to 52% where are on the other hand the loan ratio of Santander Bank is still higher than the RBS that reflects that the loan quality is better but considering the assets of Santander Bank is very low that makes its ratio better than RBS. The amount of total loans among total assets of RBS is much greater than Santander Bank.</w:t>
      </w:r>
      <w:bookmarkStart w:id="0" w:name="_GoBack"/>
      <w:bookmarkEnd w:id="0"/>
    </w:p>
    <w:p w14:paraId="33EF6237" w14:textId="77777777" w:rsidR="00B13EC6" w:rsidRDefault="00B13EC6" w:rsidP="007443A5">
      <w:pPr>
        <w:jc w:val="both"/>
        <w:rPr>
          <w:rFonts w:ascii="Arial" w:hAnsi="Arial" w:cs="Arial"/>
        </w:rPr>
      </w:pPr>
    </w:p>
    <w:p w14:paraId="33963693" w14:textId="77777777" w:rsidR="00B13EC6" w:rsidRDefault="00B13EC6" w:rsidP="007443A5">
      <w:pPr>
        <w:jc w:val="both"/>
        <w:rPr>
          <w:rFonts w:ascii="Arial" w:hAnsi="Arial" w:cs="Arial"/>
        </w:rPr>
      </w:pPr>
    </w:p>
    <w:p w14:paraId="24B8726F" w14:textId="5E93BB66" w:rsidR="00B13EC6" w:rsidRDefault="00B13EC6" w:rsidP="007443A5">
      <w:pPr>
        <w:jc w:val="both"/>
        <w:rPr>
          <w:rFonts w:ascii="Arial" w:hAnsi="Arial" w:cs="Arial"/>
        </w:rPr>
      </w:pPr>
      <w:r>
        <w:rPr>
          <w:rFonts w:ascii="Arial" w:hAnsi="Arial" w:cs="Arial"/>
        </w:rPr>
        <w:t xml:space="preserve">BASEL 3 REGULATIONS </w:t>
      </w:r>
    </w:p>
    <w:p w14:paraId="530AC0D0" w14:textId="77777777" w:rsidR="00B13EC6" w:rsidRDefault="00B13EC6" w:rsidP="007443A5">
      <w:pPr>
        <w:jc w:val="both"/>
        <w:rPr>
          <w:rFonts w:ascii="Arial" w:hAnsi="Arial" w:cs="Arial"/>
        </w:rPr>
      </w:pPr>
    </w:p>
    <w:p w14:paraId="3AB614C0" w14:textId="7646E649" w:rsidR="00FC2E51" w:rsidRDefault="00FC2E51" w:rsidP="007443A5">
      <w:pPr>
        <w:jc w:val="both"/>
        <w:rPr>
          <w:rFonts w:ascii="Arial" w:hAnsi="Arial" w:cs="Arial"/>
        </w:rPr>
      </w:pPr>
      <w:r>
        <w:rPr>
          <w:rFonts w:ascii="Arial" w:hAnsi="Arial" w:cs="Arial"/>
        </w:rPr>
        <w:t>TAB: 6</w:t>
      </w:r>
    </w:p>
    <w:p w14:paraId="64891351" w14:textId="77777777" w:rsidR="00B13EC6" w:rsidRDefault="00B13EC6" w:rsidP="007443A5">
      <w:pPr>
        <w:jc w:val="both"/>
        <w:rPr>
          <w:rFonts w:ascii="Arial" w:hAnsi="Arial" w:cs="Arial"/>
        </w:rPr>
      </w:pPr>
    </w:p>
    <w:tbl>
      <w:tblPr>
        <w:tblStyle w:val="TableGrid"/>
        <w:tblpPr w:leftFromText="180" w:rightFromText="180" w:vertAnchor="page" w:horzAnchor="page" w:tblpX="1729" w:tblpY="8821"/>
        <w:tblW w:w="0" w:type="auto"/>
        <w:tblLook w:val="04A0" w:firstRow="1" w:lastRow="0" w:firstColumn="1" w:lastColumn="0" w:noHBand="0" w:noVBand="1"/>
      </w:tblPr>
      <w:tblGrid>
        <w:gridCol w:w="1079"/>
        <w:gridCol w:w="1148"/>
        <w:gridCol w:w="1148"/>
        <w:gridCol w:w="1148"/>
        <w:gridCol w:w="1148"/>
        <w:gridCol w:w="1148"/>
        <w:gridCol w:w="1697"/>
      </w:tblGrid>
      <w:tr w:rsidR="00403D6B" w14:paraId="2BE411A2" w14:textId="77777777" w:rsidTr="00207BF1">
        <w:tc>
          <w:tcPr>
            <w:tcW w:w="1079" w:type="dxa"/>
          </w:tcPr>
          <w:p w14:paraId="24DBAF24" w14:textId="77777777" w:rsidR="00403D6B" w:rsidRDefault="00403D6B" w:rsidP="00207BF1">
            <w:pPr>
              <w:jc w:val="both"/>
              <w:rPr>
                <w:rFonts w:ascii="Arial" w:hAnsi="Arial" w:cs="Arial"/>
              </w:rPr>
            </w:pPr>
            <w:r>
              <w:rPr>
                <w:rFonts w:ascii="Arial" w:hAnsi="Arial" w:cs="Arial"/>
              </w:rPr>
              <w:t>ITEMS</w:t>
            </w:r>
          </w:p>
        </w:tc>
        <w:tc>
          <w:tcPr>
            <w:tcW w:w="1148" w:type="dxa"/>
          </w:tcPr>
          <w:p w14:paraId="1ADAAFC1" w14:textId="77777777" w:rsidR="00403D6B" w:rsidRDefault="00403D6B" w:rsidP="00207BF1">
            <w:pPr>
              <w:jc w:val="both"/>
              <w:rPr>
                <w:rFonts w:ascii="Arial" w:hAnsi="Arial" w:cs="Arial"/>
              </w:rPr>
            </w:pPr>
            <w:r>
              <w:rPr>
                <w:rFonts w:ascii="Arial" w:hAnsi="Arial" w:cs="Arial"/>
              </w:rPr>
              <w:t>2013</w:t>
            </w:r>
          </w:p>
        </w:tc>
        <w:tc>
          <w:tcPr>
            <w:tcW w:w="1148" w:type="dxa"/>
          </w:tcPr>
          <w:p w14:paraId="52953104" w14:textId="77777777" w:rsidR="00403D6B" w:rsidRDefault="00403D6B" w:rsidP="00207BF1">
            <w:pPr>
              <w:jc w:val="both"/>
              <w:rPr>
                <w:rFonts w:ascii="Arial" w:hAnsi="Arial" w:cs="Arial"/>
              </w:rPr>
            </w:pPr>
            <w:r>
              <w:rPr>
                <w:rFonts w:ascii="Arial" w:hAnsi="Arial" w:cs="Arial"/>
              </w:rPr>
              <w:t>2014</w:t>
            </w:r>
          </w:p>
        </w:tc>
        <w:tc>
          <w:tcPr>
            <w:tcW w:w="1148" w:type="dxa"/>
          </w:tcPr>
          <w:p w14:paraId="40863F3E" w14:textId="77777777" w:rsidR="00403D6B" w:rsidRDefault="00403D6B" w:rsidP="00207BF1">
            <w:pPr>
              <w:jc w:val="both"/>
              <w:rPr>
                <w:rFonts w:ascii="Arial" w:hAnsi="Arial" w:cs="Arial"/>
              </w:rPr>
            </w:pPr>
            <w:r>
              <w:rPr>
                <w:rFonts w:ascii="Arial" w:hAnsi="Arial" w:cs="Arial"/>
              </w:rPr>
              <w:t>2015</w:t>
            </w:r>
          </w:p>
        </w:tc>
        <w:tc>
          <w:tcPr>
            <w:tcW w:w="1148" w:type="dxa"/>
          </w:tcPr>
          <w:p w14:paraId="793510BA" w14:textId="77777777" w:rsidR="00403D6B" w:rsidRDefault="00403D6B" w:rsidP="00207BF1">
            <w:pPr>
              <w:jc w:val="both"/>
              <w:rPr>
                <w:rFonts w:ascii="Arial" w:hAnsi="Arial" w:cs="Arial"/>
              </w:rPr>
            </w:pPr>
            <w:r>
              <w:rPr>
                <w:rFonts w:ascii="Arial" w:hAnsi="Arial" w:cs="Arial"/>
              </w:rPr>
              <w:t>2016</w:t>
            </w:r>
          </w:p>
        </w:tc>
        <w:tc>
          <w:tcPr>
            <w:tcW w:w="1148" w:type="dxa"/>
          </w:tcPr>
          <w:p w14:paraId="03CF9C4C" w14:textId="77777777" w:rsidR="00403D6B" w:rsidRDefault="00403D6B" w:rsidP="00207BF1">
            <w:pPr>
              <w:jc w:val="both"/>
              <w:rPr>
                <w:rFonts w:ascii="Arial" w:hAnsi="Arial" w:cs="Arial"/>
              </w:rPr>
            </w:pPr>
            <w:r>
              <w:rPr>
                <w:rFonts w:ascii="Arial" w:hAnsi="Arial" w:cs="Arial"/>
              </w:rPr>
              <w:t>2017</w:t>
            </w:r>
          </w:p>
        </w:tc>
        <w:tc>
          <w:tcPr>
            <w:tcW w:w="1697" w:type="dxa"/>
          </w:tcPr>
          <w:p w14:paraId="4EABB24D" w14:textId="77777777" w:rsidR="00403D6B" w:rsidRDefault="00403D6B" w:rsidP="00207BF1">
            <w:pPr>
              <w:jc w:val="both"/>
              <w:rPr>
                <w:rFonts w:ascii="Arial" w:hAnsi="Arial" w:cs="Arial"/>
              </w:rPr>
            </w:pPr>
            <w:r>
              <w:rPr>
                <w:rFonts w:ascii="Arial" w:hAnsi="Arial" w:cs="Arial"/>
              </w:rPr>
              <w:t>SANTANDER (2017)</w:t>
            </w:r>
          </w:p>
        </w:tc>
      </w:tr>
      <w:tr w:rsidR="00403D6B" w14:paraId="452CE2DB" w14:textId="77777777" w:rsidTr="00207BF1">
        <w:tc>
          <w:tcPr>
            <w:tcW w:w="1079" w:type="dxa"/>
          </w:tcPr>
          <w:p w14:paraId="67854FA3" w14:textId="77777777" w:rsidR="00403D6B" w:rsidRDefault="00403D6B" w:rsidP="00207BF1">
            <w:pPr>
              <w:jc w:val="both"/>
              <w:rPr>
                <w:rFonts w:ascii="Arial" w:hAnsi="Arial" w:cs="Arial"/>
              </w:rPr>
            </w:pPr>
            <w:r>
              <w:rPr>
                <w:rFonts w:ascii="Arial" w:hAnsi="Arial" w:cs="Arial"/>
              </w:rPr>
              <w:t>CAR</w:t>
            </w:r>
          </w:p>
        </w:tc>
        <w:tc>
          <w:tcPr>
            <w:tcW w:w="1148" w:type="dxa"/>
          </w:tcPr>
          <w:p w14:paraId="004D0D9D" w14:textId="77777777" w:rsidR="00403D6B" w:rsidRDefault="00403D6B" w:rsidP="00207BF1">
            <w:pPr>
              <w:jc w:val="both"/>
              <w:rPr>
                <w:rFonts w:ascii="Arial" w:hAnsi="Arial" w:cs="Arial"/>
              </w:rPr>
            </w:pPr>
            <w:r>
              <w:rPr>
                <w:rFonts w:ascii="Arial" w:hAnsi="Arial" w:cs="Arial"/>
              </w:rPr>
              <w:t>8.6%</w:t>
            </w:r>
          </w:p>
        </w:tc>
        <w:tc>
          <w:tcPr>
            <w:tcW w:w="1148" w:type="dxa"/>
          </w:tcPr>
          <w:p w14:paraId="270FFB01" w14:textId="77777777" w:rsidR="00403D6B" w:rsidRDefault="00403D6B" w:rsidP="00207BF1">
            <w:pPr>
              <w:jc w:val="both"/>
              <w:rPr>
                <w:rFonts w:ascii="Arial" w:hAnsi="Arial" w:cs="Arial"/>
              </w:rPr>
            </w:pPr>
            <w:r>
              <w:rPr>
                <w:rFonts w:ascii="Arial" w:hAnsi="Arial" w:cs="Arial"/>
              </w:rPr>
              <w:t>11.2%</w:t>
            </w:r>
          </w:p>
        </w:tc>
        <w:tc>
          <w:tcPr>
            <w:tcW w:w="1148" w:type="dxa"/>
          </w:tcPr>
          <w:p w14:paraId="2B1D2D55" w14:textId="77777777" w:rsidR="00403D6B" w:rsidRDefault="00403D6B" w:rsidP="00207BF1">
            <w:pPr>
              <w:jc w:val="both"/>
              <w:rPr>
                <w:rFonts w:ascii="Arial" w:hAnsi="Arial" w:cs="Arial"/>
              </w:rPr>
            </w:pPr>
            <w:r>
              <w:rPr>
                <w:rFonts w:ascii="Arial" w:hAnsi="Arial" w:cs="Arial"/>
              </w:rPr>
              <w:t>15.5%</w:t>
            </w:r>
          </w:p>
        </w:tc>
        <w:tc>
          <w:tcPr>
            <w:tcW w:w="1148" w:type="dxa"/>
          </w:tcPr>
          <w:p w14:paraId="1960E12F" w14:textId="77777777" w:rsidR="00403D6B" w:rsidRDefault="00403D6B" w:rsidP="00207BF1">
            <w:pPr>
              <w:jc w:val="both"/>
              <w:rPr>
                <w:rFonts w:ascii="Arial" w:hAnsi="Arial" w:cs="Arial"/>
              </w:rPr>
            </w:pPr>
            <w:r>
              <w:rPr>
                <w:rFonts w:ascii="Arial" w:hAnsi="Arial" w:cs="Arial"/>
              </w:rPr>
              <w:t>13.4%</w:t>
            </w:r>
          </w:p>
        </w:tc>
        <w:tc>
          <w:tcPr>
            <w:tcW w:w="1148" w:type="dxa"/>
          </w:tcPr>
          <w:p w14:paraId="34AB909B" w14:textId="77777777" w:rsidR="00403D6B" w:rsidRDefault="00403D6B" w:rsidP="00207BF1">
            <w:pPr>
              <w:jc w:val="both"/>
              <w:rPr>
                <w:rFonts w:ascii="Arial" w:hAnsi="Arial" w:cs="Arial"/>
              </w:rPr>
            </w:pPr>
            <w:r>
              <w:rPr>
                <w:rFonts w:ascii="Arial" w:hAnsi="Arial" w:cs="Arial"/>
              </w:rPr>
              <w:t>15.9%</w:t>
            </w:r>
          </w:p>
        </w:tc>
        <w:tc>
          <w:tcPr>
            <w:tcW w:w="1697" w:type="dxa"/>
          </w:tcPr>
          <w:p w14:paraId="34D75D8E" w14:textId="77777777" w:rsidR="00403D6B" w:rsidRDefault="00403D6B" w:rsidP="00207BF1">
            <w:pPr>
              <w:jc w:val="both"/>
              <w:rPr>
                <w:rFonts w:ascii="Arial" w:hAnsi="Arial" w:cs="Arial"/>
              </w:rPr>
            </w:pPr>
            <w:r>
              <w:rPr>
                <w:rFonts w:ascii="Arial" w:hAnsi="Arial" w:cs="Arial"/>
              </w:rPr>
              <w:t>12.2%</w:t>
            </w:r>
          </w:p>
        </w:tc>
      </w:tr>
      <w:tr w:rsidR="00403D6B" w14:paraId="6B548165" w14:textId="77777777" w:rsidTr="00207BF1">
        <w:tc>
          <w:tcPr>
            <w:tcW w:w="1079" w:type="dxa"/>
          </w:tcPr>
          <w:p w14:paraId="6607D654" w14:textId="77777777" w:rsidR="00403D6B" w:rsidRDefault="00403D6B" w:rsidP="00207BF1">
            <w:pPr>
              <w:jc w:val="both"/>
              <w:rPr>
                <w:rFonts w:ascii="Arial" w:hAnsi="Arial" w:cs="Arial"/>
              </w:rPr>
            </w:pPr>
            <w:r>
              <w:rPr>
                <w:rFonts w:ascii="Arial" w:hAnsi="Arial" w:cs="Arial"/>
              </w:rPr>
              <w:t>LCR</w:t>
            </w:r>
          </w:p>
        </w:tc>
        <w:tc>
          <w:tcPr>
            <w:tcW w:w="1148" w:type="dxa"/>
          </w:tcPr>
          <w:p w14:paraId="55B64E7F" w14:textId="77777777" w:rsidR="00403D6B" w:rsidRDefault="00403D6B" w:rsidP="00207BF1">
            <w:pPr>
              <w:jc w:val="both"/>
              <w:rPr>
                <w:rFonts w:ascii="Arial" w:hAnsi="Arial" w:cs="Arial"/>
              </w:rPr>
            </w:pPr>
            <w:r>
              <w:rPr>
                <w:rFonts w:ascii="Arial" w:hAnsi="Arial" w:cs="Arial"/>
              </w:rPr>
              <w:t>102%</w:t>
            </w:r>
          </w:p>
        </w:tc>
        <w:tc>
          <w:tcPr>
            <w:tcW w:w="1148" w:type="dxa"/>
          </w:tcPr>
          <w:p w14:paraId="4DEE5340" w14:textId="77777777" w:rsidR="00403D6B" w:rsidRDefault="00403D6B" w:rsidP="00207BF1">
            <w:pPr>
              <w:jc w:val="both"/>
              <w:rPr>
                <w:rFonts w:ascii="Arial" w:hAnsi="Arial" w:cs="Arial"/>
              </w:rPr>
            </w:pPr>
            <w:r>
              <w:rPr>
                <w:rFonts w:ascii="Arial" w:hAnsi="Arial" w:cs="Arial"/>
              </w:rPr>
              <w:t>112%</w:t>
            </w:r>
          </w:p>
        </w:tc>
        <w:tc>
          <w:tcPr>
            <w:tcW w:w="1148" w:type="dxa"/>
          </w:tcPr>
          <w:p w14:paraId="4AFC946B" w14:textId="77777777" w:rsidR="00403D6B" w:rsidRDefault="00403D6B" w:rsidP="00207BF1">
            <w:pPr>
              <w:jc w:val="both"/>
              <w:rPr>
                <w:rFonts w:ascii="Arial" w:hAnsi="Arial" w:cs="Arial"/>
              </w:rPr>
            </w:pPr>
            <w:r>
              <w:rPr>
                <w:rFonts w:ascii="Arial" w:hAnsi="Arial" w:cs="Arial"/>
              </w:rPr>
              <w:t>136%</w:t>
            </w:r>
          </w:p>
        </w:tc>
        <w:tc>
          <w:tcPr>
            <w:tcW w:w="1148" w:type="dxa"/>
          </w:tcPr>
          <w:p w14:paraId="56D6A25D" w14:textId="77777777" w:rsidR="00403D6B" w:rsidRDefault="00403D6B" w:rsidP="00207BF1">
            <w:pPr>
              <w:jc w:val="both"/>
              <w:rPr>
                <w:rFonts w:ascii="Arial" w:hAnsi="Arial" w:cs="Arial"/>
              </w:rPr>
            </w:pPr>
            <w:r>
              <w:rPr>
                <w:rFonts w:ascii="Arial" w:hAnsi="Arial" w:cs="Arial"/>
              </w:rPr>
              <w:t>123%</w:t>
            </w:r>
          </w:p>
        </w:tc>
        <w:tc>
          <w:tcPr>
            <w:tcW w:w="1148" w:type="dxa"/>
          </w:tcPr>
          <w:p w14:paraId="031FAD4B" w14:textId="77777777" w:rsidR="00403D6B" w:rsidRDefault="00403D6B" w:rsidP="00207BF1">
            <w:pPr>
              <w:jc w:val="both"/>
              <w:rPr>
                <w:rFonts w:ascii="Arial" w:hAnsi="Arial" w:cs="Arial"/>
              </w:rPr>
            </w:pPr>
            <w:r>
              <w:rPr>
                <w:rFonts w:ascii="Arial" w:hAnsi="Arial" w:cs="Arial"/>
              </w:rPr>
              <w:t>140%</w:t>
            </w:r>
          </w:p>
        </w:tc>
        <w:tc>
          <w:tcPr>
            <w:tcW w:w="1697" w:type="dxa"/>
          </w:tcPr>
          <w:p w14:paraId="7147D21C" w14:textId="77777777" w:rsidR="00403D6B" w:rsidRDefault="00403D6B" w:rsidP="00207BF1">
            <w:pPr>
              <w:jc w:val="both"/>
              <w:rPr>
                <w:rFonts w:ascii="Arial" w:hAnsi="Arial" w:cs="Arial"/>
              </w:rPr>
            </w:pPr>
            <w:r>
              <w:rPr>
                <w:rFonts w:ascii="Arial" w:hAnsi="Arial" w:cs="Arial"/>
              </w:rPr>
              <w:t>120%</w:t>
            </w:r>
          </w:p>
        </w:tc>
      </w:tr>
      <w:tr w:rsidR="00403D6B" w14:paraId="420B3DED" w14:textId="77777777" w:rsidTr="00207BF1">
        <w:tc>
          <w:tcPr>
            <w:tcW w:w="1079" w:type="dxa"/>
          </w:tcPr>
          <w:p w14:paraId="23F4EEF6" w14:textId="77777777" w:rsidR="00403D6B" w:rsidRDefault="00403D6B" w:rsidP="00207BF1">
            <w:pPr>
              <w:jc w:val="both"/>
              <w:rPr>
                <w:rFonts w:ascii="Arial" w:hAnsi="Arial" w:cs="Arial"/>
              </w:rPr>
            </w:pPr>
            <w:r>
              <w:rPr>
                <w:rFonts w:ascii="Arial" w:hAnsi="Arial" w:cs="Arial"/>
              </w:rPr>
              <w:t>NSFR</w:t>
            </w:r>
          </w:p>
        </w:tc>
        <w:tc>
          <w:tcPr>
            <w:tcW w:w="1148" w:type="dxa"/>
          </w:tcPr>
          <w:p w14:paraId="0680232B" w14:textId="77777777" w:rsidR="00403D6B" w:rsidRDefault="00403D6B" w:rsidP="00207BF1">
            <w:pPr>
              <w:jc w:val="both"/>
              <w:rPr>
                <w:rFonts w:ascii="Arial" w:hAnsi="Arial" w:cs="Arial"/>
              </w:rPr>
            </w:pPr>
            <w:r>
              <w:rPr>
                <w:rFonts w:ascii="Arial" w:hAnsi="Arial" w:cs="Arial"/>
              </w:rPr>
              <w:t>120%</w:t>
            </w:r>
          </w:p>
        </w:tc>
        <w:tc>
          <w:tcPr>
            <w:tcW w:w="1148" w:type="dxa"/>
          </w:tcPr>
          <w:p w14:paraId="7CD1ED41" w14:textId="77777777" w:rsidR="00403D6B" w:rsidRDefault="00403D6B" w:rsidP="00207BF1">
            <w:pPr>
              <w:jc w:val="both"/>
              <w:rPr>
                <w:rFonts w:ascii="Arial" w:hAnsi="Arial" w:cs="Arial"/>
              </w:rPr>
            </w:pPr>
            <w:r>
              <w:rPr>
                <w:rFonts w:ascii="Arial" w:hAnsi="Arial" w:cs="Arial"/>
              </w:rPr>
              <w:t>112%</w:t>
            </w:r>
          </w:p>
        </w:tc>
        <w:tc>
          <w:tcPr>
            <w:tcW w:w="1148" w:type="dxa"/>
          </w:tcPr>
          <w:p w14:paraId="1C87BF24" w14:textId="77777777" w:rsidR="00403D6B" w:rsidRDefault="00403D6B" w:rsidP="00207BF1">
            <w:pPr>
              <w:jc w:val="both"/>
              <w:rPr>
                <w:rFonts w:ascii="Arial" w:hAnsi="Arial" w:cs="Arial"/>
              </w:rPr>
            </w:pPr>
            <w:r>
              <w:rPr>
                <w:rFonts w:ascii="Arial" w:hAnsi="Arial" w:cs="Arial"/>
              </w:rPr>
              <w:t>121%</w:t>
            </w:r>
          </w:p>
        </w:tc>
        <w:tc>
          <w:tcPr>
            <w:tcW w:w="1148" w:type="dxa"/>
          </w:tcPr>
          <w:p w14:paraId="1EBC8A8B" w14:textId="77777777" w:rsidR="00403D6B" w:rsidRDefault="00403D6B" w:rsidP="00207BF1">
            <w:pPr>
              <w:jc w:val="both"/>
              <w:rPr>
                <w:rFonts w:ascii="Arial" w:hAnsi="Arial" w:cs="Arial"/>
              </w:rPr>
            </w:pPr>
            <w:r>
              <w:rPr>
                <w:rFonts w:ascii="Arial" w:hAnsi="Arial" w:cs="Arial"/>
              </w:rPr>
              <w:t>121%</w:t>
            </w:r>
          </w:p>
        </w:tc>
        <w:tc>
          <w:tcPr>
            <w:tcW w:w="1148" w:type="dxa"/>
          </w:tcPr>
          <w:p w14:paraId="421BAE65" w14:textId="77777777" w:rsidR="00403D6B" w:rsidRDefault="00403D6B" w:rsidP="00207BF1">
            <w:pPr>
              <w:jc w:val="both"/>
              <w:rPr>
                <w:rFonts w:ascii="Arial" w:hAnsi="Arial" w:cs="Arial"/>
              </w:rPr>
            </w:pPr>
            <w:r>
              <w:rPr>
                <w:rFonts w:ascii="Arial" w:hAnsi="Arial" w:cs="Arial"/>
              </w:rPr>
              <w:t>132%</w:t>
            </w:r>
          </w:p>
        </w:tc>
        <w:tc>
          <w:tcPr>
            <w:tcW w:w="1697" w:type="dxa"/>
          </w:tcPr>
          <w:p w14:paraId="3AFE1F80" w14:textId="77777777" w:rsidR="00403D6B" w:rsidRDefault="00403D6B" w:rsidP="00207BF1">
            <w:pPr>
              <w:jc w:val="both"/>
              <w:rPr>
                <w:rFonts w:ascii="Arial" w:hAnsi="Arial" w:cs="Arial"/>
              </w:rPr>
            </w:pPr>
            <w:r>
              <w:rPr>
                <w:rFonts w:ascii="Arial" w:hAnsi="Arial" w:cs="Arial"/>
              </w:rPr>
              <w:t>N/A</w:t>
            </w:r>
          </w:p>
        </w:tc>
      </w:tr>
      <w:tr w:rsidR="00403D6B" w14:paraId="3006A012" w14:textId="77777777" w:rsidTr="00207BF1">
        <w:tc>
          <w:tcPr>
            <w:tcW w:w="1079" w:type="dxa"/>
          </w:tcPr>
          <w:p w14:paraId="4453916D" w14:textId="77777777" w:rsidR="00403D6B" w:rsidRDefault="00403D6B" w:rsidP="00207BF1">
            <w:pPr>
              <w:jc w:val="both"/>
              <w:rPr>
                <w:rFonts w:ascii="Arial" w:hAnsi="Arial" w:cs="Arial"/>
              </w:rPr>
            </w:pPr>
            <w:r>
              <w:rPr>
                <w:rFonts w:ascii="Arial" w:hAnsi="Arial" w:cs="Arial"/>
              </w:rPr>
              <w:t>RWA</w:t>
            </w:r>
          </w:p>
        </w:tc>
        <w:tc>
          <w:tcPr>
            <w:tcW w:w="1148" w:type="dxa"/>
          </w:tcPr>
          <w:p w14:paraId="54FEE4C1" w14:textId="77777777" w:rsidR="00403D6B" w:rsidRDefault="00403D6B" w:rsidP="00207BF1">
            <w:pPr>
              <w:jc w:val="both"/>
              <w:rPr>
                <w:rFonts w:ascii="Arial" w:hAnsi="Arial" w:cs="Arial"/>
              </w:rPr>
            </w:pPr>
            <w:r>
              <w:rPr>
                <w:rFonts w:ascii="Arial" w:hAnsi="Arial" w:cs="Arial"/>
              </w:rPr>
              <w:t>429.1bn</w:t>
            </w:r>
          </w:p>
        </w:tc>
        <w:tc>
          <w:tcPr>
            <w:tcW w:w="1148" w:type="dxa"/>
          </w:tcPr>
          <w:p w14:paraId="519A9801" w14:textId="77777777" w:rsidR="00403D6B" w:rsidRDefault="00403D6B" w:rsidP="00207BF1">
            <w:pPr>
              <w:jc w:val="both"/>
              <w:rPr>
                <w:rFonts w:ascii="Arial" w:hAnsi="Arial" w:cs="Arial"/>
              </w:rPr>
            </w:pPr>
            <w:r>
              <w:rPr>
                <w:rFonts w:ascii="Arial" w:hAnsi="Arial" w:cs="Arial"/>
              </w:rPr>
              <w:t>355.9bn</w:t>
            </w:r>
          </w:p>
        </w:tc>
        <w:tc>
          <w:tcPr>
            <w:tcW w:w="1148" w:type="dxa"/>
          </w:tcPr>
          <w:p w14:paraId="32C63AAD" w14:textId="77777777" w:rsidR="00403D6B" w:rsidRDefault="00403D6B" w:rsidP="00207BF1">
            <w:pPr>
              <w:jc w:val="both"/>
              <w:rPr>
                <w:rFonts w:ascii="Arial" w:hAnsi="Arial" w:cs="Arial"/>
              </w:rPr>
            </w:pPr>
            <w:r>
              <w:rPr>
                <w:rFonts w:ascii="Arial" w:hAnsi="Arial" w:cs="Arial"/>
              </w:rPr>
              <w:t>242.6bn</w:t>
            </w:r>
          </w:p>
        </w:tc>
        <w:tc>
          <w:tcPr>
            <w:tcW w:w="1148" w:type="dxa"/>
          </w:tcPr>
          <w:p w14:paraId="79C5D04B" w14:textId="77777777" w:rsidR="00403D6B" w:rsidRDefault="00403D6B" w:rsidP="00207BF1">
            <w:pPr>
              <w:jc w:val="both"/>
              <w:rPr>
                <w:rFonts w:ascii="Arial" w:hAnsi="Arial" w:cs="Arial"/>
              </w:rPr>
            </w:pPr>
            <w:r>
              <w:rPr>
                <w:rFonts w:ascii="Arial" w:hAnsi="Arial" w:cs="Arial"/>
              </w:rPr>
              <w:t xml:space="preserve">228.2bn </w:t>
            </w:r>
          </w:p>
        </w:tc>
        <w:tc>
          <w:tcPr>
            <w:tcW w:w="1148" w:type="dxa"/>
          </w:tcPr>
          <w:p w14:paraId="34D4B818" w14:textId="77777777" w:rsidR="00403D6B" w:rsidRDefault="00403D6B" w:rsidP="00207BF1">
            <w:pPr>
              <w:jc w:val="both"/>
              <w:rPr>
                <w:rFonts w:ascii="Arial" w:hAnsi="Arial" w:cs="Arial"/>
              </w:rPr>
            </w:pPr>
            <w:r>
              <w:rPr>
                <w:rFonts w:ascii="Arial" w:hAnsi="Arial" w:cs="Arial"/>
              </w:rPr>
              <w:t>200.9bn</w:t>
            </w:r>
          </w:p>
        </w:tc>
        <w:tc>
          <w:tcPr>
            <w:tcW w:w="1697" w:type="dxa"/>
          </w:tcPr>
          <w:p w14:paraId="5FA74B75" w14:textId="77777777" w:rsidR="00403D6B" w:rsidRDefault="00403D6B" w:rsidP="00207BF1">
            <w:pPr>
              <w:jc w:val="both"/>
              <w:rPr>
                <w:rFonts w:ascii="Arial" w:hAnsi="Arial" w:cs="Arial"/>
              </w:rPr>
            </w:pPr>
            <w:r>
              <w:rPr>
                <w:rFonts w:ascii="Arial" w:hAnsi="Arial" w:cs="Arial"/>
              </w:rPr>
              <w:t>87.05m</w:t>
            </w:r>
          </w:p>
        </w:tc>
      </w:tr>
    </w:tbl>
    <w:p w14:paraId="07E05CD2" w14:textId="77777777" w:rsidR="00FC2E51" w:rsidRDefault="00FC2E51" w:rsidP="007443A5">
      <w:pPr>
        <w:jc w:val="both"/>
        <w:rPr>
          <w:rFonts w:ascii="Arial" w:hAnsi="Arial" w:cs="Arial"/>
        </w:rPr>
      </w:pPr>
    </w:p>
    <w:p w14:paraId="47DA990A" w14:textId="77F9A8C2" w:rsidR="00790CED" w:rsidRDefault="00FC2E51" w:rsidP="007443A5">
      <w:pPr>
        <w:jc w:val="both"/>
        <w:rPr>
          <w:rFonts w:ascii="Arial" w:hAnsi="Arial" w:cs="Arial"/>
        </w:rPr>
      </w:pPr>
      <w:r>
        <w:rPr>
          <w:rFonts w:ascii="Arial" w:hAnsi="Arial" w:cs="Arial"/>
        </w:rPr>
        <w:t xml:space="preserve">According to the rules and regulations of the PILLAR 3, financial institutions should to declare some of the ratios in the annual report of the institution. </w:t>
      </w:r>
      <w:r w:rsidR="00841527">
        <w:rPr>
          <w:rFonts w:ascii="Arial" w:hAnsi="Arial" w:cs="Arial"/>
        </w:rPr>
        <w:t xml:space="preserve">The main agenda of BASEL 3 is to recognise the contemporary issues and enhance the quality of financial institution around the world. </w:t>
      </w:r>
      <w:r>
        <w:rPr>
          <w:rFonts w:ascii="Arial" w:hAnsi="Arial" w:cs="Arial"/>
        </w:rPr>
        <w:t>Thes</w:t>
      </w:r>
      <w:r w:rsidR="00790CED">
        <w:rPr>
          <w:rFonts w:ascii="Arial" w:hAnsi="Arial" w:cs="Arial"/>
        </w:rPr>
        <w:t xml:space="preserve">e ratios are calculated according to the minimum required under the BASEL 3 requirements and most commonly has to be near to the minimum related to the performance of the banks or can be more or less. </w:t>
      </w:r>
    </w:p>
    <w:p w14:paraId="049B5770" w14:textId="77777777" w:rsidR="00034302" w:rsidRDefault="00034302" w:rsidP="007443A5">
      <w:pPr>
        <w:jc w:val="both"/>
        <w:rPr>
          <w:rFonts w:ascii="Arial" w:hAnsi="Arial" w:cs="Arial"/>
        </w:rPr>
      </w:pPr>
    </w:p>
    <w:p w14:paraId="02880B70" w14:textId="77777777" w:rsidR="00A06DB3" w:rsidRDefault="00A06DB3" w:rsidP="007443A5">
      <w:pPr>
        <w:jc w:val="both"/>
        <w:rPr>
          <w:rFonts w:ascii="Arial" w:hAnsi="Arial" w:cs="Arial"/>
        </w:rPr>
      </w:pPr>
    </w:p>
    <w:p w14:paraId="0932F127" w14:textId="551167E1" w:rsidR="00034302" w:rsidRDefault="00034302" w:rsidP="007443A5">
      <w:pPr>
        <w:jc w:val="both"/>
        <w:rPr>
          <w:rFonts w:ascii="Arial" w:hAnsi="Arial" w:cs="Arial"/>
        </w:rPr>
      </w:pPr>
      <w:r>
        <w:rPr>
          <w:rFonts w:ascii="Arial" w:hAnsi="Arial" w:cs="Arial"/>
        </w:rPr>
        <w:t>CAPITAL ADEQUACY RATIO</w:t>
      </w:r>
    </w:p>
    <w:p w14:paraId="17CB110A" w14:textId="77777777" w:rsidR="00034302" w:rsidRDefault="00034302" w:rsidP="007443A5">
      <w:pPr>
        <w:jc w:val="both"/>
        <w:rPr>
          <w:rFonts w:ascii="Arial" w:hAnsi="Arial" w:cs="Arial"/>
        </w:rPr>
      </w:pPr>
    </w:p>
    <w:p w14:paraId="515A2A74" w14:textId="1EB7794D" w:rsidR="00414E0B" w:rsidRDefault="00034302" w:rsidP="007443A5">
      <w:pPr>
        <w:jc w:val="both"/>
        <w:rPr>
          <w:rFonts w:ascii="Arial" w:hAnsi="Arial" w:cs="Arial"/>
        </w:rPr>
      </w:pPr>
      <w:r>
        <w:rPr>
          <w:rFonts w:ascii="Arial" w:hAnsi="Arial" w:cs="Arial"/>
        </w:rPr>
        <w:t>The minimum requirement of the BASEL 3 f</w:t>
      </w:r>
      <w:r w:rsidR="00841527">
        <w:rPr>
          <w:rFonts w:ascii="Arial" w:hAnsi="Arial" w:cs="Arial"/>
        </w:rPr>
        <w:t>or the CAR is 10.5% to reduce the credit risk and to retain a minimum capital adequacy ratio</w:t>
      </w:r>
      <w:r w:rsidR="0061035A">
        <w:rPr>
          <w:rFonts w:ascii="Arial" w:hAnsi="Arial" w:cs="Arial"/>
        </w:rPr>
        <w:t xml:space="preserve"> relative to its Risk weighted assets. CAR is calculated by two different metho</w:t>
      </w:r>
      <w:r w:rsidR="0051296E">
        <w:rPr>
          <w:rFonts w:ascii="Arial" w:hAnsi="Arial" w:cs="Arial"/>
        </w:rPr>
        <w:t xml:space="preserve">ds based on end-point and transitional. </w:t>
      </w:r>
      <w:r w:rsidR="00414E0B">
        <w:rPr>
          <w:rFonts w:ascii="Arial" w:hAnsi="Arial" w:cs="Arial"/>
        </w:rPr>
        <w:t>High capital adequacy ratio determines the strength of the assets that carries risk. Higher the ratio the lower the credit risk of the assets. In the above table CAR of the RBS is increasing and in 2017 it is 15.9% compare to the Santander Bank that is 12.2% and is relatively high that shows that the risk uncertainty is high than Santander Bank. It is because of the low litigation and conduct cost of RBS than Santander Bank.</w:t>
      </w:r>
    </w:p>
    <w:p w14:paraId="7FB54E3E" w14:textId="77777777" w:rsidR="00414E0B" w:rsidRDefault="00414E0B" w:rsidP="007443A5">
      <w:pPr>
        <w:jc w:val="both"/>
        <w:rPr>
          <w:rFonts w:ascii="Arial" w:hAnsi="Arial" w:cs="Arial"/>
        </w:rPr>
      </w:pPr>
    </w:p>
    <w:p w14:paraId="427AF7FA" w14:textId="77777777" w:rsidR="00A06DB3" w:rsidRDefault="00A06DB3" w:rsidP="007443A5">
      <w:pPr>
        <w:jc w:val="both"/>
        <w:rPr>
          <w:rFonts w:ascii="Arial" w:hAnsi="Arial" w:cs="Arial"/>
        </w:rPr>
      </w:pPr>
    </w:p>
    <w:p w14:paraId="6987A778" w14:textId="24852AF2" w:rsidR="00414E0B" w:rsidRDefault="00414E0B" w:rsidP="007443A5">
      <w:pPr>
        <w:jc w:val="both"/>
        <w:rPr>
          <w:rFonts w:ascii="Arial" w:hAnsi="Arial" w:cs="Arial"/>
        </w:rPr>
      </w:pPr>
      <w:r>
        <w:rPr>
          <w:rFonts w:ascii="Arial" w:hAnsi="Arial" w:cs="Arial"/>
        </w:rPr>
        <w:t>LIQUIDITY COVERAGE RATIO</w:t>
      </w:r>
    </w:p>
    <w:p w14:paraId="23CD4B60" w14:textId="4DE9E7F3" w:rsidR="00414E0B" w:rsidRDefault="00414E0B" w:rsidP="007443A5">
      <w:pPr>
        <w:jc w:val="both"/>
        <w:rPr>
          <w:rFonts w:ascii="Arial" w:hAnsi="Arial" w:cs="Arial"/>
        </w:rPr>
      </w:pPr>
    </w:p>
    <w:p w14:paraId="21744632" w14:textId="369E08A1" w:rsidR="00414E0B" w:rsidRDefault="00414E0B" w:rsidP="007443A5">
      <w:pPr>
        <w:jc w:val="both"/>
        <w:rPr>
          <w:rFonts w:ascii="Arial" w:hAnsi="Arial" w:cs="Arial"/>
        </w:rPr>
      </w:pPr>
      <w:r>
        <w:rPr>
          <w:rFonts w:ascii="Arial" w:hAnsi="Arial" w:cs="Arial"/>
        </w:rPr>
        <w:t xml:space="preserve">Liquidity coverage ratio (LCR) examines the ability to convert </w:t>
      </w:r>
      <w:r w:rsidR="00F14E03">
        <w:rPr>
          <w:rFonts w:ascii="Arial" w:hAnsi="Arial" w:cs="Arial"/>
        </w:rPr>
        <w:t>their</w:t>
      </w:r>
      <w:r>
        <w:rPr>
          <w:rFonts w:ascii="Arial" w:hAnsi="Arial" w:cs="Arial"/>
        </w:rPr>
        <w:t xml:space="preserve"> assets </w:t>
      </w:r>
      <w:r w:rsidR="00F14E03">
        <w:rPr>
          <w:rFonts w:ascii="Arial" w:hAnsi="Arial" w:cs="Arial"/>
        </w:rPr>
        <w:t>in</w:t>
      </w:r>
      <w:r>
        <w:rPr>
          <w:rFonts w:ascii="Arial" w:hAnsi="Arial" w:cs="Arial"/>
        </w:rPr>
        <w:t>to cash in a small amount of time.</w:t>
      </w:r>
      <w:r w:rsidR="00F14E03">
        <w:rPr>
          <w:rFonts w:ascii="Arial" w:hAnsi="Arial" w:cs="Arial"/>
        </w:rPr>
        <w:t xml:space="preserve"> Ability to convert high-quality liquid assets into cash is to pay off their short-term debts. The limitation of the LCR for a financial institution under BASEL 3 regulations is minimum 30 days</w:t>
      </w:r>
      <w:r w:rsidR="00A24A5C">
        <w:rPr>
          <w:rFonts w:ascii="Arial" w:hAnsi="Arial" w:cs="Arial"/>
        </w:rPr>
        <w:t xml:space="preserve"> and more than 100% </w:t>
      </w:r>
      <w:r w:rsidR="00F14E03">
        <w:rPr>
          <w:rFonts w:ascii="Arial" w:hAnsi="Arial" w:cs="Arial"/>
        </w:rPr>
        <w:t>compare to corporate companies that is 1 year</w:t>
      </w:r>
      <w:r w:rsidR="0008090C">
        <w:rPr>
          <w:rFonts w:ascii="Arial" w:hAnsi="Arial" w:cs="Arial"/>
        </w:rPr>
        <w:t xml:space="preserve"> to </w:t>
      </w:r>
      <w:r w:rsidR="00A24A5C">
        <w:rPr>
          <w:rFonts w:ascii="Arial" w:hAnsi="Arial" w:cs="Arial"/>
        </w:rPr>
        <w:t>backup the cash outflow of the bank</w:t>
      </w:r>
      <w:r w:rsidR="00F14E03">
        <w:rPr>
          <w:rFonts w:ascii="Arial" w:hAnsi="Arial" w:cs="Arial"/>
        </w:rPr>
        <w:t>. Maintaining of the LCR is to satisfy customer demands and current liabilities. In the above table the LCR of Royal Bank of Scotland</w:t>
      </w:r>
      <w:r w:rsidR="00A24A5C">
        <w:rPr>
          <w:rFonts w:ascii="Arial" w:hAnsi="Arial" w:cs="Arial"/>
        </w:rPr>
        <w:t xml:space="preserve"> is increasing as it is more liquid than Santander Bank that have 120% compare to RBS that has 140%. This shows that RBS is more liquid to pay off their debts than Santander Bank.</w:t>
      </w:r>
      <w:r w:rsidR="002A581A">
        <w:rPr>
          <w:rFonts w:ascii="Arial" w:hAnsi="Arial" w:cs="Arial"/>
        </w:rPr>
        <w:t xml:space="preserve"> </w:t>
      </w:r>
    </w:p>
    <w:p w14:paraId="67BDCD92" w14:textId="77777777" w:rsidR="002A581A" w:rsidRDefault="002A581A" w:rsidP="007443A5">
      <w:pPr>
        <w:jc w:val="both"/>
        <w:rPr>
          <w:rFonts w:ascii="Arial" w:hAnsi="Arial" w:cs="Arial"/>
        </w:rPr>
      </w:pPr>
    </w:p>
    <w:p w14:paraId="6D6542D2" w14:textId="77777777" w:rsidR="00542071" w:rsidRDefault="00542071" w:rsidP="007443A5">
      <w:pPr>
        <w:jc w:val="both"/>
        <w:rPr>
          <w:rFonts w:ascii="Arial" w:hAnsi="Arial" w:cs="Arial"/>
        </w:rPr>
      </w:pPr>
    </w:p>
    <w:p w14:paraId="77844602" w14:textId="1F5D7F14" w:rsidR="002A581A" w:rsidRDefault="002A581A" w:rsidP="007443A5">
      <w:pPr>
        <w:jc w:val="both"/>
        <w:rPr>
          <w:rFonts w:ascii="Arial" w:hAnsi="Arial" w:cs="Arial"/>
        </w:rPr>
      </w:pPr>
      <w:r>
        <w:rPr>
          <w:rFonts w:ascii="Arial" w:hAnsi="Arial" w:cs="Arial"/>
        </w:rPr>
        <w:t>RISK WEIGHTED ASSETS (RWA)</w:t>
      </w:r>
    </w:p>
    <w:p w14:paraId="287EB11D" w14:textId="77777777" w:rsidR="002A581A" w:rsidRDefault="002A581A" w:rsidP="007443A5">
      <w:pPr>
        <w:jc w:val="both"/>
        <w:rPr>
          <w:rFonts w:ascii="Arial" w:hAnsi="Arial" w:cs="Arial"/>
        </w:rPr>
      </w:pPr>
    </w:p>
    <w:p w14:paraId="60E0D810" w14:textId="4F4094CC" w:rsidR="002A581A" w:rsidRDefault="002A581A" w:rsidP="007443A5">
      <w:pPr>
        <w:jc w:val="both"/>
        <w:rPr>
          <w:rFonts w:ascii="Arial" w:hAnsi="Arial" w:cs="Arial"/>
        </w:rPr>
      </w:pPr>
      <w:r>
        <w:rPr>
          <w:rFonts w:ascii="Arial" w:hAnsi="Arial" w:cs="Arial"/>
        </w:rPr>
        <w:t>The</w:t>
      </w:r>
      <w:r w:rsidR="00BA54C3">
        <w:rPr>
          <w:rFonts w:ascii="Arial" w:hAnsi="Arial" w:cs="Arial"/>
        </w:rPr>
        <w:t xml:space="preserve"> risk-</w:t>
      </w:r>
      <w:r>
        <w:rPr>
          <w:rFonts w:ascii="Arial" w:hAnsi="Arial" w:cs="Arial"/>
        </w:rPr>
        <w:t>weighted assets of the RBS is decreasing from the last five years</w:t>
      </w:r>
      <w:r w:rsidR="00BA54C3">
        <w:rPr>
          <w:rFonts w:ascii="Arial" w:hAnsi="Arial" w:cs="Arial"/>
        </w:rPr>
        <w:t xml:space="preserve"> by approximately £200bn in 2017</w:t>
      </w:r>
      <w:r>
        <w:rPr>
          <w:rFonts w:ascii="Arial" w:hAnsi="Arial" w:cs="Arial"/>
        </w:rPr>
        <w:t xml:space="preserve"> as compare to the Santander Bank </w:t>
      </w:r>
      <w:r w:rsidR="00BA54C3">
        <w:rPr>
          <w:rFonts w:ascii="Arial" w:hAnsi="Arial" w:cs="Arial"/>
        </w:rPr>
        <w:t xml:space="preserve">that has a risk weighted assets of £87.05m in the year 2017. Risk weighted assets defines the risk associated with the assets of the bank and low RWA reflects the strength </w:t>
      </w:r>
      <w:r w:rsidR="00542071">
        <w:rPr>
          <w:rFonts w:ascii="Arial" w:hAnsi="Arial" w:cs="Arial"/>
        </w:rPr>
        <w:t>of the assets among its equity.</w:t>
      </w:r>
      <w:r w:rsidR="00C07674">
        <w:rPr>
          <w:rFonts w:ascii="Arial" w:hAnsi="Arial" w:cs="Arial"/>
        </w:rPr>
        <w:t xml:space="preserve"> Risk weighted assets is an essential tool for the calculation of the capital adequacy ratio for the banks according to the BASEL 3 regulations.</w:t>
      </w:r>
    </w:p>
    <w:p w14:paraId="45FA07BD" w14:textId="5EFF8128" w:rsidR="004A01B0" w:rsidRDefault="004A01B0" w:rsidP="007443A5">
      <w:pPr>
        <w:jc w:val="both"/>
        <w:rPr>
          <w:rFonts w:ascii="Arial" w:hAnsi="Arial" w:cs="Arial"/>
        </w:rPr>
      </w:pPr>
    </w:p>
    <w:p w14:paraId="350859E7" w14:textId="77777777" w:rsidR="00AB10E5" w:rsidRDefault="00AB10E5" w:rsidP="007443A5">
      <w:pPr>
        <w:jc w:val="both"/>
        <w:rPr>
          <w:rFonts w:ascii="Arial" w:hAnsi="Arial" w:cs="Arial"/>
        </w:rPr>
      </w:pPr>
    </w:p>
    <w:p w14:paraId="35A7CEC9" w14:textId="01B4D6F4" w:rsidR="00A24A5C" w:rsidRDefault="00A24A5C" w:rsidP="007443A5">
      <w:pPr>
        <w:jc w:val="both"/>
        <w:rPr>
          <w:rFonts w:ascii="Arial" w:hAnsi="Arial" w:cs="Arial"/>
        </w:rPr>
      </w:pPr>
      <w:r>
        <w:rPr>
          <w:rFonts w:ascii="Arial" w:hAnsi="Arial" w:cs="Arial"/>
        </w:rPr>
        <w:t xml:space="preserve">FUTURE PERFORMANCE </w:t>
      </w:r>
    </w:p>
    <w:p w14:paraId="1C6DC531" w14:textId="515C0FCD" w:rsidR="00AB10E5" w:rsidRDefault="00A24A5C" w:rsidP="007443A5">
      <w:pPr>
        <w:jc w:val="both"/>
        <w:rPr>
          <w:rFonts w:ascii="Arial" w:hAnsi="Arial" w:cs="Arial"/>
        </w:rPr>
      </w:pPr>
      <w:r>
        <w:rPr>
          <w:rFonts w:ascii="Arial" w:hAnsi="Arial" w:cs="Arial"/>
        </w:rPr>
        <w:t xml:space="preserve"> </w:t>
      </w:r>
    </w:p>
    <w:p w14:paraId="4D59D555" w14:textId="6A5C81DF" w:rsidR="009739DF" w:rsidRDefault="00F878C5" w:rsidP="007443A5">
      <w:pPr>
        <w:jc w:val="both"/>
        <w:rPr>
          <w:rFonts w:ascii="Arial" w:hAnsi="Arial" w:cs="Arial"/>
        </w:rPr>
      </w:pPr>
      <w:r>
        <w:rPr>
          <w:rFonts w:ascii="Arial" w:hAnsi="Arial" w:cs="Arial"/>
        </w:rPr>
        <w:t xml:space="preserve">With the above ratios </w:t>
      </w:r>
      <w:r w:rsidR="00A24A5C">
        <w:rPr>
          <w:rFonts w:ascii="Arial" w:hAnsi="Arial" w:cs="Arial"/>
        </w:rPr>
        <w:t xml:space="preserve">it can be accessed that the performance of both </w:t>
      </w:r>
      <w:r>
        <w:rPr>
          <w:rFonts w:ascii="Arial" w:hAnsi="Arial" w:cs="Arial"/>
        </w:rPr>
        <w:t xml:space="preserve">the </w:t>
      </w:r>
      <w:r w:rsidR="00A24A5C">
        <w:rPr>
          <w:rFonts w:ascii="Arial" w:hAnsi="Arial" w:cs="Arial"/>
        </w:rPr>
        <w:t xml:space="preserve">banks is </w:t>
      </w:r>
      <w:r>
        <w:rPr>
          <w:rFonts w:ascii="Arial" w:hAnsi="Arial" w:cs="Arial"/>
        </w:rPr>
        <w:t xml:space="preserve">in positive situation. As both are performing relatively good as compare to each other and have positive values. The CAR is more than the minimum requirement that reflects that the in the coming future both can meet any risk uncertainty whether it is paying off their debts or retaining minimum capital over the risk assets. It shows the strength of the risk weighted assets and the level of reducing the risk. Where on the other hand the amount of risk weighted assets are decreasing that increasing the CAR of the Royal Bank of Scotland and Santander Bank has Risk weighted assets in million than in billion as compare to RBS which is very low. </w:t>
      </w:r>
      <w:r w:rsidR="009739DF">
        <w:rPr>
          <w:rFonts w:ascii="Arial" w:hAnsi="Arial" w:cs="Arial"/>
        </w:rPr>
        <w:t xml:space="preserve">The ability of the both the banks is strong and can meet the limit of 30 days LCR comfortably. BREXIT will   have an impact on the performance of the banking sector. As leaving EU will create more burden on the banks due to worldwide banking system and will create difficulties in paying off their international debts and customer demands. </w:t>
      </w:r>
      <w:r w:rsidR="00A06DB3">
        <w:rPr>
          <w:rFonts w:ascii="Arial" w:hAnsi="Arial" w:cs="Arial"/>
        </w:rPr>
        <w:t>RING-FENCING</w:t>
      </w:r>
      <w:r w:rsidR="009739DF">
        <w:rPr>
          <w:rFonts w:ascii="Arial" w:hAnsi="Arial" w:cs="Arial"/>
        </w:rPr>
        <w:t xml:space="preserve"> as a new law implemented by the UK government </w:t>
      </w:r>
      <w:r w:rsidR="00A06DB3">
        <w:rPr>
          <w:rFonts w:ascii="Arial" w:hAnsi="Arial" w:cs="Arial"/>
        </w:rPr>
        <w:t xml:space="preserve">that will be applicable on 1 January 2019 </w:t>
      </w:r>
      <w:r w:rsidR="009739DF">
        <w:rPr>
          <w:rFonts w:ascii="Arial" w:hAnsi="Arial" w:cs="Arial"/>
        </w:rPr>
        <w:t>to improve the economy of the country</w:t>
      </w:r>
      <w:r w:rsidR="00A06DB3">
        <w:rPr>
          <w:rFonts w:ascii="Arial" w:hAnsi="Arial" w:cs="Arial"/>
        </w:rPr>
        <w:t xml:space="preserve"> and separates the business performance by sectors. Traditional banking will be separated from modern banking. Day-to day banking will be different from investment banking to help economy to develop and changes to be implemented in the business structure. </w:t>
      </w:r>
    </w:p>
    <w:p w14:paraId="79EF2E6F" w14:textId="77777777" w:rsidR="00A06DB3" w:rsidRDefault="00A06DB3" w:rsidP="007443A5">
      <w:pPr>
        <w:jc w:val="both"/>
        <w:rPr>
          <w:rFonts w:ascii="Arial" w:hAnsi="Arial" w:cs="Arial"/>
        </w:rPr>
      </w:pPr>
    </w:p>
    <w:p w14:paraId="26FA2245" w14:textId="77777777" w:rsidR="00403D6B" w:rsidRDefault="00403D6B">
      <w:pPr>
        <w:rPr>
          <w:rFonts w:ascii="Arial" w:hAnsi="Arial" w:cs="Arial"/>
        </w:rPr>
      </w:pPr>
    </w:p>
    <w:p w14:paraId="19CAD902" w14:textId="77777777" w:rsidR="00C07674" w:rsidRDefault="00C07674">
      <w:pPr>
        <w:rPr>
          <w:rFonts w:ascii="Arial" w:hAnsi="Arial" w:cs="Arial"/>
        </w:rPr>
      </w:pPr>
    </w:p>
    <w:p w14:paraId="15F3E923" w14:textId="77777777" w:rsidR="00C07674" w:rsidRDefault="00C07674">
      <w:pPr>
        <w:rPr>
          <w:rFonts w:ascii="Arial" w:hAnsi="Arial" w:cs="Arial"/>
        </w:rPr>
      </w:pPr>
    </w:p>
    <w:p w14:paraId="49439B29" w14:textId="77777777" w:rsidR="00C07674" w:rsidRDefault="00C07674">
      <w:pPr>
        <w:rPr>
          <w:rFonts w:ascii="Arial" w:hAnsi="Arial" w:cs="Arial"/>
        </w:rPr>
      </w:pPr>
    </w:p>
    <w:p w14:paraId="5828C755" w14:textId="006F90D3" w:rsidR="00D21AFE" w:rsidRPr="00A06DB3" w:rsidRDefault="000124AA">
      <w:pPr>
        <w:rPr>
          <w:rFonts w:ascii="Arial" w:hAnsi="Arial" w:cs="Arial"/>
          <w:u w:val="single"/>
        </w:rPr>
      </w:pPr>
      <w:r>
        <w:rPr>
          <w:rFonts w:ascii="Arial" w:hAnsi="Arial" w:cs="Arial"/>
        </w:rPr>
        <w:t>FINANCIAL INSTRUMENT  (BONDS)</w:t>
      </w:r>
    </w:p>
    <w:p w14:paraId="39DFB495" w14:textId="77777777" w:rsidR="008F49F2" w:rsidRDefault="008F49F2" w:rsidP="004332FE">
      <w:pPr>
        <w:jc w:val="both"/>
        <w:rPr>
          <w:rFonts w:ascii="Arial" w:hAnsi="Arial" w:cs="Arial"/>
        </w:rPr>
      </w:pPr>
    </w:p>
    <w:p w14:paraId="6FDC3DED" w14:textId="12E4A465" w:rsidR="00542F38" w:rsidRDefault="008F49F2" w:rsidP="004332FE">
      <w:pPr>
        <w:jc w:val="both"/>
        <w:rPr>
          <w:rFonts w:ascii="Arial" w:hAnsi="Arial" w:cs="Arial"/>
        </w:rPr>
      </w:pPr>
      <w:r>
        <w:rPr>
          <w:rFonts w:ascii="Arial" w:hAnsi="Arial" w:cs="Arial"/>
        </w:rPr>
        <w:t>Financial instruments are those instruments that can be only traded in the financial market.</w:t>
      </w:r>
      <w:r w:rsidR="00DB2F90">
        <w:rPr>
          <w:rFonts w:ascii="Arial" w:hAnsi="Arial" w:cs="Arial"/>
        </w:rPr>
        <w:t xml:space="preserve"> Bonds and Equities are the instruments that can be used by the organisations for the borrowing of money and operating the business. Bonds </w:t>
      </w:r>
      <w:r w:rsidR="006649EF">
        <w:rPr>
          <w:rFonts w:ascii="Arial" w:hAnsi="Arial" w:cs="Arial"/>
        </w:rPr>
        <w:t xml:space="preserve">can be issued by any individual or by the </w:t>
      </w:r>
      <w:r w:rsidR="00DB2F90">
        <w:rPr>
          <w:rFonts w:ascii="Arial" w:hAnsi="Arial" w:cs="Arial"/>
        </w:rPr>
        <w:t xml:space="preserve">government and also called </w:t>
      </w:r>
      <w:r w:rsidR="008B1F0A">
        <w:rPr>
          <w:rFonts w:ascii="Arial" w:hAnsi="Arial" w:cs="Arial"/>
        </w:rPr>
        <w:t>government securities. In the earlier 90’s Bonds are in the form of papers that is a written agreement between the borrower and the lender. It is a contract between the two parties but it can be transferable to the third party. It depends on the third party to</w:t>
      </w:r>
      <w:r w:rsidR="00DB4915">
        <w:rPr>
          <w:rFonts w:ascii="Arial" w:hAnsi="Arial" w:cs="Arial"/>
        </w:rPr>
        <w:t xml:space="preserve"> buy it for the same price or at</w:t>
      </w:r>
      <w:r w:rsidR="008B1F0A">
        <w:rPr>
          <w:rFonts w:ascii="Arial" w:hAnsi="Arial" w:cs="Arial"/>
        </w:rPr>
        <w:t xml:space="preserve"> discount. Bonds </w:t>
      </w:r>
      <w:r w:rsidR="00BF6527">
        <w:rPr>
          <w:rFonts w:ascii="Arial" w:hAnsi="Arial" w:cs="Arial"/>
        </w:rPr>
        <w:t xml:space="preserve">are issued in the public market and also a type of debt that has to be payback to the holder of the </w:t>
      </w:r>
      <w:r w:rsidR="00DB4915">
        <w:rPr>
          <w:rFonts w:ascii="Arial" w:hAnsi="Arial" w:cs="Arial"/>
        </w:rPr>
        <w:t xml:space="preserve">bond at the maturity, </w:t>
      </w:r>
      <w:r w:rsidR="00BF6527">
        <w:rPr>
          <w:rFonts w:ascii="Arial" w:hAnsi="Arial" w:cs="Arial"/>
        </w:rPr>
        <w:t xml:space="preserve">including the coupon rate that is settled by </w:t>
      </w:r>
      <w:r w:rsidR="006649EF">
        <w:rPr>
          <w:rFonts w:ascii="Arial" w:hAnsi="Arial" w:cs="Arial"/>
        </w:rPr>
        <w:t>the issuer of the bond according to its affordability of paying the coupon rate at the interval of every six months</w:t>
      </w:r>
      <w:r w:rsidR="00DB4915">
        <w:rPr>
          <w:rFonts w:ascii="Arial" w:hAnsi="Arial" w:cs="Arial"/>
        </w:rPr>
        <w:t xml:space="preserve">. </w:t>
      </w:r>
      <w:r w:rsidR="00BF6527">
        <w:rPr>
          <w:rFonts w:ascii="Arial" w:hAnsi="Arial" w:cs="Arial"/>
        </w:rPr>
        <w:t xml:space="preserve">The face value of a single Bond depends on the country as in UK its par value is £100 whereas in US its $1000. </w:t>
      </w:r>
      <w:r w:rsidR="00DB4915">
        <w:rPr>
          <w:rFonts w:ascii="Arial" w:hAnsi="Arial" w:cs="Arial"/>
        </w:rPr>
        <w:t>Bonds are negotiable that can be easily tradable in the market.</w:t>
      </w:r>
    </w:p>
    <w:p w14:paraId="1F5C33B0" w14:textId="77777777" w:rsidR="00542F38" w:rsidRDefault="00542F38">
      <w:pPr>
        <w:rPr>
          <w:rFonts w:ascii="Arial" w:hAnsi="Arial" w:cs="Arial"/>
        </w:rPr>
      </w:pPr>
    </w:p>
    <w:p w14:paraId="52EF04F5" w14:textId="77777777" w:rsidR="002A581A" w:rsidRDefault="002A581A">
      <w:pPr>
        <w:rPr>
          <w:rFonts w:ascii="Arial" w:hAnsi="Arial" w:cs="Arial"/>
        </w:rPr>
      </w:pPr>
    </w:p>
    <w:p w14:paraId="3F722234" w14:textId="77777777" w:rsidR="00542F38" w:rsidRDefault="00542F38">
      <w:pPr>
        <w:rPr>
          <w:rFonts w:ascii="Arial" w:hAnsi="Arial" w:cs="Arial"/>
        </w:rPr>
      </w:pPr>
      <w:r>
        <w:rPr>
          <w:rFonts w:ascii="Arial" w:hAnsi="Arial" w:cs="Arial"/>
        </w:rPr>
        <w:t xml:space="preserve">TRADING OF BONDS </w:t>
      </w:r>
    </w:p>
    <w:p w14:paraId="4569260A" w14:textId="77777777" w:rsidR="00542F38" w:rsidRDefault="00542F38">
      <w:pPr>
        <w:rPr>
          <w:rFonts w:ascii="Arial" w:hAnsi="Arial" w:cs="Arial"/>
        </w:rPr>
      </w:pPr>
    </w:p>
    <w:p w14:paraId="3181C8ED" w14:textId="673AF4D5" w:rsidR="002405C4" w:rsidRDefault="005777D6" w:rsidP="006E59A1">
      <w:pPr>
        <w:jc w:val="both"/>
        <w:rPr>
          <w:rFonts w:ascii="Arial" w:hAnsi="Arial" w:cs="Arial"/>
        </w:rPr>
      </w:pPr>
      <w:r>
        <w:rPr>
          <w:rFonts w:ascii="Arial" w:hAnsi="Arial" w:cs="Arial"/>
        </w:rPr>
        <w:t xml:space="preserve">The face value of a single Bond depends on the country as in UK its par value is £100 </w:t>
      </w:r>
      <w:r w:rsidR="006649EF">
        <w:rPr>
          <w:rFonts w:ascii="Arial" w:hAnsi="Arial" w:cs="Arial"/>
        </w:rPr>
        <w:t xml:space="preserve">per Bond </w:t>
      </w:r>
      <w:r>
        <w:rPr>
          <w:rFonts w:ascii="Arial" w:hAnsi="Arial" w:cs="Arial"/>
        </w:rPr>
        <w:t xml:space="preserve">whereas in US its $1000. Bonds are negotiable that can be easily tradable in the market. </w:t>
      </w:r>
      <w:r w:rsidR="00542F38">
        <w:rPr>
          <w:rFonts w:ascii="Arial" w:hAnsi="Arial" w:cs="Arial"/>
        </w:rPr>
        <w:t>Bonds are traded in the secondary market.</w:t>
      </w:r>
      <w:r w:rsidR="004332FE">
        <w:rPr>
          <w:rFonts w:ascii="Arial" w:hAnsi="Arial" w:cs="Arial"/>
        </w:rPr>
        <w:t xml:space="preserve"> </w:t>
      </w:r>
      <w:r w:rsidR="006649EF">
        <w:rPr>
          <w:rFonts w:ascii="Arial" w:hAnsi="Arial" w:cs="Arial"/>
        </w:rPr>
        <w:t>Bonds are less risky if</w:t>
      </w:r>
      <w:r w:rsidR="00542F38">
        <w:rPr>
          <w:rFonts w:ascii="Arial" w:hAnsi="Arial" w:cs="Arial"/>
        </w:rPr>
        <w:t xml:space="preserve"> it</w:t>
      </w:r>
      <w:r w:rsidR="004332FE">
        <w:rPr>
          <w:rFonts w:ascii="Arial" w:hAnsi="Arial" w:cs="Arial"/>
        </w:rPr>
        <w:t xml:space="preserve"> is a government </w:t>
      </w:r>
      <w:r w:rsidR="006649EF">
        <w:rPr>
          <w:rFonts w:ascii="Arial" w:hAnsi="Arial" w:cs="Arial"/>
        </w:rPr>
        <w:t>Bond</w:t>
      </w:r>
      <w:r w:rsidR="004332FE">
        <w:rPr>
          <w:rFonts w:ascii="Arial" w:hAnsi="Arial" w:cs="Arial"/>
        </w:rPr>
        <w:t xml:space="preserve"> and government</w:t>
      </w:r>
      <w:r w:rsidR="00542F38">
        <w:rPr>
          <w:rFonts w:ascii="Arial" w:hAnsi="Arial" w:cs="Arial"/>
        </w:rPr>
        <w:t xml:space="preserve"> will pay back their debts on time</w:t>
      </w:r>
      <w:r w:rsidR="006649EF">
        <w:rPr>
          <w:rFonts w:ascii="Arial" w:hAnsi="Arial" w:cs="Arial"/>
        </w:rPr>
        <w:t xml:space="preserve"> due to its high status</w:t>
      </w:r>
      <w:r w:rsidR="00542F38">
        <w:rPr>
          <w:rFonts w:ascii="Arial" w:hAnsi="Arial" w:cs="Arial"/>
        </w:rPr>
        <w:t xml:space="preserve">. </w:t>
      </w:r>
      <w:r>
        <w:rPr>
          <w:rFonts w:ascii="Arial" w:hAnsi="Arial" w:cs="Arial"/>
        </w:rPr>
        <w:t xml:space="preserve">Bonds usually have coupon rate that has to be paid at the end of every year depending on the period of time the Bonds are issued. In the real market coupon rate is paid semi-annually that is after every 6 months. There are </w:t>
      </w:r>
      <w:r w:rsidR="00BB3861">
        <w:rPr>
          <w:rFonts w:ascii="Arial" w:hAnsi="Arial" w:cs="Arial"/>
        </w:rPr>
        <w:t xml:space="preserve">various </w:t>
      </w:r>
      <w:r>
        <w:rPr>
          <w:rFonts w:ascii="Arial" w:hAnsi="Arial" w:cs="Arial"/>
        </w:rPr>
        <w:t xml:space="preserve">types of bonds such as </w:t>
      </w:r>
      <w:r w:rsidR="00BB3861">
        <w:rPr>
          <w:rFonts w:ascii="Arial" w:hAnsi="Arial" w:cs="Arial"/>
        </w:rPr>
        <w:t>maturity bonds, zero-coupon bonds, Junk bonds</w:t>
      </w:r>
      <w:r w:rsidR="00D5442B">
        <w:rPr>
          <w:rFonts w:ascii="Arial" w:hAnsi="Arial" w:cs="Arial"/>
        </w:rPr>
        <w:t>, treasury bonds</w:t>
      </w:r>
      <w:r>
        <w:rPr>
          <w:rFonts w:ascii="Arial" w:hAnsi="Arial" w:cs="Arial"/>
        </w:rPr>
        <w:t xml:space="preserve"> </w:t>
      </w:r>
      <w:r w:rsidR="00BB3861">
        <w:rPr>
          <w:rFonts w:ascii="Arial" w:hAnsi="Arial" w:cs="Arial"/>
        </w:rPr>
        <w:t xml:space="preserve">etc. These bonds are treated according to the level of seniority, as there are to level such as Senior and Subordinate bonds. </w:t>
      </w:r>
      <w:r w:rsidR="003E4E86">
        <w:rPr>
          <w:rFonts w:ascii="Arial" w:hAnsi="Arial" w:cs="Arial"/>
        </w:rPr>
        <w:t>Senior Bonds are those bonds that are issued for long-term such as two, three, five, or ten years. Senior bonds have the priority among all the bonds that holder has to get a fixed amount of coupon rate. On</w:t>
      </w:r>
      <w:r w:rsidR="00CD262C">
        <w:rPr>
          <w:rFonts w:ascii="Arial" w:hAnsi="Arial" w:cs="Arial"/>
        </w:rPr>
        <w:t xml:space="preserve"> the other hand, Subordinate bonds don’t have the priority to</w:t>
      </w:r>
      <w:r w:rsidR="002405C4">
        <w:rPr>
          <w:rFonts w:ascii="Arial" w:hAnsi="Arial" w:cs="Arial"/>
        </w:rPr>
        <w:t xml:space="preserve"> get paid after the payment of seniority </w:t>
      </w:r>
      <w:r w:rsidR="00CD262C">
        <w:rPr>
          <w:rFonts w:ascii="Arial" w:hAnsi="Arial" w:cs="Arial"/>
        </w:rPr>
        <w:t>bonds and will get pai</w:t>
      </w:r>
      <w:r w:rsidR="002405C4">
        <w:rPr>
          <w:rFonts w:ascii="Arial" w:hAnsi="Arial" w:cs="Arial"/>
        </w:rPr>
        <w:t>d after the payment of regular holder.</w:t>
      </w:r>
      <w:r w:rsidR="00793FF4">
        <w:rPr>
          <w:rFonts w:ascii="Arial" w:hAnsi="Arial" w:cs="Arial"/>
        </w:rPr>
        <w:t xml:space="preserve"> For example, if the borrower had less money to pay off the coupon rate according to the calculated amount then the holder get paid on the basis of seniority. </w:t>
      </w:r>
    </w:p>
    <w:p w14:paraId="1A51CDF1" w14:textId="77777777" w:rsidR="00E80215" w:rsidRDefault="00E80215" w:rsidP="006E59A1">
      <w:pPr>
        <w:jc w:val="both"/>
        <w:rPr>
          <w:rFonts w:ascii="Arial" w:hAnsi="Arial" w:cs="Arial"/>
        </w:rPr>
      </w:pPr>
    </w:p>
    <w:p w14:paraId="4F56636E" w14:textId="77777777" w:rsidR="00E80215" w:rsidRDefault="00E80215" w:rsidP="006E59A1">
      <w:pPr>
        <w:jc w:val="both"/>
        <w:rPr>
          <w:rFonts w:ascii="Arial" w:hAnsi="Arial" w:cs="Arial"/>
        </w:rPr>
      </w:pPr>
    </w:p>
    <w:p w14:paraId="40314B60" w14:textId="77777777" w:rsidR="00E80215" w:rsidRDefault="00E80215" w:rsidP="006E59A1">
      <w:pPr>
        <w:jc w:val="both"/>
        <w:rPr>
          <w:rFonts w:ascii="Arial" w:hAnsi="Arial" w:cs="Arial"/>
        </w:rPr>
      </w:pPr>
    </w:p>
    <w:tbl>
      <w:tblPr>
        <w:tblStyle w:val="TableGrid"/>
        <w:tblpPr w:leftFromText="180" w:rightFromText="180" w:vertAnchor="text" w:horzAnchor="page" w:tblpX="1729" w:tblpY="-418"/>
        <w:tblW w:w="0" w:type="auto"/>
        <w:tblLook w:val="04A0" w:firstRow="1" w:lastRow="0" w:firstColumn="1" w:lastColumn="0" w:noHBand="0" w:noVBand="1"/>
      </w:tblPr>
      <w:tblGrid>
        <w:gridCol w:w="1395"/>
        <w:gridCol w:w="1402"/>
        <w:gridCol w:w="1405"/>
        <w:gridCol w:w="1401"/>
        <w:gridCol w:w="1402"/>
        <w:gridCol w:w="1511"/>
      </w:tblGrid>
      <w:tr w:rsidR="00BB3861" w14:paraId="67B5518F" w14:textId="77777777" w:rsidTr="00BB3861">
        <w:tc>
          <w:tcPr>
            <w:tcW w:w="1395" w:type="dxa"/>
          </w:tcPr>
          <w:p w14:paraId="122091F5" w14:textId="77777777" w:rsidR="00BB3861" w:rsidRDefault="00BB3861" w:rsidP="00BB3861">
            <w:pPr>
              <w:rPr>
                <w:rFonts w:ascii="Arial" w:hAnsi="Arial" w:cs="Arial"/>
              </w:rPr>
            </w:pPr>
            <w:r>
              <w:rPr>
                <w:rFonts w:ascii="Arial" w:hAnsi="Arial" w:cs="Arial"/>
              </w:rPr>
              <w:t xml:space="preserve">Bond Holder </w:t>
            </w:r>
          </w:p>
        </w:tc>
        <w:tc>
          <w:tcPr>
            <w:tcW w:w="1402" w:type="dxa"/>
          </w:tcPr>
          <w:p w14:paraId="068C1623" w14:textId="77777777" w:rsidR="00BB3861" w:rsidRDefault="00BB3861" w:rsidP="00BB3861">
            <w:pPr>
              <w:rPr>
                <w:rFonts w:ascii="Arial" w:hAnsi="Arial" w:cs="Arial"/>
              </w:rPr>
            </w:pPr>
            <w:r>
              <w:rPr>
                <w:rFonts w:ascii="Arial" w:hAnsi="Arial" w:cs="Arial"/>
              </w:rPr>
              <w:t>Maturity Time</w:t>
            </w:r>
          </w:p>
        </w:tc>
        <w:tc>
          <w:tcPr>
            <w:tcW w:w="1405" w:type="dxa"/>
          </w:tcPr>
          <w:p w14:paraId="4739DDAF" w14:textId="77777777" w:rsidR="00BB3861" w:rsidRDefault="00BB3861" w:rsidP="00BB3861">
            <w:pPr>
              <w:rPr>
                <w:rFonts w:ascii="Arial" w:hAnsi="Arial" w:cs="Arial"/>
              </w:rPr>
            </w:pPr>
            <w:r>
              <w:rPr>
                <w:rFonts w:ascii="Arial" w:hAnsi="Arial" w:cs="Arial"/>
              </w:rPr>
              <w:t>Principle Amount</w:t>
            </w:r>
          </w:p>
        </w:tc>
        <w:tc>
          <w:tcPr>
            <w:tcW w:w="1401" w:type="dxa"/>
          </w:tcPr>
          <w:p w14:paraId="11FA596B" w14:textId="77777777" w:rsidR="00BB3861" w:rsidRDefault="00BB3861" w:rsidP="00BB3861">
            <w:pPr>
              <w:rPr>
                <w:rFonts w:ascii="Arial" w:hAnsi="Arial" w:cs="Arial"/>
              </w:rPr>
            </w:pPr>
            <w:r>
              <w:rPr>
                <w:rFonts w:ascii="Arial" w:hAnsi="Arial" w:cs="Arial"/>
              </w:rPr>
              <w:t>Coupon Rate</w:t>
            </w:r>
          </w:p>
        </w:tc>
        <w:tc>
          <w:tcPr>
            <w:tcW w:w="1402" w:type="dxa"/>
          </w:tcPr>
          <w:p w14:paraId="4C45255A" w14:textId="77777777" w:rsidR="00BB3861" w:rsidRDefault="00BB3861" w:rsidP="00BB3861">
            <w:pPr>
              <w:rPr>
                <w:rFonts w:ascii="Arial" w:hAnsi="Arial" w:cs="Arial"/>
              </w:rPr>
            </w:pPr>
            <w:r>
              <w:rPr>
                <w:rFonts w:ascii="Arial" w:hAnsi="Arial" w:cs="Arial"/>
              </w:rPr>
              <w:t xml:space="preserve">Coupon Amount </w:t>
            </w:r>
          </w:p>
        </w:tc>
        <w:tc>
          <w:tcPr>
            <w:tcW w:w="1511" w:type="dxa"/>
          </w:tcPr>
          <w:p w14:paraId="13B6D27A" w14:textId="77777777" w:rsidR="00BB3861" w:rsidRDefault="00BB3861" w:rsidP="00BB3861">
            <w:pPr>
              <w:rPr>
                <w:rFonts w:ascii="Arial" w:hAnsi="Arial" w:cs="Arial"/>
              </w:rPr>
            </w:pPr>
            <w:r>
              <w:rPr>
                <w:rFonts w:ascii="Arial" w:hAnsi="Arial" w:cs="Arial"/>
              </w:rPr>
              <w:t>Bonds Type</w:t>
            </w:r>
          </w:p>
        </w:tc>
      </w:tr>
      <w:tr w:rsidR="00BB3861" w14:paraId="66F5E811" w14:textId="77777777" w:rsidTr="00BB3861">
        <w:tc>
          <w:tcPr>
            <w:tcW w:w="1395" w:type="dxa"/>
          </w:tcPr>
          <w:p w14:paraId="3206C07A" w14:textId="77777777" w:rsidR="00BB3861" w:rsidRDefault="00BB3861" w:rsidP="00BB3861">
            <w:pPr>
              <w:rPr>
                <w:rFonts w:ascii="Arial" w:hAnsi="Arial" w:cs="Arial"/>
              </w:rPr>
            </w:pPr>
            <w:r>
              <w:rPr>
                <w:rFonts w:ascii="Arial" w:hAnsi="Arial" w:cs="Arial"/>
              </w:rPr>
              <w:t>A</w:t>
            </w:r>
          </w:p>
        </w:tc>
        <w:tc>
          <w:tcPr>
            <w:tcW w:w="1402" w:type="dxa"/>
          </w:tcPr>
          <w:p w14:paraId="4812E6E1" w14:textId="77777777" w:rsidR="00BB3861" w:rsidRDefault="00BB3861" w:rsidP="00BB3861">
            <w:pPr>
              <w:rPr>
                <w:rFonts w:ascii="Arial" w:hAnsi="Arial" w:cs="Arial"/>
              </w:rPr>
            </w:pPr>
            <w:r>
              <w:rPr>
                <w:rFonts w:ascii="Arial" w:hAnsi="Arial" w:cs="Arial"/>
              </w:rPr>
              <w:t>3 years</w:t>
            </w:r>
          </w:p>
        </w:tc>
        <w:tc>
          <w:tcPr>
            <w:tcW w:w="1405" w:type="dxa"/>
          </w:tcPr>
          <w:p w14:paraId="1830286C" w14:textId="77777777" w:rsidR="00BB3861" w:rsidRDefault="00BB3861" w:rsidP="00BB3861">
            <w:pPr>
              <w:rPr>
                <w:rFonts w:ascii="Arial" w:hAnsi="Arial" w:cs="Arial"/>
              </w:rPr>
            </w:pPr>
            <w:r>
              <w:rPr>
                <w:rFonts w:ascii="Arial" w:hAnsi="Arial" w:cs="Arial"/>
              </w:rPr>
              <w:t>£1000</w:t>
            </w:r>
          </w:p>
        </w:tc>
        <w:tc>
          <w:tcPr>
            <w:tcW w:w="1401" w:type="dxa"/>
          </w:tcPr>
          <w:p w14:paraId="0A8B732E" w14:textId="77777777" w:rsidR="00BB3861" w:rsidRDefault="00BB3861" w:rsidP="00BB3861">
            <w:pPr>
              <w:rPr>
                <w:rFonts w:ascii="Arial" w:hAnsi="Arial" w:cs="Arial"/>
              </w:rPr>
            </w:pPr>
            <w:r>
              <w:rPr>
                <w:rFonts w:ascii="Arial" w:hAnsi="Arial" w:cs="Arial"/>
              </w:rPr>
              <w:t>4%</w:t>
            </w:r>
          </w:p>
        </w:tc>
        <w:tc>
          <w:tcPr>
            <w:tcW w:w="1402" w:type="dxa"/>
          </w:tcPr>
          <w:p w14:paraId="22CE6B2D" w14:textId="77777777" w:rsidR="00BB3861" w:rsidRDefault="00BB3861" w:rsidP="00BB3861">
            <w:pPr>
              <w:rPr>
                <w:rFonts w:ascii="Arial" w:hAnsi="Arial" w:cs="Arial"/>
              </w:rPr>
            </w:pPr>
            <w:r>
              <w:rPr>
                <w:rFonts w:ascii="Arial" w:hAnsi="Arial" w:cs="Arial"/>
              </w:rPr>
              <w:t>40</w:t>
            </w:r>
          </w:p>
        </w:tc>
        <w:tc>
          <w:tcPr>
            <w:tcW w:w="1511" w:type="dxa"/>
          </w:tcPr>
          <w:p w14:paraId="63F2716A" w14:textId="77777777" w:rsidR="00BB3861" w:rsidRDefault="00BB3861" w:rsidP="00BB3861">
            <w:pPr>
              <w:rPr>
                <w:rFonts w:ascii="Arial" w:hAnsi="Arial" w:cs="Arial"/>
              </w:rPr>
            </w:pPr>
            <w:r>
              <w:rPr>
                <w:rFonts w:ascii="Arial" w:hAnsi="Arial" w:cs="Arial"/>
              </w:rPr>
              <w:t xml:space="preserve">Senior </w:t>
            </w:r>
          </w:p>
        </w:tc>
      </w:tr>
      <w:tr w:rsidR="00BB3861" w14:paraId="3E5B496E" w14:textId="77777777" w:rsidTr="00BB3861">
        <w:tc>
          <w:tcPr>
            <w:tcW w:w="1395" w:type="dxa"/>
          </w:tcPr>
          <w:p w14:paraId="02D4B7FC" w14:textId="77777777" w:rsidR="00BB3861" w:rsidRDefault="00BB3861" w:rsidP="00BB3861">
            <w:pPr>
              <w:rPr>
                <w:rFonts w:ascii="Arial" w:hAnsi="Arial" w:cs="Arial"/>
              </w:rPr>
            </w:pPr>
            <w:r>
              <w:rPr>
                <w:rFonts w:ascii="Arial" w:hAnsi="Arial" w:cs="Arial"/>
              </w:rPr>
              <w:t>B</w:t>
            </w:r>
          </w:p>
        </w:tc>
        <w:tc>
          <w:tcPr>
            <w:tcW w:w="1402" w:type="dxa"/>
          </w:tcPr>
          <w:p w14:paraId="35A2EFED" w14:textId="77777777" w:rsidR="00BB3861" w:rsidRDefault="00BB3861" w:rsidP="00BB3861">
            <w:pPr>
              <w:rPr>
                <w:rFonts w:ascii="Arial" w:hAnsi="Arial" w:cs="Arial"/>
              </w:rPr>
            </w:pPr>
            <w:r>
              <w:rPr>
                <w:rFonts w:ascii="Arial" w:hAnsi="Arial" w:cs="Arial"/>
              </w:rPr>
              <w:t xml:space="preserve">2 years </w:t>
            </w:r>
          </w:p>
        </w:tc>
        <w:tc>
          <w:tcPr>
            <w:tcW w:w="1405" w:type="dxa"/>
          </w:tcPr>
          <w:p w14:paraId="46DB257A" w14:textId="77777777" w:rsidR="00BB3861" w:rsidRDefault="00BB3861" w:rsidP="00BB3861">
            <w:pPr>
              <w:rPr>
                <w:rFonts w:ascii="Arial" w:hAnsi="Arial" w:cs="Arial"/>
              </w:rPr>
            </w:pPr>
            <w:r>
              <w:rPr>
                <w:rFonts w:ascii="Arial" w:hAnsi="Arial" w:cs="Arial"/>
              </w:rPr>
              <w:t>£2000</w:t>
            </w:r>
          </w:p>
        </w:tc>
        <w:tc>
          <w:tcPr>
            <w:tcW w:w="1401" w:type="dxa"/>
          </w:tcPr>
          <w:p w14:paraId="603983A6" w14:textId="77777777" w:rsidR="00BB3861" w:rsidRDefault="00BB3861" w:rsidP="00BB3861">
            <w:pPr>
              <w:rPr>
                <w:rFonts w:ascii="Arial" w:hAnsi="Arial" w:cs="Arial"/>
              </w:rPr>
            </w:pPr>
            <w:r>
              <w:rPr>
                <w:rFonts w:ascii="Arial" w:hAnsi="Arial" w:cs="Arial"/>
              </w:rPr>
              <w:t>3%</w:t>
            </w:r>
          </w:p>
        </w:tc>
        <w:tc>
          <w:tcPr>
            <w:tcW w:w="1402" w:type="dxa"/>
          </w:tcPr>
          <w:p w14:paraId="197C5857" w14:textId="77777777" w:rsidR="00BB3861" w:rsidRDefault="00BB3861" w:rsidP="00BB3861">
            <w:pPr>
              <w:rPr>
                <w:rFonts w:ascii="Arial" w:hAnsi="Arial" w:cs="Arial"/>
              </w:rPr>
            </w:pPr>
            <w:r>
              <w:rPr>
                <w:rFonts w:ascii="Arial" w:hAnsi="Arial" w:cs="Arial"/>
              </w:rPr>
              <w:t>0</w:t>
            </w:r>
          </w:p>
        </w:tc>
        <w:tc>
          <w:tcPr>
            <w:tcW w:w="1511" w:type="dxa"/>
          </w:tcPr>
          <w:p w14:paraId="5255BDB2" w14:textId="77777777" w:rsidR="00BB3861" w:rsidRDefault="00BB3861" w:rsidP="00BB3861">
            <w:pPr>
              <w:rPr>
                <w:rFonts w:ascii="Arial" w:hAnsi="Arial" w:cs="Arial"/>
              </w:rPr>
            </w:pPr>
            <w:r>
              <w:rPr>
                <w:rFonts w:ascii="Arial" w:hAnsi="Arial" w:cs="Arial"/>
              </w:rPr>
              <w:t xml:space="preserve">Subordinate </w:t>
            </w:r>
          </w:p>
        </w:tc>
      </w:tr>
      <w:tr w:rsidR="00BB3861" w14:paraId="660CE337" w14:textId="77777777" w:rsidTr="00BB3861">
        <w:tc>
          <w:tcPr>
            <w:tcW w:w="1395" w:type="dxa"/>
          </w:tcPr>
          <w:p w14:paraId="4F1CCCCA" w14:textId="77777777" w:rsidR="00BB3861" w:rsidRDefault="00BB3861" w:rsidP="00BB3861">
            <w:pPr>
              <w:rPr>
                <w:rFonts w:ascii="Arial" w:hAnsi="Arial" w:cs="Arial"/>
              </w:rPr>
            </w:pPr>
            <w:r>
              <w:rPr>
                <w:rFonts w:ascii="Arial" w:hAnsi="Arial" w:cs="Arial"/>
              </w:rPr>
              <w:t>C</w:t>
            </w:r>
          </w:p>
        </w:tc>
        <w:tc>
          <w:tcPr>
            <w:tcW w:w="1402" w:type="dxa"/>
          </w:tcPr>
          <w:p w14:paraId="1EE93455" w14:textId="77777777" w:rsidR="00BB3861" w:rsidRDefault="00BB3861" w:rsidP="00BB3861">
            <w:pPr>
              <w:rPr>
                <w:rFonts w:ascii="Arial" w:hAnsi="Arial" w:cs="Arial"/>
              </w:rPr>
            </w:pPr>
            <w:r>
              <w:rPr>
                <w:rFonts w:ascii="Arial" w:hAnsi="Arial" w:cs="Arial"/>
              </w:rPr>
              <w:t>5 years</w:t>
            </w:r>
          </w:p>
        </w:tc>
        <w:tc>
          <w:tcPr>
            <w:tcW w:w="1405" w:type="dxa"/>
          </w:tcPr>
          <w:p w14:paraId="73895746" w14:textId="77777777" w:rsidR="00BB3861" w:rsidRDefault="00BB3861" w:rsidP="00BB3861">
            <w:pPr>
              <w:rPr>
                <w:rFonts w:ascii="Arial" w:hAnsi="Arial" w:cs="Arial"/>
              </w:rPr>
            </w:pPr>
            <w:r>
              <w:rPr>
                <w:rFonts w:ascii="Arial" w:hAnsi="Arial" w:cs="Arial"/>
              </w:rPr>
              <w:t>£1000</w:t>
            </w:r>
          </w:p>
        </w:tc>
        <w:tc>
          <w:tcPr>
            <w:tcW w:w="1401" w:type="dxa"/>
          </w:tcPr>
          <w:p w14:paraId="76E613AF" w14:textId="77777777" w:rsidR="00BB3861" w:rsidRDefault="00BB3861" w:rsidP="00BB3861">
            <w:pPr>
              <w:rPr>
                <w:rFonts w:ascii="Arial" w:hAnsi="Arial" w:cs="Arial"/>
              </w:rPr>
            </w:pPr>
            <w:r>
              <w:rPr>
                <w:rFonts w:ascii="Arial" w:hAnsi="Arial" w:cs="Arial"/>
              </w:rPr>
              <w:t>5%</w:t>
            </w:r>
          </w:p>
        </w:tc>
        <w:tc>
          <w:tcPr>
            <w:tcW w:w="1402" w:type="dxa"/>
          </w:tcPr>
          <w:p w14:paraId="738E1922" w14:textId="77777777" w:rsidR="00BB3861" w:rsidRDefault="00BB3861" w:rsidP="00BB3861">
            <w:pPr>
              <w:rPr>
                <w:rFonts w:ascii="Arial" w:hAnsi="Arial" w:cs="Arial"/>
              </w:rPr>
            </w:pPr>
            <w:r>
              <w:rPr>
                <w:rFonts w:ascii="Arial" w:hAnsi="Arial" w:cs="Arial"/>
              </w:rPr>
              <w:t>30</w:t>
            </w:r>
          </w:p>
        </w:tc>
        <w:tc>
          <w:tcPr>
            <w:tcW w:w="1511" w:type="dxa"/>
          </w:tcPr>
          <w:p w14:paraId="2D67113C" w14:textId="77777777" w:rsidR="00BB3861" w:rsidRDefault="00BB3861" w:rsidP="00BB3861">
            <w:pPr>
              <w:rPr>
                <w:rFonts w:ascii="Arial" w:hAnsi="Arial" w:cs="Arial"/>
              </w:rPr>
            </w:pPr>
            <w:r>
              <w:rPr>
                <w:rFonts w:ascii="Arial" w:hAnsi="Arial" w:cs="Arial"/>
              </w:rPr>
              <w:t xml:space="preserve">Regular </w:t>
            </w:r>
          </w:p>
        </w:tc>
      </w:tr>
      <w:tr w:rsidR="00BB3861" w14:paraId="64A09812" w14:textId="77777777" w:rsidTr="00BB3861">
        <w:tc>
          <w:tcPr>
            <w:tcW w:w="1395" w:type="dxa"/>
          </w:tcPr>
          <w:p w14:paraId="1775AC92" w14:textId="77777777" w:rsidR="00BB3861" w:rsidRDefault="00BB3861" w:rsidP="00BB3861">
            <w:pPr>
              <w:rPr>
                <w:rFonts w:ascii="Arial" w:hAnsi="Arial" w:cs="Arial"/>
              </w:rPr>
            </w:pPr>
            <w:r>
              <w:rPr>
                <w:rFonts w:ascii="Arial" w:hAnsi="Arial" w:cs="Arial"/>
              </w:rPr>
              <w:t>D</w:t>
            </w:r>
          </w:p>
        </w:tc>
        <w:tc>
          <w:tcPr>
            <w:tcW w:w="1402" w:type="dxa"/>
          </w:tcPr>
          <w:p w14:paraId="186A0C9F" w14:textId="77777777" w:rsidR="00BB3861" w:rsidRDefault="00BB3861" w:rsidP="00BB3861">
            <w:pPr>
              <w:rPr>
                <w:rFonts w:ascii="Arial" w:hAnsi="Arial" w:cs="Arial"/>
              </w:rPr>
            </w:pPr>
            <w:r>
              <w:rPr>
                <w:rFonts w:ascii="Arial" w:hAnsi="Arial" w:cs="Arial"/>
              </w:rPr>
              <w:t>10 years</w:t>
            </w:r>
          </w:p>
        </w:tc>
        <w:tc>
          <w:tcPr>
            <w:tcW w:w="1405" w:type="dxa"/>
          </w:tcPr>
          <w:p w14:paraId="3772F05A" w14:textId="77777777" w:rsidR="00BB3861" w:rsidRDefault="00BB3861" w:rsidP="00BB3861">
            <w:pPr>
              <w:rPr>
                <w:rFonts w:ascii="Arial" w:hAnsi="Arial" w:cs="Arial"/>
              </w:rPr>
            </w:pPr>
            <w:r>
              <w:rPr>
                <w:rFonts w:ascii="Arial" w:hAnsi="Arial" w:cs="Arial"/>
              </w:rPr>
              <w:t>£1000</w:t>
            </w:r>
          </w:p>
        </w:tc>
        <w:tc>
          <w:tcPr>
            <w:tcW w:w="1401" w:type="dxa"/>
          </w:tcPr>
          <w:p w14:paraId="4F7B7633" w14:textId="77777777" w:rsidR="00BB3861" w:rsidRDefault="00BB3861" w:rsidP="00BB3861">
            <w:pPr>
              <w:rPr>
                <w:rFonts w:ascii="Arial" w:hAnsi="Arial" w:cs="Arial"/>
              </w:rPr>
            </w:pPr>
            <w:r>
              <w:rPr>
                <w:rFonts w:ascii="Arial" w:hAnsi="Arial" w:cs="Arial"/>
              </w:rPr>
              <w:t>5%</w:t>
            </w:r>
          </w:p>
        </w:tc>
        <w:tc>
          <w:tcPr>
            <w:tcW w:w="1402" w:type="dxa"/>
          </w:tcPr>
          <w:p w14:paraId="4E7263A2" w14:textId="77777777" w:rsidR="00BB3861" w:rsidRDefault="00BB3861" w:rsidP="00BB3861">
            <w:pPr>
              <w:rPr>
                <w:rFonts w:ascii="Arial" w:hAnsi="Arial" w:cs="Arial"/>
              </w:rPr>
            </w:pPr>
            <w:r>
              <w:rPr>
                <w:rFonts w:ascii="Arial" w:hAnsi="Arial" w:cs="Arial"/>
              </w:rPr>
              <w:t>30</w:t>
            </w:r>
          </w:p>
        </w:tc>
        <w:tc>
          <w:tcPr>
            <w:tcW w:w="1511" w:type="dxa"/>
          </w:tcPr>
          <w:p w14:paraId="15652747" w14:textId="77777777" w:rsidR="00BB3861" w:rsidRDefault="00BB3861" w:rsidP="00BB3861">
            <w:pPr>
              <w:rPr>
                <w:rFonts w:ascii="Arial" w:hAnsi="Arial" w:cs="Arial"/>
              </w:rPr>
            </w:pPr>
            <w:r>
              <w:rPr>
                <w:rFonts w:ascii="Arial" w:hAnsi="Arial" w:cs="Arial"/>
              </w:rPr>
              <w:t>Regular</w:t>
            </w:r>
          </w:p>
        </w:tc>
      </w:tr>
    </w:tbl>
    <w:p w14:paraId="61F543F3" w14:textId="25909C25" w:rsidR="00B347BC" w:rsidRDefault="00793FF4" w:rsidP="00AE0784">
      <w:pPr>
        <w:jc w:val="both"/>
        <w:rPr>
          <w:rFonts w:ascii="Arial" w:hAnsi="Arial" w:cs="Arial"/>
        </w:rPr>
      </w:pPr>
      <w:r>
        <w:rPr>
          <w:rFonts w:ascii="Arial" w:hAnsi="Arial" w:cs="Arial"/>
        </w:rPr>
        <w:t>In the above table the borrower have less money according to the calculated amount which is £200</w:t>
      </w:r>
      <w:r w:rsidR="00B347BC">
        <w:rPr>
          <w:rFonts w:ascii="Arial" w:hAnsi="Arial" w:cs="Arial"/>
        </w:rPr>
        <w:t xml:space="preserve"> to be receivable by the lender</w:t>
      </w:r>
      <w:r>
        <w:rPr>
          <w:rFonts w:ascii="Arial" w:hAnsi="Arial" w:cs="Arial"/>
        </w:rPr>
        <w:t xml:space="preserve"> but only have £100 to pay</w:t>
      </w:r>
      <w:r w:rsidR="00B347BC">
        <w:rPr>
          <w:rFonts w:ascii="Arial" w:hAnsi="Arial" w:cs="Arial"/>
        </w:rPr>
        <w:t xml:space="preserve"> the coupon rates to them</w:t>
      </w:r>
      <w:r>
        <w:rPr>
          <w:rFonts w:ascii="Arial" w:hAnsi="Arial" w:cs="Arial"/>
        </w:rPr>
        <w:t xml:space="preserve">, </w:t>
      </w:r>
      <w:r w:rsidR="006E59A1">
        <w:rPr>
          <w:rFonts w:ascii="Arial" w:hAnsi="Arial" w:cs="Arial"/>
        </w:rPr>
        <w:t>on the basis of the seniority holder A will</w:t>
      </w:r>
      <w:r w:rsidR="00B347BC">
        <w:rPr>
          <w:rFonts w:ascii="Arial" w:hAnsi="Arial" w:cs="Arial"/>
        </w:rPr>
        <w:t xml:space="preserve"> get full amount of coupon rate and others will be paid according to the money left behind on the basis of </w:t>
      </w:r>
      <w:r w:rsidR="00D5442B">
        <w:rPr>
          <w:rFonts w:ascii="Arial" w:hAnsi="Arial" w:cs="Arial"/>
        </w:rPr>
        <w:t>the rate except to the subordinate bonds.</w:t>
      </w:r>
      <w:r w:rsidR="000F6D5D">
        <w:rPr>
          <w:rFonts w:ascii="Arial" w:hAnsi="Arial" w:cs="Arial"/>
        </w:rPr>
        <w:t xml:space="preserve"> </w:t>
      </w:r>
      <w:r w:rsidR="00554C27">
        <w:rPr>
          <w:rFonts w:ascii="Arial" w:hAnsi="Arial" w:cs="Arial"/>
        </w:rPr>
        <w:t xml:space="preserve">There is various terminology for the bonds such as treasury bills, securities etc. Bonds that are issued for short-term are called treasury bills and issued for long-term are known as long-term treasury bonds. </w:t>
      </w:r>
      <w:r w:rsidR="00AE0784">
        <w:rPr>
          <w:rFonts w:ascii="Arial" w:hAnsi="Arial" w:cs="Arial"/>
        </w:rPr>
        <w:t xml:space="preserve">Bonds can be exchanged after issuing to the lender and later lender can sell that bond to another person and will get its money back with the coupon rate. </w:t>
      </w:r>
      <w:r w:rsidR="005F6949">
        <w:rPr>
          <w:rFonts w:ascii="Arial" w:hAnsi="Arial" w:cs="Arial"/>
        </w:rPr>
        <w:t>The bonds can also be converted into shares that are called convertible bonds. The</w:t>
      </w:r>
      <w:r w:rsidR="00104740">
        <w:rPr>
          <w:rFonts w:ascii="Arial" w:hAnsi="Arial" w:cs="Arial"/>
        </w:rPr>
        <w:t xml:space="preserve"> price of the shares is</w:t>
      </w:r>
      <w:r w:rsidR="005F6949">
        <w:rPr>
          <w:rFonts w:ascii="Arial" w:hAnsi="Arial" w:cs="Arial"/>
        </w:rPr>
        <w:t xml:space="preserve"> considered before converting it </w:t>
      </w:r>
      <w:r w:rsidR="00104740">
        <w:rPr>
          <w:rFonts w:ascii="Arial" w:hAnsi="Arial" w:cs="Arial"/>
        </w:rPr>
        <w:t xml:space="preserve">into shares, as the volatility of the market price depends on the index of the share market. </w:t>
      </w:r>
    </w:p>
    <w:p w14:paraId="13A06C64" w14:textId="77777777" w:rsidR="00FC18FB" w:rsidRDefault="00FC18FB" w:rsidP="00AE0784">
      <w:pPr>
        <w:jc w:val="both"/>
        <w:rPr>
          <w:rFonts w:ascii="Arial" w:hAnsi="Arial" w:cs="Arial"/>
        </w:rPr>
      </w:pPr>
    </w:p>
    <w:p w14:paraId="37C2F88E" w14:textId="77777777" w:rsidR="00104740" w:rsidRDefault="00104740" w:rsidP="00AE0784">
      <w:pPr>
        <w:jc w:val="both"/>
        <w:rPr>
          <w:rFonts w:ascii="Arial" w:hAnsi="Arial" w:cs="Arial"/>
        </w:rPr>
      </w:pPr>
    </w:p>
    <w:p w14:paraId="0C6AFD57" w14:textId="6B571F48" w:rsidR="00FC18FB" w:rsidRDefault="00FC18FB" w:rsidP="00AE0784">
      <w:pPr>
        <w:jc w:val="both"/>
        <w:rPr>
          <w:rFonts w:ascii="Arial" w:hAnsi="Arial" w:cs="Arial"/>
        </w:rPr>
      </w:pPr>
      <w:r>
        <w:rPr>
          <w:rFonts w:ascii="Arial" w:hAnsi="Arial" w:cs="Arial"/>
        </w:rPr>
        <w:t>PRICING OF BONDS</w:t>
      </w:r>
    </w:p>
    <w:p w14:paraId="13241C1C" w14:textId="77777777" w:rsidR="00FC18FB" w:rsidRDefault="00FC18FB" w:rsidP="00AE0784">
      <w:pPr>
        <w:jc w:val="both"/>
        <w:rPr>
          <w:rFonts w:ascii="Arial" w:hAnsi="Arial" w:cs="Arial"/>
        </w:rPr>
      </w:pPr>
    </w:p>
    <w:p w14:paraId="73308A92" w14:textId="5C2FEDFE" w:rsidR="005F6949" w:rsidRDefault="00FC18FB" w:rsidP="003E6F94">
      <w:pPr>
        <w:jc w:val="both"/>
        <w:rPr>
          <w:rFonts w:ascii="Arial" w:hAnsi="Arial" w:cs="Arial"/>
        </w:rPr>
      </w:pPr>
      <w:r>
        <w:rPr>
          <w:rFonts w:ascii="Arial" w:hAnsi="Arial" w:cs="Arial"/>
        </w:rPr>
        <w:t>Pricing of the bonds depends on the issuer of the bond that how much amount does one need to borrow and also decide the coupon rate on that security according to its affordability to pay the coupon rate as well as the principle amount at the maturity of the bond. Pricing of the bond should also consider the market price so that it is easy for the selling and purchasing of the bonds. Bonds can be issued at the premium as well as on discount to increase the supply o</w:t>
      </w:r>
      <w:r w:rsidR="00854255">
        <w:rPr>
          <w:rFonts w:ascii="Arial" w:hAnsi="Arial" w:cs="Arial"/>
        </w:rPr>
        <w:t>f the bond and also considering</w:t>
      </w:r>
      <w:r>
        <w:rPr>
          <w:rFonts w:ascii="Arial" w:hAnsi="Arial" w:cs="Arial"/>
        </w:rPr>
        <w:t xml:space="preserve"> the demands of the investors.</w:t>
      </w:r>
      <w:r w:rsidR="00710269">
        <w:rPr>
          <w:rFonts w:ascii="Arial" w:hAnsi="Arial" w:cs="Arial"/>
        </w:rPr>
        <w:t xml:space="preserve"> </w:t>
      </w:r>
      <w:r w:rsidR="00810813">
        <w:rPr>
          <w:rFonts w:ascii="Arial" w:hAnsi="Arial" w:cs="Arial"/>
        </w:rPr>
        <w:t>Issuing</w:t>
      </w:r>
      <w:r w:rsidR="00720378">
        <w:rPr>
          <w:rFonts w:ascii="Arial" w:hAnsi="Arial" w:cs="Arial"/>
        </w:rPr>
        <w:t xml:space="preserve"> of bonds is</w:t>
      </w:r>
      <w:r w:rsidR="00810813">
        <w:rPr>
          <w:rFonts w:ascii="Arial" w:hAnsi="Arial" w:cs="Arial"/>
        </w:rPr>
        <w:t xml:space="preserve"> on the basis of pull to </w:t>
      </w:r>
      <w:r w:rsidR="00720378">
        <w:rPr>
          <w:rFonts w:ascii="Arial" w:hAnsi="Arial" w:cs="Arial"/>
        </w:rPr>
        <w:t xml:space="preserve">maturity, pull to redemption or pull to par. </w:t>
      </w:r>
      <w:r w:rsidR="009122CA">
        <w:rPr>
          <w:rFonts w:ascii="Arial" w:hAnsi="Arial" w:cs="Arial"/>
        </w:rPr>
        <w:t xml:space="preserve">Bonds that are issued at discounts are usually called zero coupon bonds </w:t>
      </w:r>
      <w:r w:rsidR="00710269">
        <w:rPr>
          <w:rFonts w:ascii="Arial" w:hAnsi="Arial" w:cs="Arial"/>
        </w:rPr>
        <w:t xml:space="preserve">that are more risky to hold and upon maturity principle amount is returned alongside coupon payments. The internal rate of return for someone that is new to investing will be different from the coupon rate as the pricing for bonds will be different from its face value. </w:t>
      </w:r>
    </w:p>
    <w:p w14:paraId="5DF5D7FF" w14:textId="77777777" w:rsidR="005F6949" w:rsidRDefault="005F6949" w:rsidP="003E6F94">
      <w:pPr>
        <w:jc w:val="both"/>
        <w:rPr>
          <w:rFonts w:ascii="Arial" w:hAnsi="Arial" w:cs="Arial"/>
        </w:rPr>
      </w:pPr>
    </w:p>
    <w:p w14:paraId="19FA8D29" w14:textId="12C7F41F" w:rsidR="00B347BC" w:rsidRDefault="00ED7BE3" w:rsidP="003E6F94">
      <w:pPr>
        <w:jc w:val="both"/>
        <w:rPr>
          <w:rFonts w:ascii="Arial" w:hAnsi="Arial" w:cs="Arial"/>
        </w:rPr>
      </w:pPr>
      <w:r>
        <w:rPr>
          <w:rFonts w:ascii="Arial" w:hAnsi="Arial" w:cs="Arial"/>
        </w:rPr>
        <w:t xml:space="preserve">2007 was the start of a financial crisis that affected everyone </w:t>
      </w:r>
      <w:r w:rsidR="009912A0">
        <w:rPr>
          <w:rFonts w:ascii="Arial" w:hAnsi="Arial" w:cs="Arial"/>
        </w:rPr>
        <w:t>globally;</w:t>
      </w:r>
      <w:r>
        <w:rPr>
          <w:rFonts w:ascii="Arial" w:hAnsi="Arial" w:cs="Arial"/>
        </w:rPr>
        <w:t xml:space="preserve"> everyone was impacted whether it was </w:t>
      </w:r>
      <w:r w:rsidR="009912A0">
        <w:rPr>
          <w:rFonts w:ascii="Arial" w:hAnsi="Arial" w:cs="Arial"/>
        </w:rPr>
        <w:t>organisations</w:t>
      </w:r>
      <w:r>
        <w:rPr>
          <w:rFonts w:ascii="Arial" w:hAnsi="Arial" w:cs="Arial"/>
        </w:rPr>
        <w:t xml:space="preserve">, financial institutes or </w:t>
      </w:r>
      <w:r w:rsidR="009912A0">
        <w:rPr>
          <w:rFonts w:ascii="Arial" w:hAnsi="Arial" w:cs="Arial"/>
        </w:rPr>
        <w:t>consumers</w:t>
      </w:r>
      <w:r>
        <w:rPr>
          <w:rFonts w:ascii="Arial" w:hAnsi="Arial" w:cs="Arial"/>
        </w:rPr>
        <w:t xml:space="preserve"> as it heavily affected supply and demand. As a </w:t>
      </w:r>
      <w:r w:rsidR="009912A0">
        <w:rPr>
          <w:rFonts w:ascii="Arial" w:hAnsi="Arial" w:cs="Arial"/>
        </w:rPr>
        <w:t>result</w:t>
      </w:r>
      <w:r>
        <w:rPr>
          <w:rFonts w:ascii="Arial" w:hAnsi="Arial" w:cs="Arial"/>
        </w:rPr>
        <w:t xml:space="preserve"> financial institutes indorsed </w:t>
      </w:r>
      <w:r w:rsidR="009912A0">
        <w:rPr>
          <w:rFonts w:ascii="Arial" w:hAnsi="Arial" w:cs="Arial"/>
        </w:rPr>
        <w:t>‘</w:t>
      </w:r>
      <w:r>
        <w:rPr>
          <w:rFonts w:ascii="Arial" w:hAnsi="Arial" w:cs="Arial"/>
        </w:rPr>
        <w:t xml:space="preserve">non standard </w:t>
      </w:r>
      <w:r w:rsidR="009912A0">
        <w:rPr>
          <w:rFonts w:ascii="Arial" w:hAnsi="Arial" w:cs="Arial"/>
        </w:rPr>
        <w:t>monetary policy programs’. Risk in the financial market plays a very essential role, as it is important to consider the risk factors prior to investments. Risk factors like macro and micro factor of the economy.</w:t>
      </w:r>
      <w:r w:rsidR="003E6F94">
        <w:rPr>
          <w:rFonts w:ascii="Arial" w:hAnsi="Arial" w:cs="Arial"/>
        </w:rPr>
        <w:t xml:space="preserve"> Inflation rate is also a big risk factor in investing, as it will affect the coupon rate. If the risk involved in the bond is high then the price of that particular bond will be lower. </w:t>
      </w:r>
      <w:r w:rsidR="00752433">
        <w:rPr>
          <w:rFonts w:ascii="Arial" w:hAnsi="Arial" w:cs="Arial"/>
        </w:rPr>
        <w:t xml:space="preserve">If the companies issue bonds it will be beneficial for them as the interest is tax deductible there are very less covenants. It is an easy way to borrow money when it is difficult to borrow through directly through equities. </w:t>
      </w:r>
      <w:r w:rsidR="00720378">
        <w:rPr>
          <w:rFonts w:ascii="Arial" w:hAnsi="Arial" w:cs="Arial"/>
        </w:rPr>
        <w:t>It is also an advantage to borrow bonds from banks as it lower the legal documentation cost, flexible and</w:t>
      </w:r>
      <w:r w:rsidR="003524AF">
        <w:rPr>
          <w:rFonts w:ascii="Arial" w:hAnsi="Arial" w:cs="Arial"/>
        </w:rPr>
        <w:t xml:space="preserve"> is also available to small businesses. Banks needs to consider some factors of the borrower as it is honest and can afford to pay the coupon rate and the principle amount at the maturity of the bonds. </w:t>
      </w:r>
    </w:p>
    <w:p w14:paraId="1BECFDDD" w14:textId="77777777" w:rsidR="003524AF" w:rsidRDefault="003524AF" w:rsidP="003E6F94">
      <w:pPr>
        <w:jc w:val="both"/>
        <w:rPr>
          <w:rFonts w:ascii="Arial" w:hAnsi="Arial" w:cs="Arial"/>
        </w:rPr>
      </w:pPr>
    </w:p>
    <w:p w14:paraId="49C4D2C8" w14:textId="77777777" w:rsidR="002A581A" w:rsidRDefault="002A581A" w:rsidP="003E6F94">
      <w:pPr>
        <w:jc w:val="both"/>
        <w:rPr>
          <w:rFonts w:ascii="Arial" w:hAnsi="Arial" w:cs="Arial"/>
        </w:rPr>
      </w:pPr>
    </w:p>
    <w:p w14:paraId="6DD3CE64" w14:textId="64818655" w:rsidR="003524AF" w:rsidRDefault="003524AF" w:rsidP="003E6F94">
      <w:pPr>
        <w:jc w:val="both"/>
        <w:rPr>
          <w:rFonts w:ascii="Arial" w:hAnsi="Arial" w:cs="Arial"/>
        </w:rPr>
      </w:pPr>
      <w:r>
        <w:rPr>
          <w:rFonts w:ascii="Arial" w:hAnsi="Arial" w:cs="Arial"/>
        </w:rPr>
        <w:t>INTERNATIONAL TRADING OF BONDS</w:t>
      </w:r>
    </w:p>
    <w:p w14:paraId="71A1BAA0" w14:textId="77777777" w:rsidR="003524AF" w:rsidRDefault="003524AF" w:rsidP="003E6F94">
      <w:pPr>
        <w:jc w:val="both"/>
        <w:rPr>
          <w:rFonts w:ascii="Arial" w:hAnsi="Arial" w:cs="Arial"/>
        </w:rPr>
      </w:pPr>
    </w:p>
    <w:p w14:paraId="0D388CB9" w14:textId="77777777" w:rsidR="002A581A" w:rsidRPr="00F57EBF" w:rsidRDefault="002A581A" w:rsidP="002A581A">
      <w:pPr>
        <w:jc w:val="both"/>
        <w:rPr>
          <w:rFonts w:ascii="Arial" w:hAnsi="Arial" w:cs="Arial"/>
        </w:rPr>
      </w:pPr>
      <w:r w:rsidRPr="00F57EBF">
        <w:rPr>
          <w:rFonts w:ascii="Arial" w:hAnsi="Arial" w:cs="Arial"/>
        </w:rPr>
        <w:t xml:space="preserve">The markets for trading bonds are far greater and bigger than the stock market. Centralised institutes undertake a monetary policy within the bond markets. Trading takes place whether it is stocks or bonds on a daily basis and the amount of times it takes place is truly unknown as it is to that extent, thousands if not millions. This is an essential part of the economic markets globally. Each element has it part to play whether it be stocks, shares or bonds as this adds value to the markets globally. When trading bonds, whether it is a buyer or seller, they set a rate of return, a yield they seek; this then derives the cost of credit in the economy. They play a vital part in setting the yield their after as this further helps determine the cost of credit as mentioned.  Stocks that are traded in public are traded in stock exchanges and places of public trade. Bonds however are not, bonds are traded in an ‘over the counter’ market as opposed to a stock which is traded publically, this allows a lot more freedom when compared to stocks as it allows more flexibility with trading. </w:t>
      </w:r>
    </w:p>
    <w:p w14:paraId="4D7B5951" w14:textId="77777777" w:rsidR="002A581A" w:rsidRPr="00F57EBF" w:rsidRDefault="002A581A" w:rsidP="002A581A">
      <w:pPr>
        <w:jc w:val="both"/>
        <w:rPr>
          <w:rFonts w:ascii="Arial" w:hAnsi="Arial" w:cs="Arial"/>
        </w:rPr>
      </w:pPr>
    </w:p>
    <w:p w14:paraId="76EAA500" w14:textId="3D2DC8A7" w:rsidR="002A581A" w:rsidRPr="00F57EBF" w:rsidRDefault="002A581A" w:rsidP="002A581A">
      <w:pPr>
        <w:jc w:val="both"/>
        <w:rPr>
          <w:rFonts w:ascii="Arial" w:hAnsi="Arial" w:cs="Arial"/>
        </w:rPr>
      </w:pPr>
      <w:r w:rsidRPr="00F57EBF">
        <w:rPr>
          <w:rFonts w:ascii="Arial" w:hAnsi="Arial" w:cs="Arial"/>
        </w:rPr>
        <w:t xml:space="preserve">Bonds that are issued in foreign countries must comply with the rules and regulations of the country in which they are issued. There are various types of foreign bonds such as Samurai bonds, Yankee bonds (US), </w:t>
      </w:r>
      <w:r>
        <w:rPr>
          <w:rFonts w:ascii="Arial" w:hAnsi="Arial" w:cs="Arial"/>
        </w:rPr>
        <w:t xml:space="preserve">Bulldog bonds (UK), Maple bonds </w:t>
      </w:r>
      <w:r w:rsidRPr="00F57EBF">
        <w:rPr>
          <w:rFonts w:ascii="Arial" w:hAnsi="Arial" w:cs="Arial"/>
        </w:rPr>
        <w:t>(Canada).  The advantage of issuing bonds in a foreign country has several benefits for foreign players as it attracts new business and investors.  This could mean, a greater rate of return as the markets that operate in that country may offer a higher yield as opposed to the country the seller is operating in. this will further help in adding to the portfolio of new investments as well as venturing out in new market territory allowing for further expansion and attracting new players.  Foreign currency is also a vital element of this process, as the issuer will benefit from the fluctuations of the exchange rate as I am forever changing. This could then mean that the exchange rate can work in the favour of the investor as well as the seller. The investor would benefit if the exchange rate were lower as the money invested would mean a greater return resulting to higher profits. Whereas the investor would benefit from a higher run where their currency is doing greater so a win for both parties involved. A prime examp</w:t>
      </w:r>
      <w:r>
        <w:rPr>
          <w:rFonts w:ascii="Arial" w:hAnsi="Arial" w:cs="Arial"/>
        </w:rPr>
        <w:t>le of this would be, post BREXIT</w:t>
      </w:r>
      <w:r w:rsidRPr="00F57EBF">
        <w:rPr>
          <w:rFonts w:ascii="Arial" w:hAnsi="Arial" w:cs="Arial"/>
        </w:rPr>
        <w:t xml:space="preserve"> </w:t>
      </w:r>
      <w:r>
        <w:rPr>
          <w:rFonts w:ascii="Arial" w:hAnsi="Arial" w:cs="Arial"/>
        </w:rPr>
        <w:t>t</w:t>
      </w:r>
      <w:r w:rsidRPr="00F57EBF">
        <w:rPr>
          <w:rFonts w:ascii="Arial" w:hAnsi="Arial" w:cs="Arial"/>
        </w:rPr>
        <w:t>he sterling has got weaker which mean previously, £1 would give a return of 99 Indian rupees whereas now £1 would give 90-91 Indian rupees. A foreign investor from India may consider investing in sterling as they get a greater return whereas investing sterling in rupees may not be as beneficial.</w:t>
      </w:r>
      <w:r>
        <w:rPr>
          <w:rFonts w:ascii="Arial" w:hAnsi="Arial" w:cs="Arial"/>
        </w:rPr>
        <w:t xml:space="preserve"> </w:t>
      </w:r>
      <w:r w:rsidRPr="00F57EBF">
        <w:rPr>
          <w:rFonts w:ascii="Arial" w:hAnsi="Arial" w:cs="Arial"/>
        </w:rPr>
        <w:t xml:space="preserve">Foreign bonds can be utilised in aiding any foreign debts that arise from operations abroad. This is one of many benefits that aid an investor when considering trading bonds.  </w:t>
      </w:r>
    </w:p>
    <w:p w14:paraId="580B4E9B" w14:textId="77777777" w:rsidR="003524AF" w:rsidRDefault="003524AF" w:rsidP="003E6F94">
      <w:pPr>
        <w:jc w:val="both"/>
        <w:rPr>
          <w:rFonts w:ascii="Arial" w:hAnsi="Arial" w:cs="Arial"/>
        </w:rPr>
      </w:pPr>
    </w:p>
    <w:p w14:paraId="243FB740" w14:textId="77777777" w:rsidR="00542071" w:rsidRDefault="00542071" w:rsidP="003E6F94">
      <w:pPr>
        <w:jc w:val="both"/>
        <w:rPr>
          <w:rFonts w:ascii="Arial" w:hAnsi="Arial" w:cs="Arial"/>
        </w:rPr>
      </w:pPr>
    </w:p>
    <w:p w14:paraId="680C4A00" w14:textId="7F7EE7B4" w:rsidR="003524AF" w:rsidRDefault="003524AF" w:rsidP="003E6F94">
      <w:pPr>
        <w:jc w:val="both"/>
        <w:rPr>
          <w:rFonts w:ascii="Arial" w:hAnsi="Arial" w:cs="Arial"/>
        </w:rPr>
      </w:pPr>
      <w:r>
        <w:rPr>
          <w:rFonts w:ascii="Arial" w:hAnsi="Arial" w:cs="Arial"/>
        </w:rPr>
        <w:t>CONCLUSION</w:t>
      </w:r>
    </w:p>
    <w:p w14:paraId="09D94379" w14:textId="77777777" w:rsidR="003524AF" w:rsidRDefault="003524AF" w:rsidP="003E6F94">
      <w:pPr>
        <w:jc w:val="both"/>
        <w:rPr>
          <w:rFonts w:ascii="Arial" w:hAnsi="Arial" w:cs="Arial"/>
        </w:rPr>
      </w:pPr>
    </w:p>
    <w:p w14:paraId="63E66C56" w14:textId="7B993E42" w:rsidR="00F22C27" w:rsidRDefault="003524AF" w:rsidP="003E6F94">
      <w:pPr>
        <w:jc w:val="both"/>
        <w:rPr>
          <w:rFonts w:ascii="Arial" w:hAnsi="Arial" w:cs="Arial"/>
        </w:rPr>
      </w:pPr>
      <w:r>
        <w:rPr>
          <w:rFonts w:ascii="Arial" w:hAnsi="Arial" w:cs="Arial"/>
        </w:rPr>
        <w:t>It is to culminate that the abo</w:t>
      </w:r>
      <w:r w:rsidR="00F22C27">
        <w:rPr>
          <w:rFonts w:ascii="Arial" w:hAnsi="Arial" w:cs="Arial"/>
        </w:rPr>
        <w:t>ve analysis of the working of a</w:t>
      </w:r>
      <w:r>
        <w:rPr>
          <w:rFonts w:ascii="Arial" w:hAnsi="Arial" w:cs="Arial"/>
        </w:rPr>
        <w:t xml:space="preserve"> </w:t>
      </w:r>
      <w:r w:rsidR="00F22C27">
        <w:rPr>
          <w:rFonts w:ascii="Arial" w:hAnsi="Arial" w:cs="Arial"/>
        </w:rPr>
        <w:t>RBS and Santander Bank</w:t>
      </w:r>
      <w:r>
        <w:rPr>
          <w:rFonts w:ascii="Arial" w:hAnsi="Arial" w:cs="Arial"/>
        </w:rPr>
        <w:t xml:space="preserve"> is</w:t>
      </w:r>
      <w:r w:rsidR="00F22C27">
        <w:rPr>
          <w:rFonts w:ascii="Arial" w:hAnsi="Arial" w:cs="Arial"/>
        </w:rPr>
        <w:t xml:space="preserve"> to determine the financial ratios. These ratios provide information about the quality of assets and liquid assets available to both the banks so that it is easy to convert them into cash to pay their short-term liabilities. There are some contemporary issues in the banking sector that can affect the performance of the banks and BASEL 3 regulations according to which Banks has to disclose their information in depth so that an investor is able to understand the performance of the Bank and makes their decisions about investing. The above report also examines the functioning of the</w:t>
      </w:r>
      <w:r w:rsidR="002A581A">
        <w:rPr>
          <w:rFonts w:ascii="Arial" w:hAnsi="Arial" w:cs="Arial"/>
        </w:rPr>
        <w:t xml:space="preserve"> financial instrument like BONDS and how it is traded in the international market as well as how it is priced considering to the risk factors of the economy and availability of the funds to the borrower in the market.</w:t>
      </w:r>
      <w:r w:rsidR="00C07674">
        <w:rPr>
          <w:rFonts w:ascii="Arial" w:hAnsi="Arial" w:cs="Arial"/>
        </w:rPr>
        <w:t xml:space="preserve"> </w:t>
      </w:r>
      <w:r w:rsidR="002A581A">
        <w:rPr>
          <w:rFonts w:ascii="Arial" w:hAnsi="Arial" w:cs="Arial"/>
        </w:rPr>
        <w:t xml:space="preserve"> </w:t>
      </w:r>
    </w:p>
    <w:p w14:paraId="3C062993" w14:textId="77777777" w:rsidR="00B347BC" w:rsidRDefault="00B347BC">
      <w:pPr>
        <w:rPr>
          <w:rFonts w:ascii="Arial" w:hAnsi="Arial" w:cs="Arial"/>
        </w:rPr>
      </w:pPr>
    </w:p>
    <w:p w14:paraId="5375B169" w14:textId="77777777" w:rsidR="00B347BC" w:rsidRDefault="00B347BC">
      <w:pPr>
        <w:rPr>
          <w:rFonts w:ascii="Arial" w:hAnsi="Arial" w:cs="Arial"/>
        </w:rPr>
      </w:pPr>
    </w:p>
    <w:p w14:paraId="7F9AADD2" w14:textId="77777777" w:rsidR="00C07674" w:rsidRDefault="00C07674">
      <w:pPr>
        <w:rPr>
          <w:rFonts w:ascii="Arial" w:hAnsi="Arial" w:cs="Arial"/>
        </w:rPr>
      </w:pPr>
    </w:p>
    <w:p w14:paraId="6C0B504A" w14:textId="77777777" w:rsidR="00C07674" w:rsidRDefault="00C07674">
      <w:pPr>
        <w:rPr>
          <w:rFonts w:ascii="Arial" w:hAnsi="Arial" w:cs="Arial"/>
        </w:rPr>
      </w:pPr>
    </w:p>
    <w:p w14:paraId="09142298" w14:textId="77777777" w:rsidR="00C07674" w:rsidRDefault="00C07674">
      <w:pPr>
        <w:rPr>
          <w:rFonts w:ascii="Arial" w:hAnsi="Arial" w:cs="Arial"/>
        </w:rPr>
      </w:pPr>
    </w:p>
    <w:p w14:paraId="647FD07F" w14:textId="77777777" w:rsidR="00C07674" w:rsidRDefault="00C07674">
      <w:pPr>
        <w:rPr>
          <w:rFonts w:ascii="Arial" w:hAnsi="Arial" w:cs="Arial"/>
        </w:rPr>
      </w:pPr>
    </w:p>
    <w:p w14:paraId="166E8995" w14:textId="77777777" w:rsidR="00C07674" w:rsidRDefault="00C07674">
      <w:pPr>
        <w:rPr>
          <w:rFonts w:ascii="Arial" w:hAnsi="Arial" w:cs="Arial"/>
        </w:rPr>
      </w:pPr>
    </w:p>
    <w:p w14:paraId="29A0CCC2" w14:textId="77777777" w:rsidR="00C07674" w:rsidRDefault="00C07674">
      <w:pPr>
        <w:rPr>
          <w:rFonts w:ascii="Arial" w:hAnsi="Arial" w:cs="Arial"/>
        </w:rPr>
      </w:pPr>
    </w:p>
    <w:p w14:paraId="18DBE7B9" w14:textId="77777777" w:rsidR="00C07674" w:rsidRDefault="00C07674">
      <w:pPr>
        <w:rPr>
          <w:rFonts w:ascii="Arial" w:hAnsi="Arial" w:cs="Arial"/>
        </w:rPr>
      </w:pPr>
    </w:p>
    <w:p w14:paraId="4755755B" w14:textId="77777777" w:rsidR="00C07674" w:rsidRDefault="00C07674">
      <w:pPr>
        <w:rPr>
          <w:rFonts w:ascii="Arial" w:hAnsi="Arial" w:cs="Arial"/>
        </w:rPr>
      </w:pPr>
    </w:p>
    <w:p w14:paraId="3483F309" w14:textId="77777777" w:rsidR="00C07674" w:rsidRDefault="00C07674">
      <w:pPr>
        <w:rPr>
          <w:rFonts w:ascii="Arial" w:hAnsi="Arial" w:cs="Arial"/>
        </w:rPr>
      </w:pPr>
    </w:p>
    <w:p w14:paraId="450F64FB" w14:textId="77777777" w:rsidR="00C07674" w:rsidRDefault="00C07674">
      <w:pPr>
        <w:rPr>
          <w:rFonts w:ascii="Arial" w:hAnsi="Arial" w:cs="Arial"/>
        </w:rPr>
      </w:pPr>
    </w:p>
    <w:p w14:paraId="7AA1BA4F" w14:textId="77777777" w:rsidR="00C07674" w:rsidRDefault="00C07674">
      <w:pPr>
        <w:rPr>
          <w:rFonts w:ascii="Arial" w:hAnsi="Arial" w:cs="Arial"/>
        </w:rPr>
      </w:pPr>
    </w:p>
    <w:p w14:paraId="297573B1" w14:textId="77777777" w:rsidR="00C07674" w:rsidRDefault="00C07674">
      <w:pPr>
        <w:rPr>
          <w:rFonts w:ascii="Arial" w:hAnsi="Arial" w:cs="Arial"/>
        </w:rPr>
      </w:pPr>
    </w:p>
    <w:p w14:paraId="19E4250B" w14:textId="77777777" w:rsidR="00C07674" w:rsidRDefault="00C07674">
      <w:pPr>
        <w:rPr>
          <w:rFonts w:ascii="Arial" w:hAnsi="Arial" w:cs="Arial"/>
        </w:rPr>
      </w:pPr>
    </w:p>
    <w:p w14:paraId="606DE55F" w14:textId="77777777" w:rsidR="00C07674" w:rsidRDefault="00C07674">
      <w:pPr>
        <w:rPr>
          <w:rFonts w:ascii="Arial" w:hAnsi="Arial" w:cs="Arial"/>
        </w:rPr>
      </w:pPr>
    </w:p>
    <w:p w14:paraId="73054733" w14:textId="77777777" w:rsidR="00C07674" w:rsidRDefault="00C07674">
      <w:pPr>
        <w:rPr>
          <w:rFonts w:ascii="Arial" w:hAnsi="Arial" w:cs="Arial"/>
        </w:rPr>
      </w:pPr>
    </w:p>
    <w:p w14:paraId="2C8959A1" w14:textId="77777777" w:rsidR="00C07674" w:rsidRDefault="00C07674">
      <w:pPr>
        <w:rPr>
          <w:rFonts w:ascii="Arial" w:hAnsi="Arial" w:cs="Arial"/>
        </w:rPr>
      </w:pPr>
    </w:p>
    <w:p w14:paraId="2C4030C2" w14:textId="77777777" w:rsidR="00C07674" w:rsidRDefault="00C07674">
      <w:pPr>
        <w:rPr>
          <w:rFonts w:ascii="Arial" w:hAnsi="Arial" w:cs="Arial"/>
        </w:rPr>
      </w:pPr>
    </w:p>
    <w:p w14:paraId="359B4FF4" w14:textId="77777777" w:rsidR="00C07674" w:rsidRDefault="00C07674">
      <w:pPr>
        <w:rPr>
          <w:rFonts w:ascii="Arial" w:hAnsi="Arial" w:cs="Arial"/>
        </w:rPr>
      </w:pPr>
    </w:p>
    <w:p w14:paraId="22571670" w14:textId="77777777" w:rsidR="00C07674" w:rsidRDefault="00C07674">
      <w:pPr>
        <w:rPr>
          <w:rFonts w:ascii="Arial" w:hAnsi="Arial" w:cs="Arial"/>
        </w:rPr>
      </w:pPr>
    </w:p>
    <w:p w14:paraId="02049584" w14:textId="77777777" w:rsidR="00C07674" w:rsidRDefault="00C07674">
      <w:pPr>
        <w:rPr>
          <w:rFonts w:ascii="Arial" w:hAnsi="Arial" w:cs="Arial"/>
        </w:rPr>
      </w:pPr>
    </w:p>
    <w:p w14:paraId="04E89FBB" w14:textId="77777777" w:rsidR="00C07674" w:rsidRDefault="00C07674">
      <w:pPr>
        <w:rPr>
          <w:rFonts w:ascii="Arial" w:hAnsi="Arial" w:cs="Arial"/>
        </w:rPr>
      </w:pPr>
    </w:p>
    <w:p w14:paraId="6B4473F1" w14:textId="77777777" w:rsidR="00C07674" w:rsidRDefault="00C07674">
      <w:pPr>
        <w:rPr>
          <w:rFonts w:ascii="Arial" w:hAnsi="Arial" w:cs="Arial"/>
        </w:rPr>
      </w:pPr>
    </w:p>
    <w:p w14:paraId="3C20DF6D" w14:textId="77777777" w:rsidR="00C07674" w:rsidRDefault="00C07674">
      <w:pPr>
        <w:rPr>
          <w:rFonts w:ascii="Arial" w:hAnsi="Arial" w:cs="Arial"/>
        </w:rPr>
      </w:pPr>
    </w:p>
    <w:p w14:paraId="54281F1B" w14:textId="77777777" w:rsidR="00C07674" w:rsidRDefault="00C07674">
      <w:pPr>
        <w:rPr>
          <w:rFonts w:ascii="Arial" w:hAnsi="Arial" w:cs="Arial"/>
        </w:rPr>
      </w:pPr>
    </w:p>
    <w:p w14:paraId="223E25BA" w14:textId="77777777" w:rsidR="00C07674" w:rsidRDefault="00C07674">
      <w:pPr>
        <w:rPr>
          <w:rFonts w:ascii="Arial" w:hAnsi="Arial" w:cs="Arial"/>
        </w:rPr>
      </w:pPr>
    </w:p>
    <w:p w14:paraId="453A1F05" w14:textId="77777777" w:rsidR="00C07674" w:rsidRDefault="00C07674">
      <w:pPr>
        <w:rPr>
          <w:rFonts w:ascii="Arial" w:hAnsi="Arial" w:cs="Arial"/>
        </w:rPr>
      </w:pPr>
    </w:p>
    <w:p w14:paraId="61C4E379" w14:textId="77777777" w:rsidR="00C07674" w:rsidRDefault="00C07674">
      <w:pPr>
        <w:rPr>
          <w:rFonts w:ascii="Arial" w:hAnsi="Arial" w:cs="Arial"/>
        </w:rPr>
      </w:pPr>
    </w:p>
    <w:p w14:paraId="59577EEF" w14:textId="77777777" w:rsidR="00C07674" w:rsidRDefault="00C07674">
      <w:pPr>
        <w:rPr>
          <w:rFonts w:ascii="Arial" w:hAnsi="Arial" w:cs="Arial"/>
        </w:rPr>
      </w:pPr>
    </w:p>
    <w:p w14:paraId="0CAD78D5" w14:textId="77777777" w:rsidR="00C07674" w:rsidRDefault="00C07674">
      <w:pPr>
        <w:rPr>
          <w:rFonts w:ascii="Arial" w:hAnsi="Arial" w:cs="Arial"/>
        </w:rPr>
      </w:pPr>
    </w:p>
    <w:p w14:paraId="76014D55" w14:textId="77777777" w:rsidR="00C07674" w:rsidRDefault="00C07674">
      <w:pPr>
        <w:rPr>
          <w:rFonts w:ascii="Arial" w:hAnsi="Arial" w:cs="Arial"/>
        </w:rPr>
      </w:pPr>
    </w:p>
    <w:p w14:paraId="2B009A6F" w14:textId="77777777" w:rsidR="00C07674" w:rsidRDefault="00C07674">
      <w:pPr>
        <w:rPr>
          <w:rFonts w:ascii="Arial" w:hAnsi="Arial" w:cs="Arial"/>
        </w:rPr>
      </w:pPr>
    </w:p>
    <w:p w14:paraId="5131652C" w14:textId="77777777" w:rsidR="00C07674" w:rsidRDefault="00C07674">
      <w:pPr>
        <w:rPr>
          <w:rFonts w:ascii="Arial" w:hAnsi="Arial" w:cs="Arial"/>
        </w:rPr>
      </w:pPr>
    </w:p>
    <w:p w14:paraId="6F032272" w14:textId="77777777" w:rsidR="00C07674" w:rsidRDefault="00C07674">
      <w:pPr>
        <w:rPr>
          <w:rFonts w:ascii="Arial" w:hAnsi="Arial" w:cs="Arial"/>
        </w:rPr>
      </w:pPr>
    </w:p>
    <w:p w14:paraId="664D6AF8" w14:textId="77777777" w:rsidR="00C07674" w:rsidRDefault="00C07674">
      <w:pPr>
        <w:rPr>
          <w:rFonts w:ascii="Arial" w:hAnsi="Arial" w:cs="Arial"/>
        </w:rPr>
      </w:pPr>
    </w:p>
    <w:p w14:paraId="430D9A2A" w14:textId="77777777" w:rsidR="00C07674" w:rsidRDefault="00C07674">
      <w:pPr>
        <w:rPr>
          <w:rFonts w:ascii="Arial" w:hAnsi="Arial" w:cs="Arial"/>
        </w:rPr>
      </w:pPr>
    </w:p>
    <w:p w14:paraId="7BE01093" w14:textId="77777777" w:rsidR="00C07674" w:rsidRDefault="00C07674">
      <w:pPr>
        <w:rPr>
          <w:rFonts w:ascii="Arial" w:hAnsi="Arial" w:cs="Arial"/>
        </w:rPr>
      </w:pPr>
    </w:p>
    <w:p w14:paraId="5DE8D701" w14:textId="77777777" w:rsidR="00C07674" w:rsidRDefault="00C07674">
      <w:pPr>
        <w:rPr>
          <w:rFonts w:ascii="Arial" w:hAnsi="Arial" w:cs="Arial"/>
        </w:rPr>
      </w:pPr>
    </w:p>
    <w:p w14:paraId="488D2817" w14:textId="77777777" w:rsidR="00C07674" w:rsidRDefault="00C07674">
      <w:pPr>
        <w:rPr>
          <w:rFonts w:ascii="Arial" w:hAnsi="Arial" w:cs="Arial"/>
        </w:rPr>
      </w:pPr>
    </w:p>
    <w:p w14:paraId="6A47D551" w14:textId="77777777" w:rsidR="00C07674" w:rsidRDefault="00C07674">
      <w:pPr>
        <w:rPr>
          <w:rFonts w:ascii="Arial" w:hAnsi="Arial" w:cs="Arial"/>
        </w:rPr>
      </w:pPr>
    </w:p>
    <w:p w14:paraId="60CF71E5" w14:textId="77777777" w:rsidR="00C07674" w:rsidRDefault="00C07674">
      <w:pPr>
        <w:rPr>
          <w:rFonts w:ascii="Arial" w:hAnsi="Arial" w:cs="Arial"/>
        </w:rPr>
      </w:pPr>
    </w:p>
    <w:p w14:paraId="1151467F" w14:textId="77777777" w:rsidR="00C07674" w:rsidRDefault="00C07674">
      <w:pPr>
        <w:rPr>
          <w:rFonts w:ascii="Arial" w:hAnsi="Arial" w:cs="Arial"/>
        </w:rPr>
      </w:pPr>
    </w:p>
    <w:p w14:paraId="760A239D" w14:textId="77777777" w:rsidR="00C07674" w:rsidRDefault="00C07674">
      <w:pPr>
        <w:rPr>
          <w:rFonts w:ascii="Arial" w:hAnsi="Arial" w:cs="Arial"/>
        </w:rPr>
      </w:pPr>
    </w:p>
    <w:p w14:paraId="7E05480D" w14:textId="77777777" w:rsidR="00C07674" w:rsidRDefault="00C07674">
      <w:pPr>
        <w:rPr>
          <w:rFonts w:ascii="Arial" w:hAnsi="Arial" w:cs="Arial"/>
        </w:rPr>
      </w:pPr>
    </w:p>
    <w:p w14:paraId="2BAA0B0B" w14:textId="77777777" w:rsidR="00C07674" w:rsidRDefault="00C07674">
      <w:pPr>
        <w:rPr>
          <w:rFonts w:ascii="Arial" w:hAnsi="Arial" w:cs="Arial"/>
        </w:rPr>
      </w:pPr>
    </w:p>
    <w:p w14:paraId="35766343" w14:textId="77777777" w:rsidR="00C07674" w:rsidRDefault="00C07674">
      <w:pPr>
        <w:rPr>
          <w:rFonts w:ascii="Arial" w:hAnsi="Arial" w:cs="Arial"/>
        </w:rPr>
      </w:pPr>
    </w:p>
    <w:p w14:paraId="55F171DC" w14:textId="77777777" w:rsidR="00D21AFE" w:rsidRDefault="00D21AFE">
      <w:pPr>
        <w:rPr>
          <w:rFonts w:ascii="Arial" w:hAnsi="Arial" w:cs="Arial"/>
        </w:rPr>
      </w:pPr>
      <w:r>
        <w:rPr>
          <w:rFonts w:ascii="Arial" w:hAnsi="Arial" w:cs="Arial"/>
        </w:rPr>
        <w:t>BIBLIOGRAPHY</w:t>
      </w:r>
    </w:p>
    <w:p w14:paraId="61578357" w14:textId="31F802A1" w:rsidR="009F4B31" w:rsidRDefault="009F4B31">
      <w:pPr>
        <w:rPr>
          <w:rFonts w:ascii="Arial" w:hAnsi="Arial" w:cs="Arial"/>
        </w:rPr>
      </w:pPr>
    </w:p>
    <w:p w14:paraId="05900225" w14:textId="390E12F0" w:rsidR="008D69FE" w:rsidRDefault="00207BF1" w:rsidP="00403D6B">
      <w:pPr>
        <w:jc w:val="both"/>
        <w:rPr>
          <w:rFonts w:ascii="Arial" w:hAnsi="Arial" w:cs="Arial"/>
        </w:rPr>
      </w:pPr>
      <w:hyperlink r:id="rId7" w:history="1">
        <w:r w:rsidR="008D69FE" w:rsidRPr="006A6132">
          <w:rPr>
            <w:rStyle w:val="Hyperlink"/>
            <w:rFonts w:ascii="Arial" w:hAnsi="Arial" w:cs="Arial"/>
          </w:rPr>
          <w:t>https://www.rbs.com/rbs/our-brands/royal-bank-of-scotland.html</w:t>
        </w:r>
      </w:hyperlink>
    </w:p>
    <w:p w14:paraId="3C558454" w14:textId="77777777" w:rsidR="008D69FE" w:rsidRDefault="008D69FE" w:rsidP="00403D6B">
      <w:pPr>
        <w:jc w:val="both"/>
        <w:rPr>
          <w:rFonts w:ascii="Arial" w:hAnsi="Arial" w:cs="Arial"/>
        </w:rPr>
      </w:pPr>
    </w:p>
    <w:p w14:paraId="4C5ACFAC" w14:textId="337E0203" w:rsidR="00B57841" w:rsidRDefault="00207BF1" w:rsidP="00403D6B">
      <w:pPr>
        <w:jc w:val="both"/>
        <w:rPr>
          <w:rFonts w:ascii="Arial" w:hAnsi="Arial" w:cs="Arial"/>
        </w:rPr>
      </w:pPr>
      <w:hyperlink r:id="rId8" w:history="1">
        <w:r w:rsidR="00B57841" w:rsidRPr="006A6132">
          <w:rPr>
            <w:rStyle w:val="Hyperlink"/>
            <w:rFonts w:ascii="Arial" w:hAnsi="Arial" w:cs="Arial"/>
          </w:rPr>
          <w:t>https://www.santander.co.uk/uk/about-santander-uk/about-us/our-history</w:t>
        </w:r>
      </w:hyperlink>
    </w:p>
    <w:p w14:paraId="7AE3A672" w14:textId="77777777" w:rsidR="00B57841" w:rsidRDefault="00B57841" w:rsidP="00403D6B">
      <w:pPr>
        <w:jc w:val="both"/>
        <w:rPr>
          <w:rFonts w:ascii="Arial" w:hAnsi="Arial" w:cs="Arial"/>
        </w:rPr>
      </w:pPr>
    </w:p>
    <w:p w14:paraId="04200522" w14:textId="77777777" w:rsidR="00B57841" w:rsidRDefault="00B57841" w:rsidP="00403D6B">
      <w:pPr>
        <w:jc w:val="both"/>
        <w:rPr>
          <w:rFonts w:ascii="Arial" w:hAnsi="Arial" w:cs="Arial"/>
        </w:rPr>
      </w:pPr>
    </w:p>
    <w:p w14:paraId="37C26495" w14:textId="77777777" w:rsidR="008D69FE" w:rsidRDefault="008D69FE" w:rsidP="00403D6B">
      <w:pPr>
        <w:jc w:val="both"/>
        <w:rPr>
          <w:rFonts w:ascii="Arial" w:hAnsi="Arial" w:cs="Arial"/>
        </w:rPr>
      </w:pPr>
    </w:p>
    <w:p w14:paraId="1289B681" w14:textId="7F06B8F9" w:rsidR="009F4B31" w:rsidRDefault="009F4B31" w:rsidP="00403D6B">
      <w:pPr>
        <w:jc w:val="both"/>
        <w:rPr>
          <w:rFonts w:ascii="Arial" w:hAnsi="Arial" w:cs="Arial"/>
        </w:rPr>
      </w:pPr>
      <w:r>
        <w:rPr>
          <w:rFonts w:ascii="Arial" w:hAnsi="Arial" w:cs="Arial"/>
        </w:rPr>
        <w:t>Financial statement</w:t>
      </w:r>
    </w:p>
    <w:p w14:paraId="3FF32B0F" w14:textId="77777777" w:rsidR="009F4B31" w:rsidRDefault="009F4B31" w:rsidP="00403D6B">
      <w:pPr>
        <w:jc w:val="both"/>
        <w:rPr>
          <w:rFonts w:ascii="Arial" w:hAnsi="Arial" w:cs="Arial"/>
        </w:rPr>
      </w:pPr>
    </w:p>
    <w:p w14:paraId="51F62EF6" w14:textId="77777777" w:rsidR="00D21AFE" w:rsidRDefault="00207BF1" w:rsidP="00403D6B">
      <w:pPr>
        <w:jc w:val="both"/>
        <w:rPr>
          <w:rFonts w:ascii="Arial" w:hAnsi="Arial" w:cs="Arial"/>
        </w:rPr>
      </w:pPr>
      <w:hyperlink r:id="rId9" w:history="1">
        <w:r w:rsidR="00D21AFE" w:rsidRPr="00D73B8A">
          <w:rPr>
            <w:rStyle w:val="Hyperlink"/>
            <w:rFonts w:ascii="Arial" w:hAnsi="Arial" w:cs="Arial"/>
          </w:rPr>
          <w:t>https://investors.rbs.com/~/media/Files/R/RBS-IR/results-center/annual-report-2017.pdf</w:t>
        </w:r>
      </w:hyperlink>
    </w:p>
    <w:p w14:paraId="6C7461AA" w14:textId="77777777" w:rsidR="00D21AFE" w:rsidRDefault="00D21AFE" w:rsidP="00403D6B">
      <w:pPr>
        <w:jc w:val="both"/>
        <w:rPr>
          <w:rFonts w:ascii="Arial" w:hAnsi="Arial" w:cs="Arial"/>
        </w:rPr>
      </w:pPr>
    </w:p>
    <w:p w14:paraId="47D3AFD7" w14:textId="77777777" w:rsidR="00D21AFE" w:rsidRDefault="00207BF1" w:rsidP="00403D6B">
      <w:pPr>
        <w:jc w:val="both"/>
        <w:rPr>
          <w:rFonts w:ascii="Arial" w:hAnsi="Arial" w:cs="Arial"/>
        </w:rPr>
      </w:pPr>
      <w:hyperlink r:id="rId10" w:history="1">
        <w:r w:rsidR="00D21AFE" w:rsidRPr="00D73B8A">
          <w:rPr>
            <w:rStyle w:val="Hyperlink"/>
            <w:rFonts w:ascii="Arial" w:hAnsi="Arial" w:cs="Arial"/>
          </w:rPr>
          <w:t>https://investors.rbs.com/~/media/Files/R/RBS-IR/results-center/annual-report-2015.pdf</w:t>
        </w:r>
      </w:hyperlink>
    </w:p>
    <w:p w14:paraId="1F0DB954" w14:textId="77777777" w:rsidR="00D21AFE" w:rsidRDefault="00D21AFE" w:rsidP="00403D6B">
      <w:pPr>
        <w:jc w:val="both"/>
        <w:rPr>
          <w:rFonts w:ascii="Arial" w:hAnsi="Arial" w:cs="Arial"/>
        </w:rPr>
      </w:pPr>
    </w:p>
    <w:p w14:paraId="6C1BE6B0" w14:textId="560C9B50" w:rsidR="003D4A07" w:rsidRDefault="00207BF1" w:rsidP="00403D6B">
      <w:pPr>
        <w:jc w:val="both"/>
        <w:rPr>
          <w:rFonts w:ascii="Arial" w:hAnsi="Arial" w:cs="Arial"/>
        </w:rPr>
      </w:pPr>
      <w:hyperlink r:id="rId11" w:history="1">
        <w:r w:rsidR="003D4A07" w:rsidRPr="00D73B8A">
          <w:rPr>
            <w:rStyle w:val="Hyperlink"/>
            <w:rFonts w:ascii="Arial" w:hAnsi="Arial" w:cs="Arial"/>
          </w:rPr>
          <w:t>https://www.santander.co.uk/csdlvlr/BlobServer?blobtable=MungoBlobs&amp;blobkey=id&amp;blobcol=urldata&amp;blobheader=application%2Fpdf&amp;blobheadervalue1=inline%3Bfilename%3DSantander+UK+Group+Holdings+plc+2017+Annual+Report+-+HoldCo-lr.pdf&amp;blobwhere=1314024784728&amp;blobheadername1=Content-Disposition</w:t>
        </w:r>
      </w:hyperlink>
    </w:p>
    <w:p w14:paraId="14C6DE14" w14:textId="77777777" w:rsidR="003D4A07" w:rsidRDefault="003D4A07" w:rsidP="00403D6B">
      <w:pPr>
        <w:jc w:val="both"/>
        <w:rPr>
          <w:rFonts w:ascii="Arial" w:hAnsi="Arial" w:cs="Arial"/>
        </w:rPr>
      </w:pPr>
    </w:p>
    <w:p w14:paraId="3CAF2933" w14:textId="376B1768" w:rsidR="003D4A07" w:rsidRDefault="00207BF1" w:rsidP="00403D6B">
      <w:pPr>
        <w:jc w:val="both"/>
        <w:rPr>
          <w:rFonts w:ascii="Arial" w:hAnsi="Arial" w:cs="Arial"/>
        </w:rPr>
      </w:pPr>
      <w:hyperlink r:id="rId12" w:history="1">
        <w:r w:rsidR="003D4A07" w:rsidRPr="00D73B8A">
          <w:rPr>
            <w:rStyle w:val="Hyperlink"/>
            <w:rFonts w:ascii="Arial" w:hAnsi="Arial" w:cs="Arial"/>
          </w:rPr>
          <w:t>https://www.santander.co.uk/csdlvlr/BlobServer?blobtable=MungoBlobs&amp;blobkey=id&amp;blobcol=urldata&amp;blobheader=application%2Fpdf&amp;blobheadervalue1=inline%3Bfilename%3DSantander_UK_Group_Holdings_plc_2014_Annual_Report--.pdf&amp;blobwhere=1314023552495&amp;blobheadername1=Content-Disposition</w:t>
        </w:r>
      </w:hyperlink>
    </w:p>
    <w:p w14:paraId="06ED2FD2" w14:textId="77777777" w:rsidR="003D4A07" w:rsidRDefault="003D4A07" w:rsidP="00403D6B">
      <w:pPr>
        <w:jc w:val="both"/>
        <w:rPr>
          <w:rFonts w:ascii="Arial" w:hAnsi="Arial" w:cs="Arial"/>
        </w:rPr>
      </w:pPr>
    </w:p>
    <w:p w14:paraId="226DD244" w14:textId="7CAB5AEF" w:rsidR="003D4A07" w:rsidRDefault="009F4B31" w:rsidP="00403D6B">
      <w:pPr>
        <w:jc w:val="both"/>
        <w:rPr>
          <w:rFonts w:ascii="Arial" w:hAnsi="Arial" w:cs="Arial"/>
        </w:rPr>
      </w:pPr>
      <w:r>
        <w:rPr>
          <w:rFonts w:ascii="Arial" w:hAnsi="Arial" w:cs="Arial"/>
        </w:rPr>
        <w:t>BASEL 3 statements</w:t>
      </w:r>
    </w:p>
    <w:p w14:paraId="6EC7A900" w14:textId="77777777" w:rsidR="009F4B31" w:rsidRDefault="009F4B31" w:rsidP="00403D6B">
      <w:pPr>
        <w:jc w:val="both"/>
        <w:rPr>
          <w:rFonts w:ascii="Arial" w:hAnsi="Arial" w:cs="Arial"/>
        </w:rPr>
      </w:pPr>
    </w:p>
    <w:p w14:paraId="54CC7F6E" w14:textId="36754983" w:rsidR="009F4B31" w:rsidRDefault="00207BF1" w:rsidP="00403D6B">
      <w:pPr>
        <w:jc w:val="both"/>
        <w:rPr>
          <w:rFonts w:ascii="Arial" w:hAnsi="Arial" w:cs="Arial"/>
        </w:rPr>
      </w:pPr>
      <w:hyperlink r:id="rId13" w:history="1">
        <w:r w:rsidR="009F4B31" w:rsidRPr="00D73B8A">
          <w:rPr>
            <w:rStyle w:val="Hyperlink"/>
            <w:rFonts w:ascii="Arial" w:hAnsi="Arial" w:cs="Arial"/>
          </w:rPr>
          <w:t>https://investors.rbs.com/~/media/Files/R/RBS-IR/results-center/23-02-2018/pillar3-report-23022018.pdf</w:t>
        </w:r>
      </w:hyperlink>
    </w:p>
    <w:p w14:paraId="6745A2E5" w14:textId="77777777" w:rsidR="009F4B31" w:rsidRDefault="009F4B31" w:rsidP="00403D6B">
      <w:pPr>
        <w:jc w:val="both"/>
        <w:rPr>
          <w:rFonts w:ascii="Arial" w:hAnsi="Arial" w:cs="Arial"/>
        </w:rPr>
      </w:pPr>
    </w:p>
    <w:p w14:paraId="4C91FAF5" w14:textId="1BB29E6C" w:rsidR="009F4B31" w:rsidRDefault="00207BF1" w:rsidP="00403D6B">
      <w:pPr>
        <w:jc w:val="both"/>
        <w:rPr>
          <w:rFonts w:ascii="Arial" w:hAnsi="Arial" w:cs="Arial"/>
        </w:rPr>
      </w:pPr>
      <w:hyperlink r:id="rId14" w:history="1">
        <w:r w:rsidR="00950C71" w:rsidRPr="00D73B8A">
          <w:rPr>
            <w:rStyle w:val="Hyperlink"/>
            <w:rFonts w:ascii="Arial" w:hAnsi="Arial" w:cs="Arial"/>
          </w:rPr>
          <w:t>https://www.rbs.com/content/dam/rbs_com/rbs/PDFs/worldwide-locations/Poland/RBS_Group_pillar3_2015_english.pdf</w:t>
        </w:r>
      </w:hyperlink>
    </w:p>
    <w:p w14:paraId="7A20ACD2" w14:textId="77777777" w:rsidR="00950C71" w:rsidRDefault="00950C71" w:rsidP="00403D6B">
      <w:pPr>
        <w:jc w:val="both"/>
        <w:rPr>
          <w:rFonts w:ascii="Arial" w:hAnsi="Arial" w:cs="Arial"/>
        </w:rPr>
      </w:pPr>
    </w:p>
    <w:p w14:paraId="2E745A3F" w14:textId="462541E7" w:rsidR="00950C71" w:rsidRDefault="00207BF1" w:rsidP="00403D6B">
      <w:pPr>
        <w:jc w:val="both"/>
        <w:rPr>
          <w:rFonts w:ascii="Arial" w:hAnsi="Arial" w:cs="Arial"/>
        </w:rPr>
      </w:pPr>
      <w:hyperlink r:id="rId15" w:history="1">
        <w:r w:rsidR="00481395" w:rsidRPr="00D73B8A">
          <w:rPr>
            <w:rStyle w:val="Hyperlink"/>
            <w:rFonts w:ascii="Arial" w:hAnsi="Arial" w:cs="Arial"/>
          </w:rPr>
          <w:t>https://investors.rbs.com/~/media/Files/R/RBS-IR/2014-reports/pillar-3-report-2014-v2.pdf</w:t>
        </w:r>
      </w:hyperlink>
    </w:p>
    <w:p w14:paraId="293E5E58" w14:textId="77777777" w:rsidR="00481395" w:rsidRDefault="00481395" w:rsidP="00403D6B">
      <w:pPr>
        <w:jc w:val="both"/>
        <w:rPr>
          <w:rFonts w:ascii="Arial" w:hAnsi="Arial" w:cs="Arial"/>
        </w:rPr>
      </w:pPr>
    </w:p>
    <w:p w14:paraId="50998FCA" w14:textId="77777777" w:rsidR="00AA0A99" w:rsidRDefault="00207BF1" w:rsidP="00403D6B">
      <w:pPr>
        <w:jc w:val="both"/>
        <w:rPr>
          <w:rFonts w:ascii="Arial" w:hAnsi="Arial" w:cs="Arial"/>
        </w:rPr>
      </w:pPr>
      <w:hyperlink r:id="rId16" w:history="1">
        <w:r w:rsidR="00AA0A99" w:rsidRPr="00D34DAF">
          <w:rPr>
            <w:rStyle w:val="Hyperlink"/>
            <w:rFonts w:ascii="Arial" w:hAnsi="Arial" w:cs="Arial"/>
          </w:rPr>
          <w:t>https://investors.rbs.com/~/media/Files/R/RBS-IR/results-center/q4_results-26-Feb-2016.pdf</w:t>
        </w:r>
      </w:hyperlink>
    </w:p>
    <w:p w14:paraId="1E5E0BD8" w14:textId="77777777" w:rsidR="00481395" w:rsidRDefault="00481395" w:rsidP="00403D6B">
      <w:pPr>
        <w:jc w:val="both"/>
        <w:rPr>
          <w:rFonts w:ascii="Arial" w:hAnsi="Arial" w:cs="Arial"/>
        </w:rPr>
      </w:pPr>
    </w:p>
    <w:p w14:paraId="48068ABD" w14:textId="5E4E93BD" w:rsidR="00A759F8" w:rsidRPr="00403D6B" w:rsidRDefault="00207BF1" w:rsidP="00403D6B">
      <w:pPr>
        <w:jc w:val="both"/>
        <w:rPr>
          <w:rFonts w:ascii="Arial" w:hAnsi="Arial" w:cs="Arial"/>
        </w:rPr>
      </w:pPr>
      <w:hyperlink r:id="rId17" w:history="1">
        <w:r w:rsidR="00A759F8" w:rsidRPr="00D73B8A">
          <w:rPr>
            <w:rStyle w:val="Hyperlink"/>
            <w:rFonts w:ascii="Arial" w:hAnsi="Arial" w:cs="Arial"/>
          </w:rPr>
          <w:t>https://www.santander.co.uk/csdlvlr/BlobServer?blobtable=MungoBlobs&amp;blobkey=id&amp;blobcol=urldata&amp;blobheader=application%2Fpdf&amp;blobheadervalue1=inline%3Bfilename%3D2017+Additional+Capital+and+Risk+Management+Disclosures.pdf&amp;blobwhere=1314024784753&amp;blobheadername1=Content-Disposition</w:t>
        </w:r>
      </w:hyperlink>
    </w:p>
    <w:p w14:paraId="5B0B9AD4" w14:textId="77777777" w:rsidR="00A759F8" w:rsidRDefault="00A759F8">
      <w:pPr>
        <w:rPr>
          <w:rFonts w:ascii="Arial" w:hAnsi="Arial" w:cs="Arial"/>
        </w:rPr>
      </w:pPr>
    </w:p>
    <w:p w14:paraId="2310D5B1" w14:textId="410A217A" w:rsidR="00AA0A99" w:rsidRDefault="00207BF1">
      <w:pPr>
        <w:rPr>
          <w:rFonts w:ascii="Arial" w:hAnsi="Arial" w:cs="Arial"/>
        </w:rPr>
      </w:pPr>
      <w:hyperlink r:id="rId18" w:history="1">
        <w:r w:rsidR="001219CD" w:rsidRPr="00D73B8A">
          <w:rPr>
            <w:rStyle w:val="Hyperlink"/>
            <w:rFonts w:ascii="Arial" w:hAnsi="Arial" w:cs="Arial"/>
          </w:rPr>
          <w:t>https://www.santander.co.uk/csdlvlr/BlobServer?blobtable=MungoBlobs&amp;blobkey=id&amp;blobcol=urldata&amp;blobheader=application%2Fpdf&amp;blobheadervalue1=inline%3Bfilename%3DSantander_UK_Group_Holdings_plc_2015_Additional_Capital.pdf&amp;blobwhere=1314023552161&amp;blobheadername1=Content-Disposition</w:t>
        </w:r>
      </w:hyperlink>
    </w:p>
    <w:p w14:paraId="3CB31365" w14:textId="77777777" w:rsidR="00AA0A99" w:rsidRDefault="00AA0A99">
      <w:pPr>
        <w:rPr>
          <w:rFonts w:ascii="Arial" w:hAnsi="Arial" w:cs="Arial"/>
        </w:rPr>
      </w:pPr>
    </w:p>
    <w:p w14:paraId="268BF8CB" w14:textId="49136C4E" w:rsidR="004A01B0" w:rsidRDefault="000F6D5D">
      <w:pPr>
        <w:rPr>
          <w:rFonts w:ascii="Arial" w:hAnsi="Arial" w:cs="Arial"/>
        </w:rPr>
      </w:pPr>
      <w:r>
        <w:rPr>
          <w:rFonts w:ascii="Arial" w:hAnsi="Arial" w:cs="Arial"/>
        </w:rPr>
        <w:t xml:space="preserve"> </w:t>
      </w:r>
      <w:r w:rsidR="00BF1122">
        <w:rPr>
          <w:rFonts w:ascii="Arial" w:hAnsi="Arial" w:cs="Arial"/>
        </w:rPr>
        <w:t>E-JOURNALS</w:t>
      </w:r>
    </w:p>
    <w:p w14:paraId="1DAFC3B2" w14:textId="77777777" w:rsidR="00AD0DDD" w:rsidRDefault="00AD0DDD">
      <w:pPr>
        <w:rPr>
          <w:rFonts w:ascii="Arial" w:hAnsi="Arial" w:cs="Arial"/>
        </w:rPr>
      </w:pPr>
    </w:p>
    <w:p w14:paraId="02C77257" w14:textId="070CD651" w:rsidR="004A01B0" w:rsidRDefault="00207BF1">
      <w:pPr>
        <w:rPr>
          <w:rFonts w:ascii="Arial" w:hAnsi="Arial" w:cs="Arial"/>
        </w:rPr>
      </w:pPr>
      <w:hyperlink r:id="rId19" w:anchor="AN=6696994&amp;db=bth" w:history="1">
        <w:r w:rsidR="00BF1122" w:rsidRPr="00D34DAF">
          <w:rPr>
            <w:rStyle w:val="Hyperlink"/>
            <w:rFonts w:ascii="Arial" w:hAnsi="Arial" w:cs="Arial"/>
          </w:rPr>
          <w:t>https://web-b-ebscohost-com.ezproxy.uwtsd.ac.uk/bsi/detail/detail?vid=16&amp;sid=5c26293f-e066-4f3f-ba2c-a1c9afcdccb6%40pdc-v-sessmgr01&amp;bdata=JnNpdGU9YnNpLWxpdmU%3d#AN=6696994&amp;db=bth</w:t>
        </w:r>
      </w:hyperlink>
    </w:p>
    <w:p w14:paraId="651AA28C" w14:textId="77777777" w:rsidR="00BF1122" w:rsidRDefault="00BF1122">
      <w:pPr>
        <w:rPr>
          <w:rFonts w:ascii="Arial" w:hAnsi="Arial" w:cs="Arial"/>
        </w:rPr>
      </w:pPr>
    </w:p>
    <w:p w14:paraId="128692CE" w14:textId="5F109E55" w:rsidR="00BF1122" w:rsidRDefault="00207BF1">
      <w:pPr>
        <w:rPr>
          <w:rFonts w:ascii="Arial" w:hAnsi="Arial" w:cs="Arial"/>
        </w:rPr>
      </w:pPr>
      <w:hyperlink r:id="rId20" w:history="1">
        <w:r w:rsidR="00BF1122" w:rsidRPr="00D34DAF">
          <w:rPr>
            <w:rStyle w:val="Hyperlink"/>
            <w:rFonts w:ascii="Arial" w:hAnsi="Arial" w:cs="Arial"/>
          </w:rPr>
          <w:t>https://web-b-ebscohost-com.ezproxy.uwtsd.ac.uk/bsi/pdfviewer/pdfviewer?vid=22&amp;sid=5c26293f-e066-4f3f-ba2c-a1c9afcdccb6%40pdc-v-sessmgr01</w:t>
        </w:r>
      </w:hyperlink>
    </w:p>
    <w:p w14:paraId="2A21B9C7" w14:textId="77777777" w:rsidR="00BF1122" w:rsidRDefault="00BF1122">
      <w:pPr>
        <w:rPr>
          <w:rFonts w:ascii="Arial" w:hAnsi="Arial" w:cs="Arial"/>
        </w:rPr>
      </w:pPr>
    </w:p>
    <w:p w14:paraId="6AE0C555" w14:textId="77777777" w:rsidR="00BF1122" w:rsidRDefault="00BF1122">
      <w:pPr>
        <w:rPr>
          <w:rFonts w:ascii="Arial" w:hAnsi="Arial" w:cs="Arial"/>
        </w:rPr>
      </w:pPr>
    </w:p>
    <w:p w14:paraId="4DB13E7B" w14:textId="77777777" w:rsidR="00BF1122" w:rsidRPr="003155F4" w:rsidRDefault="00BF1122">
      <w:pPr>
        <w:rPr>
          <w:rFonts w:ascii="Arial" w:hAnsi="Arial" w:cs="Arial"/>
        </w:rPr>
      </w:pPr>
    </w:p>
    <w:sectPr w:rsidR="00BF1122" w:rsidRPr="003155F4" w:rsidSect="00E93308">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F51749"/>
    <w:multiLevelType w:val="multilevel"/>
    <w:tmpl w:val="01AED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9552BB4"/>
    <w:multiLevelType w:val="multilevel"/>
    <w:tmpl w:val="AEB2640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55F4"/>
    <w:rsid w:val="000124AA"/>
    <w:rsid w:val="00022293"/>
    <w:rsid w:val="00034302"/>
    <w:rsid w:val="000546DE"/>
    <w:rsid w:val="00066122"/>
    <w:rsid w:val="0008090C"/>
    <w:rsid w:val="0008328F"/>
    <w:rsid w:val="000A36E4"/>
    <w:rsid w:val="000F6D5D"/>
    <w:rsid w:val="00102473"/>
    <w:rsid w:val="00104740"/>
    <w:rsid w:val="00115408"/>
    <w:rsid w:val="001219CD"/>
    <w:rsid w:val="001240F8"/>
    <w:rsid w:val="001464BC"/>
    <w:rsid w:val="00164A38"/>
    <w:rsid w:val="00191D9C"/>
    <w:rsid w:val="001D76BA"/>
    <w:rsid w:val="001E0E32"/>
    <w:rsid w:val="00204F7B"/>
    <w:rsid w:val="00207BF1"/>
    <w:rsid w:val="00210095"/>
    <w:rsid w:val="002405C4"/>
    <w:rsid w:val="00241F00"/>
    <w:rsid w:val="0026013D"/>
    <w:rsid w:val="00296C88"/>
    <w:rsid w:val="002A27AB"/>
    <w:rsid w:val="002A581A"/>
    <w:rsid w:val="002C2AE4"/>
    <w:rsid w:val="003155F4"/>
    <w:rsid w:val="003319DD"/>
    <w:rsid w:val="003524AF"/>
    <w:rsid w:val="00355AD5"/>
    <w:rsid w:val="003604CE"/>
    <w:rsid w:val="00361BAD"/>
    <w:rsid w:val="003866EE"/>
    <w:rsid w:val="003B03EB"/>
    <w:rsid w:val="003D4A07"/>
    <w:rsid w:val="003E4E86"/>
    <w:rsid w:val="003E6F94"/>
    <w:rsid w:val="00403D6B"/>
    <w:rsid w:val="00414E0B"/>
    <w:rsid w:val="00431D43"/>
    <w:rsid w:val="004332FE"/>
    <w:rsid w:val="0047193E"/>
    <w:rsid w:val="00471C68"/>
    <w:rsid w:val="00481395"/>
    <w:rsid w:val="004A01B0"/>
    <w:rsid w:val="004A0EB5"/>
    <w:rsid w:val="004B4257"/>
    <w:rsid w:val="004B7D0C"/>
    <w:rsid w:val="00511B00"/>
    <w:rsid w:val="0051296E"/>
    <w:rsid w:val="005356DB"/>
    <w:rsid w:val="00542071"/>
    <w:rsid w:val="00542F38"/>
    <w:rsid w:val="00554C27"/>
    <w:rsid w:val="00565CF0"/>
    <w:rsid w:val="005777D6"/>
    <w:rsid w:val="005A2A80"/>
    <w:rsid w:val="005A2CE2"/>
    <w:rsid w:val="005F6949"/>
    <w:rsid w:val="0061035A"/>
    <w:rsid w:val="0062119A"/>
    <w:rsid w:val="00633BF9"/>
    <w:rsid w:val="006504C1"/>
    <w:rsid w:val="006649EF"/>
    <w:rsid w:val="00664BB9"/>
    <w:rsid w:val="00671B2B"/>
    <w:rsid w:val="006B69BA"/>
    <w:rsid w:val="006E59A1"/>
    <w:rsid w:val="00710269"/>
    <w:rsid w:val="00711F0B"/>
    <w:rsid w:val="00720378"/>
    <w:rsid w:val="00731762"/>
    <w:rsid w:val="007443A5"/>
    <w:rsid w:val="00752433"/>
    <w:rsid w:val="007659CC"/>
    <w:rsid w:val="007726E8"/>
    <w:rsid w:val="00790CED"/>
    <w:rsid w:val="00793FF4"/>
    <w:rsid w:val="007D1610"/>
    <w:rsid w:val="007D55EA"/>
    <w:rsid w:val="007F0C7D"/>
    <w:rsid w:val="00810813"/>
    <w:rsid w:val="00821BA3"/>
    <w:rsid w:val="00841527"/>
    <w:rsid w:val="00854255"/>
    <w:rsid w:val="008709CB"/>
    <w:rsid w:val="00884C7A"/>
    <w:rsid w:val="008B1F0A"/>
    <w:rsid w:val="008D4B55"/>
    <w:rsid w:val="008D69FE"/>
    <w:rsid w:val="008E6633"/>
    <w:rsid w:val="008F49F2"/>
    <w:rsid w:val="008F66F2"/>
    <w:rsid w:val="009122CA"/>
    <w:rsid w:val="009257A6"/>
    <w:rsid w:val="00950C71"/>
    <w:rsid w:val="009739DF"/>
    <w:rsid w:val="0097424E"/>
    <w:rsid w:val="009912A0"/>
    <w:rsid w:val="0099796A"/>
    <w:rsid w:val="009A2FEC"/>
    <w:rsid w:val="009F4B31"/>
    <w:rsid w:val="009F6CF0"/>
    <w:rsid w:val="00A06DB3"/>
    <w:rsid w:val="00A24A5C"/>
    <w:rsid w:val="00A439C7"/>
    <w:rsid w:val="00A51A2E"/>
    <w:rsid w:val="00A55290"/>
    <w:rsid w:val="00A759F8"/>
    <w:rsid w:val="00AA0A99"/>
    <w:rsid w:val="00AB10E5"/>
    <w:rsid w:val="00AD0DDD"/>
    <w:rsid w:val="00AE0784"/>
    <w:rsid w:val="00AF5883"/>
    <w:rsid w:val="00B05B15"/>
    <w:rsid w:val="00B13EC6"/>
    <w:rsid w:val="00B22F80"/>
    <w:rsid w:val="00B347BC"/>
    <w:rsid w:val="00B57841"/>
    <w:rsid w:val="00B579BD"/>
    <w:rsid w:val="00B82080"/>
    <w:rsid w:val="00B91E44"/>
    <w:rsid w:val="00BA353A"/>
    <w:rsid w:val="00BA54C3"/>
    <w:rsid w:val="00BA5FE2"/>
    <w:rsid w:val="00BB3861"/>
    <w:rsid w:val="00BB5341"/>
    <w:rsid w:val="00BF1122"/>
    <w:rsid w:val="00BF6527"/>
    <w:rsid w:val="00C07674"/>
    <w:rsid w:val="00C13A5F"/>
    <w:rsid w:val="00C16A01"/>
    <w:rsid w:val="00C70000"/>
    <w:rsid w:val="00C860D7"/>
    <w:rsid w:val="00C90646"/>
    <w:rsid w:val="00CA4237"/>
    <w:rsid w:val="00CC0697"/>
    <w:rsid w:val="00CC6698"/>
    <w:rsid w:val="00CD262C"/>
    <w:rsid w:val="00CD4B9B"/>
    <w:rsid w:val="00CF7CDE"/>
    <w:rsid w:val="00D03A15"/>
    <w:rsid w:val="00D205EA"/>
    <w:rsid w:val="00D21AFE"/>
    <w:rsid w:val="00D5442B"/>
    <w:rsid w:val="00D83DF0"/>
    <w:rsid w:val="00DB2F90"/>
    <w:rsid w:val="00DB4915"/>
    <w:rsid w:val="00DD22C9"/>
    <w:rsid w:val="00DF2814"/>
    <w:rsid w:val="00E0762B"/>
    <w:rsid w:val="00E319D4"/>
    <w:rsid w:val="00E50910"/>
    <w:rsid w:val="00E6110C"/>
    <w:rsid w:val="00E80215"/>
    <w:rsid w:val="00E80228"/>
    <w:rsid w:val="00E93308"/>
    <w:rsid w:val="00EA5BED"/>
    <w:rsid w:val="00ED7BE3"/>
    <w:rsid w:val="00EF6493"/>
    <w:rsid w:val="00F14E03"/>
    <w:rsid w:val="00F22C27"/>
    <w:rsid w:val="00F24D9D"/>
    <w:rsid w:val="00F424D5"/>
    <w:rsid w:val="00F64FD8"/>
    <w:rsid w:val="00F878C5"/>
    <w:rsid w:val="00FA5824"/>
    <w:rsid w:val="00FC18FB"/>
    <w:rsid w:val="00FC2E51"/>
    <w:rsid w:val="00FD2512"/>
    <w:rsid w:val="00FD6BD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FB03B2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1AFE"/>
    <w:rPr>
      <w:color w:val="0000FF" w:themeColor="hyperlink"/>
      <w:u w:val="single"/>
    </w:rPr>
  </w:style>
  <w:style w:type="character" w:styleId="FollowedHyperlink">
    <w:name w:val="FollowedHyperlink"/>
    <w:basedOn w:val="DefaultParagraphFont"/>
    <w:uiPriority w:val="99"/>
    <w:semiHidden/>
    <w:unhideWhenUsed/>
    <w:rsid w:val="00950C71"/>
    <w:rPr>
      <w:color w:val="800080" w:themeColor="followedHyperlink"/>
      <w:u w:val="single"/>
    </w:rPr>
  </w:style>
  <w:style w:type="table" w:styleId="TableGrid">
    <w:name w:val="Table Grid"/>
    <w:basedOn w:val="TableNormal"/>
    <w:uiPriority w:val="59"/>
    <w:rsid w:val="002405C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B82080"/>
    <w:pPr>
      <w:spacing w:before="100" w:beforeAutospacing="1" w:after="100" w:afterAutospacing="1"/>
    </w:pPr>
    <w:rPr>
      <w:rFonts w:ascii="Times" w:hAnsi="Times" w:cs="Times New Roman"/>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1AFE"/>
    <w:rPr>
      <w:color w:val="0000FF" w:themeColor="hyperlink"/>
      <w:u w:val="single"/>
    </w:rPr>
  </w:style>
  <w:style w:type="character" w:styleId="FollowedHyperlink">
    <w:name w:val="FollowedHyperlink"/>
    <w:basedOn w:val="DefaultParagraphFont"/>
    <w:uiPriority w:val="99"/>
    <w:semiHidden/>
    <w:unhideWhenUsed/>
    <w:rsid w:val="00950C71"/>
    <w:rPr>
      <w:color w:val="800080" w:themeColor="followedHyperlink"/>
      <w:u w:val="single"/>
    </w:rPr>
  </w:style>
  <w:style w:type="table" w:styleId="TableGrid">
    <w:name w:val="Table Grid"/>
    <w:basedOn w:val="TableNormal"/>
    <w:uiPriority w:val="59"/>
    <w:rsid w:val="002405C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B82080"/>
    <w:pPr>
      <w:spacing w:before="100" w:beforeAutospacing="1" w:after="100" w:afterAutospacing="1"/>
    </w:pPr>
    <w:rPr>
      <w:rFonts w:ascii="Times"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959321">
      <w:bodyDiv w:val="1"/>
      <w:marLeft w:val="0"/>
      <w:marRight w:val="0"/>
      <w:marTop w:val="0"/>
      <w:marBottom w:val="0"/>
      <w:divBdr>
        <w:top w:val="none" w:sz="0" w:space="0" w:color="auto"/>
        <w:left w:val="none" w:sz="0" w:space="0" w:color="auto"/>
        <w:bottom w:val="none" w:sz="0" w:space="0" w:color="auto"/>
        <w:right w:val="none" w:sz="0" w:space="0" w:color="auto"/>
      </w:divBdr>
    </w:div>
    <w:div w:id="79645101">
      <w:bodyDiv w:val="1"/>
      <w:marLeft w:val="0"/>
      <w:marRight w:val="0"/>
      <w:marTop w:val="0"/>
      <w:marBottom w:val="0"/>
      <w:divBdr>
        <w:top w:val="none" w:sz="0" w:space="0" w:color="auto"/>
        <w:left w:val="none" w:sz="0" w:space="0" w:color="auto"/>
        <w:bottom w:val="none" w:sz="0" w:space="0" w:color="auto"/>
        <w:right w:val="none" w:sz="0" w:space="0" w:color="auto"/>
      </w:divBdr>
    </w:div>
    <w:div w:id="226036987">
      <w:bodyDiv w:val="1"/>
      <w:marLeft w:val="0"/>
      <w:marRight w:val="0"/>
      <w:marTop w:val="0"/>
      <w:marBottom w:val="0"/>
      <w:divBdr>
        <w:top w:val="none" w:sz="0" w:space="0" w:color="auto"/>
        <w:left w:val="none" w:sz="0" w:space="0" w:color="auto"/>
        <w:bottom w:val="none" w:sz="0" w:space="0" w:color="auto"/>
        <w:right w:val="none" w:sz="0" w:space="0" w:color="auto"/>
      </w:divBdr>
    </w:div>
    <w:div w:id="345912676">
      <w:bodyDiv w:val="1"/>
      <w:marLeft w:val="0"/>
      <w:marRight w:val="0"/>
      <w:marTop w:val="0"/>
      <w:marBottom w:val="0"/>
      <w:divBdr>
        <w:top w:val="none" w:sz="0" w:space="0" w:color="auto"/>
        <w:left w:val="none" w:sz="0" w:space="0" w:color="auto"/>
        <w:bottom w:val="none" w:sz="0" w:space="0" w:color="auto"/>
        <w:right w:val="none" w:sz="0" w:space="0" w:color="auto"/>
      </w:divBdr>
      <w:divsChild>
        <w:div w:id="1724712517">
          <w:marLeft w:val="0"/>
          <w:marRight w:val="0"/>
          <w:marTop w:val="0"/>
          <w:marBottom w:val="0"/>
          <w:divBdr>
            <w:top w:val="none" w:sz="0" w:space="0" w:color="auto"/>
            <w:left w:val="none" w:sz="0" w:space="0" w:color="auto"/>
            <w:bottom w:val="none" w:sz="0" w:space="0" w:color="auto"/>
            <w:right w:val="none" w:sz="0" w:space="0" w:color="auto"/>
          </w:divBdr>
          <w:divsChild>
            <w:div w:id="1497382318">
              <w:marLeft w:val="0"/>
              <w:marRight w:val="0"/>
              <w:marTop w:val="0"/>
              <w:marBottom w:val="0"/>
              <w:divBdr>
                <w:top w:val="none" w:sz="0" w:space="0" w:color="auto"/>
                <w:left w:val="none" w:sz="0" w:space="0" w:color="auto"/>
                <w:bottom w:val="none" w:sz="0" w:space="0" w:color="auto"/>
                <w:right w:val="none" w:sz="0" w:space="0" w:color="auto"/>
              </w:divBdr>
              <w:divsChild>
                <w:div w:id="1812552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059085">
      <w:bodyDiv w:val="1"/>
      <w:marLeft w:val="0"/>
      <w:marRight w:val="0"/>
      <w:marTop w:val="0"/>
      <w:marBottom w:val="0"/>
      <w:divBdr>
        <w:top w:val="none" w:sz="0" w:space="0" w:color="auto"/>
        <w:left w:val="none" w:sz="0" w:space="0" w:color="auto"/>
        <w:bottom w:val="none" w:sz="0" w:space="0" w:color="auto"/>
        <w:right w:val="none" w:sz="0" w:space="0" w:color="auto"/>
      </w:divBdr>
      <w:divsChild>
        <w:div w:id="200098491">
          <w:marLeft w:val="0"/>
          <w:marRight w:val="0"/>
          <w:marTop w:val="0"/>
          <w:marBottom w:val="0"/>
          <w:divBdr>
            <w:top w:val="none" w:sz="0" w:space="0" w:color="auto"/>
            <w:left w:val="none" w:sz="0" w:space="0" w:color="auto"/>
            <w:bottom w:val="none" w:sz="0" w:space="0" w:color="auto"/>
            <w:right w:val="none" w:sz="0" w:space="0" w:color="auto"/>
          </w:divBdr>
          <w:divsChild>
            <w:div w:id="38870815">
              <w:marLeft w:val="0"/>
              <w:marRight w:val="0"/>
              <w:marTop w:val="0"/>
              <w:marBottom w:val="0"/>
              <w:divBdr>
                <w:top w:val="none" w:sz="0" w:space="0" w:color="auto"/>
                <w:left w:val="none" w:sz="0" w:space="0" w:color="auto"/>
                <w:bottom w:val="none" w:sz="0" w:space="0" w:color="auto"/>
                <w:right w:val="none" w:sz="0" w:space="0" w:color="auto"/>
              </w:divBdr>
              <w:divsChild>
                <w:div w:id="90795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406753">
      <w:bodyDiv w:val="1"/>
      <w:marLeft w:val="0"/>
      <w:marRight w:val="0"/>
      <w:marTop w:val="0"/>
      <w:marBottom w:val="0"/>
      <w:divBdr>
        <w:top w:val="none" w:sz="0" w:space="0" w:color="auto"/>
        <w:left w:val="none" w:sz="0" w:space="0" w:color="auto"/>
        <w:bottom w:val="none" w:sz="0" w:space="0" w:color="auto"/>
        <w:right w:val="none" w:sz="0" w:space="0" w:color="auto"/>
      </w:divBdr>
      <w:divsChild>
        <w:div w:id="2023555523">
          <w:marLeft w:val="0"/>
          <w:marRight w:val="0"/>
          <w:marTop w:val="0"/>
          <w:marBottom w:val="0"/>
          <w:divBdr>
            <w:top w:val="none" w:sz="0" w:space="0" w:color="auto"/>
            <w:left w:val="none" w:sz="0" w:space="0" w:color="auto"/>
            <w:bottom w:val="none" w:sz="0" w:space="0" w:color="auto"/>
            <w:right w:val="none" w:sz="0" w:space="0" w:color="auto"/>
          </w:divBdr>
          <w:divsChild>
            <w:div w:id="1445734276">
              <w:marLeft w:val="0"/>
              <w:marRight w:val="0"/>
              <w:marTop w:val="0"/>
              <w:marBottom w:val="0"/>
              <w:divBdr>
                <w:top w:val="none" w:sz="0" w:space="0" w:color="auto"/>
                <w:left w:val="none" w:sz="0" w:space="0" w:color="auto"/>
                <w:bottom w:val="none" w:sz="0" w:space="0" w:color="auto"/>
                <w:right w:val="none" w:sz="0" w:space="0" w:color="auto"/>
              </w:divBdr>
              <w:divsChild>
                <w:div w:id="1148860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2473967">
      <w:bodyDiv w:val="1"/>
      <w:marLeft w:val="0"/>
      <w:marRight w:val="0"/>
      <w:marTop w:val="0"/>
      <w:marBottom w:val="0"/>
      <w:divBdr>
        <w:top w:val="none" w:sz="0" w:space="0" w:color="auto"/>
        <w:left w:val="none" w:sz="0" w:space="0" w:color="auto"/>
        <w:bottom w:val="none" w:sz="0" w:space="0" w:color="auto"/>
        <w:right w:val="none" w:sz="0" w:space="0" w:color="auto"/>
      </w:divBdr>
    </w:div>
    <w:div w:id="852108976">
      <w:bodyDiv w:val="1"/>
      <w:marLeft w:val="0"/>
      <w:marRight w:val="0"/>
      <w:marTop w:val="0"/>
      <w:marBottom w:val="0"/>
      <w:divBdr>
        <w:top w:val="none" w:sz="0" w:space="0" w:color="auto"/>
        <w:left w:val="none" w:sz="0" w:space="0" w:color="auto"/>
        <w:bottom w:val="none" w:sz="0" w:space="0" w:color="auto"/>
        <w:right w:val="none" w:sz="0" w:space="0" w:color="auto"/>
      </w:divBdr>
    </w:div>
    <w:div w:id="866600357">
      <w:bodyDiv w:val="1"/>
      <w:marLeft w:val="0"/>
      <w:marRight w:val="0"/>
      <w:marTop w:val="0"/>
      <w:marBottom w:val="0"/>
      <w:divBdr>
        <w:top w:val="none" w:sz="0" w:space="0" w:color="auto"/>
        <w:left w:val="none" w:sz="0" w:space="0" w:color="auto"/>
        <w:bottom w:val="none" w:sz="0" w:space="0" w:color="auto"/>
        <w:right w:val="none" w:sz="0" w:space="0" w:color="auto"/>
      </w:divBdr>
      <w:divsChild>
        <w:div w:id="1876963483">
          <w:marLeft w:val="0"/>
          <w:marRight w:val="0"/>
          <w:marTop w:val="0"/>
          <w:marBottom w:val="0"/>
          <w:divBdr>
            <w:top w:val="none" w:sz="0" w:space="0" w:color="auto"/>
            <w:left w:val="none" w:sz="0" w:space="0" w:color="auto"/>
            <w:bottom w:val="none" w:sz="0" w:space="0" w:color="auto"/>
            <w:right w:val="none" w:sz="0" w:space="0" w:color="auto"/>
          </w:divBdr>
          <w:divsChild>
            <w:div w:id="2091733304">
              <w:marLeft w:val="0"/>
              <w:marRight w:val="0"/>
              <w:marTop w:val="0"/>
              <w:marBottom w:val="0"/>
              <w:divBdr>
                <w:top w:val="none" w:sz="0" w:space="0" w:color="auto"/>
                <w:left w:val="none" w:sz="0" w:space="0" w:color="auto"/>
                <w:bottom w:val="none" w:sz="0" w:space="0" w:color="auto"/>
                <w:right w:val="none" w:sz="0" w:space="0" w:color="auto"/>
              </w:divBdr>
              <w:divsChild>
                <w:div w:id="76457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676338">
      <w:bodyDiv w:val="1"/>
      <w:marLeft w:val="0"/>
      <w:marRight w:val="0"/>
      <w:marTop w:val="0"/>
      <w:marBottom w:val="0"/>
      <w:divBdr>
        <w:top w:val="none" w:sz="0" w:space="0" w:color="auto"/>
        <w:left w:val="none" w:sz="0" w:space="0" w:color="auto"/>
        <w:bottom w:val="none" w:sz="0" w:space="0" w:color="auto"/>
        <w:right w:val="none" w:sz="0" w:space="0" w:color="auto"/>
      </w:divBdr>
    </w:div>
    <w:div w:id="1316186535">
      <w:bodyDiv w:val="1"/>
      <w:marLeft w:val="0"/>
      <w:marRight w:val="0"/>
      <w:marTop w:val="0"/>
      <w:marBottom w:val="0"/>
      <w:divBdr>
        <w:top w:val="none" w:sz="0" w:space="0" w:color="auto"/>
        <w:left w:val="none" w:sz="0" w:space="0" w:color="auto"/>
        <w:bottom w:val="none" w:sz="0" w:space="0" w:color="auto"/>
        <w:right w:val="none" w:sz="0" w:space="0" w:color="auto"/>
      </w:divBdr>
      <w:divsChild>
        <w:div w:id="874582186">
          <w:marLeft w:val="0"/>
          <w:marRight w:val="0"/>
          <w:marTop w:val="0"/>
          <w:marBottom w:val="0"/>
          <w:divBdr>
            <w:top w:val="none" w:sz="0" w:space="0" w:color="auto"/>
            <w:left w:val="none" w:sz="0" w:space="0" w:color="auto"/>
            <w:bottom w:val="none" w:sz="0" w:space="0" w:color="auto"/>
            <w:right w:val="none" w:sz="0" w:space="0" w:color="auto"/>
          </w:divBdr>
          <w:divsChild>
            <w:div w:id="1979602357">
              <w:marLeft w:val="0"/>
              <w:marRight w:val="0"/>
              <w:marTop w:val="0"/>
              <w:marBottom w:val="0"/>
              <w:divBdr>
                <w:top w:val="none" w:sz="0" w:space="0" w:color="auto"/>
                <w:left w:val="none" w:sz="0" w:space="0" w:color="auto"/>
                <w:bottom w:val="none" w:sz="0" w:space="0" w:color="auto"/>
                <w:right w:val="none" w:sz="0" w:space="0" w:color="auto"/>
              </w:divBdr>
              <w:divsChild>
                <w:div w:id="149910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141846">
      <w:bodyDiv w:val="1"/>
      <w:marLeft w:val="0"/>
      <w:marRight w:val="0"/>
      <w:marTop w:val="0"/>
      <w:marBottom w:val="0"/>
      <w:divBdr>
        <w:top w:val="none" w:sz="0" w:space="0" w:color="auto"/>
        <w:left w:val="none" w:sz="0" w:space="0" w:color="auto"/>
        <w:bottom w:val="none" w:sz="0" w:space="0" w:color="auto"/>
        <w:right w:val="none" w:sz="0" w:space="0" w:color="auto"/>
      </w:divBdr>
      <w:divsChild>
        <w:div w:id="311252517">
          <w:marLeft w:val="0"/>
          <w:marRight w:val="0"/>
          <w:marTop w:val="0"/>
          <w:marBottom w:val="0"/>
          <w:divBdr>
            <w:top w:val="none" w:sz="0" w:space="0" w:color="auto"/>
            <w:left w:val="none" w:sz="0" w:space="0" w:color="auto"/>
            <w:bottom w:val="none" w:sz="0" w:space="0" w:color="auto"/>
            <w:right w:val="none" w:sz="0" w:space="0" w:color="auto"/>
          </w:divBdr>
          <w:divsChild>
            <w:div w:id="1630280933">
              <w:marLeft w:val="0"/>
              <w:marRight w:val="0"/>
              <w:marTop w:val="0"/>
              <w:marBottom w:val="0"/>
              <w:divBdr>
                <w:top w:val="none" w:sz="0" w:space="0" w:color="auto"/>
                <w:left w:val="none" w:sz="0" w:space="0" w:color="auto"/>
                <w:bottom w:val="none" w:sz="0" w:space="0" w:color="auto"/>
                <w:right w:val="none" w:sz="0" w:space="0" w:color="auto"/>
              </w:divBdr>
              <w:divsChild>
                <w:div w:id="118883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043780">
      <w:bodyDiv w:val="1"/>
      <w:marLeft w:val="0"/>
      <w:marRight w:val="0"/>
      <w:marTop w:val="0"/>
      <w:marBottom w:val="0"/>
      <w:divBdr>
        <w:top w:val="none" w:sz="0" w:space="0" w:color="auto"/>
        <w:left w:val="none" w:sz="0" w:space="0" w:color="auto"/>
        <w:bottom w:val="none" w:sz="0" w:space="0" w:color="auto"/>
        <w:right w:val="none" w:sz="0" w:space="0" w:color="auto"/>
      </w:divBdr>
    </w:div>
    <w:div w:id="1557082752">
      <w:bodyDiv w:val="1"/>
      <w:marLeft w:val="0"/>
      <w:marRight w:val="0"/>
      <w:marTop w:val="0"/>
      <w:marBottom w:val="0"/>
      <w:divBdr>
        <w:top w:val="none" w:sz="0" w:space="0" w:color="auto"/>
        <w:left w:val="none" w:sz="0" w:space="0" w:color="auto"/>
        <w:bottom w:val="none" w:sz="0" w:space="0" w:color="auto"/>
        <w:right w:val="none" w:sz="0" w:space="0" w:color="auto"/>
      </w:divBdr>
    </w:div>
    <w:div w:id="1560509110">
      <w:bodyDiv w:val="1"/>
      <w:marLeft w:val="0"/>
      <w:marRight w:val="0"/>
      <w:marTop w:val="0"/>
      <w:marBottom w:val="0"/>
      <w:divBdr>
        <w:top w:val="none" w:sz="0" w:space="0" w:color="auto"/>
        <w:left w:val="none" w:sz="0" w:space="0" w:color="auto"/>
        <w:bottom w:val="none" w:sz="0" w:space="0" w:color="auto"/>
        <w:right w:val="none" w:sz="0" w:space="0" w:color="auto"/>
      </w:divBdr>
      <w:divsChild>
        <w:div w:id="2133942628">
          <w:marLeft w:val="0"/>
          <w:marRight w:val="0"/>
          <w:marTop w:val="0"/>
          <w:marBottom w:val="0"/>
          <w:divBdr>
            <w:top w:val="none" w:sz="0" w:space="0" w:color="auto"/>
            <w:left w:val="none" w:sz="0" w:space="0" w:color="auto"/>
            <w:bottom w:val="none" w:sz="0" w:space="0" w:color="auto"/>
            <w:right w:val="none" w:sz="0" w:space="0" w:color="auto"/>
          </w:divBdr>
          <w:divsChild>
            <w:div w:id="1685129894">
              <w:marLeft w:val="0"/>
              <w:marRight w:val="0"/>
              <w:marTop w:val="0"/>
              <w:marBottom w:val="0"/>
              <w:divBdr>
                <w:top w:val="none" w:sz="0" w:space="0" w:color="auto"/>
                <w:left w:val="none" w:sz="0" w:space="0" w:color="auto"/>
                <w:bottom w:val="none" w:sz="0" w:space="0" w:color="auto"/>
                <w:right w:val="none" w:sz="0" w:space="0" w:color="auto"/>
              </w:divBdr>
              <w:divsChild>
                <w:div w:id="673191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847259">
      <w:bodyDiv w:val="1"/>
      <w:marLeft w:val="0"/>
      <w:marRight w:val="0"/>
      <w:marTop w:val="0"/>
      <w:marBottom w:val="0"/>
      <w:divBdr>
        <w:top w:val="none" w:sz="0" w:space="0" w:color="auto"/>
        <w:left w:val="none" w:sz="0" w:space="0" w:color="auto"/>
        <w:bottom w:val="none" w:sz="0" w:space="0" w:color="auto"/>
        <w:right w:val="none" w:sz="0" w:space="0" w:color="auto"/>
      </w:divBdr>
    </w:div>
    <w:div w:id="1863083506">
      <w:bodyDiv w:val="1"/>
      <w:marLeft w:val="0"/>
      <w:marRight w:val="0"/>
      <w:marTop w:val="0"/>
      <w:marBottom w:val="0"/>
      <w:divBdr>
        <w:top w:val="none" w:sz="0" w:space="0" w:color="auto"/>
        <w:left w:val="none" w:sz="0" w:space="0" w:color="auto"/>
        <w:bottom w:val="none" w:sz="0" w:space="0" w:color="auto"/>
        <w:right w:val="none" w:sz="0" w:space="0" w:color="auto"/>
      </w:divBdr>
      <w:divsChild>
        <w:div w:id="78334500">
          <w:marLeft w:val="0"/>
          <w:marRight w:val="0"/>
          <w:marTop w:val="0"/>
          <w:marBottom w:val="0"/>
          <w:divBdr>
            <w:top w:val="none" w:sz="0" w:space="0" w:color="auto"/>
            <w:left w:val="none" w:sz="0" w:space="0" w:color="auto"/>
            <w:bottom w:val="none" w:sz="0" w:space="0" w:color="auto"/>
            <w:right w:val="none" w:sz="0" w:space="0" w:color="auto"/>
          </w:divBdr>
          <w:divsChild>
            <w:div w:id="524559833">
              <w:marLeft w:val="0"/>
              <w:marRight w:val="0"/>
              <w:marTop w:val="0"/>
              <w:marBottom w:val="0"/>
              <w:divBdr>
                <w:top w:val="none" w:sz="0" w:space="0" w:color="auto"/>
                <w:left w:val="none" w:sz="0" w:space="0" w:color="auto"/>
                <w:bottom w:val="none" w:sz="0" w:space="0" w:color="auto"/>
                <w:right w:val="none" w:sz="0" w:space="0" w:color="auto"/>
              </w:divBdr>
              <w:divsChild>
                <w:div w:id="770589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022183">
      <w:bodyDiv w:val="1"/>
      <w:marLeft w:val="0"/>
      <w:marRight w:val="0"/>
      <w:marTop w:val="0"/>
      <w:marBottom w:val="0"/>
      <w:divBdr>
        <w:top w:val="none" w:sz="0" w:space="0" w:color="auto"/>
        <w:left w:val="none" w:sz="0" w:space="0" w:color="auto"/>
        <w:bottom w:val="none" w:sz="0" w:space="0" w:color="auto"/>
        <w:right w:val="none" w:sz="0" w:space="0" w:color="auto"/>
      </w:divBdr>
    </w:div>
    <w:div w:id="1973243421">
      <w:bodyDiv w:val="1"/>
      <w:marLeft w:val="0"/>
      <w:marRight w:val="0"/>
      <w:marTop w:val="0"/>
      <w:marBottom w:val="0"/>
      <w:divBdr>
        <w:top w:val="none" w:sz="0" w:space="0" w:color="auto"/>
        <w:left w:val="none" w:sz="0" w:space="0" w:color="auto"/>
        <w:bottom w:val="none" w:sz="0" w:space="0" w:color="auto"/>
        <w:right w:val="none" w:sz="0" w:space="0" w:color="auto"/>
      </w:divBdr>
    </w:div>
    <w:div w:id="1980987393">
      <w:bodyDiv w:val="1"/>
      <w:marLeft w:val="0"/>
      <w:marRight w:val="0"/>
      <w:marTop w:val="0"/>
      <w:marBottom w:val="0"/>
      <w:divBdr>
        <w:top w:val="none" w:sz="0" w:space="0" w:color="auto"/>
        <w:left w:val="none" w:sz="0" w:space="0" w:color="auto"/>
        <w:bottom w:val="none" w:sz="0" w:space="0" w:color="auto"/>
        <w:right w:val="none" w:sz="0" w:space="0" w:color="auto"/>
      </w:divBdr>
      <w:divsChild>
        <w:div w:id="2101220153">
          <w:marLeft w:val="0"/>
          <w:marRight w:val="0"/>
          <w:marTop w:val="0"/>
          <w:marBottom w:val="0"/>
          <w:divBdr>
            <w:top w:val="none" w:sz="0" w:space="0" w:color="auto"/>
            <w:left w:val="none" w:sz="0" w:space="0" w:color="auto"/>
            <w:bottom w:val="none" w:sz="0" w:space="0" w:color="auto"/>
            <w:right w:val="none" w:sz="0" w:space="0" w:color="auto"/>
          </w:divBdr>
          <w:divsChild>
            <w:div w:id="1377393977">
              <w:marLeft w:val="0"/>
              <w:marRight w:val="0"/>
              <w:marTop w:val="0"/>
              <w:marBottom w:val="0"/>
              <w:divBdr>
                <w:top w:val="none" w:sz="0" w:space="0" w:color="auto"/>
                <w:left w:val="none" w:sz="0" w:space="0" w:color="auto"/>
                <w:bottom w:val="none" w:sz="0" w:space="0" w:color="auto"/>
                <w:right w:val="none" w:sz="0" w:space="0" w:color="auto"/>
              </w:divBdr>
              <w:divsChild>
                <w:div w:id="535654703">
                  <w:marLeft w:val="0"/>
                  <w:marRight w:val="0"/>
                  <w:marTop w:val="0"/>
                  <w:marBottom w:val="0"/>
                  <w:divBdr>
                    <w:top w:val="none" w:sz="0" w:space="0" w:color="auto"/>
                    <w:left w:val="none" w:sz="0" w:space="0" w:color="auto"/>
                    <w:bottom w:val="none" w:sz="0" w:space="0" w:color="auto"/>
                    <w:right w:val="none" w:sz="0" w:space="0" w:color="auto"/>
                  </w:divBdr>
                  <w:divsChild>
                    <w:div w:id="1826621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627029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investors.rbs.com/~/media/Files/R/RBS-IR/results-center/annual-report-2017.pdf" TargetMode="External"/><Relationship Id="rId20" Type="http://schemas.openxmlformats.org/officeDocument/2006/relationships/hyperlink" Target="https://web-b-ebscohost-com.ezproxy.uwtsd.ac.uk/bsi/pdfviewer/pdfviewer?vid=22&amp;sid=5c26293f-e066-4f3f-ba2c-a1c9afcdccb6%40pdc-v-sessmgr01" TargetMode="Externa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hyperlink" Target="https://investors.rbs.com/~/media/Files/R/RBS-IR/results-center/annual-report-2015.pdf" TargetMode="External"/><Relationship Id="rId11" Type="http://schemas.openxmlformats.org/officeDocument/2006/relationships/hyperlink" Target="https://www.santander.co.uk/csdlvlr/BlobServer?blobtable=MungoBlobs&amp;blobkey=id&amp;blobcol=urldata&amp;blobheader=application%2Fpdf&amp;blobheadervalue1=inline%3Bfilename%3DSantander+UK+Group+Holdings+plc+2017+Annual+Report+-+HoldCo-lr.pdf&amp;blobwhere=1314024784728&amp;blob" TargetMode="External"/><Relationship Id="rId12" Type="http://schemas.openxmlformats.org/officeDocument/2006/relationships/hyperlink" Target="https://www.santander.co.uk/csdlvlr/BlobServer?blobtable=MungoBlobs&amp;blobkey=id&amp;blobcol=urldata&amp;blobheader=application%2Fpdf&amp;blobheadervalue1=inline%3Bfilename%3DSantander_UK_Group_Holdings_plc_2014_Annual_Report--.pdf&amp;blobwhere=1314023552495&amp;blobheadername" TargetMode="External"/><Relationship Id="rId13" Type="http://schemas.openxmlformats.org/officeDocument/2006/relationships/hyperlink" Target="https://investors.rbs.com/~/media/Files/R/RBS-IR/results-center/23-02-2018/pillar3-report-23022018.pdf" TargetMode="External"/><Relationship Id="rId14" Type="http://schemas.openxmlformats.org/officeDocument/2006/relationships/hyperlink" Target="https://www.rbs.com/content/dam/rbs_com/rbs/PDFs/worldwide-locations/Poland/RBS_Group_pillar3_2015_english.pdf" TargetMode="External"/><Relationship Id="rId15" Type="http://schemas.openxmlformats.org/officeDocument/2006/relationships/hyperlink" Target="https://investors.rbs.com/~/media/Files/R/RBS-IR/2014-reports/pillar-3-report-2014-v2.pdf" TargetMode="External"/><Relationship Id="rId16" Type="http://schemas.openxmlformats.org/officeDocument/2006/relationships/hyperlink" Target="https://investors.rbs.com/~/media/Files/R/RBS-IR/results-center/q4_results-26-Feb-2016.pdf" TargetMode="External"/><Relationship Id="rId17" Type="http://schemas.openxmlformats.org/officeDocument/2006/relationships/hyperlink" Target="https://www.santander.co.uk/csdlvlr/BlobServer?blobtable=MungoBlobs&amp;blobkey=id&amp;blobcol=urldata&amp;blobheader=application%2Fpdf&amp;blobheadervalue1=inline%3Bfilename%3D2017+Additional+Capital+and+Risk+Management+Disclosures.pdf&amp;blobwhere=1314024784753&amp;blobheadern" TargetMode="External"/><Relationship Id="rId18" Type="http://schemas.openxmlformats.org/officeDocument/2006/relationships/hyperlink" Target="https://www.santander.co.uk/csdlvlr/BlobServer?blobtable=MungoBlobs&amp;blobkey=id&amp;blobcol=urldata&amp;blobheader=application%2Fpdf&amp;blobheadervalue1=inline%3Bfilename%3DSantander_UK_Group_Holdings_plc_2015_Additional_Capital.pdf&amp;blobwhere=1314023552161&amp;blobheadern" TargetMode="External"/><Relationship Id="rId19" Type="http://schemas.openxmlformats.org/officeDocument/2006/relationships/hyperlink" Target="https://web-b-ebscohost-com.ezproxy.uwtsd.ac.uk/bsi/detail/detail?vid=16&amp;sid=5c26293f-e066-4f3f-ba2c-a1c9afcdccb6%40pdc-v-sessmgr01&amp;bdata=JnNpdGU9YnNpLWxpdmU%3d"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hyperlink" Target="https://www.rbs.com/rbs/our-brands/royal-bank-of-scotland.html" TargetMode="External"/><Relationship Id="rId8" Type="http://schemas.openxmlformats.org/officeDocument/2006/relationships/hyperlink" Target="https://www.santander.co.uk/uk/about-santander-uk/about-us/our-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0C2498-48D2-434A-8712-0154532B2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5522</TotalTime>
  <Pages>13</Pages>
  <Words>4357</Words>
  <Characters>24836</Characters>
  <Application>Microsoft Macintosh Word</Application>
  <DocSecurity>0</DocSecurity>
  <Lines>206</Lines>
  <Paragraphs>58</Paragraphs>
  <ScaleCrop>false</ScaleCrop>
  <Company/>
  <LinksUpToDate>false</LinksUpToDate>
  <CharactersWithSpaces>29135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 Rai</dc:creator>
  <cp:keywords/>
  <dc:description/>
  <cp:lastModifiedBy>Sonia Rai</cp:lastModifiedBy>
  <cp:revision>48</cp:revision>
  <dcterms:created xsi:type="dcterms:W3CDTF">2018-04-10T19:38:00Z</dcterms:created>
  <dcterms:modified xsi:type="dcterms:W3CDTF">2018-04-30T05:37:00Z</dcterms:modified>
</cp:coreProperties>
</file>