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A093F6" w14:textId="3818FC05" w:rsidR="00FD240E" w:rsidRDefault="00FD240E" w:rsidP="00FD240E">
      <w:pPr>
        <w:spacing w:line="240" w:lineRule="auto"/>
        <w:jc w:val="center"/>
        <w:rPr>
          <w:rFonts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D240E">
        <w:rPr>
          <w:noProof/>
        </w:rPr>
        <w:drawing>
          <wp:inline distT="0" distB="0" distL="0" distR="0" wp14:anchorId="536711DF" wp14:editId="7912242E">
            <wp:extent cx="4869180" cy="2659380"/>
            <wp:effectExtent l="0" t="0" r="7620" b="7620"/>
            <wp:docPr id="1511391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391846" name="Picture 1"/>
                    <pic:cNvPicPr>
                      <a:picLocks noChangeAspect="1" noChangeArrowheads="1"/>
                    </pic:cNvPicPr>
                  </pic:nvPicPr>
                  <pic:blipFill>
                    <a:blip r:embed="rId8"/>
                    <a:stretch>
                      <a:fillRect/>
                    </a:stretch>
                  </pic:blipFill>
                  <pic:spPr bwMode="auto">
                    <a:xfrm>
                      <a:off x="0" y="0"/>
                      <a:ext cx="4874966" cy="2662540"/>
                    </a:xfrm>
                    <a:prstGeom prst="rect">
                      <a:avLst/>
                    </a:prstGeom>
                    <a:noFill/>
                    <a:ln>
                      <a:noFill/>
                    </a:ln>
                  </pic:spPr>
                </pic:pic>
              </a:graphicData>
            </a:graphic>
          </wp:inline>
        </w:drawing>
      </w:r>
    </w:p>
    <w:p w14:paraId="0D064130" w14:textId="77777777" w:rsidR="00FD240E" w:rsidRDefault="00FD240E" w:rsidP="006836CA">
      <w:pPr>
        <w:spacing w:line="240" w:lineRule="auto"/>
        <w:jc w:val="left"/>
        <w:rPr>
          <w:rFonts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A2AB83A" w14:textId="77777777" w:rsidR="006836CA" w:rsidRDefault="006836CA" w:rsidP="006836CA">
      <w:pPr>
        <w:spacing w:line="240" w:lineRule="auto"/>
        <w:jc w:val="left"/>
        <w:rPr>
          <w:rFonts w:cs="Times New Roman"/>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53D36C" w14:textId="6E212F91" w:rsidR="006836CA" w:rsidRPr="00D75DFE" w:rsidRDefault="006836CA" w:rsidP="006836CA">
      <w:pPr>
        <w:spacing w:line="240" w:lineRule="auto"/>
        <w:jc w:val="left"/>
        <w:rPr>
          <w:rFonts w:cs="Times New Roman"/>
          <w:color w:val="000000" w:themeColor="text1"/>
          <w:sz w:val="40"/>
          <w:szCs w:val="40"/>
          <w14:textOutline w14:w="0" w14:cap="flat" w14:cmpd="sng" w14:algn="ctr">
            <w14:noFill/>
            <w14:prstDash w14:val="solid"/>
            <w14:round/>
          </w14:textOutline>
        </w:rPr>
      </w:pPr>
      <w:r w:rsidRPr="00D75DFE">
        <w:rPr>
          <w:rFonts w:cs="Times New Roman"/>
          <w:color w:val="000000" w:themeColor="text1"/>
          <w:sz w:val="40"/>
          <w:szCs w:val="40"/>
          <w14:textOutline w14:w="0" w14:cap="flat" w14:cmpd="sng" w14:algn="ctr">
            <w14:noFill/>
            <w14:prstDash w14:val="solid"/>
            <w14:round/>
          </w14:textOutline>
        </w:rPr>
        <w:t xml:space="preserve">Student Name: Solanki </w:t>
      </w:r>
      <w:proofErr w:type="spellStart"/>
      <w:r w:rsidRPr="00D75DFE">
        <w:rPr>
          <w:rFonts w:cs="Times New Roman"/>
          <w:color w:val="000000" w:themeColor="text1"/>
          <w:sz w:val="40"/>
          <w:szCs w:val="40"/>
          <w14:textOutline w14:w="0" w14:cap="flat" w14:cmpd="sng" w14:algn="ctr">
            <w14:noFill/>
            <w14:prstDash w14:val="solid"/>
            <w14:round/>
          </w14:textOutline>
        </w:rPr>
        <w:t>Yashkumar</w:t>
      </w:r>
      <w:proofErr w:type="spellEnd"/>
      <w:r w:rsidRPr="00D75DFE">
        <w:rPr>
          <w:rFonts w:cs="Times New Roman"/>
          <w:color w:val="000000" w:themeColor="text1"/>
          <w:sz w:val="40"/>
          <w:szCs w:val="40"/>
          <w14:textOutline w14:w="0" w14:cap="flat" w14:cmpd="sng" w14:algn="ctr">
            <w14:noFill/>
            <w14:prstDash w14:val="solid"/>
            <w14:round/>
          </w14:textOutline>
        </w:rPr>
        <w:t xml:space="preserve"> </w:t>
      </w:r>
    </w:p>
    <w:p w14:paraId="7ADAF75C" w14:textId="77777777" w:rsidR="006836CA" w:rsidRPr="00D75DFE" w:rsidRDefault="006836CA" w:rsidP="006836CA">
      <w:pPr>
        <w:spacing w:line="240" w:lineRule="auto"/>
        <w:jc w:val="left"/>
        <w:rPr>
          <w:rFonts w:cs="Times New Roman"/>
          <w:color w:val="000000" w:themeColor="text1"/>
          <w:sz w:val="40"/>
          <w:szCs w:val="40"/>
          <w14:textOutline w14:w="0" w14:cap="flat" w14:cmpd="sng" w14:algn="ctr">
            <w14:noFill/>
            <w14:prstDash w14:val="solid"/>
            <w14:round/>
          </w14:textOutline>
        </w:rPr>
      </w:pPr>
      <w:r w:rsidRPr="00D75DFE">
        <w:rPr>
          <w:rFonts w:cs="Times New Roman"/>
          <w:color w:val="000000" w:themeColor="text1"/>
          <w:sz w:val="40"/>
          <w:szCs w:val="40"/>
          <w14:textOutline w14:w="0" w14:cap="flat" w14:cmpd="sng" w14:algn="ctr">
            <w14:noFill/>
            <w14:prstDash w14:val="solid"/>
            <w14:round/>
          </w14:textOutline>
        </w:rPr>
        <w:t>Student ID: 2525952</w:t>
      </w:r>
    </w:p>
    <w:p w14:paraId="545047A1" w14:textId="558B6D04" w:rsidR="006836CA" w:rsidRPr="00D75DFE" w:rsidRDefault="006836CA" w:rsidP="006836CA">
      <w:pPr>
        <w:spacing w:line="240" w:lineRule="auto"/>
        <w:jc w:val="left"/>
        <w:rPr>
          <w:rFonts w:cs="Times New Roman"/>
          <w:color w:val="000000" w:themeColor="text1"/>
          <w:sz w:val="40"/>
          <w:szCs w:val="40"/>
          <w14:textOutline w14:w="0" w14:cap="flat" w14:cmpd="sng" w14:algn="ctr">
            <w14:noFill/>
            <w14:prstDash w14:val="solid"/>
            <w14:round/>
          </w14:textOutline>
        </w:rPr>
      </w:pPr>
      <w:r w:rsidRPr="00D75DFE">
        <w:rPr>
          <w:rFonts w:cs="Times New Roman"/>
          <w:color w:val="000000" w:themeColor="text1"/>
          <w:sz w:val="40"/>
          <w:szCs w:val="40"/>
          <w14:textOutline w14:w="0" w14:cap="flat" w14:cmpd="sng" w14:algn="ctr">
            <w14:noFill/>
            <w14:prstDash w14:val="solid"/>
            <w14:round/>
          </w14:textOutline>
        </w:rPr>
        <w:t>Module Code: LCHS7002</w:t>
      </w:r>
    </w:p>
    <w:p w14:paraId="5D852DD1" w14:textId="66F582D6" w:rsidR="006836CA" w:rsidRPr="00D75DFE" w:rsidRDefault="006836CA" w:rsidP="006836CA">
      <w:pPr>
        <w:spacing w:line="240" w:lineRule="auto"/>
        <w:jc w:val="left"/>
        <w:rPr>
          <w:rFonts w:cs="Times New Roman"/>
          <w:color w:val="000000" w:themeColor="text1"/>
          <w:sz w:val="40"/>
          <w:szCs w:val="40"/>
          <w14:textOutline w14:w="0" w14:cap="flat" w14:cmpd="sng" w14:algn="ctr">
            <w14:noFill/>
            <w14:prstDash w14:val="solid"/>
            <w14:round/>
          </w14:textOutline>
        </w:rPr>
      </w:pPr>
      <w:r w:rsidRPr="00D75DFE">
        <w:rPr>
          <w:rFonts w:cs="Times New Roman"/>
          <w:color w:val="000000" w:themeColor="text1"/>
          <w:sz w:val="40"/>
          <w:szCs w:val="40"/>
          <w14:textOutline w14:w="0" w14:cap="flat" w14:cmpd="sng" w14:algn="ctr">
            <w14:noFill/>
            <w14:prstDash w14:val="solid"/>
            <w14:round/>
          </w14:textOutline>
        </w:rPr>
        <w:t xml:space="preserve">Module Title: Health Care System Organization and Leadership </w:t>
      </w:r>
    </w:p>
    <w:p w14:paraId="47F31E3E" w14:textId="1F19A7D9" w:rsidR="006836CA" w:rsidRPr="00D75DFE" w:rsidRDefault="006836CA" w:rsidP="006836CA">
      <w:pPr>
        <w:spacing w:line="240" w:lineRule="auto"/>
        <w:jc w:val="left"/>
        <w:rPr>
          <w:rFonts w:cs="Times New Roman"/>
          <w:color w:val="000000" w:themeColor="text1"/>
          <w:sz w:val="40"/>
          <w:szCs w:val="40"/>
          <w14:textOutline w14:w="0" w14:cap="flat" w14:cmpd="sng" w14:algn="ctr">
            <w14:noFill/>
            <w14:prstDash w14:val="solid"/>
            <w14:round/>
          </w14:textOutline>
        </w:rPr>
      </w:pPr>
      <w:r w:rsidRPr="00D75DFE">
        <w:rPr>
          <w:rFonts w:cs="Times New Roman"/>
          <w:color w:val="000000" w:themeColor="text1"/>
          <w:sz w:val="40"/>
          <w:szCs w:val="40"/>
          <w14:textOutline w14:w="0" w14:cap="flat" w14:cmpd="sng" w14:algn="ctr">
            <w14:noFill/>
            <w14:prstDash w14:val="solid"/>
            <w14:round/>
          </w14:textOutline>
        </w:rPr>
        <w:t xml:space="preserve">Lecturer’s Name: Shaila Hussain </w:t>
      </w:r>
    </w:p>
    <w:p w14:paraId="27CEC225" w14:textId="0CF93C13" w:rsidR="006836CA" w:rsidRPr="00D75DFE" w:rsidRDefault="006836CA" w:rsidP="006836CA">
      <w:pPr>
        <w:spacing w:line="240" w:lineRule="auto"/>
        <w:jc w:val="left"/>
        <w:rPr>
          <w:rFonts w:cs="Times New Roman"/>
          <w:color w:val="000000" w:themeColor="text1"/>
          <w:sz w:val="40"/>
          <w:szCs w:val="40"/>
          <w14:textOutline w14:w="0" w14:cap="flat" w14:cmpd="sng" w14:algn="ctr">
            <w14:noFill/>
            <w14:prstDash w14:val="solid"/>
            <w14:round/>
          </w14:textOutline>
        </w:rPr>
      </w:pPr>
      <w:r w:rsidRPr="00D75DFE">
        <w:rPr>
          <w:rFonts w:cs="Times New Roman"/>
          <w:color w:val="000000" w:themeColor="text1"/>
          <w:sz w:val="40"/>
          <w:szCs w:val="40"/>
          <w14:textOutline w14:w="0" w14:cap="flat" w14:cmpd="sng" w14:algn="ctr">
            <w14:noFill/>
            <w14:prstDash w14:val="solid"/>
            <w14:round/>
          </w14:textOutline>
        </w:rPr>
        <w:t xml:space="preserve">Assignment Title: Case Study Analysis Report </w:t>
      </w:r>
    </w:p>
    <w:p w14:paraId="6E2EC688" w14:textId="3BB420DF" w:rsidR="00323964" w:rsidRPr="00D75DFE" w:rsidRDefault="00FD240E" w:rsidP="006836CA">
      <w:pPr>
        <w:spacing w:line="240" w:lineRule="auto"/>
        <w:jc w:val="left"/>
        <w:rPr>
          <w:rFonts w:cs="Times New Roman"/>
          <w:color w:val="000000" w:themeColor="text1"/>
          <w:sz w:val="40"/>
          <w:szCs w:val="40"/>
          <w14:textOutline w14:w="0" w14:cap="flat" w14:cmpd="sng" w14:algn="ctr">
            <w14:noFill/>
            <w14:prstDash w14:val="solid"/>
            <w14:round/>
          </w14:textOutline>
        </w:rPr>
      </w:pPr>
      <w:r w:rsidRPr="00D75DFE">
        <w:rPr>
          <w:rFonts w:cs="Times New Roman"/>
          <w:color w:val="000000" w:themeColor="text1"/>
          <w:sz w:val="40"/>
          <w:szCs w:val="40"/>
          <w14:textOutline w14:w="0" w14:cap="flat" w14:cmpd="sng" w14:algn="ctr">
            <w14:noFill/>
            <w14:prstDash w14:val="solid"/>
            <w14:round/>
          </w14:textOutline>
        </w:rPr>
        <w:t xml:space="preserve">Case Report: </w:t>
      </w:r>
      <w:r w:rsidR="003B65EB" w:rsidRPr="00D75DFE">
        <w:rPr>
          <w:rFonts w:cs="Times New Roman"/>
          <w:color w:val="000000" w:themeColor="text1"/>
          <w:sz w:val="40"/>
          <w:szCs w:val="40"/>
          <w14:textOutline w14:w="0" w14:cap="flat" w14:cmpd="sng" w14:algn="ctr">
            <w14:noFill/>
            <w14:prstDash w14:val="solid"/>
            <w14:round/>
          </w14:textOutline>
        </w:rPr>
        <w:t>Leadership, Governance and Systems Thinking in the Infant Morphine Overdose Case</w:t>
      </w:r>
    </w:p>
    <w:p w14:paraId="138353F5" w14:textId="77777777" w:rsidR="00323964" w:rsidRPr="00D75DFE" w:rsidRDefault="003B65EB" w:rsidP="006836CA">
      <w:pPr>
        <w:spacing w:line="240" w:lineRule="auto"/>
        <w:jc w:val="left"/>
        <w:rPr>
          <w:rFonts w:cs="Times New Roman"/>
          <w:color w:val="000000" w:themeColor="text1"/>
          <w:sz w:val="40"/>
          <w:szCs w:val="40"/>
          <w14:textOutline w14:w="0" w14:cap="flat" w14:cmpd="sng" w14:algn="ctr">
            <w14:noFill/>
            <w14:prstDash w14:val="solid"/>
            <w14:round/>
          </w14:textOutline>
        </w:rPr>
      </w:pPr>
      <w:r w:rsidRPr="00D75DFE">
        <w:rPr>
          <w:rFonts w:cs="Times New Roman"/>
          <w:color w:val="000000" w:themeColor="text1"/>
          <w:sz w:val="40"/>
          <w:szCs w:val="40"/>
          <w14:textOutline w14:w="0" w14:cap="flat" w14:cmpd="sng" w14:algn="ctr">
            <w14:noFill/>
            <w14:prstDash w14:val="solid"/>
            <w14:round/>
          </w14:textOutline>
        </w:rPr>
        <w:t>Selected case study: NHS England North East and Yorkshire – Infant Morphine Overdose</w:t>
      </w:r>
    </w:p>
    <w:p w14:paraId="1B7A5A59" w14:textId="77777777" w:rsidR="00323964" w:rsidRDefault="003B65EB">
      <w:r>
        <w:br w:type="page"/>
      </w:r>
    </w:p>
    <w:sdt>
      <w:sdtPr>
        <w:rPr>
          <w:rFonts w:eastAsiaTheme="minorEastAsia" w:cstheme="minorBidi"/>
          <w:b w:val="0"/>
          <w:bCs w:val="0"/>
          <w:color w:val="auto"/>
          <w:sz w:val="24"/>
          <w:szCs w:val="22"/>
        </w:rPr>
        <w:id w:val="1947420332"/>
        <w:docPartObj>
          <w:docPartGallery w:val="Table of Contents"/>
          <w:docPartUnique/>
        </w:docPartObj>
      </w:sdtPr>
      <w:sdtEndPr>
        <w:rPr>
          <w:noProof/>
        </w:rPr>
      </w:sdtEndPr>
      <w:sdtContent>
        <w:p w14:paraId="7CD70B3F" w14:textId="63BF3965" w:rsidR="00BA3594" w:rsidRDefault="00BA3594">
          <w:pPr>
            <w:pStyle w:val="TOCHeading"/>
          </w:pPr>
          <w:r>
            <w:t>Table of Contents</w:t>
          </w:r>
        </w:p>
        <w:p w14:paraId="7AACEA82" w14:textId="2D5C139D" w:rsidR="00B32D64" w:rsidRDefault="00BA3594">
          <w:pPr>
            <w:pStyle w:val="TOC1"/>
            <w:tabs>
              <w:tab w:val="right" w:leader="dot" w:pos="9622"/>
            </w:tabs>
            <w:rPr>
              <w:rFonts w:asciiTheme="minorHAnsi" w:hAnsiTheme="minorHAnsi"/>
              <w:noProof/>
              <w:kern w:val="2"/>
              <w:szCs w:val="21"/>
              <w:lang w:val="en-IN" w:eastAsia="en-IN" w:bidi="hi-IN"/>
              <w14:ligatures w14:val="standardContextual"/>
            </w:rPr>
          </w:pPr>
          <w:r>
            <w:fldChar w:fldCharType="begin"/>
          </w:r>
          <w:r>
            <w:instrText xml:space="preserve"> TOC \o "1-3" \h \z \u </w:instrText>
          </w:r>
          <w:r>
            <w:fldChar w:fldCharType="separate"/>
          </w:r>
          <w:hyperlink w:anchor="_Toc227434072" w:history="1">
            <w:r w:rsidR="00B32D64" w:rsidRPr="00DD4EDB">
              <w:rPr>
                <w:rStyle w:val="Hyperlink"/>
                <w:noProof/>
              </w:rPr>
              <w:t>Introduction</w:t>
            </w:r>
            <w:r w:rsidR="00B32D64">
              <w:rPr>
                <w:noProof/>
                <w:webHidden/>
              </w:rPr>
              <w:tab/>
            </w:r>
            <w:r w:rsidR="00B32D64">
              <w:rPr>
                <w:noProof/>
                <w:webHidden/>
              </w:rPr>
              <w:fldChar w:fldCharType="begin"/>
            </w:r>
            <w:r w:rsidR="00B32D64">
              <w:rPr>
                <w:noProof/>
                <w:webHidden/>
              </w:rPr>
              <w:instrText xml:space="preserve"> PAGEREF _Toc227434072 \h </w:instrText>
            </w:r>
            <w:r w:rsidR="00B32D64">
              <w:rPr>
                <w:noProof/>
                <w:webHidden/>
              </w:rPr>
            </w:r>
            <w:r w:rsidR="00B32D64">
              <w:rPr>
                <w:noProof/>
                <w:webHidden/>
              </w:rPr>
              <w:fldChar w:fldCharType="separate"/>
            </w:r>
            <w:r w:rsidR="00B32D64">
              <w:rPr>
                <w:noProof/>
                <w:webHidden/>
              </w:rPr>
              <w:t>3</w:t>
            </w:r>
            <w:r w:rsidR="00B32D64">
              <w:rPr>
                <w:noProof/>
                <w:webHidden/>
              </w:rPr>
              <w:fldChar w:fldCharType="end"/>
            </w:r>
          </w:hyperlink>
        </w:p>
        <w:p w14:paraId="56AD75DC" w14:textId="1DAA3F95" w:rsidR="00B32D64" w:rsidRDefault="00B32D64">
          <w:pPr>
            <w:pStyle w:val="TOC1"/>
            <w:tabs>
              <w:tab w:val="right" w:leader="dot" w:pos="9622"/>
            </w:tabs>
            <w:rPr>
              <w:rFonts w:asciiTheme="minorHAnsi" w:hAnsiTheme="minorHAnsi"/>
              <w:noProof/>
              <w:kern w:val="2"/>
              <w:szCs w:val="21"/>
              <w:lang w:val="en-IN" w:eastAsia="en-IN" w:bidi="hi-IN"/>
              <w14:ligatures w14:val="standardContextual"/>
            </w:rPr>
          </w:pPr>
          <w:hyperlink w:anchor="_Toc227434073" w:history="1">
            <w:r w:rsidRPr="00DD4EDB">
              <w:rPr>
                <w:rStyle w:val="Hyperlink"/>
                <w:noProof/>
              </w:rPr>
              <w:t>Main Body and Analysis</w:t>
            </w:r>
            <w:r>
              <w:rPr>
                <w:noProof/>
                <w:webHidden/>
              </w:rPr>
              <w:tab/>
            </w:r>
            <w:r>
              <w:rPr>
                <w:noProof/>
                <w:webHidden/>
              </w:rPr>
              <w:fldChar w:fldCharType="begin"/>
            </w:r>
            <w:r>
              <w:rPr>
                <w:noProof/>
                <w:webHidden/>
              </w:rPr>
              <w:instrText xml:space="preserve"> PAGEREF _Toc227434073 \h </w:instrText>
            </w:r>
            <w:r>
              <w:rPr>
                <w:noProof/>
                <w:webHidden/>
              </w:rPr>
            </w:r>
            <w:r>
              <w:rPr>
                <w:noProof/>
                <w:webHidden/>
              </w:rPr>
              <w:fldChar w:fldCharType="separate"/>
            </w:r>
            <w:r>
              <w:rPr>
                <w:noProof/>
                <w:webHidden/>
              </w:rPr>
              <w:t>4</w:t>
            </w:r>
            <w:r>
              <w:rPr>
                <w:noProof/>
                <w:webHidden/>
              </w:rPr>
              <w:fldChar w:fldCharType="end"/>
            </w:r>
          </w:hyperlink>
        </w:p>
        <w:p w14:paraId="578F63D8" w14:textId="26D6A551" w:rsidR="00B32D64" w:rsidRDefault="00B32D64">
          <w:pPr>
            <w:pStyle w:val="TOC2"/>
            <w:tabs>
              <w:tab w:val="right" w:leader="dot" w:pos="9622"/>
            </w:tabs>
            <w:rPr>
              <w:rFonts w:asciiTheme="minorHAnsi" w:hAnsiTheme="minorHAnsi"/>
              <w:noProof/>
              <w:kern w:val="2"/>
              <w:szCs w:val="21"/>
              <w:lang w:val="en-IN" w:eastAsia="en-IN" w:bidi="hi-IN"/>
              <w14:ligatures w14:val="standardContextual"/>
            </w:rPr>
          </w:pPr>
          <w:hyperlink w:anchor="_Toc227434074" w:history="1">
            <w:r w:rsidRPr="00DD4EDB">
              <w:rPr>
                <w:rStyle w:val="Hyperlink"/>
                <w:noProof/>
              </w:rPr>
              <w:t>a. Identifying the problem and setting the system context: applying systems thinking and the rich picture</w:t>
            </w:r>
            <w:r>
              <w:rPr>
                <w:noProof/>
                <w:webHidden/>
              </w:rPr>
              <w:tab/>
            </w:r>
            <w:r>
              <w:rPr>
                <w:noProof/>
                <w:webHidden/>
              </w:rPr>
              <w:fldChar w:fldCharType="begin"/>
            </w:r>
            <w:r>
              <w:rPr>
                <w:noProof/>
                <w:webHidden/>
              </w:rPr>
              <w:instrText xml:space="preserve"> PAGEREF _Toc227434074 \h </w:instrText>
            </w:r>
            <w:r>
              <w:rPr>
                <w:noProof/>
                <w:webHidden/>
              </w:rPr>
            </w:r>
            <w:r>
              <w:rPr>
                <w:noProof/>
                <w:webHidden/>
              </w:rPr>
              <w:fldChar w:fldCharType="separate"/>
            </w:r>
            <w:r>
              <w:rPr>
                <w:noProof/>
                <w:webHidden/>
              </w:rPr>
              <w:t>4</w:t>
            </w:r>
            <w:r>
              <w:rPr>
                <w:noProof/>
                <w:webHidden/>
              </w:rPr>
              <w:fldChar w:fldCharType="end"/>
            </w:r>
          </w:hyperlink>
        </w:p>
        <w:p w14:paraId="32F63707" w14:textId="38DDE637" w:rsidR="00B32D64" w:rsidRDefault="00B32D64">
          <w:pPr>
            <w:pStyle w:val="TOC2"/>
            <w:tabs>
              <w:tab w:val="right" w:leader="dot" w:pos="9622"/>
            </w:tabs>
            <w:rPr>
              <w:rFonts w:asciiTheme="minorHAnsi" w:hAnsiTheme="minorHAnsi"/>
              <w:noProof/>
              <w:kern w:val="2"/>
              <w:szCs w:val="21"/>
              <w:lang w:val="en-IN" w:eastAsia="en-IN" w:bidi="hi-IN"/>
              <w14:ligatures w14:val="standardContextual"/>
            </w:rPr>
          </w:pPr>
          <w:hyperlink w:anchor="_Toc227434075" w:history="1">
            <w:r w:rsidRPr="00DD4EDB">
              <w:rPr>
                <w:rStyle w:val="Hyperlink"/>
                <w:noProof/>
              </w:rPr>
              <w:t>b. Centralisation or decentralisation within the case study</w:t>
            </w:r>
            <w:r>
              <w:rPr>
                <w:noProof/>
                <w:webHidden/>
              </w:rPr>
              <w:tab/>
            </w:r>
            <w:r>
              <w:rPr>
                <w:noProof/>
                <w:webHidden/>
              </w:rPr>
              <w:fldChar w:fldCharType="begin"/>
            </w:r>
            <w:r>
              <w:rPr>
                <w:noProof/>
                <w:webHidden/>
              </w:rPr>
              <w:instrText xml:space="preserve"> PAGEREF _Toc227434075 \h </w:instrText>
            </w:r>
            <w:r>
              <w:rPr>
                <w:noProof/>
                <w:webHidden/>
              </w:rPr>
            </w:r>
            <w:r>
              <w:rPr>
                <w:noProof/>
                <w:webHidden/>
              </w:rPr>
              <w:fldChar w:fldCharType="separate"/>
            </w:r>
            <w:r>
              <w:rPr>
                <w:noProof/>
                <w:webHidden/>
              </w:rPr>
              <w:t>6</w:t>
            </w:r>
            <w:r>
              <w:rPr>
                <w:noProof/>
                <w:webHidden/>
              </w:rPr>
              <w:fldChar w:fldCharType="end"/>
            </w:r>
          </w:hyperlink>
        </w:p>
        <w:p w14:paraId="2AA9CE0D" w14:textId="234D7D3C" w:rsidR="00B32D64" w:rsidRDefault="00B32D64">
          <w:pPr>
            <w:pStyle w:val="TOC2"/>
            <w:tabs>
              <w:tab w:val="right" w:leader="dot" w:pos="9622"/>
            </w:tabs>
            <w:rPr>
              <w:rFonts w:asciiTheme="minorHAnsi" w:hAnsiTheme="minorHAnsi"/>
              <w:noProof/>
              <w:kern w:val="2"/>
              <w:szCs w:val="21"/>
              <w:lang w:val="en-IN" w:eastAsia="en-IN" w:bidi="hi-IN"/>
              <w14:ligatures w14:val="standardContextual"/>
            </w:rPr>
          </w:pPr>
          <w:hyperlink w:anchor="_Toc227434076" w:history="1">
            <w:r w:rsidRPr="00DD4EDB">
              <w:rPr>
                <w:rStyle w:val="Hyperlink"/>
                <w:noProof/>
              </w:rPr>
              <w:t>c. Leadership theories and application to the case study</w:t>
            </w:r>
            <w:r>
              <w:rPr>
                <w:noProof/>
                <w:webHidden/>
              </w:rPr>
              <w:tab/>
            </w:r>
            <w:r>
              <w:rPr>
                <w:noProof/>
                <w:webHidden/>
              </w:rPr>
              <w:fldChar w:fldCharType="begin"/>
            </w:r>
            <w:r>
              <w:rPr>
                <w:noProof/>
                <w:webHidden/>
              </w:rPr>
              <w:instrText xml:space="preserve"> PAGEREF _Toc227434076 \h </w:instrText>
            </w:r>
            <w:r>
              <w:rPr>
                <w:noProof/>
                <w:webHidden/>
              </w:rPr>
            </w:r>
            <w:r>
              <w:rPr>
                <w:noProof/>
                <w:webHidden/>
              </w:rPr>
              <w:fldChar w:fldCharType="separate"/>
            </w:r>
            <w:r>
              <w:rPr>
                <w:noProof/>
                <w:webHidden/>
              </w:rPr>
              <w:t>8</w:t>
            </w:r>
            <w:r>
              <w:rPr>
                <w:noProof/>
                <w:webHidden/>
              </w:rPr>
              <w:fldChar w:fldCharType="end"/>
            </w:r>
          </w:hyperlink>
        </w:p>
        <w:p w14:paraId="4F529FA4" w14:textId="5CFC82F8" w:rsidR="00B32D64" w:rsidRDefault="00B32D64">
          <w:pPr>
            <w:pStyle w:val="TOC2"/>
            <w:tabs>
              <w:tab w:val="right" w:leader="dot" w:pos="9622"/>
            </w:tabs>
            <w:rPr>
              <w:rFonts w:asciiTheme="minorHAnsi" w:hAnsiTheme="minorHAnsi"/>
              <w:noProof/>
              <w:kern w:val="2"/>
              <w:szCs w:val="21"/>
              <w:lang w:val="en-IN" w:eastAsia="en-IN" w:bidi="hi-IN"/>
              <w14:ligatures w14:val="standardContextual"/>
            </w:rPr>
          </w:pPr>
          <w:hyperlink w:anchor="_Toc227434077" w:history="1">
            <w:r w:rsidRPr="00DD4EDB">
              <w:rPr>
                <w:rStyle w:val="Hyperlink"/>
                <w:noProof/>
              </w:rPr>
              <w:t>d. Improvement and lessons learned</w:t>
            </w:r>
            <w:r>
              <w:rPr>
                <w:noProof/>
                <w:webHidden/>
              </w:rPr>
              <w:tab/>
            </w:r>
            <w:r>
              <w:rPr>
                <w:noProof/>
                <w:webHidden/>
              </w:rPr>
              <w:fldChar w:fldCharType="begin"/>
            </w:r>
            <w:r>
              <w:rPr>
                <w:noProof/>
                <w:webHidden/>
              </w:rPr>
              <w:instrText xml:space="preserve"> PAGEREF _Toc227434077 \h </w:instrText>
            </w:r>
            <w:r>
              <w:rPr>
                <w:noProof/>
                <w:webHidden/>
              </w:rPr>
            </w:r>
            <w:r>
              <w:rPr>
                <w:noProof/>
                <w:webHidden/>
              </w:rPr>
              <w:fldChar w:fldCharType="separate"/>
            </w:r>
            <w:r>
              <w:rPr>
                <w:noProof/>
                <w:webHidden/>
              </w:rPr>
              <w:t>10</w:t>
            </w:r>
            <w:r>
              <w:rPr>
                <w:noProof/>
                <w:webHidden/>
              </w:rPr>
              <w:fldChar w:fldCharType="end"/>
            </w:r>
          </w:hyperlink>
        </w:p>
        <w:p w14:paraId="2FC32508" w14:textId="54D04E15" w:rsidR="00B32D64" w:rsidRDefault="00B32D64">
          <w:pPr>
            <w:pStyle w:val="TOC1"/>
            <w:tabs>
              <w:tab w:val="right" w:leader="dot" w:pos="9622"/>
            </w:tabs>
            <w:rPr>
              <w:rFonts w:asciiTheme="minorHAnsi" w:hAnsiTheme="minorHAnsi"/>
              <w:noProof/>
              <w:kern w:val="2"/>
              <w:szCs w:val="21"/>
              <w:lang w:val="en-IN" w:eastAsia="en-IN" w:bidi="hi-IN"/>
              <w14:ligatures w14:val="standardContextual"/>
            </w:rPr>
          </w:pPr>
          <w:hyperlink w:anchor="_Toc227434078" w:history="1">
            <w:r w:rsidRPr="00DD4EDB">
              <w:rPr>
                <w:rStyle w:val="Hyperlink"/>
                <w:noProof/>
              </w:rPr>
              <w:t>Recommendations</w:t>
            </w:r>
            <w:r>
              <w:rPr>
                <w:noProof/>
                <w:webHidden/>
              </w:rPr>
              <w:tab/>
            </w:r>
            <w:r>
              <w:rPr>
                <w:noProof/>
                <w:webHidden/>
              </w:rPr>
              <w:fldChar w:fldCharType="begin"/>
            </w:r>
            <w:r>
              <w:rPr>
                <w:noProof/>
                <w:webHidden/>
              </w:rPr>
              <w:instrText xml:space="preserve"> PAGEREF _Toc227434078 \h </w:instrText>
            </w:r>
            <w:r>
              <w:rPr>
                <w:noProof/>
                <w:webHidden/>
              </w:rPr>
            </w:r>
            <w:r>
              <w:rPr>
                <w:noProof/>
                <w:webHidden/>
              </w:rPr>
              <w:fldChar w:fldCharType="separate"/>
            </w:r>
            <w:r>
              <w:rPr>
                <w:noProof/>
                <w:webHidden/>
              </w:rPr>
              <w:t>12</w:t>
            </w:r>
            <w:r>
              <w:rPr>
                <w:noProof/>
                <w:webHidden/>
              </w:rPr>
              <w:fldChar w:fldCharType="end"/>
            </w:r>
          </w:hyperlink>
        </w:p>
        <w:p w14:paraId="6C705E33" w14:textId="63B4E536" w:rsidR="00B32D64" w:rsidRDefault="00B32D64">
          <w:pPr>
            <w:pStyle w:val="TOC1"/>
            <w:tabs>
              <w:tab w:val="right" w:leader="dot" w:pos="9622"/>
            </w:tabs>
            <w:rPr>
              <w:rFonts w:asciiTheme="minorHAnsi" w:hAnsiTheme="minorHAnsi"/>
              <w:noProof/>
              <w:kern w:val="2"/>
              <w:szCs w:val="21"/>
              <w:lang w:val="en-IN" w:eastAsia="en-IN" w:bidi="hi-IN"/>
              <w14:ligatures w14:val="standardContextual"/>
            </w:rPr>
          </w:pPr>
          <w:hyperlink w:anchor="_Toc227434079" w:history="1">
            <w:r w:rsidRPr="00DD4EDB">
              <w:rPr>
                <w:rStyle w:val="Hyperlink"/>
                <w:noProof/>
              </w:rPr>
              <w:t>Conclusion</w:t>
            </w:r>
            <w:r>
              <w:rPr>
                <w:noProof/>
                <w:webHidden/>
              </w:rPr>
              <w:tab/>
            </w:r>
            <w:r>
              <w:rPr>
                <w:noProof/>
                <w:webHidden/>
              </w:rPr>
              <w:fldChar w:fldCharType="begin"/>
            </w:r>
            <w:r>
              <w:rPr>
                <w:noProof/>
                <w:webHidden/>
              </w:rPr>
              <w:instrText xml:space="preserve"> PAGEREF _Toc227434079 \h </w:instrText>
            </w:r>
            <w:r>
              <w:rPr>
                <w:noProof/>
                <w:webHidden/>
              </w:rPr>
            </w:r>
            <w:r>
              <w:rPr>
                <w:noProof/>
                <w:webHidden/>
              </w:rPr>
              <w:fldChar w:fldCharType="separate"/>
            </w:r>
            <w:r>
              <w:rPr>
                <w:noProof/>
                <w:webHidden/>
              </w:rPr>
              <w:t>14</w:t>
            </w:r>
            <w:r>
              <w:rPr>
                <w:noProof/>
                <w:webHidden/>
              </w:rPr>
              <w:fldChar w:fldCharType="end"/>
            </w:r>
          </w:hyperlink>
        </w:p>
        <w:p w14:paraId="2DDAB082" w14:textId="414A9523" w:rsidR="00B32D64" w:rsidRDefault="00B32D64">
          <w:pPr>
            <w:pStyle w:val="TOC1"/>
            <w:tabs>
              <w:tab w:val="right" w:leader="dot" w:pos="9622"/>
            </w:tabs>
            <w:rPr>
              <w:rFonts w:asciiTheme="minorHAnsi" w:hAnsiTheme="minorHAnsi"/>
              <w:noProof/>
              <w:kern w:val="2"/>
              <w:szCs w:val="21"/>
              <w:lang w:val="en-IN" w:eastAsia="en-IN" w:bidi="hi-IN"/>
              <w14:ligatures w14:val="standardContextual"/>
            </w:rPr>
          </w:pPr>
          <w:hyperlink w:anchor="_Toc227434080" w:history="1">
            <w:r w:rsidRPr="00DD4EDB">
              <w:rPr>
                <w:rStyle w:val="Hyperlink"/>
                <w:noProof/>
              </w:rPr>
              <w:t>Reference</w:t>
            </w:r>
            <w:r>
              <w:rPr>
                <w:noProof/>
                <w:webHidden/>
              </w:rPr>
              <w:tab/>
            </w:r>
            <w:r>
              <w:rPr>
                <w:noProof/>
                <w:webHidden/>
              </w:rPr>
              <w:fldChar w:fldCharType="begin"/>
            </w:r>
            <w:r>
              <w:rPr>
                <w:noProof/>
                <w:webHidden/>
              </w:rPr>
              <w:instrText xml:space="preserve"> PAGEREF _Toc227434080 \h </w:instrText>
            </w:r>
            <w:r>
              <w:rPr>
                <w:noProof/>
                <w:webHidden/>
              </w:rPr>
            </w:r>
            <w:r>
              <w:rPr>
                <w:noProof/>
                <w:webHidden/>
              </w:rPr>
              <w:fldChar w:fldCharType="separate"/>
            </w:r>
            <w:r>
              <w:rPr>
                <w:noProof/>
                <w:webHidden/>
              </w:rPr>
              <w:t>15</w:t>
            </w:r>
            <w:r>
              <w:rPr>
                <w:noProof/>
                <w:webHidden/>
              </w:rPr>
              <w:fldChar w:fldCharType="end"/>
            </w:r>
          </w:hyperlink>
        </w:p>
        <w:p w14:paraId="60D76B11" w14:textId="39B226F2" w:rsidR="00BA3594" w:rsidRDefault="00BA3594">
          <w:r>
            <w:rPr>
              <w:b/>
              <w:bCs/>
              <w:noProof/>
            </w:rPr>
            <w:fldChar w:fldCharType="end"/>
          </w:r>
        </w:p>
      </w:sdtContent>
    </w:sdt>
    <w:p w14:paraId="116B85F0" w14:textId="77777777" w:rsidR="00C65B16" w:rsidRDefault="00C65B16">
      <w:pPr>
        <w:spacing w:after="200" w:line="276" w:lineRule="auto"/>
        <w:jc w:val="left"/>
        <w:rPr>
          <w:rFonts w:eastAsiaTheme="majorEastAsia" w:cstheme="majorBidi"/>
          <w:b/>
          <w:bCs/>
          <w:color w:val="000000" w:themeColor="text1"/>
          <w:sz w:val="28"/>
          <w:szCs w:val="28"/>
        </w:rPr>
      </w:pPr>
      <w:r>
        <w:br w:type="page"/>
      </w:r>
    </w:p>
    <w:p w14:paraId="3FE8C6E6" w14:textId="1FB22CC0" w:rsidR="00323964" w:rsidRPr="00BF0257" w:rsidRDefault="003B65EB" w:rsidP="00BF0257">
      <w:pPr>
        <w:pStyle w:val="Heading1"/>
      </w:pPr>
      <w:bookmarkStart w:id="0" w:name="_Toc227434072"/>
      <w:r>
        <w:lastRenderedPageBreak/>
        <w:t>Introduction</w:t>
      </w:r>
      <w:bookmarkEnd w:id="0"/>
    </w:p>
    <w:p w14:paraId="6A689A04" w14:textId="77777777" w:rsidR="005514F0" w:rsidRDefault="005514F0" w:rsidP="005514F0">
      <w:r>
        <w:t>This report discusses an Infant Morphine Overdose case by NHS England North East and Yorkshire that was released in July 2023. The incident was of a four-week-old baby who was taken to Accident and Emergency, having been administered morphine sulphate oral solution twenty times the dosage. The mistake occurred due to the provision of 10 mg/5 ml oral solution, rather than 100 micrograms/ml oral solution, to the family, and the infant needed to be rescued with naloxone before he survived the incident (NHS England North East and Yorkshire, 2023).</w:t>
      </w:r>
    </w:p>
    <w:p w14:paraId="49E985D0" w14:textId="77777777" w:rsidR="005514F0" w:rsidRDefault="005514F0" w:rsidP="005514F0">
      <w:r>
        <w:t xml:space="preserve">The case is noteworthy in that it illustrates how the harm of medication can occur when high-risk medicines cross </w:t>
      </w:r>
      <w:proofErr w:type="spellStart"/>
      <w:r>
        <w:t>organisational</w:t>
      </w:r>
      <w:proofErr w:type="spellEnd"/>
      <w:r>
        <w:t xml:space="preserve"> boundaries without robust protection. The local incident cannot be perceived as one dispensing/prescribing error. It entailed the discharge communication, primary care prescribing, community pharmacy checking, parental understanding, and broader medicines governance. According to WHO (2024a), preventable medication-related harm is among the most prevalent causes of preventable patient harm on a global scale, which is why the case is worth considering on the global level.</w:t>
      </w:r>
    </w:p>
    <w:p w14:paraId="1EBF47CB" w14:textId="77777777" w:rsidR="005514F0" w:rsidRDefault="005514F0" w:rsidP="005514F0">
      <w:r>
        <w:t>In health and social care, leadership is the ability to affect people, teams and systems in the direction of a common purpose and especially the purpose of safe, effective and person-</w:t>
      </w:r>
      <w:proofErr w:type="spellStart"/>
      <w:r>
        <w:t>centred</w:t>
      </w:r>
      <w:proofErr w:type="spellEnd"/>
      <w:r>
        <w:t xml:space="preserve"> care. Leadership does not just deal with personal powers. It also involves the capability to </w:t>
      </w:r>
      <w:proofErr w:type="spellStart"/>
      <w:r>
        <w:t>organise</w:t>
      </w:r>
      <w:proofErr w:type="spellEnd"/>
      <w:r>
        <w:t xml:space="preserve"> services, influence the </w:t>
      </w:r>
      <w:proofErr w:type="spellStart"/>
      <w:r>
        <w:t>organisational</w:t>
      </w:r>
      <w:proofErr w:type="spellEnd"/>
      <w:r>
        <w:t xml:space="preserve"> culture, react to uncertainty and the circumstances where risks are observed and acted on early. </w:t>
      </w:r>
      <w:proofErr w:type="spellStart"/>
      <w:r>
        <w:t>Althobaiti</w:t>
      </w:r>
      <w:proofErr w:type="spellEnd"/>
      <w:r>
        <w:t xml:space="preserve"> (2025) posits that the leadership style directly impacts patient safety culture, whereas Cummings et al. (2023) demonstrate that leadership practices can affect the outcomes of staff engagement, quality of care and work environment.</w:t>
      </w:r>
    </w:p>
    <w:p w14:paraId="2B31F84F" w14:textId="77777777" w:rsidR="005514F0" w:rsidRDefault="005514F0" w:rsidP="005514F0">
      <w:r>
        <w:t xml:space="preserve">One of the main themes of this report is the issue of </w:t>
      </w:r>
      <w:proofErr w:type="spellStart"/>
      <w:r>
        <w:t>centralisation</w:t>
      </w:r>
      <w:proofErr w:type="spellEnd"/>
      <w:r>
        <w:t xml:space="preserve"> and </w:t>
      </w:r>
      <w:proofErr w:type="spellStart"/>
      <w:r>
        <w:t>decentralisation</w:t>
      </w:r>
      <w:proofErr w:type="spellEnd"/>
      <w:r>
        <w:t xml:space="preserve">. In </w:t>
      </w:r>
      <w:proofErr w:type="spellStart"/>
      <w:r>
        <w:t>centralised</w:t>
      </w:r>
      <w:proofErr w:type="spellEnd"/>
      <w:r>
        <w:t xml:space="preserve"> systems, the control and decision-making </w:t>
      </w:r>
      <w:proofErr w:type="gramStart"/>
      <w:r>
        <w:t>is</w:t>
      </w:r>
      <w:proofErr w:type="gramEnd"/>
      <w:r>
        <w:t xml:space="preserve"> </w:t>
      </w:r>
      <w:proofErr w:type="spellStart"/>
      <w:r>
        <w:t>centralised</w:t>
      </w:r>
      <w:proofErr w:type="spellEnd"/>
      <w:r>
        <w:t xml:space="preserve"> at senior or expert levels, in order to facilitate </w:t>
      </w:r>
      <w:proofErr w:type="spellStart"/>
      <w:r>
        <w:t>standardisation</w:t>
      </w:r>
      <w:proofErr w:type="spellEnd"/>
      <w:r>
        <w:t xml:space="preserve"> and management. In </w:t>
      </w:r>
      <w:proofErr w:type="spellStart"/>
      <w:r>
        <w:t>decentralised</w:t>
      </w:r>
      <w:proofErr w:type="spellEnd"/>
      <w:r>
        <w:t xml:space="preserve"> systems, responsibility is </w:t>
      </w:r>
      <w:proofErr w:type="spellStart"/>
      <w:r>
        <w:t>decentralised</w:t>
      </w:r>
      <w:proofErr w:type="spellEnd"/>
      <w:r>
        <w:t xml:space="preserve"> nearer to the point of care, which may be in order to enhance responsiveness and local problem-solving. Oliveira et al. (2024) observe that the results of each model are not always superior, as the quality of local capability, accountability and integration within the system matters.</w:t>
      </w:r>
    </w:p>
    <w:p w14:paraId="7570CC13" w14:textId="159E2BF7" w:rsidR="00323964" w:rsidRDefault="005514F0" w:rsidP="005514F0">
      <w:r>
        <w:t xml:space="preserve">The report uses the theory of leadership, governance analysis, systems thinking and improvement science in one case study that was selected. It initially describes the problem and puts it in a broader system context with statistical evidence and a rich picture approach. It then analyses whether the </w:t>
      </w:r>
      <w:proofErr w:type="spellStart"/>
      <w:r>
        <w:t>organisational</w:t>
      </w:r>
      <w:proofErr w:type="spellEnd"/>
      <w:r>
        <w:t xml:space="preserve"> response was </w:t>
      </w:r>
      <w:proofErr w:type="spellStart"/>
      <w:r>
        <w:t>centralised</w:t>
      </w:r>
      <w:proofErr w:type="spellEnd"/>
      <w:r>
        <w:t xml:space="preserve"> or </w:t>
      </w:r>
      <w:proofErr w:type="spellStart"/>
      <w:r>
        <w:t>decentralised</w:t>
      </w:r>
      <w:proofErr w:type="spellEnd"/>
      <w:r>
        <w:t xml:space="preserve"> arrangements, criticisms of leadership </w:t>
      </w:r>
      <w:r>
        <w:lastRenderedPageBreak/>
        <w:t>theories involved and provides the lessons to improve services. The general thesis is that the overdose was a symptom of a cross-boundary system malfunction as opposed to a singular human error, and that long-term change demands combined leadership, strong governance and increased use of evidence throughout the entire medication pathway.</w:t>
      </w:r>
    </w:p>
    <w:p w14:paraId="0351E29A" w14:textId="77777777" w:rsidR="00323964" w:rsidRPr="00BF0257" w:rsidRDefault="003B65EB" w:rsidP="00BF0257">
      <w:pPr>
        <w:pStyle w:val="Heading1"/>
      </w:pPr>
      <w:bookmarkStart w:id="1" w:name="_Toc227434073"/>
      <w:r>
        <w:t>Main Body and Analysis</w:t>
      </w:r>
      <w:bookmarkEnd w:id="1"/>
    </w:p>
    <w:p w14:paraId="776EDE6C" w14:textId="77777777" w:rsidR="00323964" w:rsidRDefault="003B65EB">
      <w:pPr>
        <w:pStyle w:val="Heading2"/>
      </w:pPr>
      <w:bookmarkStart w:id="2" w:name="_Toc227434074"/>
      <w:r>
        <w:t>a. Identifying the problem and setting the system context: applying systems thinking and the rich picture</w:t>
      </w:r>
      <w:bookmarkEnd w:id="2"/>
    </w:p>
    <w:p w14:paraId="1911D013" w14:textId="77777777" w:rsidR="0087524E" w:rsidRDefault="0002361B">
      <w:r w:rsidRPr="0002361B">
        <w:t xml:space="preserve">The fundamental issue in the chosen case was a major medication safety error in the process of transferring the infant to secondary care to the community. The discharge report involved Oramorph, the GP did not know the specialist low-strength formulation, the local pharmacy provided a higher strength and the parents were left to dispense the same amount that they had been advised to dispense. This led to the baby getting around 3.8 mg of morphine rather than the 190 micrograms that they were supposed to, a twenty times overdose (NHS England North East and Yorkshire, 2023). This problem </w:t>
      </w:r>
      <w:proofErr w:type="gramStart"/>
      <w:r w:rsidRPr="0002361B">
        <w:t>gain</w:t>
      </w:r>
      <w:proofErr w:type="gramEnd"/>
      <w:r w:rsidRPr="0002361B">
        <w:t xml:space="preserve"> even more meaning when it is placed in context with the evidence on the planet. According to WHO (2024a), approximately 5% of patients are exposed to preventable medication-related harm and around a quarter of it is severe or life-threatening. WHO (2024b) also posits that unsafe medication systems cost huge health resources and erode the trust of the population in care systems. These statistics indicate that the infant overdose must be regarded as a component of a global issue of patient safety and not as an infrequent local anomaly. </w:t>
      </w:r>
    </w:p>
    <w:p w14:paraId="47DE3B54" w14:textId="77777777" w:rsidR="0087524E" w:rsidRDefault="0002361B">
      <w:r w:rsidRPr="0002361B">
        <w:t xml:space="preserve">The size of the problem is also indicated by global economic evidence. OECD (2025) estimates that unsafe care consumes a significant portion of health spending and that preventable harm remains a strain on already limited services. This is important to the current case since extreme medication events not only damage patients. They also need emergency response, cost investigation, leads to professional stress and long-term governance burdens of </w:t>
      </w:r>
      <w:proofErr w:type="spellStart"/>
      <w:r w:rsidRPr="0002361B">
        <w:t>organisations</w:t>
      </w:r>
      <w:proofErr w:type="spellEnd"/>
      <w:r w:rsidRPr="0002361B">
        <w:t xml:space="preserve">. According to national statistics, the occurrence of patient safety events is very common in the NHS. According to NHS England (2025b), it is no longer a one-year patient safety event, but over 2.5 million patient safety events are reported to the Learn from Patient Safety Events service annually. In 2025/26 alone in Quarter 1, 833,136 incidents were registered including significant amounts of moderate, severe and fatal harm incidents (NHS England, 2025d). Reporting volumes do not necessarily equate to prevalence, but the data nevertheless demonstrate the magnitude of safety management that is needed throughout the system. The points of transfer are particularly susceptible to medication safety. </w:t>
      </w:r>
    </w:p>
    <w:p w14:paraId="3CCA25D4" w14:textId="77777777" w:rsidR="0087524E" w:rsidRDefault="0002361B">
      <w:r w:rsidRPr="0002361B">
        <w:lastRenderedPageBreak/>
        <w:t xml:space="preserve">In a study, Leon, Hogan and Jani (2024) state that medication safety in transfer of care must be evaluated throughout the pathway, since handovers tend to discontinue accountability and conceal arising risks. Similar to Camacho et al. (2024), it is demonstrated that inadequate transfer of prescription information digitally can create preventable risks in patient safety within NHS environments. These results are directly applicable to this situation since the medication path of the infant was transferred between hospital discharge, the general practice and community pharmacy without a completely reliable shared information system. There are more systemic flaws in communication and accountability reflected in the chosen case, too. The discharge summary was written by hand, the strength of the product was not clearly relayed, the prescription was registered in the routine primary care system and the pharmacy concern was not discussed between the clinicians and clinician. </w:t>
      </w:r>
    </w:p>
    <w:p w14:paraId="2B218A47" w14:textId="77777777" w:rsidR="0087524E" w:rsidRDefault="0002361B">
      <w:r w:rsidRPr="0002361B">
        <w:t xml:space="preserve">NHS England North East and Yorkshire (2023) thus suggested more explicit discharge messages, generic drug name, combining dose and volume, and better ensuring parental comprehension prior to home administration. The working of governance was at multiple levels here. On the local level, there was the influence of the hospital trust, GP practice and community pharmacy. The target prescribing regulations were influenced by the formulary status and the RED drug classification at the regional level. In the national level, the governance of patient safety is articulated through the NHS systems like PSIRF and LFPSE that are not based on blame but support learning (NHS England, 2025e). It was not the total lack of governance that was the challenge. The problem was that when the medicine crossed the boundaries of </w:t>
      </w:r>
      <w:proofErr w:type="spellStart"/>
      <w:r w:rsidRPr="0002361B">
        <w:t>organisations</w:t>
      </w:r>
      <w:proofErr w:type="spellEnd"/>
      <w:r w:rsidRPr="0002361B">
        <w:t xml:space="preserve"> it could not be governed effectively any longer. There are underlying workforce and operational pressures, which also contribute to the failure of the fragile systems. Both NHS Digital (2025) workforce statistics and the Kings Fund (2025) workforce analysis show that the NHS is experiencing ongoing staffing pressure with high levels of vacancies. </w:t>
      </w:r>
    </w:p>
    <w:p w14:paraId="035F1374" w14:textId="77777777" w:rsidR="0087524E" w:rsidRDefault="0002361B">
      <w:r w:rsidRPr="0002361B">
        <w:t xml:space="preserve">Unsafe practice should not be justified by the heavy workload but it may lead to higher chances of communication shortcuts, lower checking reliability, and broken handovers. On that note, this event too must be interpreted as a test of system resilience. There is then a need to approach things with a systems thinking approach. System thinking looks at the system as an outcome of interplay between structures, people, processes, information and feedback loops instead of the actions of a single individual. Thelen et al. (2023) demonstrate that systems thinking frameworks are useful in health care since they demonstrate that even minor flaws can result in massive failures. The authors also claim that systems thinking helps </w:t>
      </w:r>
      <w:proofErr w:type="spellStart"/>
      <w:r w:rsidRPr="0002361B">
        <w:t>organisations</w:t>
      </w:r>
      <w:proofErr w:type="spellEnd"/>
      <w:r w:rsidRPr="0002361B">
        <w:t xml:space="preserve"> to shift towards proactive redesign rather than reacting to incidents (Saenz et al., 2023). </w:t>
      </w:r>
    </w:p>
    <w:p w14:paraId="2005828B" w14:textId="40C291C5" w:rsidR="00323964" w:rsidRDefault="0002361B">
      <w:r w:rsidRPr="0002361B">
        <w:lastRenderedPageBreak/>
        <w:t xml:space="preserve">A rich picture is used to explain the complexity of the case. Within the rich picture, the neonatal team of the hospital is at the beginning of the pathway generating the discharge information. That information is then converted to a community prescription by the GP. The pharmacist acts as a checking and dispensing gateway. The ultimate administrators of the drug are the parents at home. With these actors comes the formulary, the Electronic Prescription Service, patient safety reporting structures and the broader NHS governance environment. The lost safety loop was the early corrective feedback. As soon as ambiguity was introduced into the channel, the risk was shifted by each of the actors instead of being addressed at the point of origin (NHS England North East and Yorkshire, 2023). </w:t>
      </w:r>
    </w:p>
    <w:p w14:paraId="26997F00" w14:textId="46A637A8" w:rsidR="00D573C7" w:rsidRPr="00D573C7" w:rsidRDefault="00D573C7" w:rsidP="00D573C7">
      <w:pPr>
        <w:pStyle w:val="Caption"/>
      </w:pPr>
      <w:r>
        <w:t xml:space="preserve">Table </w:t>
      </w:r>
      <w:fldSimple w:instr=" SEQ Table \* ARABIC ">
        <w:r>
          <w:rPr>
            <w:noProof/>
          </w:rPr>
          <w:t>1</w:t>
        </w:r>
      </w:fldSimple>
      <w:r>
        <w:t>: Rich Picture</w:t>
      </w:r>
    </w:p>
    <w:tbl>
      <w:tblPr>
        <w:tblW w:w="963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258"/>
        <w:gridCol w:w="7374"/>
      </w:tblGrid>
      <w:tr w:rsidR="00E85C21" w:rsidRPr="00BF0257" w14:paraId="7D8AFD5A" w14:textId="77777777" w:rsidTr="004D45C3">
        <w:trPr>
          <w:jc w:val="center"/>
        </w:trPr>
        <w:tc>
          <w:tcPr>
            <w:tcW w:w="2258" w:type="dxa"/>
            <w:vAlign w:val="center"/>
          </w:tcPr>
          <w:p w14:paraId="2823CC2D" w14:textId="77777777" w:rsidR="00E85C21" w:rsidRPr="00BF0257" w:rsidRDefault="00E85C21" w:rsidP="00E85C21">
            <w:pPr>
              <w:spacing w:after="40"/>
              <w:rPr>
                <w:szCs w:val="24"/>
              </w:rPr>
            </w:pPr>
            <w:r w:rsidRPr="00BF0257">
              <w:rPr>
                <w:szCs w:val="24"/>
              </w:rPr>
              <w:t>Hospital team</w:t>
            </w:r>
          </w:p>
        </w:tc>
        <w:tc>
          <w:tcPr>
            <w:tcW w:w="7374" w:type="dxa"/>
          </w:tcPr>
          <w:p w14:paraId="005CA74E" w14:textId="5809075A" w:rsidR="00E85C21" w:rsidRPr="00BF0257" w:rsidRDefault="00E85C21" w:rsidP="00E85C21">
            <w:pPr>
              <w:spacing w:after="40"/>
              <w:rPr>
                <w:szCs w:val="24"/>
              </w:rPr>
            </w:pPr>
            <w:r w:rsidRPr="001C4C38">
              <w:t>Oramorph is referred to as discharge summary and does not render the specialist formulation and volume requirement explicit enough.</w:t>
            </w:r>
          </w:p>
        </w:tc>
      </w:tr>
      <w:tr w:rsidR="00E85C21" w:rsidRPr="00BF0257" w14:paraId="649CCD75" w14:textId="77777777" w:rsidTr="004D45C3">
        <w:trPr>
          <w:jc w:val="center"/>
        </w:trPr>
        <w:tc>
          <w:tcPr>
            <w:tcW w:w="2258" w:type="dxa"/>
            <w:vAlign w:val="center"/>
          </w:tcPr>
          <w:p w14:paraId="5826515E" w14:textId="77777777" w:rsidR="00E85C21" w:rsidRPr="00BF0257" w:rsidRDefault="00E85C21" w:rsidP="00E85C21">
            <w:pPr>
              <w:spacing w:after="40"/>
              <w:rPr>
                <w:szCs w:val="24"/>
              </w:rPr>
            </w:pPr>
            <w:r w:rsidRPr="00BF0257">
              <w:rPr>
                <w:szCs w:val="24"/>
              </w:rPr>
              <w:t>GP practice</w:t>
            </w:r>
          </w:p>
        </w:tc>
        <w:tc>
          <w:tcPr>
            <w:tcW w:w="7374" w:type="dxa"/>
          </w:tcPr>
          <w:p w14:paraId="510C6C1F" w14:textId="5EEEB3FC" w:rsidR="00E85C21" w:rsidRPr="00BF0257" w:rsidRDefault="00E85C21" w:rsidP="00E85C21">
            <w:pPr>
              <w:spacing w:after="40"/>
              <w:rPr>
                <w:szCs w:val="24"/>
              </w:rPr>
            </w:pPr>
            <w:r w:rsidRPr="001C4C38">
              <w:t>The medicine is a specialist RED drug, and prescription is created in primary care, which results in a lack of alignment between governance intention and local implementation.</w:t>
            </w:r>
          </w:p>
        </w:tc>
      </w:tr>
      <w:tr w:rsidR="00E85C21" w:rsidRPr="00BF0257" w14:paraId="55DFF4EF" w14:textId="77777777" w:rsidTr="004D45C3">
        <w:trPr>
          <w:jc w:val="center"/>
        </w:trPr>
        <w:tc>
          <w:tcPr>
            <w:tcW w:w="2258" w:type="dxa"/>
            <w:vAlign w:val="center"/>
          </w:tcPr>
          <w:p w14:paraId="6E82E66E" w14:textId="77777777" w:rsidR="00E85C21" w:rsidRPr="00BF0257" w:rsidRDefault="00E85C21" w:rsidP="00E85C21">
            <w:pPr>
              <w:spacing w:after="40"/>
              <w:rPr>
                <w:szCs w:val="24"/>
              </w:rPr>
            </w:pPr>
            <w:r w:rsidRPr="00BF0257">
              <w:rPr>
                <w:szCs w:val="24"/>
              </w:rPr>
              <w:t>Community pharmacy</w:t>
            </w:r>
          </w:p>
        </w:tc>
        <w:tc>
          <w:tcPr>
            <w:tcW w:w="7374" w:type="dxa"/>
          </w:tcPr>
          <w:p w14:paraId="2ECEFD80" w14:textId="50137F00" w:rsidR="00E85C21" w:rsidRPr="00BF0257" w:rsidRDefault="00E85C21" w:rsidP="00E85C21">
            <w:pPr>
              <w:spacing w:after="40"/>
              <w:rPr>
                <w:szCs w:val="24"/>
              </w:rPr>
            </w:pPr>
            <w:r w:rsidRPr="001C4C38">
              <w:t>Pharmacist observes that the volume is hard to give but the issue is not intensified with the use of a complete and efficient clinical dialogue.</w:t>
            </w:r>
          </w:p>
        </w:tc>
      </w:tr>
      <w:tr w:rsidR="00E85C21" w:rsidRPr="00BF0257" w14:paraId="151CF409" w14:textId="77777777" w:rsidTr="004D45C3">
        <w:trPr>
          <w:jc w:val="center"/>
        </w:trPr>
        <w:tc>
          <w:tcPr>
            <w:tcW w:w="2258" w:type="dxa"/>
            <w:vAlign w:val="center"/>
          </w:tcPr>
          <w:p w14:paraId="0BC46213" w14:textId="77777777" w:rsidR="00E85C21" w:rsidRPr="00BF0257" w:rsidRDefault="00E85C21" w:rsidP="00E85C21">
            <w:pPr>
              <w:spacing w:after="40"/>
              <w:rPr>
                <w:szCs w:val="24"/>
              </w:rPr>
            </w:pPr>
            <w:r w:rsidRPr="00BF0257">
              <w:rPr>
                <w:szCs w:val="24"/>
              </w:rPr>
              <w:t>Parents/carers</w:t>
            </w:r>
          </w:p>
        </w:tc>
        <w:tc>
          <w:tcPr>
            <w:tcW w:w="7374" w:type="dxa"/>
          </w:tcPr>
          <w:p w14:paraId="07F31FF0" w14:textId="5ADDA443" w:rsidR="00E85C21" w:rsidRPr="00BF0257" w:rsidRDefault="00E85C21" w:rsidP="00E85C21">
            <w:pPr>
              <w:spacing w:after="40"/>
              <w:rPr>
                <w:szCs w:val="24"/>
              </w:rPr>
            </w:pPr>
            <w:r w:rsidRPr="001C4C38">
              <w:t>Family maintains the amount of volume that was previously given, and they are not aware that the concentration of the medicine they are getting is different.</w:t>
            </w:r>
          </w:p>
        </w:tc>
      </w:tr>
      <w:tr w:rsidR="00E85C21" w:rsidRPr="00BF0257" w14:paraId="4CDF5128" w14:textId="77777777" w:rsidTr="004D45C3">
        <w:trPr>
          <w:jc w:val="center"/>
        </w:trPr>
        <w:tc>
          <w:tcPr>
            <w:tcW w:w="2258" w:type="dxa"/>
            <w:vAlign w:val="center"/>
          </w:tcPr>
          <w:p w14:paraId="12CAB971" w14:textId="77777777" w:rsidR="00E85C21" w:rsidRPr="00BF0257" w:rsidRDefault="00E85C21" w:rsidP="00E85C21">
            <w:pPr>
              <w:spacing w:after="40"/>
              <w:rPr>
                <w:szCs w:val="24"/>
              </w:rPr>
            </w:pPr>
            <w:r w:rsidRPr="00BF0257">
              <w:rPr>
                <w:szCs w:val="24"/>
              </w:rPr>
              <w:t>Infant</w:t>
            </w:r>
          </w:p>
        </w:tc>
        <w:tc>
          <w:tcPr>
            <w:tcW w:w="7374" w:type="dxa"/>
          </w:tcPr>
          <w:p w14:paraId="0638D210" w14:textId="2E730D17" w:rsidR="00E85C21" w:rsidRPr="00BF0257" w:rsidRDefault="00E85C21" w:rsidP="00E85C21">
            <w:pPr>
              <w:spacing w:after="40"/>
              <w:rPr>
                <w:szCs w:val="24"/>
              </w:rPr>
            </w:pPr>
            <w:r w:rsidRPr="001C4C38">
              <w:t>Overdoses 20-fold and needs emergency treatment with naloxone.</w:t>
            </w:r>
          </w:p>
        </w:tc>
      </w:tr>
      <w:tr w:rsidR="00E85C21" w:rsidRPr="00BF0257" w14:paraId="0BF62AFB" w14:textId="77777777" w:rsidTr="004D45C3">
        <w:trPr>
          <w:jc w:val="center"/>
        </w:trPr>
        <w:tc>
          <w:tcPr>
            <w:tcW w:w="2258" w:type="dxa"/>
            <w:vAlign w:val="center"/>
          </w:tcPr>
          <w:p w14:paraId="2E393EDA" w14:textId="77777777" w:rsidR="00E85C21" w:rsidRPr="00BF0257" w:rsidRDefault="00E85C21" w:rsidP="00E85C21">
            <w:pPr>
              <w:spacing w:after="40"/>
              <w:rPr>
                <w:szCs w:val="24"/>
              </w:rPr>
            </w:pPr>
            <w:r w:rsidRPr="00BF0257">
              <w:rPr>
                <w:szCs w:val="24"/>
              </w:rPr>
              <w:t>Feedback loop</w:t>
            </w:r>
          </w:p>
        </w:tc>
        <w:tc>
          <w:tcPr>
            <w:tcW w:w="7374" w:type="dxa"/>
          </w:tcPr>
          <w:p w14:paraId="652D0A6F" w14:textId="76B7A686" w:rsidR="00E85C21" w:rsidRPr="00BF0257" w:rsidRDefault="00E85C21" w:rsidP="00E85C21">
            <w:pPr>
              <w:spacing w:after="40"/>
              <w:rPr>
                <w:szCs w:val="24"/>
              </w:rPr>
            </w:pPr>
            <w:r w:rsidRPr="001C4C38">
              <w:t>The post-incident learning follows the harm, indicating that there was no efficient previous feedback mechanism.</w:t>
            </w:r>
          </w:p>
        </w:tc>
      </w:tr>
    </w:tbl>
    <w:p w14:paraId="1CFE2339" w14:textId="77777777" w:rsidR="00D4018D" w:rsidRDefault="00D4018D" w:rsidP="00D4018D">
      <w:bookmarkStart w:id="3" w:name="_Toc227434075"/>
    </w:p>
    <w:p w14:paraId="0C12ECEF" w14:textId="48E95A91" w:rsidR="005E0B90" w:rsidRDefault="005E0B90" w:rsidP="00D4018D">
      <w:r>
        <w:t>A</w:t>
      </w:r>
      <w:r w:rsidRPr="005E0B90">
        <w:t xml:space="preserve"> communication and prescribing practice in the care setting resulted in a severe opioid overdose in an infant. Oramorph was listed on the discharge summary in hospital without any statement of specialist formulation or the specific volume. In primary care, the GP practice made the prescription even though the medicine was a specialist RED drug, which was incongruous with the governance intended and local practice. The pharmacist in the community pharmacy realized that the volume was hard to provide, yet this issue was not heightened using a useful clinical discussion. The parents or carers at home kept on administering the same volume as before, without knowing that the </w:t>
      </w:r>
      <w:r w:rsidRPr="005E0B90">
        <w:lastRenderedPageBreak/>
        <w:t xml:space="preserve">concentration of the medicine had been altered. This led to the infant being overdosed by 20 times and in need of emergency treatment with naloxone. The event reveals that breakdowns at several stages in the care pathway, and the ineffective feedback mechanism, ensured that it took a long time to </w:t>
      </w:r>
      <w:proofErr w:type="spellStart"/>
      <w:r w:rsidRPr="005E0B90">
        <w:t>realise</w:t>
      </w:r>
      <w:proofErr w:type="spellEnd"/>
      <w:r w:rsidRPr="005E0B90">
        <w:t xml:space="preserve"> that serious damage already occurred.</w:t>
      </w:r>
    </w:p>
    <w:p w14:paraId="7DDB8CD0" w14:textId="22D33DFF" w:rsidR="00323964" w:rsidRDefault="003B65EB">
      <w:pPr>
        <w:pStyle w:val="Heading2"/>
      </w:pPr>
      <w:r>
        <w:t xml:space="preserve">b. </w:t>
      </w:r>
      <w:proofErr w:type="spellStart"/>
      <w:r>
        <w:t>Centralisation</w:t>
      </w:r>
      <w:proofErr w:type="spellEnd"/>
      <w:r>
        <w:t xml:space="preserve"> or </w:t>
      </w:r>
      <w:proofErr w:type="spellStart"/>
      <w:r>
        <w:t>decentralisation</w:t>
      </w:r>
      <w:proofErr w:type="spellEnd"/>
      <w:r>
        <w:t xml:space="preserve"> within the case study</w:t>
      </w:r>
      <w:bookmarkEnd w:id="3"/>
    </w:p>
    <w:p w14:paraId="0DDFDB8E" w14:textId="2F742845" w:rsidR="006E0A1F" w:rsidRDefault="006E0A1F" w:rsidP="006E0A1F">
      <w:r>
        <w:t xml:space="preserve">The chosen case study is an example of a hybrid system where the medicines governance was </w:t>
      </w:r>
      <w:proofErr w:type="spellStart"/>
      <w:r>
        <w:t>centralised</w:t>
      </w:r>
      <w:proofErr w:type="spellEnd"/>
      <w:r>
        <w:t xml:space="preserve"> formally, but the active operation was </w:t>
      </w:r>
      <w:proofErr w:type="spellStart"/>
      <w:r>
        <w:t>decentralised</w:t>
      </w:r>
      <w:proofErr w:type="spellEnd"/>
      <w:r>
        <w:t xml:space="preserve">. The weak form of morphine was declared a specialist drug, the RED, which should not leave the secondary care. It is a </w:t>
      </w:r>
      <w:proofErr w:type="spellStart"/>
      <w:r>
        <w:t>centralised</w:t>
      </w:r>
      <w:proofErr w:type="spellEnd"/>
      <w:r>
        <w:t xml:space="preserve"> structure since the power of initiation, restriction and specialist control is above the frontline general practice. NHS England North East and Yorkshire (2023) however, observed that the classification failed to restrict the movement of the medicine into the non-specialist community prescribing and dispensing channels.</w:t>
      </w:r>
      <w:r w:rsidR="00D573C7">
        <w:t xml:space="preserve"> </w:t>
      </w:r>
      <w:r>
        <w:t xml:space="preserve">There are significant benefits of </w:t>
      </w:r>
      <w:proofErr w:type="spellStart"/>
      <w:r>
        <w:t>centralisation</w:t>
      </w:r>
      <w:proofErr w:type="spellEnd"/>
      <w:r>
        <w:t xml:space="preserve"> in managing high-risk medications. It can facilitate </w:t>
      </w:r>
      <w:proofErr w:type="spellStart"/>
      <w:r>
        <w:t>standardisation</w:t>
      </w:r>
      <w:proofErr w:type="spellEnd"/>
      <w:r>
        <w:t xml:space="preserve">, specialist control, increase formulary discipline and better regulation accountability. Ideally, limited prescribing should lead to less variation and eliminate unsafe substitutions. NHS England (2025c) is keen on </w:t>
      </w:r>
      <w:proofErr w:type="spellStart"/>
      <w:r>
        <w:t>organised</w:t>
      </w:r>
      <w:proofErr w:type="spellEnd"/>
      <w:r>
        <w:t xml:space="preserve"> medication safety control, and it proves the idea that there are medicines that need to be more strictly governed due to the excessive risk of misuse of inappropriate variation.</w:t>
      </w:r>
    </w:p>
    <w:p w14:paraId="0FB99DE2" w14:textId="1C0CD0C3" w:rsidR="006E0A1F" w:rsidRDefault="006E0A1F" w:rsidP="006E0A1F">
      <w:r>
        <w:t xml:space="preserve">But the weakness of </w:t>
      </w:r>
      <w:proofErr w:type="spellStart"/>
      <w:r>
        <w:t>centralisation</w:t>
      </w:r>
      <w:proofErr w:type="spellEnd"/>
      <w:r>
        <w:t xml:space="preserve"> in this situation was that the rule was stronger in policy rather than practice. Centrally established classification can be effective only when it is integrated into the digital systems, local workflows and common professional knowledge. The central rule was a poor shield since the GP and pharmacy teams were not properly supported to take action on the specialist restriction. This goes in line with the broader argument of Oliveira et al. (2024) that </w:t>
      </w:r>
      <w:proofErr w:type="spellStart"/>
      <w:r>
        <w:t>centralisation</w:t>
      </w:r>
      <w:proofErr w:type="spellEnd"/>
      <w:r>
        <w:t xml:space="preserve"> is not enough to ensure safety in cases where local implementation capacity is lacking.</w:t>
      </w:r>
      <w:r w:rsidR="00D573C7">
        <w:t xml:space="preserve"> </w:t>
      </w:r>
      <w:r>
        <w:t xml:space="preserve">There were also potential benefits of the </w:t>
      </w:r>
      <w:proofErr w:type="spellStart"/>
      <w:r>
        <w:t>decentralised</w:t>
      </w:r>
      <w:proofErr w:type="spellEnd"/>
      <w:r>
        <w:t xml:space="preserve"> aspects of the system. Local specialists can be in a good position to detect feasible problems and act on urgent patient demands in real-time. An example of this is community pharmacists to identify discrepancies, question unclear prescriptions and assist carers with administration of medicines. </w:t>
      </w:r>
      <w:proofErr w:type="spellStart"/>
      <w:r>
        <w:t>Thorakkattil</w:t>
      </w:r>
      <w:proofErr w:type="spellEnd"/>
      <w:r>
        <w:t xml:space="preserve"> et al. (2024) stress the significant patient safety impact that can be achieved by pharmacists when they are empowered in clinical pathways. Hypothetically, this frontline knowledge ought to have enhanced resilience in the current situation.</w:t>
      </w:r>
    </w:p>
    <w:p w14:paraId="6CE7C704" w14:textId="632E2B81" w:rsidR="006E0A1F" w:rsidRDefault="006E0A1F" w:rsidP="006E0A1F">
      <w:r>
        <w:t xml:space="preserve">However, </w:t>
      </w:r>
      <w:proofErr w:type="spellStart"/>
      <w:r>
        <w:t>decentralisation</w:t>
      </w:r>
      <w:proofErr w:type="spellEnd"/>
      <w:r>
        <w:t xml:space="preserve"> was a drag to performance since power was dispersed without the same dispersion of information, the ability and support of escalation. The GP was unaware that this 100 </w:t>
      </w:r>
      <w:r>
        <w:lastRenderedPageBreak/>
        <w:t xml:space="preserve">micrograms/ml product was a specialist formulation. The pharmacists were not familiar with the </w:t>
      </w:r>
      <w:proofErr w:type="gramStart"/>
      <w:r>
        <w:t>specials</w:t>
      </w:r>
      <w:proofErr w:type="gramEnd"/>
      <w:r>
        <w:t xml:space="preserve"> product. The parents were not supported to understand the changed concentration. This implies that the dispersion of decision-making was not matched with equal distribution of knowledge to make safe decisions. That lack of balance rendered </w:t>
      </w:r>
      <w:proofErr w:type="spellStart"/>
      <w:r>
        <w:t>decentralised</w:t>
      </w:r>
      <w:proofErr w:type="spellEnd"/>
      <w:r>
        <w:t xml:space="preserve"> action as non-adaptive instead of safe (NHS England North East and Yorkshire, 2023).</w:t>
      </w:r>
      <w:r w:rsidR="00D573C7">
        <w:t xml:space="preserve"> </w:t>
      </w:r>
      <w:r>
        <w:t xml:space="preserve">The case thus illustrates how ineffective collaboration between system structure and crisis management can be perilous. In case risks are </w:t>
      </w:r>
      <w:proofErr w:type="spellStart"/>
      <w:r>
        <w:t>decentralised</w:t>
      </w:r>
      <w:proofErr w:type="spellEnd"/>
      <w:r>
        <w:t xml:space="preserve"> within </w:t>
      </w:r>
      <w:proofErr w:type="spellStart"/>
      <w:r>
        <w:t>organisations</w:t>
      </w:r>
      <w:proofErr w:type="spellEnd"/>
      <w:r>
        <w:t xml:space="preserve">, no single individual is owning the entire pathway by default. This undermines accountability unless there are explicit handover and escalation processes. The description of PSIRF provided by NHS England (2025e) focuses on proportionate system-based learning, which is applicable in the case as the safety issue was the result of </w:t>
      </w:r>
      <w:proofErr w:type="spellStart"/>
      <w:r>
        <w:t>organisations</w:t>
      </w:r>
      <w:proofErr w:type="spellEnd"/>
      <w:r>
        <w:t xml:space="preserve"> interaction as opposed to a single occurrence of oversight.</w:t>
      </w:r>
    </w:p>
    <w:p w14:paraId="0B48A314" w14:textId="33AB34F2" w:rsidR="006E0A1F" w:rsidRDefault="006E0A1F" w:rsidP="006E0A1F">
      <w:r>
        <w:t xml:space="preserve">One of the ways to address this </w:t>
      </w:r>
      <w:proofErr w:type="spellStart"/>
      <w:r>
        <w:t>centraliseddecentralised</w:t>
      </w:r>
      <w:proofErr w:type="spellEnd"/>
      <w:r>
        <w:t xml:space="preserve"> gap is provided by digital infrastructure. The Electronic Prescription Service is introduced by NHS England (2025a) as a tool to enhance both convenience and efficiency, and efficiency can only enhance safety when the information in the system is correct and constrained accordingly. As Camacho et al. (2024) demonstrate, effectively transferring medication information in digital form is able to decrease the patient safety burden of poorly connected care transitions. This implies that it is not about whether systems are digital or manual rather it is about whether systems are built around high-risk medication use.</w:t>
      </w:r>
      <w:r w:rsidR="00D573C7">
        <w:t xml:space="preserve"> </w:t>
      </w:r>
      <w:r>
        <w:t>The Discharge Medicines Service is also applicable. According to Community Pharmacy England (2025), DMS is a coordinated service to help maintain medicines continuity following discharge. Mason et al. (2024) demonstrate that DMS referrals are viable, as well as helpful in community practice, in cases where communication is properly organized. A more robust post-discharge pharmacy follow-up channel could have provided an additional layer of protection against harm before a disaster struck in the case of infant overdose.</w:t>
      </w:r>
    </w:p>
    <w:p w14:paraId="599E9E8B" w14:textId="0D11FF65" w:rsidR="00323964" w:rsidRDefault="006E0A1F" w:rsidP="006E0A1F">
      <w:r>
        <w:t>Critically, the selected system structure obstructed decision-making and accountability as it resulted in a disjointed channel with low ownership of general risk. The medication plan was initiated by the hospital, translated by the GP into the primary care prescribing, the community pharmacy provided the medicine, and the family was the last administration. Every point had a certain safety potential, but none was able to address the growing risk. That is the pivotal limitation of ill-coordinated hybrid systems: central policy and local practice are not in harmony as a single design of safety.</w:t>
      </w:r>
      <w:r w:rsidR="00D573C7">
        <w:t xml:space="preserve"> </w:t>
      </w:r>
      <w:r>
        <w:t xml:space="preserve">Comprehensively, the case cannot be termed as either </w:t>
      </w:r>
      <w:proofErr w:type="spellStart"/>
      <w:r>
        <w:t>centralised</w:t>
      </w:r>
      <w:proofErr w:type="spellEnd"/>
      <w:r>
        <w:t xml:space="preserve"> or </w:t>
      </w:r>
      <w:proofErr w:type="spellStart"/>
      <w:r>
        <w:t>decentralised</w:t>
      </w:r>
      <w:proofErr w:type="spellEnd"/>
      <w:r>
        <w:t xml:space="preserve">. It is better to say that the </w:t>
      </w:r>
      <w:proofErr w:type="spellStart"/>
      <w:r>
        <w:t>organisation</w:t>
      </w:r>
      <w:proofErr w:type="spellEnd"/>
      <w:r>
        <w:t xml:space="preserve"> was a part </w:t>
      </w:r>
      <w:proofErr w:type="spellStart"/>
      <w:r>
        <w:t>centralised</w:t>
      </w:r>
      <w:proofErr w:type="spellEnd"/>
      <w:r>
        <w:t xml:space="preserve"> governance system with </w:t>
      </w:r>
      <w:proofErr w:type="spellStart"/>
      <w:r>
        <w:t>decentralised</w:t>
      </w:r>
      <w:proofErr w:type="spellEnd"/>
      <w:r>
        <w:t xml:space="preserve"> implementation. </w:t>
      </w:r>
      <w:r>
        <w:lastRenderedPageBreak/>
        <w:t xml:space="preserve">The prime inference is that hybrid arrangements need greater integration than either of the two pure models. In the absence of such integration, </w:t>
      </w:r>
      <w:proofErr w:type="spellStart"/>
      <w:r>
        <w:t>centralised</w:t>
      </w:r>
      <w:proofErr w:type="spellEnd"/>
      <w:r>
        <w:t xml:space="preserve"> rules become mere symbols and </w:t>
      </w:r>
      <w:proofErr w:type="spellStart"/>
      <w:r>
        <w:t>decentralised</w:t>
      </w:r>
      <w:proofErr w:type="spellEnd"/>
      <w:r>
        <w:t xml:space="preserve"> practice is open to variation and confusion.</w:t>
      </w:r>
    </w:p>
    <w:p w14:paraId="353523EC" w14:textId="77777777" w:rsidR="00323964" w:rsidRDefault="003B65EB">
      <w:pPr>
        <w:pStyle w:val="Heading2"/>
      </w:pPr>
      <w:bookmarkStart w:id="4" w:name="_Toc227434076"/>
      <w:r>
        <w:t>c. Leadership theories and application to the case study</w:t>
      </w:r>
      <w:bookmarkEnd w:id="4"/>
    </w:p>
    <w:p w14:paraId="3B3E6296" w14:textId="77777777" w:rsidR="007C49FC" w:rsidRDefault="007C49FC" w:rsidP="007C49FC">
      <w:r>
        <w:t xml:space="preserve">It is possible to </w:t>
      </w:r>
      <w:proofErr w:type="spellStart"/>
      <w:r>
        <w:t>analyse</w:t>
      </w:r>
      <w:proofErr w:type="spellEnd"/>
      <w:r>
        <w:t xml:space="preserve"> the case with the help of three leadership approaches: transactional leadership, transformational leadership and situational or distributed leadership. Each provides a variant of how leaders might </w:t>
      </w:r>
      <w:proofErr w:type="spellStart"/>
      <w:r>
        <w:t>stabilise</w:t>
      </w:r>
      <w:proofErr w:type="spellEnd"/>
      <w:r>
        <w:t xml:space="preserve"> or undermine safety performance in complicated health systems.</w:t>
      </w:r>
    </w:p>
    <w:p w14:paraId="6358E736" w14:textId="77777777" w:rsidR="007C49FC" w:rsidRDefault="007C49FC" w:rsidP="007C49FC">
      <w:r w:rsidRPr="00D573C7">
        <w:rPr>
          <w:b/>
          <w:bCs/>
          <w:i/>
          <w:iCs/>
        </w:rPr>
        <w:t>Transactional leadership</w:t>
      </w:r>
      <w:r>
        <w:t xml:space="preserve"> is rule-based, compliance-based, monitoring and corrective action-based leadership. Transactional leadership is required in medication governance as high-risk medicines need explicit limitations, standard operating procedures and specified escalation paths. The classification of the selected case as the RED drug is associated with the logic of transactions in that it tried to manage the risk with the help of the specialist initiation and the limitation of supply. But transactional leadership alone was not enough since employees obeyed bits of the process without making sure that the entire route is safe. The presence of regulations did not deter unsafe continuation of the medication journey (NHS England North East and Yorkshire, 2023).</w:t>
      </w:r>
    </w:p>
    <w:p w14:paraId="04CD0B8F" w14:textId="366143BE" w:rsidR="007F3D64" w:rsidRDefault="007C49FC" w:rsidP="007F3D64">
      <w:r w:rsidRPr="00D573C7">
        <w:rPr>
          <w:b/>
          <w:bCs/>
          <w:i/>
          <w:iCs/>
        </w:rPr>
        <w:t>Transformational leadership</w:t>
      </w:r>
      <w:r>
        <w:t xml:space="preserve"> is more visionary, purpose-driven, empowered and pro-improvement-oriented. </w:t>
      </w:r>
      <w:proofErr w:type="spellStart"/>
      <w:r>
        <w:t>Althobaiti</w:t>
      </w:r>
      <w:proofErr w:type="spellEnd"/>
      <w:r>
        <w:t xml:space="preserve"> (2025) concludes that the transformational leadership style is more effective in fostering the patient safety culture through the enhancement of trust, motivation and commitment to safe care. Similar correlations between supportive leadership </w:t>
      </w:r>
      <w:proofErr w:type="spellStart"/>
      <w:r>
        <w:t>behaviours</w:t>
      </w:r>
      <w:proofErr w:type="spellEnd"/>
      <w:r>
        <w:t xml:space="preserve"> and better team and patient outcomes are also noted by Cummings et al. (2023). In the case, transformational leadership would have implied the establishment of a culture where professionals feel accountable to the whole patient pathway instead of to the task that they perform, </w:t>
      </w:r>
      <w:proofErr w:type="spellStart"/>
      <w:proofErr w:type="gramStart"/>
      <w:r>
        <w:t>specifically.</w:t>
      </w:r>
      <w:r w:rsidR="007F3D64">
        <w:t>In</w:t>
      </w:r>
      <w:proofErr w:type="spellEnd"/>
      <w:proofErr w:type="gramEnd"/>
      <w:r w:rsidR="007F3D64">
        <w:t xml:space="preserve"> the trust or medicines governance </w:t>
      </w:r>
      <w:r w:rsidR="00D573C7">
        <w:t xml:space="preserve"> </w:t>
      </w:r>
      <w:r w:rsidR="007F3D64">
        <w:t xml:space="preserve"> taking place. As an illustration, how might a GP read this discharge summary, how might a pharmacy get the correct formulation, and how might parents safely differentiate between concentration and volume at home? These are not procedural questions that are limited in their scope. These are design questions and the main benefit of transformational leadership is that it prompts leaders to question assumptions and redesign unsafe conditions prior to the occurrence of harm.</w:t>
      </w:r>
    </w:p>
    <w:p w14:paraId="5FEAE545" w14:textId="25BEA3E8" w:rsidR="007F3D64" w:rsidRDefault="007F3D64" w:rsidP="007F3D64">
      <w:r w:rsidRPr="00D573C7">
        <w:rPr>
          <w:b/>
          <w:bCs/>
          <w:i/>
          <w:iCs/>
        </w:rPr>
        <w:t>Situational and distributed leadership</w:t>
      </w:r>
      <w:r>
        <w:t xml:space="preserve"> are also the most applicable as the case involved several settings and not one leader was able to handle all the points directly. Carstensen, Kjeldsen and Nielsen (2024) demonstrate that a good quality improvement can be supported by distributed leadership in the case of the congruency between authority and responsibility within teams. Distributed leadership, </w:t>
      </w:r>
      <w:r>
        <w:lastRenderedPageBreak/>
        <w:t>in the current instance, would have entailed apparent cooperation amongst hospital clinicians, GP prescribers, community pharmacists and patient safety leads. Rather, leadership activity was still in bits and pieces.</w:t>
      </w:r>
      <w:r w:rsidR="00D573C7">
        <w:t xml:space="preserve"> </w:t>
      </w:r>
      <w:r>
        <w:t xml:space="preserve">In the given case, the leadership reaction seems to have been rather reactive rather than proactive. The case summary, post-overdose, provided some good recommendations such as electronic discharge summaries, more clarity in naming the formulation, improved parental counselling and review of the classification of the drug used. These are significant learning behaviors, although they were mostly in place when significant damage was all but done. Therefore, NHS England North East and Yorkshire (2023) </w:t>
      </w:r>
      <w:proofErr w:type="gramStart"/>
      <w:r>
        <w:t>exemplifies</w:t>
      </w:r>
      <w:proofErr w:type="gramEnd"/>
      <w:r>
        <w:t xml:space="preserve"> a typical pattern of patient safety when the processes of learning become highly intense once an adverse event comes into the limelight.</w:t>
      </w:r>
    </w:p>
    <w:p w14:paraId="7E7656AF" w14:textId="43173F1F" w:rsidR="007F3D64" w:rsidRDefault="007F3D64" w:rsidP="007F3D64">
      <w:r>
        <w:t xml:space="preserve">NHS safety culture data contribute to understanding why the effectiveness of leadership is important. The national results of the NHS Staff Survey indicate that the staff is mostly motivated to report the incidents, though the confidence that the concerns will be addressed is not as high as desired. According to NHS Staff Survey (2025), only approximately half of the survey participants were sure that their </w:t>
      </w:r>
      <w:proofErr w:type="spellStart"/>
      <w:r>
        <w:t>organisation</w:t>
      </w:r>
      <w:proofErr w:type="spellEnd"/>
      <w:r>
        <w:t xml:space="preserve"> would respond to a concern that they have raised. This is important to the chosen case since the community pharmacist did express concern, but the system failed to convert that concern to a safe and effective interruption of the pathway.</w:t>
      </w:r>
      <w:r w:rsidR="00D573C7">
        <w:t xml:space="preserve"> </w:t>
      </w:r>
      <w:r>
        <w:t>The issue of emotional intelligent and ethical leadership should also be addressed. Powell et al. (2024) state that emotional intelligence training enhances communication, team performance and quality of care in healthcare environments. Emotionally intelligent leadership in this situation would have paid attention to the technical correctness but also to the way overwhelmed parents would take in medicine instructions, the way junior staff would feel about opposing ambiguous prescriptions and the way teams would discuss uncertainty without fear or hierarchy being obstacles.</w:t>
      </w:r>
    </w:p>
    <w:p w14:paraId="66DBCA20" w14:textId="022C8D60" w:rsidR="00323964" w:rsidRDefault="007F3D64" w:rsidP="007F3D64">
      <w:r>
        <w:t xml:space="preserve">Another helpful lens is leadership in complex adaptive systems. According to Best et al. (2024), NHS leadership needs to be reconsidered in the context of systems with numerous interdependencies, dynamic demands and diffused expertise. The case of infant overdose lends credence to that stand since the incident arose out of interplay of technology, professional role, governance structures and family </w:t>
      </w:r>
      <w:proofErr w:type="spellStart"/>
      <w:r>
        <w:t>behaviour</w:t>
      </w:r>
      <w:proofErr w:type="spellEnd"/>
      <w:r>
        <w:t>. There was no command-oriented approach that would ensure safety, unless the broader system was developed to respond to risk effectively through detection and absorption.</w:t>
      </w:r>
      <w:r w:rsidR="00D573C7">
        <w:t xml:space="preserve"> </w:t>
      </w:r>
      <w:r>
        <w:t xml:space="preserve">Overall, the best leadership style that would have been suitable in this case would have been a combination of transactional controls and transformational and distributed leadership. Transactional controls were needed for the high-risk medicine itself. Transformational leadership was needed to build a proactive safety culture. There was a requirement of distributed leadership to organize action </w:t>
      </w:r>
      <w:r>
        <w:lastRenderedPageBreak/>
        <w:t>across care boundaries. What could have been done otherwise was not just more leadership, in the broad sense, but more suitability of the leadership style to the complexity of the clinical situation.</w:t>
      </w:r>
    </w:p>
    <w:p w14:paraId="18E609B7" w14:textId="77777777" w:rsidR="00323964" w:rsidRDefault="003B65EB">
      <w:pPr>
        <w:pStyle w:val="Heading2"/>
      </w:pPr>
      <w:bookmarkStart w:id="5" w:name="_Toc227434077"/>
      <w:r>
        <w:t>d. Improvement and lessons learned</w:t>
      </w:r>
      <w:bookmarkEnd w:id="5"/>
    </w:p>
    <w:p w14:paraId="276EE1E6" w14:textId="77777777" w:rsidR="00D573C7" w:rsidRDefault="00CB056E" w:rsidP="00CB056E">
      <w:r>
        <w:t xml:space="preserve">This interaction of leadership, governance and system design resulted in the production of the outcomes in this case. The medicine was declared as high-risk by governance, and leadership failed to make sure that the governance was reflected in a safe route through multiple </w:t>
      </w:r>
      <w:proofErr w:type="spellStart"/>
      <w:r>
        <w:t>organisations</w:t>
      </w:r>
      <w:proofErr w:type="spellEnd"/>
      <w:r>
        <w:t>. Failures in system design also occurred due to the discharge information, prescribing route, dispensing process and parent education process not being one coherent safety system. A socio-technical failure instead of a mistake by one person was the outcome (NHS England North East and Yorkshire, 2023).</w:t>
      </w:r>
      <w:r w:rsidR="00D573C7">
        <w:t xml:space="preserve"> </w:t>
      </w:r>
    </w:p>
    <w:p w14:paraId="1B96A6A4" w14:textId="49E31379" w:rsidR="00CB056E" w:rsidRDefault="00CB056E" w:rsidP="00CB056E">
      <w:r>
        <w:t>One of the missed opportunities was at the discharge point. As a recommendation on the case summary, it was suggested to substitute handwritten discharge communication with electronic discharge summary, and to combine the generic name of the drug with formulation, strength and dose in the quantity and volume. Camacho et al. (2024) strongly agree with this suggestion, showing that the burden of information discontinuity in NHS settings can be reduced by safer digital transmission of medication information. Better communication of the discharge would have therefore served as a primary preventive measure as opposed to a corrective measure after the occurrence.</w:t>
      </w:r>
    </w:p>
    <w:p w14:paraId="7D839E7E" w14:textId="77777777" w:rsidR="00CB056E" w:rsidRDefault="00CB056E" w:rsidP="00CB056E">
      <w:r>
        <w:t>The second opportunity overlooked was the lack of a more powerful transfer-of-care safety model. Leon, Hogan and Jani (2024) argue that medication safety at transitions of care should be proactively measured and managed across the whole pathway. In the chosen case, the responsibility was divided as soon as the baby was transferred to primary care. A more purposeful transfer-of-care model would have approached the medicine as a continuing risk item that needed to be actively monitored until it was safe to administer the medicine at home.</w:t>
      </w:r>
    </w:p>
    <w:p w14:paraId="3D643B77" w14:textId="77777777" w:rsidR="00CB056E" w:rsidRDefault="00CB056E" w:rsidP="00CB056E">
      <w:r>
        <w:t xml:space="preserve">The third opportunity that was missed was in the dispensing pathway in practice of escalation. The pharmacy </w:t>
      </w:r>
      <w:proofErr w:type="spellStart"/>
      <w:r>
        <w:t>realised</w:t>
      </w:r>
      <w:proofErr w:type="spellEnd"/>
      <w:r>
        <w:t xml:space="preserve"> that the volume calculated was impractical and there was doubt about the product. Nevertheless, the channel of communication was still indirect and the safety issue did not get stepped up decisively to avoid supply. This depicts a difference between detection of a risk and power, trust and well-organized procedure to halt the pathway as clarification is sought. The reason is that that is a gap in governance as well as a leadership issue.</w:t>
      </w:r>
    </w:p>
    <w:p w14:paraId="494A0917" w14:textId="77777777" w:rsidR="00CB056E" w:rsidRDefault="00CB056E" w:rsidP="00CB056E">
      <w:r>
        <w:t>The fourth opportunity that was missed was through family-</w:t>
      </w:r>
      <w:proofErr w:type="spellStart"/>
      <w:r>
        <w:t>centred</w:t>
      </w:r>
      <w:proofErr w:type="spellEnd"/>
      <w:r>
        <w:t xml:space="preserve"> communication. The case summary suggested better counselling, direct observation of the method of dose measuring used by the parents and the provision of a proper 1 ml oral syringe. Bertelsen et al. (2023) demonstrate that </w:t>
      </w:r>
      <w:r>
        <w:lastRenderedPageBreak/>
        <w:t>meaningful engagement of patients and carers in medicines processes enhances their safety and quality compared to tokenistic engagement. The parents in this instance were the last line of defense, but they were not provided the encouragement to do their duties confidently.</w:t>
      </w:r>
    </w:p>
    <w:p w14:paraId="384B8E6C" w14:textId="77777777" w:rsidR="00CB056E" w:rsidRDefault="00CB056E" w:rsidP="00CB056E">
      <w:r>
        <w:t xml:space="preserve">The process of improvement must thus take place at various levels. Technically, high-risk </w:t>
      </w:r>
      <w:proofErr w:type="spellStart"/>
      <w:r>
        <w:t>paediatric</w:t>
      </w:r>
      <w:proofErr w:type="spellEnd"/>
      <w:r>
        <w:t xml:space="preserve"> drugs ought to initiate compulsory digital fields of generic name, concentration, prescribed dose, measurable volume and specialist limitations. When a community pharmacy notices ambiguity in a </w:t>
      </w:r>
      <w:proofErr w:type="spellStart"/>
      <w:r>
        <w:t>paediatric</w:t>
      </w:r>
      <w:proofErr w:type="spellEnd"/>
      <w:r>
        <w:t xml:space="preserve"> prescription of a controlled drug or specials, direct clinical escalation must be requested at the </w:t>
      </w:r>
      <w:proofErr w:type="spellStart"/>
      <w:r>
        <w:t>organisational</w:t>
      </w:r>
      <w:proofErr w:type="spellEnd"/>
      <w:r>
        <w:t xml:space="preserve"> level. In the relational level, the carers must be taught through teach-back counselling and demonstration where the carers are taught on the device they will be using at home. These enhancements are feasible since they address key areas of failure that have already been exposed in the case.</w:t>
      </w:r>
    </w:p>
    <w:p w14:paraId="45A3A19F" w14:textId="77777777" w:rsidR="00CB056E" w:rsidRDefault="00CB056E" w:rsidP="00CB056E">
      <w:r>
        <w:t xml:space="preserve">It is also necessary to engage in continuous learning. According to NHS England (2025f), the standards of patient safety response must promote learning, improvement and proportionality. This implies that </w:t>
      </w:r>
      <w:proofErr w:type="spellStart"/>
      <w:r>
        <w:t>organisations</w:t>
      </w:r>
      <w:proofErr w:type="spellEnd"/>
      <w:r>
        <w:t xml:space="preserve"> are supposed not to consider the incident as a single case analysis. They must instead use it to redesign governance, audit future compliance and near misses in future with </w:t>
      </w:r>
      <w:proofErr w:type="spellStart"/>
      <w:r>
        <w:t>paediatric</w:t>
      </w:r>
      <w:proofErr w:type="spellEnd"/>
      <w:r>
        <w:t xml:space="preserve"> liquids, discharge summary, specials products and medicine counselling. Prospective and retrospective usage of evidence should therefore occur.</w:t>
      </w:r>
    </w:p>
    <w:p w14:paraId="0943CC34" w14:textId="623BF608" w:rsidR="00323964" w:rsidRDefault="00CB056E" w:rsidP="00CB056E">
      <w:r>
        <w:t xml:space="preserve">The broader implication to other health and social care </w:t>
      </w:r>
      <w:proofErr w:type="spellStart"/>
      <w:r>
        <w:t>organisations</w:t>
      </w:r>
      <w:proofErr w:type="spellEnd"/>
      <w:r>
        <w:t xml:space="preserve"> is that the safety in medication is a systemic property. The rule can only safeguard the patients when the local systems make the rule effective. </w:t>
      </w:r>
      <w:proofErr w:type="spellStart"/>
      <w:r>
        <w:t>Decentralised</w:t>
      </w:r>
      <w:proofErr w:type="spellEnd"/>
      <w:r>
        <w:t xml:space="preserve"> frontline care can never be safe unless the local actors are informed, have confidence and authority to query risk. System thinking assists </w:t>
      </w:r>
      <w:proofErr w:type="spellStart"/>
      <w:r>
        <w:t>organisations</w:t>
      </w:r>
      <w:proofErr w:type="spellEnd"/>
      <w:r>
        <w:t xml:space="preserve"> to observe these interdependencies vividly and leadership defines whether this knowledge is implemented into actual and lasting change of practice</w:t>
      </w:r>
      <w:r w:rsidR="007F3D64" w:rsidRPr="007F3D64">
        <w:t>.</w:t>
      </w:r>
    </w:p>
    <w:p w14:paraId="08FD981F" w14:textId="77777777" w:rsidR="00323964" w:rsidRPr="00BF0257" w:rsidRDefault="003B65EB" w:rsidP="00BF0257">
      <w:pPr>
        <w:pStyle w:val="Heading1"/>
      </w:pPr>
      <w:bookmarkStart w:id="6" w:name="_Toc227434078"/>
      <w:r>
        <w:t>Recommendations</w:t>
      </w:r>
      <w:bookmarkEnd w:id="6"/>
    </w:p>
    <w:p w14:paraId="1F16928F" w14:textId="77777777" w:rsidR="00093140" w:rsidRDefault="00093140" w:rsidP="00093140">
      <w:r>
        <w:t xml:space="preserve">The initial suggestion is that the </w:t>
      </w:r>
      <w:proofErr w:type="spellStart"/>
      <w:r>
        <w:t>organisation</w:t>
      </w:r>
      <w:proofErr w:type="spellEnd"/>
      <w:r>
        <w:t xml:space="preserve"> ought to embrace a blended leadership model in order to maintain improvement. A robust shared adherence to medication safety and active risk identification </w:t>
      </w:r>
      <w:proofErr w:type="gramStart"/>
      <w:r>
        <w:t>need</w:t>
      </w:r>
      <w:proofErr w:type="gramEnd"/>
      <w:r>
        <w:t xml:space="preserve"> to be developed through transformational leadership. </w:t>
      </w:r>
      <w:proofErr w:type="spellStart"/>
      <w:r>
        <w:t>Paediatrics</w:t>
      </w:r>
      <w:proofErr w:type="spellEnd"/>
      <w:r>
        <w:t>, pharmacy, general practice and patient safety teams should be linked across the entire medication pathway using distributed leadership. High-risk medicines must continue to be led by transactional management to ensure that the limited medicines, prescriptive regulations and escalations are well implemented (</w:t>
      </w:r>
      <w:proofErr w:type="spellStart"/>
      <w:r>
        <w:t>Althobaiti</w:t>
      </w:r>
      <w:proofErr w:type="spellEnd"/>
      <w:r>
        <w:t>, 2025).</w:t>
      </w:r>
    </w:p>
    <w:p w14:paraId="40013C0F" w14:textId="77777777" w:rsidR="00093140" w:rsidRDefault="00093140" w:rsidP="00093140">
      <w:r>
        <w:lastRenderedPageBreak/>
        <w:t xml:space="preserve">The second suggestion is to enhance governance by enhancing digital </w:t>
      </w:r>
      <w:proofErr w:type="spellStart"/>
      <w:r>
        <w:t>standardisation</w:t>
      </w:r>
      <w:proofErr w:type="spellEnd"/>
      <w:r>
        <w:t xml:space="preserve">. All controlled drugs discharges relating to a </w:t>
      </w:r>
      <w:proofErr w:type="spellStart"/>
      <w:r>
        <w:t>paediatric</w:t>
      </w:r>
      <w:proofErr w:type="spellEnd"/>
      <w:r>
        <w:t xml:space="preserve"> controlled drug, specials product or restricted formulation must contain a mandatory generic name, strength, formulation, dose micrograms or milligrams, dose </w:t>
      </w:r>
      <w:proofErr w:type="spellStart"/>
      <w:r>
        <w:t>millilitres</w:t>
      </w:r>
      <w:proofErr w:type="spellEnd"/>
      <w:r>
        <w:t>, indication, duration and supply route. Both hospital and primary care systems should have automated warnings to trigger red-drug status to ensure that the restrictions imposed by the specialist are visible at the prescribing and dispensing points (NHS England North East and Yorkshire, 2023).</w:t>
      </w:r>
    </w:p>
    <w:p w14:paraId="0A69E990" w14:textId="77777777" w:rsidR="00093140" w:rsidRDefault="00093140" w:rsidP="00093140">
      <w:r>
        <w:t xml:space="preserve">The third suggestion is to remodel cross-sector communication. The </w:t>
      </w:r>
      <w:proofErr w:type="spellStart"/>
      <w:r>
        <w:t>organisation</w:t>
      </w:r>
      <w:proofErr w:type="spellEnd"/>
      <w:r>
        <w:t xml:space="preserve"> must develop a direct-to-escalation policy to enforce the clinician-to-clinician contact whenever a community pharmacy finds ambiguity in a </w:t>
      </w:r>
      <w:proofErr w:type="spellStart"/>
      <w:r>
        <w:t>paediatric</w:t>
      </w:r>
      <w:proofErr w:type="spellEnd"/>
      <w:r>
        <w:t xml:space="preserve"> controlled-drug prescription. High risk medication queries cannot be handled by reception-based or indirect message chains. Evening, weekends and bank holidays should also be subject to escalation protocols to ensure that any unresolved issues do not slip through the cracks of the handover.</w:t>
      </w:r>
    </w:p>
    <w:p w14:paraId="1C31F230" w14:textId="77777777" w:rsidR="00093140" w:rsidRDefault="00093140" w:rsidP="00093140">
      <w:r>
        <w:t xml:space="preserve">The fourth suggestion is to be more selective with technical and allocative efficiency. The pathways where the risk-adjusted benefit is most significant should be prioritized, such as </w:t>
      </w:r>
      <w:proofErr w:type="spellStart"/>
      <w:r>
        <w:t>paediatric</w:t>
      </w:r>
      <w:proofErr w:type="spellEnd"/>
      <w:r>
        <w:t xml:space="preserve"> oral liquids, micro-dose formulations, restricted medicines and discharge-related prescribing. According to Camacho et al. (2024), interoperable prescribing and discharge systems can help decrease unnecessary harm by better digital transfer of prescription data, and therefore the investment focus should be on the areas with high risks and using specific systems.</w:t>
      </w:r>
    </w:p>
    <w:p w14:paraId="4324C9BE" w14:textId="77777777" w:rsidR="00093140" w:rsidRDefault="00093140" w:rsidP="00093140">
      <w:r>
        <w:t xml:space="preserve">The fifth suggestion is to </w:t>
      </w:r>
      <w:proofErr w:type="spellStart"/>
      <w:r>
        <w:t>instil</w:t>
      </w:r>
      <w:proofErr w:type="spellEnd"/>
      <w:r>
        <w:t xml:space="preserve"> continuous learning in the form of regular governance. Incidents and near misses of medicine discharge, </w:t>
      </w:r>
      <w:proofErr w:type="spellStart"/>
      <w:r>
        <w:t>paediatric</w:t>
      </w:r>
      <w:proofErr w:type="spellEnd"/>
      <w:r>
        <w:t xml:space="preserve"> dosing, specials prescribing and parent counselling should be reviewed monthly through the use of multidisciplinary reviews. Findings of the audit should be then inputted back to trust medicines committees, GP practices and community pharmacies. This learning-based approach is encouraged by NHS England (2025e) since PSIRF is aimed at shifting </w:t>
      </w:r>
      <w:proofErr w:type="spellStart"/>
      <w:r>
        <w:t>organisations</w:t>
      </w:r>
      <w:proofErr w:type="spellEnd"/>
      <w:r>
        <w:t xml:space="preserve"> out of blame and towards system betterment.</w:t>
      </w:r>
    </w:p>
    <w:p w14:paraId="755C619A" w14:textId="77777777" w:rsidR="00093140" w:rsidRDefault="00093140" w:rsidP="00093140">
      <w:r>
        <w:t>The sixth suggestion is to enhance stakeholder involvement and co-production. The carers and parents must take part in testing discharge templates, labels, counselling materials and syringe-based administration guidance. The use of teach-back should be made a norm to oral liquid medicines given to infants and small children. Bertelsen et al. (2023) demonstrate that meaningful engagement in relation to medicine enhances service design and user perception, which is directly applicable to this case.</w:t>
      </w:r>
    </w:p>
    <w:p w14:paraId="74193A24" w14:textId="77777777" w:rsidR="00093140" w:rsidRDefault="00093140" w:rsidP="00093140">
      <w:r>
        <w:lastRenderedPageBreak/>
        <w:t>The seventh suggestion is to increase the workforce development in the areas of human factors, emotional intelligence and cross-boundary medication safety. Technical accuracy should not be a sole subject of training. It must also deal with assumption-making, hierarchy, making a communication with uncertainty and how the staff can prevent a pathway without risking their lives in case the risk is not determined. Evidence presented by Powell et al. (2024) shows that the development of emotional intelligence facilitates the work of the team and communication, which is important in the prevention of repeated incidents.</w:t>
      </w:r>
    </w:p>
    <w:p w14:paraId="41933B9B" w14:textId="16B16A32" w:rsidR="00323964" w:rsidRDefault="00093140" w:rsidP="00093140">
      <w:r>
        <w:t xml:space="preserve">In general, the </w:t>
      </w:r>
      <w:proofErr w:type="spellStart"/>
      <w:r>
        <w:t>organisation</w:t>
      </w:r>
      <w:proofErr w:type="spellEnd"/>
      <w:r>
        <w:t xml:space="preserve"> needs to shift towards anticipatory system design as opposed to reactive learning. The best strategy to use in the future is one that integrates robust medicines governance, digital system integration, distributed leadership, family-</w:t>
      </w:r>
      <w:proofErr w:type="spellStart"/>
      <w:r>
        <w:t>centred</w:t>
      </w:r>
      <w:proofErr w:type="spellEnd"/>
      <w:r>
        <w:t xml:space="preserve"> communication and frequent use of evidence. These actions are feasible, supported by evidence and in line with the weaknesses already established in the chosen case</w:t>
      </w:r>
      <w:r w:rsidR="003B65EB">
        <w:t>.</w:t>
      </w:r>
    </w:p>
    <w:p w14:paraId="48628E50" w14:textId="77777777" w:rsidR="00323964" w:rsidRPr="00BF0257" w:rsidRDefault="003B65EB" w:rsidP="00BF0257">
      <w:pPr>
        <w:pStyle w:val="Heading1"/>
      </w:pPr>
      <w:bookmarkStart w:id="7" w:name="_Toc227434079"/>
      <w:r>
        <w:t>Conclusion</w:t>
      </w:r>
      <w:bookmarkEnd w:id="7"/>
    </w:p>
    <w:p w14:paraId="024C298F" w14:textId="0F4194EF" w:rsidR="003F734B" w:rsidRDefault="000655D4" w:rsidP="000655D4">
      <w:r>
        <w:t>This report has discussed a single case study chosen: the NHS England North East and Yorkshire infant morphine overdose case. The analysis has revealed that the incident was not caused by an isolated mistake. Rather, it resulted as a combination of poor discharge communication, disjointed prescribing and dispensing, insufficient escalation and parent-facing safety checks. The twenty-fold overdose was thus more of a system problem with medicines management as opposed to an individual error (NHS England North East and Yorkshire, 2023).</w:t>
      </w:r>
      <w:r w:rsidR="00D573C7">
        <w:t xml:space="preserve"> </w:t>
      </w:r>
      <w:r>
        <w:t>It has also been demonstrated in the report that leadership, governance and systems thinking are inseparable in both the description of the failure as well as the path to it. Leadership was significant as employees required pre-</w:t>
      </w:r>
      <w:proofErr w:type="spellStart"/>
      <w:r>
        <w:t>emptation</w:t>
      </w:r>
      <w:proofErr w:type="spellEnd"/>
      <w:r>
        <w:t>, synchronization and trust to confront uncertainty. The issue of governance was important as a high-risk medicine needed more stringent controls in comparison to what was actually observed in practice. It was important that systems thinking was relevant as the damage was caused by the interaction of people, structures, technologies and handovers and not just a single point (Thelen et al., 2023).</w:t>
      </w:r>
      <w:r w:rsidR="00D573C7">
        <w:t xml:space="preserve"> </w:t>
      </w:r>
      <w:r>
        <w:t xml:space="preserve">The greatest learning is that in order to bring safe change in health and social care, integrated leadership is needed together with integrated information. The case illustrates that central rules are ineffective when they are not </w:t>
      </w:r>
      <w:proofErr w:type="spellStart"/>
      <w:r>
        <w:t>operationalised</w:t>
      </w:r>
      <w:proofErr w:type="spellEnd"/>
      <w:r>
        <w:t xml:space="preserve"> by local systems and that </w:t>
      </w:r>
      <w:proofErr w:type="spellStart"/>
      <w:r>
        <w:t>decentralised</w:t>
      </w:r>
      <w:proofErr w:type="spellEnd"/>
      <w:r>
        <w:t xml:space="preserve"> practice is unsafe when knowledge and accountability are not well distributed. Long-term enhancement is therefore reliant on the integration of transformational, distributed and transactional leadership with enhanced digital design, enhanced cross-sector interaction and authentic co-production with families.</w:t>
      </w:r>
    </w:p>
    <w:p w14:paraId="3EE304B4" w14:textId="3A90FF3E" w:rsidR="00323964" w:rsidRPr="00BF0257" w:rsidRDefault="003B65EB" w:rsidP="00BF0257">
      <w:pPr>
        <w:pStyle w:val="Heading1"/>
      </w:pPr>
      <w:bookmarkStart w:id="8" w:name="_Toc227434080"/>
      <w:r>
        <w:lastRenderedPageBreak/>
        <w:t>Reference</w:t>
      </w:r>
      <w:bookmarkEnd w:id="8"/>
      <w:r>
        <w:t xml:space="preserve"> </w:t>
      </w:r>
    </w:p>
    <w:p w14:paraId="26383840" w14:textId="77777777" w:rsidR="00323964" w:rsidRDefault="003B65EB">
      <w:pPr>
        <w:ind w:left="283" w:hanging="283"/>
      </w:pPr>
      <w:proofErr w:type="spellStart"/>
      <w:r>
        <w:t>Althobaiti</w:t>
      </w:r>
      <w:proofErr w:type="spellEnd"/>
      <w:r>
        <w:t>, F.M. (2025) ‘The effects of leadership on patient safety culture in health care: a systematic review’, BMC Nursing. Available at: https://link.springer.com/article/10.1186/s12912-025-04263-7 (Accessed: 18 April 2026).</w:t>
      </w:r>
    </w:p>
    <w:p w14:paraId="55D2A4F9" w14:textId="77777777" w:rsidR="00323964" w:rsidRDefault="003B65EB">
      <w:pPr>
        <w:ind w:left="283" w:hanging="283"/>
      </w:pPr>
      <w:r>
        <w:t>Best, A., Greenhalgh, T., Lewis, S. and others (2024) ‘Why leadership in the NHS should be redefined as systems leadership’, BMJ Leader. Available at: https://pmc.ncbi.nlm.nih.gov/articles/PMC11025063/ (Accessed: 18 April 2026).</w:t>
      </w:r>
    </w:p>
    <w:p w14:paraId="0D0FC75E" w14:textId="77777777" w:rsidR="00323964" w:rsidRDefault="003B65EB">
      <w:pPr>
        <w:ind w:left="283" w:hanging="283"/>
      </w:pPr>
      <w:r>
        <w:t>Bertelsen, N., Staehr, P. and Mathiesen, O. (2023) ‘A systematic review of models of patient engagement in the development and life cycle management of medicines’, Drug Discovery Today, 28(9). Available at: https://pubmed.ncbi.nlm.nih.gov/37453460/ (Accessed: 18 April 2026).</w:t>
      </w:r>
    </w:p>
    <w:p w14:paraId="31600BA2" w14:textId="77777777" w:rsidR="00323964" w:rsidRDefault="003B65EB">
      <w:pPr>
        <w:ind w:left="283" w:hanging="283"/>
      </w:pPr>
      <w:r>
        <w:t>Camacho, E.M., Gavan, S., Keers, R.N., Chuter, A. and Elliott, R.A. (2024) ‘Estimating the impact on patient safety of enabling the digital transfer of patients’ prescription information in the English NHS’, BMJ Quality &amp; Safety, 33(11), pp. 726–736. Available at: https://qualitysafety.bmj.com/content/33/11/726 (Accessed: 18 April 2026).</w:t>
      </w:r>
    </w:p>
    <w:p w14:paraId="4CAB1F51" w14:textId="77777777" w:rsidR="00323964" w:rsidRDefault="003B65EB">
      <w:pPr>
        <w:ind w:left="283" w:hanging="283"/>
      </w:pPr>
      <w:r>
        <w:t>Carstensen, K., Kjeldsen, A.M. and Nielsen, C.P. (2024) ‘Distributed leadership in health quality improvement collaboratives’, Health Care Management Review. Available at: https://pubmed.ncbi.nlm.nih.gov/38019463/ (Accessed: 18 April 2026).</w:t>
      </w:r>
    </w:p>
    <w:p w14:paraId="5BDD3B9E" w14:textId="77777777" w:rsidR="00323964" w:rsidRDefault="003B65EB">
      <w:pPr>
        <w:ind w:left="283" w:hanging="283"/>
      </w:pPr>
      <w:r>
        <w:t>Community Pharmacy England (2025) ‘Discharge Medicines Service’. Available at: https://cpe.org.uk/national-pharmacy-services/essential-services/discharge-medicines-service/ (Accessed: 18 April 2026).</w:t>
      </w:r>
    </w:p>
    <w:p w14:paraId="51450A64" w14:textId="77777777" w:rsidR="00323964" w:rsidRDefault="003B65EB">
      <w:pPr>
        <w:ind w:left="283" w:hanging="283"/>
      </w:pPr>
      <w:r>
        <w:t>Cummings, G.G., Lee, S., Tate, K. and others (2023) ‘Leadership styles and outcome patterns for the nursing workforce and work environment: a systematic review’, International Journal of Nursing Studies, 139. Available at: https://pubmed.ncbi.nlm.nih.gov/36653153/ (Accessed: 18 April 2026).</w:t>
      </w:r>
    </w:p>
    <w:p w14:paraId="60AC910B" w14:textId="77777777" w:rsidR="00323964" w:rsidRDefault="003B65EB">
      <w:pPr>
        <w:ind w:left="283" w:hanging="283"/>
      </w:pPr>
      <w:r>
        <w:t>Health Services Safety Investigations Body (2022) Investigation report: Unintentional overdose of morphine sulfate oral solution. Available at: https://www.hssib.org.uk/patient-safety-investigations/unintentional-overdose-of-morphine-sulfate-oral-solution/investigation-report/ (Accessed: 18 April 2026).</w:t>
      </w:r>
    </w:p>
    <w:p w14:paraId="5745305B" w14:textId="77777777" w:rsidR="00323964" w:rsidRDefault="003B65EB">
      <w:pPr>
        <w:ind w:left="283" w:hanging="283"/>
      </w:pPr>
      <w:r>
        <w:lastRenderedPageBreak/>
        <w:t>Imperial College London (2024) National State of Patient Safety 2024. Available at: https://www.imperial.ac.uk/Stories/National-State-Patient-Safety-2024/ (Accessed: 18 April 2026).</w:t>
      </w:r>
    </w:p>
    <w:p w14:paraId="145CF957" w14:textId="77777777" w:rsidR="00323964" w:rsidRDefault="003B65EB">
      <w:pPr>
        <w:ind w:left="283" w:hanging="283"/>
      </w:pPr>
      <w:r>
        <w:t xml:space="preserve">King’s Fund (2025) ‘NHS key facts and </w:t>
      </w:r>
      <w:proofErr w:type="gramStart"/>
      <w:r>
        <w:t>figures’</w:t>
      </w:r>
      <w:proofErr w:type="gramEnd"/>
      <w:r>
        <w:t>. Available at: https://www.kingsfund.org.uk/insight-and-analysis/data-and-charts/key-facts-figures-nhs (Accessed: 18 April 2026).</w:t>
      </w:r>
    </w:p>
    <w:p w14:paraId="4DD62FC2" w14:textId="77777777" w:rsidR="00323964" w:rsidRDefault="003B65EB">
      <w:pPr>
        <w:ind w:left="283" w:hanging="283"/>
      </w:pPr>
      <w:r>
        <w:t>Leon, C., Hogan, H. and Jani, Y.H. (2024) ‘Identifying and mapping measures of medication safety during transfer of care in a digital era: a scoping literature review’, BMJ Quality &amp; Safety, 33(3), pp. 173–184. Available at: https://qualitysafety.bmj.com/content/33/3/173 (Accessed: 18 April 2026).</w:t>
      </w:r>
    </w:p>
    <w:p w14:paraId="2CF30550" w14:textId="77777777" w:rsidR="00323964" w:rsidRDefault="003B65EB">
      <w:pPr>
        <w:ind w:left="283" w:hanging="283"/>
      </w:pPr>
      <w:r>
        <w:t>Mason, J., Smith, P. and Patel, R. (2024) ‘Activity and outcomes associated with the Discharge Medicines Service in community pharmacy’, International Journal of Pharmacy Practice, 32(4), pp. 274–282. Available at: https://academic.oup.com/ijpp/article/32/4/274/7659725 (Accessed: 18 April 2026).</w:t>
      </w:r>
    </w:p>
    <w:p w14:paraId="021F8DC1" w14:textId="77777777" w:rsidR="00323964" w:rsidRDefault="003B65EB">
      <w:pPr>
        <w:ind w:left="283" w:hanging="283"/>
      </w:pPr>
      <w:r>
        <w:t>NHS Digital (2025) NHS Workforce Statistics, March 2025. Available at: https://digital.nhs.uk/data-and-information/publications/statistical/nhs-workforce-statistics/march-2025 (Accessed: 18 April 2026).</w:t>
      </w:r>
    </w:p>
    <w:p w14:paraId="0F8DE7BA" w14:textId="77777777" w:rsidR="00323964" w:rsidRDefault="003B65EB">
      <w:pPr>
        <w:ind w:left="283" w:hanging="283"/>
      </w:pPr>
      <w:r>
        <w:t>NHS England (2024) Primary care patient safety strategy. Available at: https://www.england.nhs.uk/publication/primary-care-patient-safety-strategy/ (Accessed: 18 April 2026).</w:t>
      </w:r>
    </w:p>
    <w:p w14:paraId="51FF9068" w14:textId="77777777" w:rsidR="00323964" w:rsidRDefault="003B65EB">
      <w:pPr>
        <w:ind w:left="283" w:hanging="283"/>
      </w:pPr>
      <w:r>
        <w:t>NHS England (2025a) Electronic Prescription Service (EPS). Available at: https://www.england.nhs.uk/long-read/electronic-prescription-service-eps/ (Accessed: 18 April 2026).</w:t>
      </w:r>
    </w:p>
    <w:p w14:paraId="5453BB59" w14:textId="77777777" w:rsidR="00323964" w:rsidRDefault="003B65EB">
      <w:pPr>
        <w:ind w:left="283" w:hanging="283"/>
      </w:pPr>
      <w:r>
        <w:t>NHS England (2025b) Learn from patient safety events service. Available at: https://www.england.nhs.uk/patient-safety/patient-safety-insight/learning-from-patient-safety-events/learn-from-patient-safety-events-service/ (Accessed: 18 April 2026).</w:t>
      </w:r>
    </w:p>
    <w:p w14:paraId="2B472FCF" w14:textId="77777777" w:rsidR="00323964" w:rsidRDefault="003B65EB">
      <w:pPr>
        <w:ind w:left="283" w:hanging="283"/>
      </w:pPr>
      <w:r>
        <w:t>NHS England (2025c) Medication safety management. Available at: https://www.england.nhs.uk/long-read/medication-safety-management/ (Accessed: 18 April 2026).</w:t>
      </w:r>
    </w:p>
    <w:p w14:paraId="6501CFF2" w14:textId="77777777" w:rsidR="00323964" w:rsidRDefault="003B65EB">
      <w:pPr>
        <w:ind w:left="283" w:hanging="283"/>
      </w:pPr>
      <w:r>
        <w:lastRenderedPageBreak/>
        <w:t>NHS England (2025d) Patient safety event data: Quarter 1 2025/26 (April, May, June 2025). Available at: https://www.england.nhs.uk/statistics/statistical-work-areas/patient-safety-data/2025-26/quarter-1-2025-26-april-may-june-2025/ (Accessed: 18 April 2026).</w:t>
      </w:r>
    </w:p>
    <w:p w14:paraId="11935627" w14:textId="77777777" w:rsidR="00323964" w:rsidRDefault="003B65EB">
      <w:pPr>
        <w:ind w:left="283" w:hanging="283"/>
      </w:pPr>
      <w:r>
        <w:t>NHS England (2025e) Patient Safety Incident Response Framework (PSIRF). Available at: https://www.england.nhs.uk/patient-safety/patient-safety-insight/incident-response-framework/ (Accessed: 18 April 2026).</w:t>
      </w:r>
    </w:p>
    <w:p w14:paraId="5C5CC479" w14:textId="77777777" w:rsidR="00323964" w:rsidRDefault="003B65EB">
      <w:pPr>
        <w:ind w:left="283" w:hanging="283"/>
      </w:pPr>
      <w:r>
        <w:t>NHS England (2025f) Patient safety incident response standards. Available at: https://www.england.nhs.uk/long-read/patient-safety-incident-response-standards/ (Accessed: 18 April 2026).</w:t>
      </w:r>
    </w:p>
    <w:p w14:paraId="6DEA3989" w14:textId="77777777" w:rsidR="00323964" w:rsidRDefault="003B65EB">
      <w:pPr>
        <w:ind w:left="283" w:hanging="283"/>
      </w:pPr>
      <w:r>
        <w:t>NHS England North East and Yorkshire (2023) Serious Incident Case Study: Infant Morphine Overdose Investigation Summary and Learning. Available at: https://northyorkshireccg.nhs.uk/wp-content/uploads/2023/07/July-2023-NHS-NEY-INFANT-MORPHINE-OVERDOSE-CASE-STUDY.pdf (Accessed: 18 April 2026).</w:t>
      </w:r>
    </w:p>
    <w:p w14:paraId="4DAE25F8" w14:textId="77777777" w:rsidR="00323964" w:rsidRDefault="003B65EB">
      <w:pPr>
        <w:ind w:left="283" w:hanging="283"/>
      </w:pPr>
      <w:r>
        <w:t>NHS Staff Survey (2025) 2024 National Results Briefing. Available at: https://www.nhsstaffsurveys.com/static/c1a573e95b1a49428676ef4b24f5efe7/National-Results-Briefing-2024.pdf (Accessed: 18 April 2026).</w:t>
      </w:r>
    </w:p>
    <w:p w14:paraId="2CF375D5" w14:textId="77777777" w:rsidR="00323964" w:rsidRDefault="003B65EB">
      <w:pPr>
        <w:ind w:left="283" w:hanging="283"/>
      </w:pPr>
      <w:r>
        <w:t>OECD (2025) Patient safety. Available at: https://www.oecd.org/en/topics/patient-safety.html (Accessed: 18 April 2026).</w:t>
      </w:r>
    </w:p>
    <w:p w14:paraId="12FC44F2" w14:textId="77777777" w:rsidR="00323964" w:rsidRDefault="003B65EB">
      <w:pPr>
        <w:ind w:left="283" w:hanging="283"/>
      </w:pPr>
      <w:r>
        <w:t>Oliveira, R., Costa, J. and Martins, A. (2024) ‘The impacts of health decentralization on equity, efficiency, and effectiveness: a scoping review’, Sustainability, 16(1), 386. Available at: https://www.mdpi.com/2071-1050/16/1/386 (Accessed: 18 April 2026).</w:t>
      </w:r>
    </w:p>
    <w:p w14:paraId="72EDC636" w14:textId="77777777" w:rsidR="00323964" w:rsidRDefault="003B65EB">
      <w:pPr>
        <w:ind w:left="283" w:hanging="283"/>
      </w:pPr>
      <w:r>
        <w:t>Powell, C., Brown, T., Yap, Y., Hallam, K., Takac, M., Quinlivan, T., Xenos, S. and Karimi, L. (2024) ‘Emotional intelligence training among the healthcare workforce: a systematic review and meta-analysis’, Frontiers in Psychology, 15. Available at: https://www.frontiersin.org/journals/psychology/articles/10.3389/fpsyg.2024.1437035/full (Accessed: 18 April 2026).</w:t>
      </w:r>
    </w:p>
    <w:p w14:paraId="26D9FEB4" w14:textId="77777777" w:rsidR="00323964" w:rsidRDefault="003B65EB">
      <w:pPr>
        <w:ind w:left="283" w:hanging="283"/>
      </w:pPr>
      <w:r>
        <w:t>Saenz, R., Martinez, H. and Duran, P. (2023) ‘Accelerating systems thinking in health: perspectives from the region of the Americas’, Frontiers in Public Health, 11. Available at: https://www.frontiersin.org/journals/public-health/articles/10.3389/fpubh.2023.968357/full (Accessed: 18 April 2026).</w:t>
      </w:r>
    </w:p>
    <w:p w14:paraId="140D0740" w14:textId="77777777" w:rsidR="00323964" w:rsidRDefault="003B65EB">
      <w:pPr>
        <w:ind w:left="283" w:hanging="283"/>
      </w:pPr>
      <w:r>
        <w:lastRenderedPageBreak/>
        <w:t>Thelen, J., Peters, D.H. and Adam, T. (2023) ‘Development of the Systems Thinking for Health Actions framework: a literature review and a case study’, BMJ Global Health, 8(3). Available at: https://pmc.ncbi.nlm.nih.gov/articles/PMC10030275/ (Accessed: 18 April 2026).</w:t>
      </w:r>
    </w:p>
    <w:p w14:paraId="52DBDD25" w14:textId="77777777" w:rsidR="00323964" w:rsidRDefault="003B65EB">
      <w:pPr>
        <w:ind w:left="283" w:hanging="283"/>
      </w:pPr>
      <w:proofErr w:type="spellStart"/>
      <w:r>
        <w:t>Thorakkattil</w:t>
      </w:r>
      <w:proofErr w:type="spellEnd"/>
      <w:r>
        <w:t xml:space="preserve">, S.A., Al Balushi, K., </w:t>
      </w:r>
      <w:proofErr w:type="spellStart"/>
      <w:r>
        <w:t>Sarriff</w:t>
      </w:r>
      <w:proofErr w:type="spellEnd"/>
      <w:r>
        <w:t>, A. and others (2024) ‘Improving patient safety and access to healthcare: the role of pharmacist-managed clinics in optimizing therapeutic outcomes’, Results in Clinical Science and Operations, 100527. Available at: https://pmc.ncbi.nlm.nih.gov/articles/PMC11513600/ (Accessed: 18 April 2026).</w:t>
      </w:r>
    </w:p>
    <w:p w14:paraId="57BFA570" w14:textId="72744656" w:rsidR="00323964" w:rsidRDefault="003B65EB">
      <w:pPr>
        <w:ind w:left="283" w:hanging="283"/>
      </w:pPr>
      <w:r>
        <w:t>World Health Organization (2022) Medication without harm: policy brief. Available at: https://www.who.int/publications/i/item/9789240062764 (Accessed: 18 April 2026).</w:t>
      </w:r>
    </w:p>
    <w:p w14:paraId="6E3AA116" w14:textId="77777777" w:rsidR="00323964" w:rsidRDefault="003B65EB">
      <w:pPr>
        <w:ind w:left="283" w:hanging="283"/>
      </w:pPr>
      <w:r>
        <w:t>World Health Organization (2024a) Global burden of preventable medication-related harm in health care: a systematic review. Available at: https://www.who.int/publications/i/item/9789240088887 (Accessed: 18 April 2026).</w:t>
      </w:r>
    </w:p>
    <w:p w14:paraId="5A42BC4E" w14:textId="77777777" w:rsidR="00323964" w:rsidRDefault="003B65EB">
      <w:pPr>
        <w:ind w:left="283" w:hanging="283"/>
      </w:pPr>
      <w:r>
        <w:t>World Health Organization (2024b) Global patient safety report 2024. Available at: https://www.who.int/publications/i/item/9789240095458 (Accessed: 18 April 2026).</w:t>
      </w:r>
    </w:p>
    <w:sectPr w:rsidR="00323964" w:rsidSect="00034616">
      <w:footerReference w:type="default" r:id="rId9"/>
      <w:pgSz w:w="12240" w:h="15840"/>
      <w:pgMar w:top="1247" w:right="1304" w:bottom="1134" w:left="130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478714" w14:textId="77777777" w:rsidR="00AA30EF" w:rsidRDefault="00AA30EF">
      <w:pPr>
        <w:spacing w:after="0" w:line="240" w:lineRule="auto"/>
      </w:pPr>
      <w:r>
        <w:separator/>
      </w:r>
    </w:p>
  </w:endnote>
  <w:endnote w:type="continuationSeparator" w:id="0">
    <w:p w14:paraId="12BFC744" w14:textId="77777777" w:rsidR="00AA30EF" w:rsidRDefault="00AA30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Mangal">
    <w:panose1 w:val="00000400000000000000"/>
    <w:charset w:val="00"/>
    <w:family w:val="roman"/>
    <w:pitch w:val="variable"/>
    <w:sig w:usb0="00008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B08231" w14:textId="77777777" w:rsidR="00323964" w:rsidRDefault="003B65EB">
    <w:pPr>
      <w:pStyle w:val="Footer"/>
      <w:jc w:val="center"/>
    </w:pPr>
    <w:r>
      <w:t xml:space="preserve">Page </w:t>
    </w:r>
    <w:r>
      <w:fldChar w:fldCharType="begin"/>
    </w:r>
    <w:r>
      <w:instrText>PAGE</w:instrText>
    </w:r>
    <w:r>
      <w:fldChar w:fldCharType="separate"/>
    </w:r>
    <w: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0D316F" w14:textId="77777777" w:rsidR="00AA30EF" w:rsidRDefault="00AA30EF">
      <w:pPr>
        <w:spacing w:after="0" w:line="240" w:lineRule="auto"/>
      </w:pPr>
      <w:r>
        <w:separator/>
      </w:r>
    </w:p>
  </w:footnote>
  <w:footnote w:type="continuationSeparator" w:id="0">
    <w:p w14:paraId="374780A7" w14:textId="77777777" w:rsidR="00AA30EF" w:rsidRDefault="00AA30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375276050">
    <w:abstractNumId w:val="8"/>
  </w:num>
  <w:num w:numId="2" w16cid:durableId="1636832429">
    <w:abstractNumId w:val="6"/>
  </w:num>
  <w:num w:numId="3" w16cid:durableId="1964116222">
    <w:abstractNumId w:val="5"/>
  </w:num>
  <w:num w:numId="4" w16cid:durableId="458690100">
    <w:abstractNumId w:val="4"/>
  </w:num>
  <w:num w:numId="5" w16cid:durableId="994378431">
    <w:abstractNumId w:val="7"/>
  </w:num>
  <w:num w:numId="6" w16cid:durableId="1993020777">
    <w:abstractNumId w:val="3"/>
  </w:num>
  <w:num w:numId="7" w16cid:durableId="636833638">
    <w:abstractNumId w:val="2"/>
  </w:num>
  <w:num w:numId="8" w16cid:durableId="413010755">
    <w:abstractNumId w:val="1"/>
  </w:num>
  <w:num w:numId="9" w16cid:durableId="4482830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6EFA"/>
    <w:rsid w:val="00007892"/>
    <w:rsid w:val="0002361B"/>
    <w:rsid w:val="00034616"/>
    <w:rsid w:val="00044E69"/>
    <w:rsid w:val="0006063C"/>
    <w:rsid w:val="000655D4"/>
    <w:rsid w:val="00093140"/>
    <w:rsid w:val="000D5797"/>
    <w:rsid w:val="0015074B"/>
    <w:rsid w:val="001B6EA4"/>
    <w:rsid w:val="00200765"/>
    <w:rsid w:val="00227A5C"/>
    <w:rsid w:val="00284F6D"/>
    <w:rsid w:val="0029639D"/>
    <w:rsid w:val="00323964"/>
    <w:rsid w:val="00326F90"/>
    <w:rsid w:val="003B65EB"/>
    <w:rsid w:val="003F0C68"/>
    <w:rsid w:val="003F734B"/>
    <w:rsid w:val="005262B4"/>
    <w:rsid w:val="005514F0"/>
    <w:rsid w:val="005E0B90"/>
    <w:rsid w:val="005F3957"/>
    <w:rsid w:val="00650223"/>
    <w:rsid w:val="006836CA"/>
    <w:rsid w:val="006E0A1F"/>
    <w:rsid w:val="007C49FC"/>
    <w:rsid w:val="007F3D64"/>
    <w:rsid w:val="00832FDA"/>
    <w:rsid w:val="0087524E"/>
    <w:rsid w:val="008849E8"/>
    <w:rsid w:val="008A2845"/>
    <w:rsid w:val="008C68B4"/>
    <w:rsid w:val="00A455A7"/>
    <w:rsid w:val="00AA1D8D"/>
    <w:rsid w:val="00AA30EF"/>
    <w:rsid w:val="00B16D05"/>
    <w:rsid w:val="00B32D64"/>
    <w:rsid w:val="00B47730"/>
    <w:rsid w:val="00B64FA9"/>
    <w:rsid w:val="00BA3594"/>
    <w:rsid w:val="00BD0626"/>
    <w:rsid w:val="00BF0257"/>
    <w:rsid w:val="00C2252C"/>
    <w:rsid w:val="00C65B16"/>
    <w:rsid w:val="00C84A98"/>
    <w:rsid w:val="00CB056E"/>
    <w:rsid w:val="00CB0664"/>
    <w:rsid w:val="00D4018D"/>
    <w:rsid w:val="00D573C7"/>
    <w:rsid w:val="00D75DFE"/>
    <w:rsid w:val="00DF2C96"/>
    <w:rsid w:val="00E85C21"/>
    <w:rsid w:val="00F1221E"/>
    <w:rsid w:val="00F61A31"/>
    <w:rsid w:val="00F843F7"/>
    <w:rsid w:val="00FC693F"/>
    <w:rsid w:val="00FD240E"/>
    <w:rsid w:val="00FF1A6D"/>
  </w:rsids>
  <m:mathPr>
    <m:mathFont m:val="Cambria Math"/>
    <m:brkBin m:val="before"/>
    <m:brkBinSub m:val="--"/>
    <m:smallFrac m:val="0"/>
    <m:dispDef/>
    <m:lMargin m:val="0"/>
    <m:rMargin m:val="0"/>
    <m:defJc m:val="centerGroup"/>
    <m:wrapIndent m:val="1440"/>
    <m:intLim m:val="subSup"/>
    <m:naryLim m:val="undOvr"/>
  </m:mathPr>
  <w:themeFontLang w:val="en-US" w:eastAsia="ja-JP" w:bidi="hi-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83F1A64"/>
  <w14:defaultImageDpi w14:val="300"/>
  <w15:docId w15:val="{E81A84D6-2C92-4FD7-88A6-CEBB08511F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0257"/>
    <w:pPr>
      <w:spacing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F0257"/>
    <w:pPr>
      <w:keepNext/>
      <w:keepLines/>
      <w:spacing w:before="200" w:after="8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BF0257"/>
    <w:pPr>
      <w:keepNext/>
      <w:keepLines/>
      <w:spacing w:before="200" w:after="80"/>
      <w:outlineLvl w:val="1"/>
    </w:pPr>
    <w:rPr>
      <w:rFonts w:eastAsiaTheme="majorEastAsia" w:cstheme="majorBidi"/>
      <w:bCs/>
      <w:color w:val="2F2F2F"/>
      <w:szCs w:val="26"/>
      <w:u w:val="single"/>
    </w:rPr>
  </w:style>
  <w:style w:type="paragraph" w:styleId="Heading3">
    <w:name w:val="heading 3"/>
    <w:basedOn w:val="Normal"/>
    <w:next w:val="Normal"/>
    <w:link w:val="Heading3Char"/>
    <w:uiPriority w:val="9"/>
    <w:unhideWhenUsed/>
    <w:qFormat/>
    <w:rsid w:val="00BF0257"/>
    <w:pPr>
      <w:keepNext/>
      <w:keepLines/>
      <w:spacing w:before="200" w:after="80"/>
      <w:outlineLvl w:val="2"/>
    </w:pPr>
    <w:rPr>
      <w:rFonts w:eastAsiaTheme="majorEastAsia" w:cstheme="majorBidi"/>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BF0257"/>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BF0257"/>
    <w:rPr>
      <w:rFonts w:ascii="Times New Roman" w:eastAsiaTheme="majorEastAsia" w:hAnsi="Times New Roman" w:cstheme="majorBidi"/>
      <w:bCs/>
      <w:color w:val="2F2F2F"/>
      <w:sz w:val="24"/>
      <w:szCs w:val="26"/>
      <w:u w:val="single"/>
    </w:rPr>
  </w:style>
  <w:style w:type="character" w:customStyle="1" w:styleId="Heading3Char">
    <w:name w:val="Heading 3 Char"/>
    <w:basedOn w:val="DefaultParagraphFont"/>
    <w:link w:val="Heading3"/>
    <w:uiPriority w:val="9"/>
    <w:rsid w:val="00BF0257"/>
    <w:rPr>
      <w:rFonts w:ascii="Times New Roman" w:eastAsiaTheme="majorEastAsia" w:hAnsi="Times New Roman" w:cstheme="majorBidi"/>
      <w:bCs/>
      <w:color w:val="4F81BD" w:themeColor="accent1"/>
      <w:sz w:val="24"/>
    </w:rPr>
  </w:style>
  <w:style w:type="paragraph" w:styleId="Title">
    <w:name w:val="Title"/>
    <w:basedOn w:val="Normal"/>
    <w:next w:val="Normal"/>
    <w:link w:val="TitleChar"/>
    <w:uiPriority w:val="10"/>
    <w:qFormat/>
    <w:rsid w:val="00FC693F"/>
    <w:pPr>
      <w:pBdr>
        <w:bottom w:val="single" w:sz="8" w:space="4" w:color="4F81BD" w:themeColor="accent1"/>
      </w:pBdr>
      <w:spacing w:before="200" w:after="80" w:line="240" w:lineRule="auto"/>
      <w:contextualSpacing/>
    </w:pPr>
    <w:rPr>
      <w:rFonts w:asciiTheme="majorHAnsi" w:eastAsiaTheme="majorEastAsia" w:hAnsiTheme="majorHAnsi" w:cstheme="majorBidi"/>
      <w:b/>
      <w:color w:val="1F4E78"/>
      <w:spacing w:val="5"/>
      <w:kern w:val="28"/>
      <w:sz w:val="4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BA3594"/>
    <w:pPr>
      <w:spacing w:after="100"/>
    </w:pPr>
  </w:style>
  <w:style w:type="paragraph" w:styleId="TOC2">
    <w:name w:val="toc 2"/>
    <w:basedOn w:val="Normal"/>
    <w:next w:val="Normal"/>
    <w:autoRedefine/>
    <w:uiPriority w:val="39"/>
    <w:unhideWhenUsed/>
    <w:rsid w:val="00BA3594"/>
    <w:pPr>
      <w:spacing w:after="100"/>
      <w:ind w:left="240"/>
    </w:pPr>
  </w:style>
  <w:style w:type="character" w:styleId="Hyperlink">
    <w:name w:val="Hyperlink"/>
    <w:basedOn w:val="DefaultParagraphFont"/>
    <w:uiPriority w:val="99"/>
    <w:unhideWhenUsed/>
    <w:rsid w:val="00BA359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6400</Words>
  <Characters>36483</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42798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Yash Solanki</dc:creator>
  <cp:keywords/>
  <dc:description>generated by HP-docx</dc:description>
  <cp:lastModifiedBy>Yash Solanki</cp:lastModifiedBy>
  <cp:revision>2</cp:revision>
  <dcterms:created xsi:type="dcterms:W3CDTF">2026-04-21T09:26:00Z</dcterms:created>
  <dcterms:modified xsi:type="dcterms:W3CDTF">2026-04-21T09:26:00Z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2c58721a-5761-4990-a120-e6d2b70c2b62</vt:lpwstr>
  </property>
</Properties>
</file>