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56D09D" w14:textId="77777777" w:rsidR="004F7760" w:rsidRPr="00FA1AF6" w:rsidRDefault="004F7760" w:rsidP="004F7760">
      <w:pPr>
        <w:tabs>
          <w:tab w:val="left" w:pos="3168"/>
        </w:tabs>
        <w:jc w:val="center"/>
        <w:rPr>
          <w:rFonts w:cs="Arial"/>
          <w:szCs w:val="24"/>
        </w:rPr>
      </w:pPr>
      <w:bookmarkStart w:id="0" w:name="_Hlk204267940"/>
      <w:bookmarkEnd w:id="0"/>
      <w:r w:rsidRPr="00FA1AF6">
        <w:rPr>
          <w:rFonts w:cs="Arial"/>
          <w:noProof/>
          <w:szCs w:val="24"/>
        </w:rPr>
        <w:drawing>
          <wp:inline distT="0" distB="0" distL="0" distR="0" wp14:anchorId="6CD01B96" wp14:editId="06BF31F2">
            <wp:extent cx="4122420" cy="1367269"/>
            <wp:effectExtent l="0" t="0" r="0" b="4445"/>
            <wp:docPr id="1"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0069" cy="1373122"/>
                    </a:xfrm>
                    <a:prstGeom prst="rect">
                      <a:avLst/>
                    </a:prstGeom>
                    <a:noFill/>
                  </pic:spPr>
                </pic:pic>
              </a:graphicData>
            </a:graphic>
          </wp:inline>
        </w:drawing>
      </w:r>
    </w:p>
    <w:p w14:paraId="128E0DF3" w14:textId="77777777" w:rsidR="004F7760" w:rsidRDefault="004F7760" w:rsidP="004F7760">
      <w:pPr>
        <w:jc w:val="center"/>
        <w:rPr>
          <w:rFonts w:cs="Arial"/>
          <w:b/>
          <w:bCs/>
          <w:szCs w:val="24"/>
        </w:rPr>
      </w:pPr>
      <w:r w:rsidRPr="00FA1AF6">
        <w:rPr>
          <w:rFonts w:cs="Arial"/>
          <w:b/>
          <w:bCs/>
          <w:szCs w:val="24"/>
        </w:rPr>
        <w:t>BA (Hons) Business Management</w:t>
      </w:r>
    </w:p>
    <w:p w14:paraId="6EB9E0F1" w14:textId="2C02B017" w:rsidR="004F7760" w:rsidRPr="009012E7" w:rsidRDefault="003D62D8" w:rsidP="004F7760">
      <w:pPr>
        <w:jc w:val="center"/>
        <w:rPr>
          <w:rFonts w:cs="Arial"/>
          <w:b/>
          <w:bCs/>
          <w:szCs w:val="24"/>
        </w:rPr>
      </w:pPr>
      <w:r w:rsidRPr="003D62D8">
        <w:rPr>
          <w:rFonts w:cs="Arial"/>
          <w:b/>
          <w:bCs/>
          <w:szCs w:val="24"/>
        </w:rPr>
        <w:t xml:space="preserve">Management Accounting for </w:t>
      </w:r>
      <w:r>
        <w:rPr>
          <w:rFonts w:cs="Arial"/>
          <w:b/>
          <w:bCs/>
          <w:szCs w:val="24"/>
        </w:rPr>
        <w:t xml:space="preserve">Managers </w:t>
      </w:r>
      <w:r w:rsidRPr="003D62D8">
        <w:rPr>
          <w:rFonts w:cs="Arial"/>
          <w:b/>
          <w:bCs/>
          <w:szCs w:val="24"/>
        </w:rPr>
        <w:t>LCBB5010</w:t>
      </w:r>
    </w:p>
    <w:p w14:paraId="0DB1E8B1" w14:textId="6DBE0EEB" w:rsidR="004F7760" w:rsidRPr="00FA1AF6" w:rsidRDefault="003D62D8" w:rsidP="004F7760">
      <w:pPr>
        <w:jc w:val="center"/>
        <w:rPr>
          <w:rFonts w:cs="Arial"/>
          <w:b/>
          <w:bCs/>
          <w:szCs w:val="24"/>
        </w:rPr>
      </w:pPr>
      <w:r w:rsidRPr="003D62D8">
        <w:rPr>
          <w:b/>
          <w:bCs/>
          <w:lang w:val="en-GB"/>
        </w:rPr>
        <w:t>Management Accounting Report: Netflix Inc.</w:t>
      </w:r>
    </w:p>
    <w:p w14:paraId="7D3890C2" w14:textId="77777777" w:rsidR="004F7760" w:rsidRDefault="004F7760" w:rsidP="004F7760">
      <w:pPr>
        <w:rPr>
          <w:rFonts w:cs="Arial"/>
          <w:b/>
          <w:bCs/>
          <w:szCs w:val="24"/>
        </w:rPr>
      </w:pPr>
    </w:p>
    <w:p w14:paraId="7E166719" w14:textId="77777777" w:rsidR="004F7760" w:rsidRDefault="004F7760" w:rsidP="004F7760">
      <w:pPr>
        <w:rPr>
          <w:rFonts w:cs="Arial"/>
          <w:b/>
          <w:bCs/>
          <w:szCs w:val="24"/>
        </w:rPr>
      </w:pPr>
    </w:p>
    <w:p w14:paraId="3C7E1767" w14:textId="77777777" w:rsidR="004F7760" w:rsidRDefault="004F7760" w:rsidP="004F7760">
      <w:pPr>
        <w:rPr>
          <w:rFonts w:cs="Arial"/>
          <w:b/>
          <w:bCs/>
          <w:szCs w:val="24"/>
        </w:rPr>
      </w:pPr>
    </w:p>
    <w:p w14:paraId="4C54A4DB" w14:textId="77777777" w:rsidR="004F7760" w:rsidRDefault="004F7760" w:rsidP="004F7760">
      <w:pPr>
        <w:rPr>
          <w:rFonts w:cs="Arial"/>
          <w:b/>
          <w:bCs/>
          <w:szCs w:val="24"/>
        </w:rPr>
      </w:pPr>
    </w:p>
    <w:p w14:paraId="6645489D" w14:textId="77777777" w:rsidR="004F7760" w:rsidRDefault="004F7760" w:rsidP="004F7760">
      <w:pPr>
        <w:rPr>
          <w:rFonts w:cs="Arial"/>
          <w:b/>
          <w:bCs/>
          <w:szCs w:val="24"/>
        </w:rPr>
      </w:pPr>
    </w:p>
    <w:p w14:paraId="0AFF8DD3" w14:textId="77777777" w:rsidR="004F7760" w:rsidRPr="00FA1AF6" w:rsidRDefault="004F7760" w:rsidP="004F7760">
      <w:pPr>
        <w:rPr>
          <w:rFonts w:cs="Arial"/>
          <w:b/>
          <w:bCs/>
          <w:szCs w:val="24"/>
        </w:rPr>
      </w:pPr>
    </w:p>
    <w:p w14:paraId="08F08284" w14:textId="77777777" w:rsidR="004F7760" w:rsidRDefault="004F7760" w:rsidP="004F7760">
      <w:pPr>
        <w:rPr>
          <w:rFonts w:cs="Arial"/>
          <w:b/>
          <w:bCs/>
          <w:szCs w:val="24"/>
        </w:rPr>
      </w:pPr>
    </w:p>
    <w:p w14:paraId="0DCBB189" w14:textId="77777777" w:rsidR="004F7760" w:rsidRDefault="004F7760" w:rsidP="004F7760">
      <w:pPr>
        <w:rPr>
          <w:rFonts w:cs="Arial"/>
          <w:b/>
          <w:bCs/>
          <w:szCs w:val="24"/>
        </w:rPr>
      </w:pPr>
      <w:r w:rsidRPr="00FA1AF6">
        <w:rPr>
          <w:rFonts w:cs="Arial"/>
          <w:b/>
          <w:bCs/>
          <w:szCs w:val="24"/>
        </w:rPr>
        <w:t xml:space="preserve">Student Name: </w:t>
      </w:r>
      <w:r w:rsidRPr="00DB07AD">
        <w:rPr>
          <w:rFonts w:cs="Arial"/>
          <w:szCs w:val="24"/>
        </w:rPr>
        <w:t>Erika Beke</w:t>
      </w:r>
    </w:p>
    <w:p w14:paraId="5A66955B" w14:textId="77777777" w:rsidR="004F7760" w:rsidRPr="00FA1AF6" w:rsidRDefault="004F7760" w:rsidP="004F7760">
      <w:pPr>
        <w:rPr>
          <w:rFonts w:cs="Arial"/>
          <w:b/>
          <w:bCs/>
          <w:szCs w:val="24"/>
        </w:rPr>
      </w:pPr>
      <w:r w:rsidRPr="00FA1AF6">
        <w:rPr>
          <w:rFonts w:cs="Arial"/>
          <w:b/>
          <w:bCs/>
          <w:szCs w:val="24"/>
        </w:rPr>
        <w:t>Student Number:</w:t>
      </w:r>
      <w:r>
        <w:rPr>
          <w:rFonts w:cs="Arial"/>
          <w:b/>
          <w:bCs/>
          <w:szCs w:val="24"/>
        </w:rPr>
        <w:t xml:space="preserve"> </w:t>
      </w:r>
      <w:r w:rsidRPr="00DB07AD">
        <w:rPr>
          <w:rFonts w:cs="Arial"/>
          <w:szCs w:val="24"/>
        </w:rPr>
        <w:t>2011318</w:t>
      </w:r>
    </w:p>
    <w:p w14:paraId="2C7CB3EE" w14:textId="0CACB7BC" w:rsidR="004F7760" w:rsidRPr="00903F51" w:rsidRDefault="004F7760" w:rsidP="004F7760">
      <w:pPr>
        <w:rPr>
          <w:rFonts w:cs="Arial"/>
          <w:szCs w:val="24"/>
        </w:rPr>
      </w:pPr>
      <w:r w:rsidRPr="00FA1AF6">
        <w:rPr>
          <w:rFonts w:cs="Arial"/>
          <w:b/>
          <w:bCs/>
          <w:szCs w:val="24"/>
        </w:rPr>
        <w:t xml:space="preserve">Lecturer Name: </w:t>
      </w:r>
      <w:r>
        <w:rPr>
          <w:rFonts w:cs="Arial"/>
          <w:szCs w:val="24"/>
        </w:rPr>
        <w:t>Dr</w:t>
      </w:r>
      <w:r w:rsidRPr="004F7760">
        <w:rPr>
          <w:rFonts w:cs="Arial"/>
          <w:szCs w:val="24"/>
        </w:rPr>
        <w:t xml:space="preserve"> Zainab Atta</w:t>
      </w:r>
    </w:p>
    <w:p w14:paraId="470F6C34" w14:textId="77777777" w:rsidR="004F7760" w:rsidRDefault="004F7760" w:rsidP="004F7760">
      <w:pPr>
        <w:rPr>
          <w:rFonts w:cs="Arial"/>
          <w:b/>
          <w:bCs/>
          <w:szCs w:val="24"/>
        </w:rPr>
      </w:pPr>
    </w:p>
    <w:p w14:paraId="35B6F051" w14:textId="77777777" w:rsidR="004F7760" w:rsidRDefault="004F7760" w:rsidP="004F7760">
      <w:pPr>
        <w:rPr>
          <w:rFonts w:cs="Arial"/>
          <w:b/>
          <w:bCs/>
          <w:szCs w:val="24"/>
        </w:rPr>
      </w:pPr>
    </w:p>
    <w:p w14:paraId="462E1CB5" w14:textId="77777777" w:rsidR="004F7760" w:rsidRDefault="004F7760" w:rsidP="004F7760">
      <w:pPr>
        <w:rPr>
          <w:rFonts w:cs="Arial"/>
          <w:b/>
          <w:bCs/>
          <w:szCs w:val="24"/>
        </w:rPr>
      </w:pPr>
    </w:p>
    <w:p w14:paraId="721017F4" w14:textId="77777777" w:rsidR="004F7760" w:rsidRDefault="004F7760" w:rsidP="004F7760">
      <w:pPr>
        <w:rPr>
          <w:rFonts w:cs="Arial"/>
          <w:b/>
          <w:bCs/>
          <w:szCs w:val="24"/>
        </w:rPr>
      </w:pPr>
    </w:p>
    <w:p w14:paraId="6E73E16D" w14:textId="77777777" w:rsidR="004F7760" w:rsidRDefault="004F7760" w:rsidP="004F7760">
      <w:pPr>
        <w:rPr>
          <w:rFonts w:cs="Arial"/>
          <w:b/>
          <w:bCs/>
          <w:szCs w:val="24"/>
        </w:rPr>
      </w:pPr>
    </w:p>
    <w:p w14:paraId="6E9C011D" w14:textId="77777777" w:rsidR="004F7760" w:rsidRDefault="004F7760" w:rsidP="004F7760">
      <w:pPr>
        <w:rPr>
          <w:rFonts w:cs="Arial"/>
          <w:b/>
          <w:bCs/>
          <w:szCs w:val="24"/>
        </w:rPr>
      </w:pPr>
    </w:p>
    <w:p w14:paraId="71E3B2BD" w14:textId="77777777" w:rsidR="004F7760" w:rsidRDefault="004F7760" w:rsidP="004F7760">
      <w:pPr>
        <w:rPr>
          <w:rFonts w:cs="Arial"/>
          <w:b/>
          <w:bCs/>
          <w:szCs w:val="24"/>
        </w:rPr>
      </w:pPr>
    </w:p>
    <w:p w14:paraId="474CEA94" w14:textId="2F368EDE" w:rsidR="004F7760" w:rsidRDefault="004F7760" w:rsidP="004F7760">
      <w:pPr>
        <w:jc w:val="center"/>
        <w:rPr>
          <w:rFonts w:cs="Arial"/>
          <w:szCs w:val="24"/>
        </w:rPr>
      </w:pPr>
      <w:r w:rsidRPr="00FA1AF6">
        <w:rPr>
          <w:rFonts w:cs="Arial"/>
          <w:b/>
          <w:bCs/>
          <w:szCs w:val="24"/>
        </w:rPr>
        <w:t>Session</w:t>
      </w:r>
      <w:r w:rsidRPr="00FA1AF6">
        <w:rPr>
          <w:rFonts w:cs="Arial"/>
          <w:szCs w:val="24"/>
        </w:rPr>
        <w:t xml:space="preserve">: </w:t>
      </w:r>
      <w:r>
        <w:rPr>
          <w:rFonts w:cs="Arial"/>
          <w:szCs w:val="24"/>
        </w:rPr>
        <w:t>February</w:t>
      </w:r>
      <w:r w:rsidRPr="00FA1AF6">
        <w:rPr>
          <w:rFonts w:cs="Arial"/>
          <w:szCs w:val="24"/>
        </w:rPr>
        <w:t xml:space="preserve"> 202</w:t>
      </w:r>
      <w:r w:rsidR="009C57A7">
        <w:rPr>
          <w:rFonts w:cs="Arial"/>
          <w:szCs w:val="24"/>
        </w:rPr>
        <w:t>6</w:t>
      </w:r>
      <w:r w:rsidRPr="00FA1AF6">
        <w:rPr>
          <w:rFonts w:cs="Arial"/>
          <w:szCs w:val="24"/>
        </w:rPr>
        <w:t xml:space="preserve"> Term</w:t>
      </w:r>
      <w:r>
        <w:rPr>
          <w:rFonts w:cs="Arial"/>
          <w:szCs w:val="24"/>
        </w:rPr>
        <w:t xml:space="preserve"> 3</w:t>
      </w:r>
    </w:p>
    <w:p w14:paraId="690947B2" w14:textId="77777777" w:rsidR="004F7760" w:rsidRDefault="004F7760" w:rsidP="004F7760">
      <w:pPr>
        <w:jc w:val="center"/>
        <w:rPr>
          <w:rFonts w:cs="Arial"/>
          <w:szCs w:val="24"/>
        </w:rPr>
      </w:pPr>
    </w:p>
    <w:p w14:paraId="68951B60" w14:textId="77777777" w:rsidR="004F7760" w:rsidRPr="00B56CB5" w:rsidRDefault="004F7760" w:rsidP="004F7760">
      <w:pPr>
        <w:jc w:val="center"/>
        <w:rPr>
          <w:rFonts w:cs="Arial"/>
          <w:szCs w:val="24"/>
        </w:rPr>
      </w:pPr>
    </w:p>
    <w:sdt>
      <w:sdtPr>
        <w:rPr>
          <w:rFonts w:ascii="Arial" w:eastAsia="Times New Roman" w:hAnsi="Arial" w:cstheme="minorBidi"/>
          <w:color w:val="auto"/>
          <w:sz w:val="24"/>
          <w:szCs w:val="22"/>
        </w:rPr>
        <w:id w:val="-274868567"/>
        <w:docPartObj>
          <w:docPartGallery w:val="Table of Contents"/>
          <w:docPartUnique/>
        </w:docPartObj>
      </w:sdtPr>
      <w:sdtEndPr>
        <w:rPr>
          <w:b/>
          <w:bCs/>
          <w:noProof/>
        </w:rPr>
      </w:sdtEndPr>
      <w:sdtContent>
        <w:p w14:paraId="5894703A" w14:textId="6947853D" w:rsidR="00A37D64" w:rsidRDefault="00A37D64" w:rsidP="00A37D64">
          <w:pPr>
            <w:pStyle w:val="TOCHeading"/>
            <w:jc w:val="center"/>
            <w:rPr>
              <w:b/>
              <w:bCs/>
              <w:color w:val="auto"/>
            </w:rPr>
          </w:pPr>
          <w:r w:rsidRPr="00A37D64">
            <w:rPr>
              <w:b/>
              <w:bCs/>
              <w:color w:val="auto"/>
            </w:rPr>
            <w:t>Contents</w:t>
          </w:r>
        </w:p>
        <w:p w14:paraId="671DC40E" w14:textId="77777777" w:rsidR="00A37D64" w:rsidRDefault="00A37D64" w:rsidP="00A37D64"/>
        <w:p w14:paraId="54329D0B" w14:textId="77777777" w:rsidR="00A37D64" w:rsidRPr="00A37D64" w:rsidRDefault="00A37D64" w:rsidP="00A37D64"/>
        <w:p w14:paraId="03D63309" w14:textId="1C8EA39F" w:rsidR="00605E93" w:rsidRDefault="00A37D64">
          <w:pPr>
            <w:pStyle w:val="TOC1"/>
            <w:tabs>
              <w:tab w:val="right" w:leader="dot" w:pos="9016"/>
            </w:tabs>
            <w:rPr>
              <w:rFonts w:asciiTheme="minorHAnsi" w:eastAsiaTheme="minorEastAsia" w:hAnsiTheme="minorHAnsi"/>
              <w:noProof/>
              <w:kern w:val="2"/>
              <w:szCs w:val="24"/>
              <w:lang w:val="en-GB" w:eastAsia="en-GB"/>
              <w14:ligatures w14:val="standardContextual"/>
            </w:rPr>
          </w:pPr>
          <w:r>
            <w:fldChar w:fldCharType="begin"/>
          </w:r>
          <w:r>
            <w:instrText xml:space="preserve"> TOC \o "1-3" \h \z \u </w:instrText>
          </w:r>
          <w:r>
            <w:fldChar w:fldCharType="separate"/>
          </w:r>
          <w:hyperlink w:anchor="_Toc225342379" w:history="1">
            <w:r w:rsidR="00605E93" w:rsidRPr="00BE5959">
              <w:rPr>
                <w:rStyle w:val="Hyperlink"/>
                <w:noProof/>
              </w:rPr>
              <w:t>1. Introduction</w:t>
            </w:r>
            <w:r w:rsidR="00605E93">
              <w:rPr>
                <w:noProof/>
                <w:webHidden/>
              </w:rPr>
              <w:tab/>
            </w:r>
            <w:r w:rsidR="00605E93">
              <w:rPr>
                <w:noProof/>
                <w:webHidden/>
              </w:rPr>
              <w:fldChar w:fldCharType="begin"/>
            </w:r>
            <w:r w:rsidR="00605E93">
              <w:rPr>
                <w:noProof/>
                <w:webHidden/>
              </w:rPr>
              <w:instrText xml:space="preserve"> PAGEREF _Toc225342379 \h </w:instrText>
            </w:r>
            <w:r w:rsidR="00605E93">
              <w:rPr>
                <w:noProof/>
                <w:webHidden/>
              </w:rPr>
            </w:r>
            <w:r w:rsidR="00605E93">
              <w:rPr>
                <w:noProof/>
                <w:webHidden/>
              </w:rPr>
              <w:fldChar w:fldCharType="separate"/>
            </w:r>
            <w:r w:rsidR="00605E93">
              <w:rPr>
                <w:noProof/>
                <w:webHidden/>
              </w:rPr>
              <w:t>3</w:t>
            </w:r>
            <w:r w:rsidR="00605E93">
              <w:rPr>
                <w:noProof/>
                <w:webHidden/>
              </w:rPr>
              <w:fldChar w:fldCharType="end"/>
            </w:r>
          </w:hyperlink>
        </w:p>
        <w:p w14:paraId="4B709A90" w14:textId="3B32B667" w:rsidR="00605E93" w:rsidRDefault="00605E93">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5342380" w:history="1">
            <w:r w:rsidRPr="00BE5959">
              <w:rPr>
                <w:rStyle w:val="Hyperlink"/>
                <w:noProof/>
              </w:rPr>
              <w:t>2. Cost Analysis and Business Model</w:t>
            </w:r>
            <w:r>
              <w:rPr>
                <w:noProof/>
                <w:webHidden/>
              </w:rPr>
              <w:tab/>
            </w:r>
            <w:r>
              <w:rPr>
                <w:noProof/>
                <w:webHidden/>
              </w:rPr>
              <w:fldChar w:fldCharType="begin"/>
            </w:r>
            <w:r>
              <w:rPr>
                <w:noProof/>
                <w:webHidden/>
              </w:rPr>
              <w:instrText xml:space="preserve"> PAGEREF _Toc225342380 \h </w:instrText>
            </w:r>
            <w:r>
              <w:rPr>
                <w:noProof/>
                <w:webHidden/>
              </w:rPr>
            </w:r>
            <w:r>
              <w:rPr>
                <w:noProof/>
                <w:webHidden/>
              </w:rPr>
              <w:fldChar w:fldCharType="separate"/>
            </w:r>
            <w:r>
              <w:rPr>
                <w:noProof/>
                <w:webHidden/>
              </w:rPr>
              <w:t>3</w:t>
            </w:r>
            <w:r>
              <w:rPr>
                <w:noProof/>
                <w:webHidden/>
              </w:rPr>
              <w:fldChar w:fldCharType="end"/>
            </w:r>
          </w:hyperlink>
        </w:p>
        <w:p w14:paraId="39E66C4A" w14:textId="595FC34E" w:rsidR="00605E93" w:rsidRDefault="00605E93">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5342381" w:history="1">
            <w:r w:rsidRPr="00BE5959">
              <w:rPr>
                <w:rStyle w:val="Hyperlink"/>
                <w:noProof/>
              </w:rPr>
              <w:t>3. Budgeting and Financial Planning</w:t>
            </w:r>
            <w:r>
              <w:rPr>
                <w:noProof/>
                <w:webHidden/>
              </w:rPr>
              <w:tab/>
            </w:r>
            <w:r>
              <w:rPr>
                <w:noProof/>
                <w:webHidden/>
              </w:rPr>
              <w:fldChar w:fldCharType="begin"/>
            </w:r>
            <w:r>
              <w:rPr>
                <w:noProof/>
                <w:webHidden/>
              </w:rPr>
              <w:instrText xml:space="preserve"> PAGEREF _Toc225342381 \h </w:instrText>
            </w:r>
            <w:r>
              <w:rPr>
                <w:noProof/>
                <w:webHidden/>
              </w:rPr>
            </w:r>
            <w:r>
              <w:rPr>
                <w:noProof/>
                <w:webHidden/>
              </w:rPr>
              <w:fldChar w:fldCharType="separate"/>
            </w:r>
            <w:r>
              <w:rPr>
                <w:noProof/>
                <w:webHidden/>
              </w:rPr>
              <w:t>5</w:t>
            </w:r>
            <w:r>
              <w:rPr>
                <w:noProof/>
                <w:webHidden/>
              </w:rPr>
              <w:fldChar w:fldCharType="end"/>
            </w:r>
          </w:hyperlink>
        </w:p>
        <w:p w14:paraId="57D534E3" w14:textId="7818D98B" w:rsidR="00605E93" w:rsidRDefault="00605E93">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5342382" w:history="1">
            <w:r w:rsidRPr="00BE5959">
              <w:rPr>
                <w:rStyle w:val="Hyperlink"/>
                <w:noProof/>
              </w:rPr>
              <w:t>4. Performance Measurement and Decision-Making</w:t>
            </w:r>
            <w:r>
              <w:rPr>
                <w:noProof/>
                <w:webHidden/>
              </w:rPr>
              <w:tab/>
            </w:r>
            <w:r>
              <w:rPr>
                <w:noProof/>
                <w:webHidden/>
              </w:rPr>
              <w:fldChar w:fldCharType="begin"/>
            </w:r>
            <w:r>
              <w:rPr>
                <w:noProof/>
                <w:webHidden/>
              </w:rPr>
              <w:instrText xml:space="preserve"> PAGEREF _Toc225342382 \h </w:instrText>
            </w:r>
            <w:r>
              <w:rPr>
                <w:noProof/>
                <w:webHidden/>
              </w:rPr>
            </w:r>
            <w:r>
              <w:rPr>
                <w:noProof/>
                <w:webHidden/>
              </w:rPr>
              <w:fldChar w:fldCharType="separate"/>
            </w:r>
            <w:r>
              <w:rPr>
                <w:noProof/>
                <w:webHidden/>
              </w:rPr>
              <w:t>6</w:t>
            </w:r>
            <w:r>
              <w:rPr>
                <w:noProof/>
                <w:webHidden/>
              </w:rPr>
              <w:fldChar w:fldCharType="end"/>
            </w:r>
          </w:hyperlink>
        </w:p>
        <w:p w14:paraId="295AD8C9" w14:textId="07F9FA42" w:rsidR="00605E93" w:rsidRDefault="00605E93">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5342383" w:history="1">
            <w:r w:rsidRPr="00BE5959">
              <w:rPr>
                <w:rStyle w:val="Hyperlink"/>
                <w:noProof/>
              </w:rPr>
              <w:t>5. Sustainability and Ethical Considerations</w:t>
            </w:r>
            <w:r>
              <w:rPr>
                <w:noProof/>
                <w:webHidden/>
              </w:rPr>
              <w:tab/>
            </w:r>
            <w:r>
              <w:rPr>
                <w:noProof/>
                <w:webHidden/>
              </w:rPr>
              <w:fldChar w:fldCharType="begin"/>
            </w:r>
            <w:r>
              <w:rPr>
                <w:noProof/>
                <w:webHidden/>
              </w:rPr>
              <w:instrText xml:space="preserve"> PAGEREF _Toc225342383 \h </w:instrText>
            </w:r>
            <w:r>
              <w:rPr>
                <w:noProof/>
                <w:webHidden/>
              </w:rPr>
            </w:r>
            <w:r>
              <w:rPr>
                <w:noProof/>
                <w:webHidden/>
              </w:rPr>
              <w:fldChar w:fldCharType="separate"/>
            </w:r>
            <w:r>
              <w:rPr>
                <w:noProof/>
                <w:webHidden/>
              </w:rPr>
              <w:t>8</w:t>
            </w:r>
            <w:r>
              <w:rPr>
                <w:noProof/>
                <w:webHidden/>
              </w:rPr>
              <w:fldChar w:fldCharType="end"/>
            </w:r>
          </w:hyperlink>
        </w:p>
        <w:p w14:paraId="1D3B5536" w14:textId="25324631" w:rsidR="00605E93" w:rsidRDefault="00605E93">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5342384" w:history="1">
            <w:r w:rsidRPr="00BE5959">
              <w:rPr>
                <w:rStyle w:val="Hyperlink"/>
                <w:noProof/>
              </w:rPr>
              <w:t>6. Conclusion and Recommendations</w:t>
            </w:r>
            <w:r>
              <w:rPr>
                <w:noProof/>
                <w:webHidden/>
              </w:rPr>
              <w:tab/>
            </w:r>
            <w:r>
              <w:rPr>
                <w:noProof/>
                <w:webHidden/>
              </w:rPr>
              <w:fldChar w:fldCharType="begin"/>
            </w:r>
            <w:r>
              <w:rPr>
                <w:noProof/>
                <w:webHidden/>
              </w:rPr>
              <w:instrText xml:space="preserve"> PAGEREF _Toc225342384 \h </w:instrText>
            </w:r>
            <w:r>
              <w:rPr>
                <w:noProof/>
                <w:webHidden/>
              </w:rPr>
            </w:r>
            <w:r>
              <w:rPr>
                <w:noProof/>
                <w:webHidden/>
              </w:rPr>
              <w:fldChar w:fldCharType="separate"/>
            </w:r>
            <w:r>
              <w:rPr>
                <w:noProof/>
                <w:webHidden/>
              </w:rPr>
              <w:t>9</w:t>
            </w:r>
            <w:r>
              <w:rPr>
                <w:noProof/>
                <w:webHidden/>
              </w:rPr>
              <w:fldChar w:fldCharType="end"/>
            </w:r>
          </w:hyperlink>
        </w:p>
        <w:p w14:paraId="0840C952" w14:textId="7A250810" w:rsidR="00605E93" w:rsidRDefault="00605E93">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5342385" w:history="1">
            <w:r w:rsidRPr="00BE5959">
              <w:rPr>
                <w:rStyle w:val="Hyperlink"/>
                <w:noProof/>
              </w:rPr>
              <w:t>Reference</w:t>
            </w:r>
            <w:r>
              <w:rPr>
                <w:noProof/>
                <w:webHidden/>
              </w:rPr>
              <w:tab/>
            </w:r>
            <w:r>
              <w:rPr>
                <w:noProof/>
                <w:webHidden/>
              </w:rPr>
              <w:fldChar w:fldCharType="begin"/>
            </w:r>
            <w:r>
              <w:rPr>
                <w:noProof/>
                <w:webHidden/>
              </w:rPr>
              <w:instrText xml:space="preserve"> PAGEREF _Toc225342385 \h </w:instrText>
            </w:r>
            <w:r>
              <w:rPr>
                <w:noProof/>
                <w:webHidden/>
              </w:rPr>
            </w:r>
            <w:r>
              <w:rPr>
                <w:noProof/>
                <w:webHidden/>
              </w:rPr>
              <w:fldChar w:fldCharType="separate"/>
            </w:r>
            <w:r>
              <w:rPr>
                <w:noProof/>
                <w:webHidden/>
              </w:rPr>
              <w:t>10</w:t>
            </w:r>
            <w:r>
              <w:rPr>
                <w:noProof/>
                <w:webHidden/>
              </w:rPr>
              <w:fldChar w:fldCharType="end"/>
            </w:r>
          </w:hyperlink>
        </w:p>
        <w:p w14:paraId="51A24EEA" w14:textId="3877F3F4" w:rsidR="00A37D64" w:rsidRDefault="00A37D64">
          <w:r>
            <w:rPr>
              <w:b/>
              <w:bCs/>
              <w:noProof/>
            </w:rPr>
            <w:fldChar w:fldCharType="end"/>
          </w:r>
        </w:p>
      </w:sdtContent>
    </w:sdt>
    <w:p w14:paraId="047BC08A" w14:textId="77777777" w:rsidR="00FD71C2" w:rsidRDefault="00FD71C2"/>
    <w:p w14:paraId="100EBE1B" w14:textId="77777777" w:rsidR="003D62D8" w:rsidRDefault="003D62D8"/>
    <w:p w14:paraId="2C1B564C" w14:textId="77777777" w:rsidR="003D62D8" w:rsidRDefault="003D62D8"/>
    <w:p w14:paraId="0370992A" w14:textId="77777777" w:rsidR="003D62D8" w:rsidRDefault="003D62D8"/>
    <w:p w14:paraId="3D2EEFD5" w14:textId="77777777" w:rsidR="003D62D8" w:rsidRDefault="003D62D8"/>
    <w:p w14:paraId="6702FF89" w14:textId="77777777" w:rsidR="003D62D8" w:rsidRDefault="003D62D8"/>
    <w:p w14:paraId="47BFB2DF" w14:textId="77777777" w:rsidR="003D62D8" w:rsidRDefault="003D62D8"/>
    <w:p w14:paraId="0459E35A" w14:textId="77777777" w:rsidR="003D62D8" w:rsidRDefault="003D62D8"/>
    <w:p w14:paraId="7B70CE30" w14:textId="77777777" w:rsidR="003D62D8" w:rsidRDefault="003D62D8"/>
    <w:p w14:paraId="543589AC" w14:textId="77777777" w:rsidR="003D62D8" w:rsidRDefault="003D62D8"/>
    <w:p w14:paraId="105983F4" w14:textId="77777777" w:rsidR="003D62D8" w:rsidRDefault="003D62D8"/>
    <w:p w14:paraId="78B41589" w14:textId="77777777" w:rsidR="003D62D8" w:rsidRDefault="003D62D8"/>
    <w:p w14:paraId="54BFC53C" w14:textId="77777777" w:rsidR="003D62D8" w:rsidRDefault="003D62D8"/>
    <w:p w14:paraId="16517841" w14:textId="77777777" w:rsidR="003D62D8" w:rsidRDefault="003D62D8"/>
    <w:p w14:paraId="2B6D773C" w14:textId="77777777" w:rsidR="00CC20D5" w:rsidRDefault="00CC20D5"/>
    <w:p w14:paraId="41AAF1C2" w14:textId="77777777" w:rsidR="003D62D8" w:rsidRPr="003D62D8" w:rsidRDefault="003D62D8" w:rsidP="00A37D64">
      <w:pPr>
        <w:pStyle w:val="Heading1"/>
      </w:pPr>
      <w:bookmarkStart w:id="1" w:name="_Toc225342379"/>
      <w:r w:rsidRPr="003D62D8">
        <w:rPr>
          <w:rFonts w:eastAsia="Times New Roman"/>
        </w:rPr>
        <w:lastRenderedPageBreak/>
        <w:t>1. Introduction</w:t>
      </w:r>
      <w:bookmarkEnd w:id="1"/>
    </w:p>
    <w:p w14:paraId="71FB5370" w14:textId="77777777" w:rsidR="000B1A42" w:rsidRPr="000B1A42" w:rsidRDefault="000B1A42" w:rsidP="000B1A42">
      <w:r w:rsidRPr="000B1A42">
        <w:t>Netflix Inc. is a global leader in the digital streaming industry, offering subscription-based access to films, television series, and original content. Founded in 1997, the company has grown rapidly and now serves over 260 million subscribers worldwide (Netflix, 2024). Its success is largely driven by its ability to invest heavily in original content and adapt to changing consumer preferences. However, Netflix operates in a highly competitive market, facing strong competition from companies such as Amazon Prime Video and Disney+, which increases pressure on pricing and content investment decisions.</w:t>
      </w:r>
    </w:p>
    <w:p w14:paraId="51BCD537" w14:textId="77777777" w:rsidR="000B1A42" w:rsidRPr="000B1A42" w:rsidRDefault="000B1A42" w:rsidP="000B1A42">
      <w:r w:rsidRPr="000B1A42">
        <w:t>Management accounting plays an important role in supporting decision-making in such an environment. It provides tools such as cost-volume-profit (CVP) analysis, budgeting, and variance analysis to help managers plan and control financial performance (Drury, 2018). For a company like Netflix, where costs are high and returns are uncertain, these tools are essential for balancing growth with profitability.</w:t>
      </w:r>
    </w:p>
    <w:p w14:paraId="3A13DA1C" w14:textId="77777777" w:rsidR="003D62D8" w:rsidRPr="003D62D8" w:rsidRDefault="003D62D8" w:rsidP="00A37D64">
      <w:pPr>
        <w:pStyle w:val="Heading1"/>
      </w:pPr>
      <w:bookmarkStart w:id="2" w:name="_Toc225342380"/>
      <w:r w:rsidRPr="003D62D8">
        <w:rPr>
          <w:rFonts w:eastAsia="Times New Roman"/>
        </w:rPr>
        <w:t>2. Cost Analysis and Business Model</w:t>
      </w:r>
      <w:bookmarkEnd w:id="2"/>
    </w:p>
    <w:p w14:paraId="2AFA62E8" w14:textId="77777777" w:rsidR="008A5C44" w:rsidRPr="008A5C44" w:rsidRDefault="008A5C44" w:rsidP="008A5C44">
      <w:pPr>
        <w:rPr>
          <w:lang w:val="en-GB"/>
        </w:rPr>
      </w:pPr>
      <w:r w:rsidRPr="008A5C44">
        <w:rPr>
          <w:lang w:val="en-GB"/>
        </w:rPr>
        <w:t>Netflix operates a subscription-based business model, where customers pay a monthly fee for unlimited access to content. This creates a relatively stable and predictable revenue stream compared to traditional media companies that rely on advertising or one-off purchases (Netflix, 2024). In 2023, Netflix generated approximately $33.7 billion in revenue, showing steady growth despite increasing competition (Netflix, 2024).</w:t>
      </w:r>
    </w:p>
    <w:p w14:paraId="5E6997F4" w14:textId="286ED674" w:rsidR="003D62D8" w:rsidRPr="003D62D8" w:rsidRDefault="003D62D8" w:rsidP="003D62D8">
      <w:pPr>
        <w:rPr>
          <w:lang w:val="en-GB"/>
        </w:rPr>
      </w:pP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846"/>
        <w:gridCol w:w="1153"/>
        <w:gridCol w:w="3241"/>
        <w:gridCol w:w="1985"/>
      </w:tblGrid>
      <w:tr w:rsidR="003D62D8" w:rsidRPr="003D62D8" w14:paraId="2570F6C9" w14:textId="77777777" w:rsidTr="009C57A7">
        <w:trPr>
          <w:tblHeader/>
          <w:tblCellSpacing w:w="15" w:type="dxa"/>
          <w:jc w:val="center"/>
        </w:trPr>
        <w:tc>
          <w:tcPr>
            <w:tcW w:w="801" w:type="dxa"/>
            <w:vAlign w:val="center"/>
            <w:hideMark/>
          </w:tcPr>
          <w:p w14:paraId="13F74362" w14:textId="77777777" w:rsidR="003D62D8" w:rsidRPr="003D62D8" w:rsidRDefault="003D62D8" w:rsidP="00DA3FDB">
            <w:pPr>
              <w:jc w:val="center"/>
              <w:rPr>
                <w:b/>
                <w:bCs/>
                <w:sz w:val="20"/>
                <w:szCs w:val="20"/>
                <w:lang w:val="en-GB"/>
              </w:rPr>
            </w:pPr>
            <w:r w:rsidRPr="003D62D8">
              <w:rPr>
                <w:b/>
                <w:bCs/>
                <w:sz w:val="20"/>
                <w:szCs w:val="20"/>
                <w:lang w:val="en-GB"/>
              </w:rPr>
              <w:t>Year</w:t>
            </w:r>
          </w:p>
        </w:tc>
        <w:tc>
          <w:tcPr>
            <w:tcW w:w="1123" w:type="dxa"/>
            <w:vAlign w:val="center"/>
            <w:hideMark/>
          </w:tcPr>
          <w:p w14:paraId="0FE0D4FB" w14:textId="77777777" w:rsidR="003D62D8" w:rsidRPr="003D62D8" w:rsidRDefault="003D62D8" w:rsidP="00DA3FDB">
            <w:pPr>
              <w:jc w:val="center"/>
              <w:rPr>
                <w:b/>
                <w:bCs/>
                <w:sz w:val="20"/>
                <w:szCs w:val="20"/>
                <w:lang w:val="en-GB"/>
              </w:rPr>
            </w:pPr>
            <w:r w:rsidRPr="003D62D8">
              <w:rPr>
                <w:b/>
                <w:bCs/>
                <w:sz w:val="20"/>
                <w:szCs w:val="20"/>
                <w:lang w:val="en-GB"/>
              </w:rPr>
              <w:t>Revenue ($bn)</w:t>
            </w:r>
          </w:p>
        </w:tc>
        <w:tc>
          <w:tcPr>
            <w:tcW w:w="3211" w:type="dxa"/>
            <w:vAlign w:val="center"/>
            <w:hideMark/>
          </w:tcPr>
          <w:p w14:paraId="3F575483" w14:textId="77777777" w:rsidR="003D62D8" w:rsidRPr="003D62D8" w:rsidRDefault="003D62D8" w:rsidP="00DA3FDB">
            <w:pPr>
              <w:jc w:val="center"/>
              <w:rPr>
                <w:b/>
                <w:bCs/>
                <w:sz w:val="20"/>
                <w:szCs w:val="20"/>
                <w:lang w:val="en-GB"/>
              </w:rPr>
            </w:pPr>
            <w:r w:rsidRPr="003D62D8">
              <w:rPr>
                <w:b/>
                <w:bCs/>
                <w:sz w:val="20"/>
                <w:szCs w:val="20"/>
                <w:lang w:val="en-GB"/>
              </w:rPr>
              <w:t>Operating Income ($bn)</w:t>
            </w:r>
          </w:p>
        </w:tc>
        <w:tc>
          <w:tcPr>
            <w:tcW w:w="1940" w:type="dxa"/>
            <w:vAlign w:val="center"/>
            <w:hideMark/>
          </w:tcPr>
          <w:p w14:paraId="1451E954" w14:textId="77777777" w:rsidR="003D62D8" w:rsidRPr="003D62D8" w:rsidRDefault="003D62D8" w:rsidP="00DA3FDB">
            <w:pPr>
              <w:jc w:val="center"/>
              <w:rPr>
                <w:b/>
                <w:bCs/>
                <w:sz w:val="20"/>
                <w:szCs w:val="20"/>
                <w:lang w:val="en-GB"/>
              </w:rPr>
            </w:pPr>
            <w:r w:rsidRPr="003D62D8">
              <w:rPr>
                <w:b/>
                <w:bCs/>
                <w:sz w:val="20"/>
                <w:szCs w:val="20"/>
                <w:lang w:val="en-GB"/>
              </w:rPr>
              <w:t>Content Spending ($bn)</w:t>
            </w:r>
          </w:p>
        </w:tc>
      </w:tr>
      <w:tr w:rsidR="003D62D8" w:rsidRPr="003D62D8" w14:paraId="3CE15650" w14:textId="77777777" w:rsidTr="009C57A7">
        <w:trPr>
          <w:tblCellSpacing w:w="15" w:type="dxa"/>
          <w:jc w:val="center"/>
        </w:trPr>
        <w:tc>
          <w:tcPr>
            <w:tcW w:w="801" w:type="dxa"/>
            <w:vAlign w:val="center"/>
            <w:hideMark/>
          </w:tcPr>
          <w:p w14:paraId="79B84A7E" w14:textId="77777777" w:rsidR="003D62D8" w:rsidRPr="003D62D8" w:rsidRDefault="003D62D8" w:rsidP="00DA3FDB">
            <w:pPr>
              <w:jc w:val="center"/>
              <w:rPr>
                <w:sz w:val="20"/>
                <w:szCs w:val="20"/>
                <w:lang w:val="en-GB"/>
              </w:rPr>
            </w:pPr>
            <w:r w:rsidRPr="003D62D8">
              <w:rPr>
                <w:sz w:val="20"/>
                <w:szCs w:val="20"/>
                <w:lang w:val="en-GB"/>
              </w:rPr>
              <w:t>2021</w:t>
            </w:r>
          </w:p>
        </w:tc>
        <w:tc>
          <w:tcPr>
            <w:tcW w:w="1123" w:type="dxa"/>
            <w:vAlign w:val="center"/>
            <w:hideMark/>
          </w:tcPr>
          <w:p w14:paraId="2E0EBCEF" w14:textId="77777777" w:rsidR="003D62D8" w:rsidRPr="003D62D8" w:rsidRDefault="003D62D8" w:rsidP="00DA3FDB">
            <w:pPr>
              <w:jc w:val="center"/>
              <w:rPr>
                <w:sz w:val="20"/>
                <w:szCs w:val="20"/>
                <w:lang w:val="en-GB"/>
              </w:rPr>
            </w:pPr>
            <w:r w:rsidRPr="003D62D8">
              <w:rPr>
                <w:sz w:val="20"/>
                <w:szCs w:val="20"/>
                <w:lang w:val="en-GB"/>
              </w:rPr>
              <w:t>29.7</w:t>
            </w:r>
          </w:p>
        </w:tc>
        <w:tc>
          <w:tcPr>
            <w:tcW w:w="3211" w:type="dxa"/>
            <w:vAlign w:val="center"/>
            <w:hideMark/>
          </w:tcPr>
          <w:p w14:paraId="0672EBBA" w14:textId="77777777" w:rsidR="003D62D8" w:rsidRPr="003D62D8" w:rsidRDefault="003D62D8" w:rsidP="00DA3FDB">
            <w:pPr>
              <w:jc w:val="center"/>
              <w:rPr>
                <w:sz w:val="20"/>
                <w:szCs w:val="20"/>
                <w:lang w:val="en-GB"/>
              </w:rPr>
            </w:pPr>
            <w:r w:rsidRPr="003D62D8">
              <w:rPr>
                <w:sz w:val="20"/>
                <w:szCs w:val="20"/>
                <w:lang w:val="en-GB"/>
              </w:rPr>
              <w:t>6.2</w:t>
            </w:r>
          </w:p>
        </w:tc>
        <w:tc>
          <w:tcPr>
            <w:tcW w:w="1940" w:type="dxa"/>
            <w:vAlign w:val="center"/>
            <w:hideMark/>
          </w:tcPr>
          <w:p w14:paraId="01C9FC51" w14:textId="77777777" w:rsidR="003D62D8" w:rsidRPr="003D62D8" w:rsidRDefault="003D62D8" w:rsidP="00DA3FDB">
            <w:pPr>
              <w:jc w:val="center"/>
              <w:rPr>
                <w:sz w:val="20"/>
                <w:szCs w:val="20"/>
                <w:lang w:val="en-GB"/>
              </w:rPr>
            </w:pPr>
            <w:r w:rsidRPr="003D62D8">
              <w:rPr>
                <w:sz w:val="20"/>
                <w:szCs w:val="20"/>
                <w:lang w:val="en-GB"/>
              </w:rPr>
              <w:t>~17</w:t>
            </w:r>
          </w:p>
        </w:tc>
      </w:tr>
      <w:tr w:rsidR="003D62D8" w:rsidRPr="003D62D8" w14:paraId="10134EB4" w14:textId="77777777" w:rsidTr="009C57A7">
        <w:trPr>
          <w:tblCellSpacing w:w="15" w:type="dxa"/>
          <w:jc w:val="center"/>
        </w:trPr>
        <w:tc>
          <w:tcPr>
            <w:tcW w:w="801" w:type="dxa"/>
            <w:vAlign w:val="center"/>
            <w:hideMark/>
          </w:tcPr>
          <w:p w14:paraId="2BB91F52" w14:textId="77777777" w:rsidR="003D62D8" w:rsidRPr="003D62D8" w:rsidRDefault="003D62D8" w:rsidP="00DA3FDB">
            <w:pPr>
              <w:jc w:val="center"/>
              <w:rPr>
                <w:sz w:val="20"/>
                <w:szCs w:val="20"/>
                <w:lang w:val="en-GB"/>
              </w:rPr>
            </w:pPr>
            <w:r w:rsidRPr="003D62D8">
              <w:rPr>
                <w:sz w:val="20"/>
                <w:szCs w:val="20"/>
                <w:lang w:val="en-GB"/>
              </w:rPr>
              <w:t>2022</w:t>
            </w:r>
          </w:p>
        </w:tc>
        <w:tc>
          <w:tcPr>
            <w:tcW w:w="1123" w:type="dxa"/>
            <w:vAlign w:val="center"/>
            <w:hideMark/>
          </w:tcPr>
          <w:p w14:paraId="77F3589D" w14:textId="77777777" w:rsidR="003D62D8" w:rsidRPr="003D62D8" w:rsidRDefault="003D62D8" w:rsidP="00DA3FDB">
            <w:pPr>
              <w:jc w:val="center"/>
              <w:rPr>
                <w:sz w:val="20"/>
                <w:szCs w:val="20"/>
                <w:lang w:val="en-GB"/>
              </w:rPr>
            </w:pPr>
            <w:r w:rsidRPr="003D62D8">
              <w:rPr>
                <w:sz w:val="20"/>
                <w:szCs w:val="20"/>
                <w:lang w:val="en-GB"/>
              </w:rPr>
              <w:t>31.6</w:t>
            </w:r>
          </w:p>
        </w:tc>
        <w:tc>
          <w:tcPr>
            <w:tcW w:w="3211" w:type="dxa"/>
            <w:vAlign w:val="center"/>
            <w:hideMark/>
          </w:tcPr>
          <w:p w14:paraId="4D9B7858" w14:textId="77777777" w:rsidR="003D62D8" w:rsidRPr="003D62D8" w:rsidRDefault="003D62D8" w:rsidP="00DA3FDB">
            <w:pPr>
              <w:jc w:val="center"/>
              <w:rPr>
                <w:sz w:val="20"/>
                <w:szCs w:val="20"/>
                <w:lang w:val="en-GB"/>
              </w:rPr>
            </w:pPr>
            <w:r w:rsidRPr="003D62D8">
              <w:rPr>
                <w:sz w:val="20"/>
                <w:szCs w:val="20"/>
                <w:lang w:val="en-GB"/>
              </w:rPr>
              <w:t>5.6</w:t>
            </w:r>
          </w:p>
        </w:tc>
        <w:tc>
          <w:tcPr>
            <w:tcW w:w="1940" w:type="dxa"/>
            <w:vAlign w:val="center"/>
            <w:hideMark/>
          </w:tcPr>
          <w:p w14:paraId="6064A4CE" w14:textId="77777777" w:rsidR="003D62D8" w:rsidRPr="003D62D8" w:rsidRDefault="003D62D8" w:rsidP="00DA3FDB">
            <w:pPr>
              <w:jc w:val="center"/>
              <w:rPr>
                <w:sz w:val="20"/>
                <w:szCs w:val="20"/>
                <w:lang w:val="en-GB"/>
              </w:rPr>
            </w:pPr>
            <w:r w:rsidRPr="003D62D8">
              <w:rPr>
                <w:sz w:val="20"/>
                <w:szCs w:val="20"/>
                <w:lang w:val="en-GB"/>
              </w:rPr>
              <w:t>~16.8</w:t>
            </w:r>
          </w:p>
        </w:tc>
      </w:tr>
      <w:tr w:rsidR="003D62D8" w:rsidRPr="003D62D8" w14:paraId="18EAEB83" w14:textId="77777777" w:rsidTr="009C57A7">
        <w:trPr>
          <w:tblCellSpacing w:w="15" w:type="dxa"/>
          <w:jc w:val="center"/>
        </w:trPr>
        <w:tc>
          <w:tcPr>
            <w:tcW w:w="801" w:type="dxa"/>
            <w:vAlign w:val="center"/>
            <w:hideMark/>
          </w:tcPr>
          <w:p w14:paraId="4FBEF707" w14:textId="77777777" w:rsidR="003D62D8" w:rsidRPr="003D62D8" w:rsidRDefault="003D62D8" w:rsidP="00DA3FDB">
            <w:pPr>
              <w:jc w:val="center"/>
              <w:rPr>
                <w:sz w:val="20"/>
                <w:szCs w:val="20"/>
                <w:lang w:val="en-GB"/>
              </w:rPr>
            </w:pPr>
            <w:r w:rsidRPr="003D62D8">
              <w:rPr>
                <w:sz w:val="20"/>
                <w:szCs w:val="20"/>
                <w:lang w:val="en-GB"/>
              </w:rPr>
              <w:t>2023</w:t>
            </w:r>
          </w:p>
        </w:tc>
        <w:tc>
          <w:tcPr>
            <w:tcW w:w="1123" w:type="dxa"/>
            <w:vAlign w:val="center"/>
            <w:hideMark/>
          </w:tcPr>
          <w:p w14:paraId="6C17A4C0" w14:textId="77777777" w:rsidR="003D62D8" w:rsidRPr="003D62D8" w:rsidRDefault="003D62D8" w:rsidP="00DA3FDB">
            <w:pPr>
              <w:jc w:val="center"/>
              <w:rPr>
                <w:sz w:val="20"/>
                <w:szCs w:val="20"/>
                <w:lang w:val="en-GB"/>
              </w:rPr>
            </w:pPr>
            <w:r w:rsidRPr="003D62D8">
              <w:rPr>
                <w:sz w:val="20"/>
                <w:szCs w:val="20"/>
                <w:lang w:val="en-GB"/>
              </w:rPr>
              <w:t>33.7</w:t>
            </w:r>
          </w:p>
        </w:tc>
        <w:tc>
          <w:tcPr>
            <w:tcW w:w="3211" w:type="dxa"/>
            <w:vAlign w:val="center"/>
            <w:hideMark/>
          </w:tcPr>
          <w:p w14:paraId="62185874" w14:textId="77777777" w:rsidR="003D62D8" w:rsidRPr="003D62D8" w:rsidRDefault="003D62D8" w:rsidP="00DA3FDB">
            <w:pPr>
              <w:jc w:val="center"/>
              <w:rPr>
                <w:sz w:val="20"/>
                <w:szCs w:val="20"/>
                <w:lang w:val="en-GB"/>
              </w:rPr>
            </w:pPr>
            <w:r w:rsidRPr="003D62D8">
              <w:rPr>
                <w:sz w:val="20"/>
                <w:szCs w:val="20"/>
                <w:lang w:val="en-GB"/>
              </w:rPr>
              <w:t>6.9</w:t>
            </w:r>
          </w:p>
        </w:tc>
        <w:tc>
          <w:tcPr>
            <w:tcW w:w="1940" w:type="dxa"/>
            <w:vAlign w:val="center"/>
            <w:hideMark/>
          </w:tcPr>
          <w:p w14:paraId="5B0639F9" w14:textId="77777777" w:rsidR="003D62D8" w:rsidRPr="003D62D8" w:rsidRDefault="003D62D8" w:rsidP="00DA3FDB">
            <w:pPr>
              <w:jc w:val="center"/>
              <w:rPr>
                <w:sz w:val="20"/>
                <w:szCs w:val="20"/>
                <w:lang w:val="en-GB"/>
              </w:rPr>
            </w:pPr>
            <w:r w:rsidRPr="003D62D8">
              <w:rPr>
                <w:sz w:val="20"/>
                <w:szCs w:val="20"/>
                <w:lang w:val="en-GB"/>
              </w:rPr>
              <w:t>~17</w:t>
            </w:r>
          </w:p>
        </w:tc>
      </w:tr>
    </w:tbl>
    <w:p w14:paraId="763D3DDB" w14:textId="77777777" w:rsidR="00DA3FDB" w:rsidRDefault="00DA3FDB" w:rsidP="00DA3FDB">
      <w:pPr>
        <w:jc w:val="center"/>
        <w:rPr>
          <w:sz w:val="20"/>
          <w:szCs w:val="20"/>
          <w:lang w:val="en-GB"/>
        </w:rPr>
      </w:pPr>
    </w:p>
    <w:p w14:paraId="0759C334" w14:textId="130D09CA" w:rsidR="003D62D8" w:rsidRPr="003D62D8" w:rsidRDefault="008A5C44" w:rsidP="00DA3FDB">
      <w:pPr>
        <w:jc w:val="center"/>
        <w:rPr>
          <w:sz w:val="20"/>
          <w:szCs w:val="20"/>
          <w:lang w:val="en-GB"/>
        </w:rPr>
      </w:pPr>
      <w:r w:rsidRPr="003D62D8">
        <w:rPr>
          <w:sz w:val="20"/>
          <w:szCs w:val="20"/>
          <w:lang w:val="en-GB"/>
        </w:rPr>
        <w:t>Table 1: Netflix Financial Overview</w:t>
      </w:r>
      <w:r w:rsidRPr="00DA3FDB">
        <w:rPr>
          <w:sz w:val="20"/>
          <w:szCs w:val="20"/>
          <w:lang w:val="en-GB"/>
        </w:rPr>
        <w:t xml:space="preserve"> - </w:t>
      </w:r>
      <w:r w:rsidR="003D62D8" w:rsidRPr="003D62D8">
        <w:rPr>
          <w:sz w:val="20"/>
          <w:szCs w:val="20"/>
          <w:lang w:val="en-GB"/>
        </w:rPr>
        <w:t>Netflix Annual Reports, 2024</w:t>
      </w:r>
    </w:p>
    <w:p w14:paraId="50FEAAEA" w14:textId="77777777" w:rsidR="00DA3FDB" w:rsidRDefault="00DA3FDB" w:rsidP="003D62D8">
      <w:pPr>
        <w:rPr>
          <w:lang w:val="en-GB"/>
        </w:rPr>
      </w:pPr>
    </w:p>
    <w:p w14:paraId="19A267BA" w14:textId="08FF9B8A" w:rsidR="003D62D8" w:rsidRPr="003D62D8" w:rsidRDefault="003D62D8" w:rsidP="003D62D8">
      <w:pPr>
        <w:rPr>
          <w:lang w:val="en-GB"/>
        </w:rPr>
      </w:pPr>
      <w:r w:rsidRPr="003D62D8">
        <w:rPr>
          <w:lang w:val="en-GB"/>
        </w:rPr>
        <w:lastRenderedPageBreak/>
        <w:t>The table shows that although revenue has increased, operating income has fluctuated due to high content costs. This highlights the importance of cost management.</w:t>
      </w:r>
    </w:p>
    <w:p w14:paraId="0E827626" w14:textId="00257599" w:rsidR="008A5C44" w:rsidRPr="008A5C44" w:rsidRDefault="008A5C44" w:rsidP="008A5C44">
      <w:pPr>
        <w:rPr>
          <w:lang w:val="en-GB"/>
        </w:rPr>
      </w:pPr>
      <w:r w:rsidRPr="008A5C44">
        <w:rPr>
          <w:lang w:val="en-GB"/>
        </w:rPr>
        <w:t xml:space="preserve">From a management accounting perspective, Netflix’s cost structure is heavily dominated by fixed costs. The company </w:t>
      </w:r>
      <w:r w:rsidR="00605E93">
        <w:rPr>
          <w:lang w:val="en-GB"/>
        </w:rPr>
        <w:t xml:space="preserve">incurs high costs in content production and licensing, </w:t>
      </w:r>
      <w:r w:rsidRPr="008A5C44">
        <w:rPr>
          <w:lang w:val="en-GB"/>
        </w:rPr>
        <w:t xml:space="preserve">regardless of how many users watch the content. This reflects a </w:t>
      </w:r>
      <w:r>
        <w:rPr>
          <w:lang w:val="en-GB"/>
        </w:rPr>
        <w:t>high-operating-leverage</w:t>
      </w:r>
      <w:r w:rsidRPr="008A5C44">
        <w:rPr>
          <w:lang w:val="en-GB"/>
        </w:rPr>
        <w:t xml:space="preserve"> model, where profitability depends on achieving a large subscriber base. Cost-volume-profit (CVP) analysis is particularly relevant here, as it shows that once fixed costs are covered, additional subscribers contribute directly to profit (Drury, 2018).</w:t>
      </w:r>
    </w:p>
    <w:p w14:paraId="3DFB4335" w14:textId="77777777" w:rsidR="008A5C44" w:rsidRPr="008A5C44" w:rsidRDefault="008A5C44" w:rsidP="008A5C44">
      <w:pPr>
        <w:rPr>
          <w:lang w:val="en-GB"/>
        </w:rPr>
      </w:pPr>
      <w:r w:rsidRPr="008A5C44">
        <w:rPr>
          <w:lang w:val="en-GB"/>
        </w:rPr>
        <w:t>In contrast, variable costs such as streaming infrastructure, customer service, and payment processing are relatively low. This allows Netflix to benefit from economies of scale, meaning the average cost per user decreases as the number of subscribers increases (Horngren et al., 2021). However, this also creates risk. If subscriber growth slows, the company may struggle to recover its high fixed costs, which was evident during periods of slower growth in 2022.</w:t>
      </w:r>
    </w:p>
    <w:p w14:paraId="6B4E12F5" w14:textId="3E81D144" w:rsidR="008A5C44" w:rsidRPr="008A5C44" w:rsidRDefault="008A5C44" w:rsidP="008A5C44">
      <w:pPr>
        <w:rPr>
          <w:lang w:val="en-GB"/>
        </w:rPr>
      </w:pPr>
      <w:r w:rsidRPr="008A5C44">
        <w:rPr>
          <w:lang w:val="en-GB"/>
        </w:rPr>
        <w:t xml:space="preserve">Netflix also applies principles similar to activity-based costing (ABC), </w:t>
      </w:r>
      <w:r>
        <w:rPr>
          <w:lang w:val="en-GB"/>
        </w:rPr>
        <w:t>in which costs are linked to specific activities,</w:t>
      </w:r>
      <w:r w:rsidRPr="008A5C44">
        <w:rPr>
          <w:lang w:val="en-GB"/>
        </w:rPr>
        <w:t xml:space="preserve"> such as producing different genres or targeting different regions. This helps the company allocate resources more efficiently and invest in content that generates higher engagement (Kaplan and Anderson, 2007). However, unlike traditional manufacturing, </w:t>
      </w:r>
      <w:r>
        <w:rPr>
          <w:lang w:val="en-GB"/>
        </w:rPr>
        <w:t>content success is highly unpredictable, limiting</w:t>
      </w:r>
      <w:r w:rsidRPr="008A5C44">
        <w:rPr>
          <w:lang w:val="en-GB"/>
        </w:rPr>
        <w:t xml:space="preserve"> the accuracy of cost allocation.</w:t>
      </w:r>
    </w:p>
    <w:p w14:paraId="2D3A1E84" w14:textId="6DE372F0" w:rsidR="008A5C44" w:rsidRPr="008A5C44" w:rsidRDefault="008A5C44" w:rsidP="008A5C44">
      <w:pPr>
        <w:rPr>
          <w:lang w:val="en-GB"/>
        </w:rPr>
      </w:pPr>
      <w:r>
        <w:rPr>
          <w:lang w:val="en-GB"/>
        </w:rPr>
        <w:t>Compared with</w:t>
      </w:r>
      <w:r w:rsidRPr="008A5C44">
        <w:rPr>
          <w:lang w:val="en-GB"/>
        </w:rPr>
        <w:t xml:space="preserve"> competitors, Netflix’s model shows both strengths and weaknesses. For example, Disney+ benefits from existing intellectual property such as Marvel and Star Wars, reducing the risk associated with content investment (Walt Disney Company, 2024). Similarly, Amazon Prime Video operates </w:t>
      </w:r>
      <w:r>
        <w:rPr>
          <w:lang w:val="en-GB"/>
        </w:rPr>
        <w:t>within</w:t>
      </w:r>
      <w:r w:rsidRPr="008A5C44">
        <w:rPr>
          <w:lang w:val="en-GB"/>
        </w:rPr>
        <w:t xml:space="preserve"> a broader ecosystem, meaning its content spending is supported by other revenue streams (Amazon, 2024). In contrast, Netflix relies almost entirely on subscription revenue, making it more exposed to cost pressures.</w:t>
      </w:r>
    </w:p>
    <w:p w14:paraId="60E2EFD8" w14:textId="40BDD988" w:rsidR="003D62D8" w:rsidRPr="003D62D8" w:rsidRDefault="008A5C44" w:rsidP="003D62D8">
      <w:pPr>
        <w:rPr>
          <w:lang w:val="en-GB"/>
        </w:rPr>
      </w:pPr>
      <w:r w:rsidRPr="008A5C44">
        <w:rPr>
          <w:lang w:val="en-GB"/>
        </w:rPr>
        <w:t>Overall, while Netflix’s cost structure supports long-term profitability through scale, it also increases financial risk. This highlights the importance of effective cost management and strategic investment decisions</w:t>
      </w:r>
      <w:r w:rsidR="00DA3FDB">
        <w:rPr>
          <w:lang w:val="en-GB"/>
        </w:rPr>
        <w:t>.</w:t>
      </w:r>
    </w:p>
    <w:p w14:paraId="7D180D1A" w14:textId="77777777" w:rsidR="003D62D8" w:rsidRPr="003D62D8" w:rsidRDefault="003D62D8" w:rsidP="00A37D64">
      <w:pPr>
        <w:pStyle w:val="Heading1"/>
      </w:pPr>
      <w:bookmarkStart w:id="3" w:name="_Toc225342381"/>
      <w:r w:rsidRPr="003D62D8">
        <w:rPr>
          <w:rFonts w:eastAsia="Times New Roman"/>
        </w:rPr>
        <w:lastRenderedPageBreak/>
        <w:t>3. Budgeting and Financial Planning</w:t>
      </w:r>
      <w:bookmarkEnd w:id="3"/>
    </w:p>
    <w:p w14:paraId="5851A77D" w14:textId="77777777" w:rsidR="007C188F" w:rsidRPr="007C188F" w:rsidRDefault="007C188F" w:rsidP="007C188F">
      <w:pPr>
        <w:rPr>
          <w:lang w:val="en-GB"/>
        </w:rPr>
      </w:pPr>
      <w:r w:rsidRPr="007C188F">
        <w:rPr>
          <w:lang w:val="en-GB"/>
        </w:rPr>
        <w:t>Budgeting plays a key role in Netflix’s financial management, particularly because of the high level of investment required for content production. The company uses budgeting to plan its spending and ensure that resources are allocated effectively across different areas such as content, marketing, and technology. Unlike traditional companies that rely on fixed annual budgets, Netflix adopts a more flexible approach, adjusting its spending based on performance and market conditions (Atrill and McLaney, 2019).</w:t>
      </w:r>
    </w:p>
    <w:p w14:paraId="1F99AE6E" w14:textId="4B80426E" w:rsidR="003D62D8" w:rsidRPr="003D62D8" w:rsidRDefault="003D62D8" w:rsidP="003D62D8">
      <w:pPr>
        <w:rPr>
          <w:lang w:val="en-GB"/>
        </w:rPr>
      </w:pPr>
    </w:p>
    <w:tbl>
      <w:tblPr>
        <w:tblW w:w="5216" w:type="dxa"/>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377"/>
        <w:gridCol w:w="1839"/>
      </w:tblGrid>
      <w:tr w:rsidR="003D62D8" w:rsidRPr="003D62D8" w14:paraId="63CD574D" w14:textId="77777777" w:rsidTr="00DA3FDB">
        <w:trPr>
          <w:trHeight w:val="442"/>
          <w:tblHeader/>
          <w:tblCellSpacing w:w="15" w:type="dxa"/>
          <w:jc w:val="center"/>
        </w:trPr>
        <w:tc>
          <w:tcPr>
            <w:tcW w:w="0" w:type="auto"/>
            <w:vAlign w:val="center"/>
            <w:hideMark/>
          </w:tcPr>
          <w:p w14:paraId="65C570C0" w14:textId="77777777" w:rsidR="003D62D8" w:rsidRPr="003D62D8" w:rsidRDefault="003D62D8" w:rsidP="00DA3FDB">
            <w:pPr>
              <w:jc w:val="center"/>
              <w:rPr>
                <w:b/>
                <w:bCs/>
                <w:sz w:val="20"/>
                <w:szCs w:val="20"/>
                <w:lang w:val="en-GB"/>
              </w:rPr>
            </w:pPr>
            <w:r w:rsidRPr="003D62D8">
              <w:rPr>
                <w:b/>
                <w:bCs/>
                <w:sz w:val="20"/>
                <w:szCs w:val="20"/>
                <w:lang w:val="en-GB"/>
              </w:rPr>
              <w:t>Expense Category</w:t>
            </w:r>
          </w:p>
        </w:tc>
        <w:tc>
          <w:tcPr>
            <w:tcW w:w="0" w:type="auto"/>
            <w:vAlign w:val="center"/>
            <w:hideMark/>
          </w:tcPr>
          <w:p w14:paraId="628357D4" w14:textId="77777777" w:rsidR="003D62D8" w:rsidRPr="003D62D8" w:rsidRDefault="003D62D8" w:rsidP="00DA3FDB">
            <w:pPr>
              <w:jc w:val="center"/>
              <w:rPr>
                <w:b/>
                <w:bCs/>
                <w:sz w:val="20"/>
                <w:szCs w:val="20"/>
                <w:lang w:val="en-GB"/>
              </w:rPr>
            </w:pPr>
            <w:r w:rsidRPr="003D62D8">
              <w:rPr>
                <w:b/>
                <w:bCs/>
                <w:sz w:val="20"/>
                <w:szCs w:val="20"/>
                <w:lang w:val="en-GB"/>
              </w:rPr>
              <w:t>Amount ($bn)</w:t>
            </w:r>
          </w:p>
        </w:tc>
      </w:tr>
      <w:tr w:rsidR="003D62D8" w:rsidRPr="003D62D8" w14:paraId="220A9491" w14:textId="77777777" w:rsidTr="00DA3FDB">
        <w:trPr>
          <w:trHeight w:val="429"/>
          <w:tblCellSpacing w:w="15" w:type="dxa"/>
          <w:jc w:val="center"/>
        </w:trPr>
        <w:tc>
          <w:tcPr>
            <w:tcW w:w="0" w:type="auto"/>
            <w:vAlign w:val="center"/>
            <w:hideMark/>
          </w:tcPr>
          <w:p w14:paraId="579B0567" w14:textId="77777777" w:rsidR="003D62D8" w:rsidRPr="003D62D8" w:rsidRDefault="003D62D8" w:rsidP="00DA3FDB">
            <w:pPr>
              <w:jc w:val="center"/>
              <w:rPr>
                <w:sz w:val="20"/>
                <w:szCs w:val="20"/>
                <w:lang w:val="en-GB"/>
              </w:rPr>
            </w:pPr>
            <w:r w:rsidRPr="003D62D8">
              <w:rPr>
                <w:sz w:val="20"/>
                <w:szCs w:val="20"/>
                <w:lang w:val="en-GB"/>
              </w:rPr>
              <w:t>Cost of Revenue (Content)</w:t>
            </w:r>
          </w:p>
        </w:tc>
        <w:tc>
          <w:tcPr>
            <w:tcW w:w="0" w:type="auto"/>
            <w:vAlign w:val="center"/>
            <w:hideMark/>
          </w:tcPr>
          <w:p w14:paraId="712B37DA" w14:textId="77777777" w:rsidR="003D62D8" w:rsidRPr="003D62D8" w:rsidRDefault="003D62D8" w:rsidP="00DA3FDB">
            <w:pPr>
              <w:jc w:val="center"/>
              <w:rPr>
                <w:sz w:val="20"/>
                <w:szCs w:val="20"/>
                <w:lang w:val="en-GB"/>
              </w:rPr>
            </w:pPr>
            <w:r w:rsidRPr="003D62D8">
              <w:rPr>
                <w:sz w:val="20"/>
                <w:szCs w:val="20"/>
                <w:lang w:val="en-GB"/>
              </w:rPr>
              <w:t>20.3</w:t>
            </w:r>
          </w:p>
        </w:tc>
      </w:tr>
      <w:tr w:rsidR="003D62D8" w:rsidRPr="003D62D8" w14:paraId="1DC8053A" w14:textId="77777777" w:rsidTr="00DA3FDB">
        <w:trPr>
          <w:trHeight w:val="429"/>
          <w:tblCellSpacing w:w="15" w:type="dxa"/>
          <w:jc w:val="center"/>
        </w:trPr>
        <w:tc>
          <w:tcPr>
            <w:tcW w:w="0" w:type="auto"/>
            <w:vAlign w:val="center"/>
            <w:hideMark/>
          </w:tcPr>
          <w:p w14:paraId="0AF24796" w14:textId="77777777" w:rsidR="003D62D8" w:rsidRPr="003D62D8" w:rsidRDefault="003D62D8" w:rsidP="00DA3FDB">
            <w:pPr>
              <w:jc w:val="center"/>
              <w:rPr>
                <w:sz w:val="20"/>
                <w:szCs w:val="20"/>
                <w:lang w:val="en-GB"/>
              </w:rPr>
            </w:pPr>
            <w:r w:rsidRPr="003D62D8">
              <w:rPr>
                <w:sz w:val="20"/>
                <w:szCs w:val="20"/>
                <w:lang w:val="en-GB"/>
              </w:rPr>
              <w:t>Marketing</w:t>
            </w:r>
          </w:p>
        </w:tc>
        <w:tc>
          <w:tcPr>
            <w:tcW w:w="0" w:type="auto"/>
            <w:vAlign w:val="center"/>
            <w:hideMark/>
          </w:tcPr>
          <w:p w14:paraId="0BB0EEDB" w14:textId="77777777" w:rsidR="003D62D8" w:rsidRPr="003D62D8" w:rsidRDefault="003D62D8" w:rsidP="00DA3FDB">
            <w:pPr>
              <w:jc w:val="center"/>
              <w:rPr>
                <w:sz w:val="20"/>
                <w:szCs w:val="20"/>
                <w:lang w:val="en-GB"/>
              </w:rPr>
            </w:pPr>
            <w:r w:rsidRPr="003D62D8">
              <w:rPr>
                <w:sz w:val="20"/>
                <w:szCs w:val="20"/>
                <w:lang w:val="en-GB"/>
              </w:rPr>
              <w:t>2.7</w:t>
            </w:r>
          </w:p>
        </w:tc>
      </w:tr>
      <w:tr w:rsidR="003D62D8" w:rsidRPr="003D62D8" w14:paraId="3C29C65A" w14:textId="77777777" w:rsidTr="00DA3FDB">
        <w:trPr>
          <w:trHeight w:val="442"/>
          <w:tblCellSpacing w:w="15" w:type="dxa"/>
          <w:jc w:val="center"/>
        </w:trPr>
        <w:tc>
          <w:tcPr>
            <w:tcW w:w="0" w:type="auto"/>
            <w:vAlign w:val="center"/>
            <w:hideMark/>
          </w:tcPr>
          <w:p w14:paraId="1D7D485B" w14:textId="77777777" w:rsidR="003D62D8" w:rsidRPr="003D62D8" w:rsidRDefault="003D62D8" w:rsidP="00DA3FDB">
            <w:pPr>
              <w:jc w:val="center"/>
              <w:rPr>
                <w:sz w:val="20"/>
                <w:szCs w:val="20"/>
                <w:lang w:val="en-GB"/>
              </w:rPr>
            </w:pPr>
            <w:r w:rsidRPr="003D62D8">
              <w:rPr>
                <w:sz w:val="20"/>
                <w:szCs w:val="20"/>
                <w:lang w:val="en-GB"/>
              </w:rPr>
              <w:t>Technology &amp; Development</w:t>
            </w:r>
          </w:p>
        </w:tc>
        <w:tc>
          <w:tcPr>
            <w:tcW w:w="0" w:type="auto"/>
            <w:vAlign w:val="center"/>
            <w:hideMark/>
          </w:tcPr>
          <w:p w14:paraId="6A4D8D11" w14:textId="77777777" w:rsidR="003D62D8" w:rsidRPr="003D62D8" w:rsidRDefault="003D62D8" w:rsidP="00DA3FDB">
            <w:pPr>
              <w:jc w:val="center"/>
              <w:rPr>
                <w:sz w:val="20"/>
                <w:szCs w:val="20"/>
                <w:lang w:val="en-GB"/>
              </w:rPr>
            </w:pPr>
            <w:r w:rsidRPr="003D62D8">
              <w:rPr>
                <w:sz w:val="20"/>
                <w:szCs w:val="20"/>
                <w:lang w:val="en-GB"/>
              </w:rPr>
              <w:t>2.5</w:t>
            </w:r>
          </w:p>
        </w:tc>
      </w:tr>
      <w:tr w:rsidR="003D62D8" w:rsidRPr="003D62D8" w14:paraId="0B04F122" w14:textId="77777777" w:rsidTr="00DA3FDB">
        <w:trPr>
          <w:trHeight w:val="442"/>
          <w:tblCellSpacing w:w="15" w:type="dxa"/>
          <w:jc w:val="center"/>
        </w:trPr>
        <w:tc>
          <w:tcPr>
            <w:tcW w:w="0" w:type="auto"/>
            <w:vAlign w:val="center"/>
            <w:hideMark/>
          </w:tcPr>
          <w:p w14:paraId="29AB4A3B" w14:textId="77777777" w:rsidR="003D62D8" w:rsidRPr="003D62D8" w:rsidRDefault="003D62D8" w:rsidP="00DA3FDB">
            <w:pPr>
              <w:jc w:val="center"/>
              <w:rPr>
                <w:sz w:val="20"/>
                <w:szCs w:val="20"/>
                <w:lang w:val="en-GB"/>
              </w:rPr>
            </w:pPr>
            <w:r w:rsidRPr="003D62D8">
              <w:rPr>
                <w:sz w:val="20"/>
                <w:szCs w:val="20"/>
                <w:lang w:val="en-GB"/>
              </w:rPr>
              <w:t>General &amp; Admin</w:t>
            </w:r>
          </w:p>
        </w:tc>
        <w:tc>
          <w:tcPr>
            <w:tcW w:w="0" w:type="auto"/>
            <w:vAlign w:val="center"/>
            <w:hideMark/>
          </w:tcPr>
          <w:p w14:paraId="2B4B839D" w14:textId="77777777" w:rsidR="003D62D8" w:rsidRPr="003D62D8" w:rsidRDefault="003D62D8" w:rsidP="00DA3FDB">
            <w:pPr>
              <w:jc w:val="center"/>
              <w:rPr>
                <w:sz w:val="20"/>
                <w:szCs w:val="20"/>
                <w:lang w:val="en-GB"/>
              </w:rPr>
            </w:pPr>
            <w:r w:rsidRPr="003D62D8">
              <w:rPr>
                <w:sz w:val="20"/>
                <w:szCs w:val="20"/>
                <w:lang w:val="en-GB"/>
              </w:rPr>
              <w:t>1.6</w:t>
            </w:r>
          </w:p>
        </w:tc>
      </w:tr>
    </w:tbl>
    <w:p w14:paraId="2AA5DCE2" w14:textId="77777777" w:rsidR="00DA3FDB" w:rsidRDefault="00DA3FDB" w:rsidP="003D62D8">
      <w:pPr>
        <w:rPr>
          <w:lang w:val="en-GB"/>
        </w:rPr>
      </w:pPr>
    </w:p>
    <w:p w14:paraId="57A369AF" w14:textId="52308687" w:rsidR="003D62D8" w:rsidRPr="003D62D8" w:rsidRDefault="00DA3FDB" w:rsidP="00DA3FDB">
      <w:pPr>
        <w:jc w:val="center"/>
        <w:rPr>
          <w:sz w:val="20"/>
          <w:szCs w:val="20"/>
          <w:lang w:val="en-GB"/>
        </w:rPr>
      </w:pPr>
      <w:r w:rsidRPr="003D62D8">
        <w:rPr>
          <w:sz w:val="20"/>
          <w:szCs w:val="20"/>
          <w:lang w:val="en-GB"/>
        </w:rPr>
        <w:t>Table 2: Operating Expenses Breakdown (2023)</w:t>
      </w:r>
      <w:r w:rsidRPr="00DA3FDB">
        <w:rPr>
          <w:sz w:val="20"/>
          <w:szCs w:val="20"/>
          <w:lang w:val="en-GB"/>
        </w:rPr>
        <w:t xml:space="preserve"> - </w:t>
      </w:r>
      <w:r w:rsidR="003D62D8" w:rsidRPr="003D62D8">
        <w:rPr>
          <w:sz w:val="20"/>
          <w:szCs w:val="20"/>
          <w:lang w:val="en-GB"/>
        </w:rPr>
        <w:t>Netflix Annual Report, 2024</w:t>
      </w:r>
    </w:p>
    <w:p w14:paraId="13B8E0BB" w14:textId="78642745" w:rsidR="003D62D8" w:rsidRPr="003D62D8" w:rsidRDefault="003D62D8" w:rsidP="003D62D8">
      <w:pPr>
        <w:rPr>
          <w:lang w:val="en-GB"/>
        </w:rPr>
      </w:pPr>
      <w:r w:rsidRPr="003D62D8">
        <w:rPr>
          <w:lang w:val="en-GB"/>
        </w:rPr>
        <w:t>The table shows that content costs dominate Netflix’s expenses. This reflects a strategic decision to invest in original programming to attract subscribers.</w:t>
      </w:r>
      <w:r w:rsidR="007C188F">
        <w:rPr>
          <w:lang w:val="en-GB"/>
        </w:rPr>
        <w:t xml:space="preserve"> </w:t>
      </w:r>
      <w:r w:rsidRPr="003D62D8">
        <w:rPr>
          <w:lang w:val="en-GB"/>
        </w:rPr>
        <w:t xml:space="preserve">From a critical </w:t>
      </w:r>
      <w:r w:rsidR="00A37D64">
        <w:rPr>
          <w:lang w:val="en-GB"/>
        </w:rPr>
        <w:t>perspective</w:t>
      </w:r>
      <w:r w:rsidRPr="003D62D8">
        <w:rPr>
          <w:lang w:val="en-GB"/>
        </w:rPr>
        <w:t>, this strategy is both a strength and a weakness. On one hand, original content helps Netflix differentiate itself from competitors. On the other hand, it increases financial pressure because success is not guaranteed. This creates a budgeting challenge, as managers must decide how much to invest without knowing the exact return.</w:t>
      </w:r>
    </w:p>
    <w:p w14:paraId="2A024FC9" w14:textId="11896DBE" w:rsidR="007C188F" w:rsidRPr="007C188F" w:rsidRDefault="007C188F" w:rsidP="007C188F">
      <w:pPr>
        <w:rPr>
          <w:lang w:val="en-GB"/>
        </w:rPr>
      </w:pPr>
      <w:r w:rsidRPr="007C188F">
        <w:rPr>
          <w:lang w:val="en-GB"/>
        </w:rPr>
        <w:t>Netflix’s financial data shows that content-related costs are its largest expense. In 2023, the company reported over $20 billion in cost of revenue, mainly driven by content production and licensing (Netflix, 2024). This reflects a strategic decision to prioritise original content to attract and retain subscribers. However, this also creates budgeting challenges, as the return on content investment is highly uncertain.</w:t>
      </w:r>
    </w:p>
    <w:p w14:paraId="35BB96BB" w14:textId="7D0A828E" w:rsidR="007C188F" w:rsidRPr="007C188F" w:rsidRDefault="007C188F" w:rsidP="007C188F">
      <w:pPr>
        <w:rPr>
          <w:lang w:val="en-GB"/>
        </w:rPr>
      </w:pPr>
      <w:r w:rsidRPr="007C188F">
        <w:rPr>
          <w:lang w:val="en-GB"/>
        </w:rPr>
        <w:t xml:space="preserve">One key management accounting tool used in this context is variance analysis, which involves comparing actual results with budgeted figures (Drury, 2018). For example, if production costs exceed the planned budget, managers can investigate the reasons, </w:t>
      </w:r>
      <w:r w:rsidRPr="007C188F">
        <w:rPr>
          <w:lang w:val="en-GB"/>
        </w:rPr>
        <w:lastRenderedPageBreak/>
        <w:t xml:space="preserve">such as delays or increased labour costs, and </w:t>
      </w:r>
      <w:r>
        <w:rPr>
          <w:lang w:val="en-GB"/>
        </w:rPr>
        <w:t>adjust future budgets accordingly</w:t>
      </w:r>
      <w:r w:rsidRPr="007C188F">
        <w:rPr>
          <w:lang w:val="en-GB"/>
        </w:rPr>
        <w:t>. This helps improve cost control and supports better decision-making.</w:t>
      </w:r>
    </w:p>
    <w:p w14:paraId="78924D0F" w14:textId="65A87224" w:rsidR="007C188F" w:rsidRPr="007C188F" w:rsidRDefault="007C188F" w:rsidP="007C188F">
      <w:pPr>
        <w:rPr>
          <w:lang w:val="en-GB"/>
        </w:rPr>
      </w:pPr>
      <w:r w:rsidRPr="007C188F">
        <w:rPr>
          <w:lang w:val="en-GB"/>
        </w:rPr>
        <w:t xml:space="preserve">However, from a critical perspective, </w:t>
      </w:r>
      <w:r>
        <w:rPr>
          <w:lang w:val="en-GB"/>
        </w:rPr>
        <w:t>Netflix's budgeting</w:t>
      </w:r>
      <w:r w:rsidRPr="007C188F">
        <w:rPr>
          <w:lang w:val="en-GB"/>
        </w:rPr>
        <w:t xml:space="preserve"> is complicated by external factors. Inflation has increased production costs, while competition from platforms such as Disney+ and Amazon Prime Video has forced Netflix to continue investing heavily in content (Walt Disney Company, 2024; Amazon, 2024). This reduces the company’s flexibility, as cutting costs too much could negatively affect content quality and subscriber growth.</w:t>
      </w:r>
    </w:p>
    <w:p w14:paraId="1FA34372" w14:textId="77777777" w:rsidR="007C188F" w:rsidRPr="007C188F" w:rsidRDefault="007C188F" w:rsidP="007C188F">
      <w:pPr>
        <w:rPr>
          <w:lang w:val="en-GB"/>
        </w:rPr>
      </w:pPr>
      <w:r w:rsidRPr="007C188F">
        <w:rPr>
          <w:lang w:val="en-GB"/>
        </w:rPr>
        <w:t>Netflix also uses rolling forecasts, which are updated regularly rather than relying on a fixed annual plan. This approach allows the company to respond quickly to changes in subscriber growth or market conditions (Bhimani et al., 2019). For example, when subscriber growth slowed in 2022, Netflix adjusted its strategy by introducing a lower-priced, ad-supported subscription plan. This shows how budgeting is linked to strategic decision-making.</w:t>
      </w:r>
    </w:p>
    <w:p w14:paraId="555F1DCA" w14:textId="77777777" w:rsidR="007C188F" w:rsidRPr="007C188F" w:rsidRDefault="007C188F" w:rsidP="007C188F">
      <w:pPr>
        <w:rPr>
          <w:lang w:val="en-GB"/>
        </w:rPr>
      </w:pPr>
      <w:r w:rsidRPr="007C188F">
        <w:rPr>
          <w:lang w:val="en-GB"/>
        </w:rPr>
        <w:t>Despite these strengths, there are limitations. Forecasting in the entertainment industry is highly uncertain, as it is difficult to predict which content will succeed. This means budgets may not always be accurate, leading to inefficiencies. In comparison, competitors such as Amazon have more diversified revenue streams, which reduces the risk associated with budgeting decisions.</w:t>
      </w:r>
    </w:p>
    <w:p w14:paraId="4AC9AF38" w14:textId="6863AAB7" w:rsidR="003D62D8" w:rsidRPr="003D62D8" w:rsidRDefault="007C188F" w:rsidP="003D62D8">
      <w:pPr>
        <w:rPr>
          <w:lang w:val="en-GB"/>
        </w:rPr>
      </w:pPr>
      <w:r w:rsidRPr="007C188F">
        <w:rPr>
          <w:lang w:val="en-GB"/>
        </w:rPr>
        <w:t>Overall, while Netflix uses advanced budgeting techniques, the effectiveness of these tools is limited by uncertainty and external pressures. This highlights the need for continuous adaptation in financial planning.</w:t>
      </w:r>
    </w:p>
    <w:p w14:paraId="3653D7B4" w14:textId="77777777" w:rsidR="003D62D8" w:rsidRPr="003D62D8" w:rsidRDefault="003D62D8" w:rsidP="00A37D64">
      <w:pPr>
        <w:pStyle w:val="Heading1"/>
      </w:pPr>
      <w:bookmarkStart w:id="4" w:name="_Toc225342382"/>
      <w:r w:rsidRPr="003D62D8">
        <w:rPr>
          <w:rFonts w:eastAsia="Times New Roman"/>
        </w:rPr>
        <w:t>4. Performance Measurement and Decision-Making</w:t>
      </w:r>
      <w:bookmarkEnd w:id="4"/>
    </w:p>
    <w:p w14:paraId="4986DE7F" w14:textId="28C25C2F" w:rsidR="003D62D8" w:rsidRPr="003D62D8" w:rsidRDefault="003D62D8" w:rsidP="003D62D8">
      <w:pPr>
        <w:rPr>
          <w:lang w:val="en-GB"/>
        </w:rPr>
      </w:pPr>
      <w:r w:rsidRPr="003D62D8">
        <w:rPr>
          <w:lang w:val="en-GB"/>
        </w:rPr>
        <w:t>Netflix uses a combination of financial and non-financial KPIs to evaluate performance.</w:t>
      </w:r>
    </w:p>
    <w:p w14:paraId="5078294B" w14:textId="77777777" w:rsidR="007C188F" w:rsidRDefault="007C188F" w:rsidP="003D62D8">
      <w:pPr>
        <w:rPr>
          <w:lang w:val="en-GB"/>
        </w:rPr>
      </w:pPr>
    </w:p>
    <w:p w14:paraId="008FF869" w14:textId="77777777" w:rsidR="007C188F" w:rsidRDefault="007C188F" w:rsidP="003D62D8">
      <w:pPr>
        <w:rPr>
          <w:lang w:val="en-GB"/>
        </w:rPr>
      </w:pPr>
    </w:p>
    <w:p w14:paraId="6DA2DC13" w14:textId="77777777" w:rsidR="007C188F" w:rsidRDefault="007C188F" w:rsidP="003D62D8">
      <w:pPr>
        <w:rPr>
          <w:lang w:val="en-GB"/>
        </w:rPr>
      </w:pPr>
    </w:p>
    <w:p w14:paraId="3B9BF94A" w14:textId="77777777" w:rsidR="007C188F" w:rsidRDefault="007C188F" w:rsidP="003D62D8">
      <w:pPr>
        <w:rPr>
          <w:lang w:val="en-GB"/>
        </w:rPr>
      </w:pPr>
    </w:p>
    <w:p w14:paraId="56127A43" w14:textId="6CEB5820" w:rsidR="003D62D8" w:rsidRPr="003D62D8" w:rsidRDefault="003D62D8" w:rsidP="003D62D8">
      <w:pPr>
        <w:rPr>
          <w:lang w:val="en-GB"/>
        </w:rPr>
      </w:pPr>
    </w:p>
    <w:tbl>
      <w:tblPr>
        <w:tblW w:w="5495" w:type="dxa"/>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193"/>
        <w:gridCol w:w="2302"/>
      </w:tblGrid>
      <w:tr w:rsidR="003D62D8" w:rsidRPr="003D62D8" w14:paraId="6E45DE60" w14:textId="77777777" w:rsidTr="0037730E">
        <w:trPr>
          <w:trHeight w:val="450"/>
          <w:tblHeader/>
          <w:tblCellSpacing w:w="15" w:type="dxa"/>
          <w:jc w:val="center"/>
        </w:trPr>
        <w:tc>
          <w:tcPr>
            <w:tcW w:w="0" w:type="auto"/>
            <w:vAlign w:val="center"/>
            <w:hideMark/>
          </w:tcPr>
          <w:p w14:paraId="1DE94B29" w14:textId="77777777" w:rsidR="003D62D8" w:rsidRPr="003D62D8" w:rsidRDefault="003D62D8" w:rsidP="0037730E">
            <w:pPr>
              <w:jc w:val="center"/>
              <w:rPr>
                <w:b/>
                <w:bCs/>
                <w:sz w:val="20"/>
                <w:szCs w:val="20"/>
                <w:lang w:val="en-GB"/>
              </w:rPr>
            </w:pPr>
            <w:r w:rsidRPr="003D62D8">
              <w:rPr>
                <w:b/>
                <w:bCs/>
                <w:sz w:val="20"/>
                <w:szCs w:val="20"/>
                <w:lang w:val="en-GB"/>
              </w:rPr>
              <w:lastRenderedPageBreak/>
              <w:t>KPI</w:t>
            </w:r>
          </w:p>
        </w:tc>
        <w:tc>
          <w:tcPr>
            <w:tcW w:w="0" w:type="auto"/>
            <w:vAlign w:val="center"/>
            <w:hideMark/>
          </w:tcPr>
          <w:p w14:paraId="19F5302D" w14:textId="77777777" w:rsidR="003D62D8" w:rsidRPr="003D62D8" w:rsidRDefault="003D62D8" w:rsidP="0037730E">
            <w:pPr>
              <w:jc w:val="center"/>
              <w:rPr>
                <w:b/>
                <w:bCs/>
                <w:sz w:val="20"/>
                <w:szCs w:val="20"/>
                <w:lang w:val="en-GB"/>
              </w:rPr>
            </w:pPr>
            <w:r w:rsidRPr="003D62D8">
              <w:rPr>
                <w:b/>
                <w:bCs/>
                <w:sz w:val="20"/>
                <w:szCs w:val="20"/>
                <w:lang w:val="en-GB"/>
              </w:rPr>
              <w:t>Value (2023–2024)</w:t>
            </w:r>
          </w:p>
        </w:tc>
      </w:tr>
      <w:tr w:rsidR="003D62D8" w:rsidRPr="003D62D8" w14:paraId="032A1366" w14:textId="77777777" w:rsidTr="0037730E">
        <w:trPr>
          <w:trHeight w:val="450"/>
          <w:tblCellSpacing w:w="15" w:type="dxa"/>
          <w:jc w:val="center"/>
        </w:trPr>
        <w:tc>
          <w:tcPr>
            <w:tcW w:w="0" w:type="auto"/>
            <w:vAlign w:val="center"/>
            <w:hideMark/>
          </w:tcPr>
          <w:p w14:paraId="0970F347" w14:textId="77777777" w:rsidR="003D62D8" w:rsidRPr="003D62D8" w:rsidRDefault="003D62D8" w:rsidP="0037730E">
            <w:pPr>
              <w:jc w:val="center"/>
              <w:rPr>
                <w:sz w:val="20"/>
                <w:szCs w:val="20"/>
                <w:lang w:val="en-GB"/>
              </w:rPr>
            </w:pPr>
            <w:r w:rsidRPr="003D62D8">
              <w:rPr>
                <w:sz w:val="20"/>
                <w:szCs w:val="20"/>
                <w:lang w:val="en-GB"/>
              </w:rPr>
              <w:t>Subscribers</w:t>
            </w:r>
          </w:p>
        </w:tc>
        <w:tc>
          <w:tcPr>
            <w:tcW w:w="0" w:type="auto"/>
            <w:vAlign w:val="center"/>
            <w:hideMark/>
          </w:tcPr>
          <w:p w14:paraId="4D319B92" w14:textId="77777777" w:rsidR="003D62D8" w:rsidRPr="003D62D8" w:rsidRDefault="003D62D8" w:rsidP="0037730E">
            <w:pPr>
              <w:jc w:val="center"/>
              <w:rPr>
                <w:sz w:val="20"/>
                <w:szCs w:val="20"/>
                <w:lang w:val="en-GB"/>
              </w:rPr>
            </w:pPr>
            <w:r w:rsidRPr="003D62D8">
              <w:rPr>
                <w:sz w:val="20"/>
                <w:szCs w:val="20"/>
                <w:lang w:val="en-GB"/>
              </w:rPr>
              <w:t>~260 million</w:t>
            </w:r>
          </w:p>
        </w:tc>
      </w:tr>
      <w:tr w:rsidR="003D62D8" w:rsidRPr="003D62D8" w14:paraId="110615BF" w14:textId="77777777" w:rsidTr="0037730E">
        <w:trPr>
          <w:trHeight w:val="450"/>
          <w:tblCellSpacing w:w="15" w:type="dxa"/>
          <w:jc w:val="center"/>
        </w:trPr>
        <w:tc>
          <w:tcPr>
            <w:tcW w:w="0" w:type="auto"/>
            <w:vAlign w:val="center"/>
            <w:hideMark/>
          </w:tcPr>
          <w:p w14:paraId="0036DDFD" w14:textId="77777777" w:rsidR="003D62D8" w:rsidRPr="003D62D8" w:rsidRDefault="003D62D8" w:rsidP="0037730E">
            <w:pPr>
              <w:jc w:val="center"/>
              <w:rPr>
                <w:sz w:val="20"/>
                <w:szCs w:val="20"/>
                <w:lang w:val="en-GB"/>
              </w:rPr>
            </w:pPr>
            <w:r w:rsidRPr="003D62D8">
              <w:rPr>
                <w:sz w:val="20"/>
                <w:szCs w:val="20"/>
                <w:lang w:val="en-GB"/>
              </w:rPr>
              <w:t>Revenue Growth</w:t>
            </w:r>
          </w:p>
        </w:tc>
        <w:tc>
          <w:tcPr>
            <w:tcW w:w="0" w:type="auto"/>
            <w:vAlign w:val="center"/>
            <w:hideMark/>
          </w:tcPr>
          <w:p w14:paraId="53EEF3A6" w14:textId="77777777" w:rsidR="003D62D8" w:rsidRPr="003D62D8" w:rsidRDefault="003D62D8" w:rsidP="0037730E">
            <w:pPr>
              <w:jc w:val="center"/>
              <w:rPr>
                <w:sz w:val="20"/>
                <w:szCs w:val="20"/>
                <w:lang w:val="en-GB"/>
              </w:rPr>
            </w:pPr>
            <w:r w:rsidRPr="003D62D8">
              <w:rPr>
                <w:sz w:val="20"/>
                <w:szCs w:val="20"/>
                <w:lang w:val="en-GB"/>
              </w:rPr>
              <w:t>~6–7%</w:t>
            </w:r>
          </w:p>
        </w:tc>
      </w:tr>
      <w:tr w:rsidR="003D62D8" w:rsidRPr="003D62D8" w14:paraId="0E25C6CB" w14:textId="77777777" w:rsidTr="0037730E">
        <w:trPr>
          <w:trHeight w:val="450"/>
          <w:tblCellSpacing w:w="15" w:type="dxa"/>
          <w:jc w:val="center"/>
        </w:trPr>
        <w:tc>
          <w:tcPr>
            <w:tcW w:w="0" w:type="auto"/>
            <w:vAlign w:val="center"/>
            <w:hideMark/>
          </w:tcPr>
          <w:p w14:paraId="317CFFED" w14:textId="77777777" w:rsidR="003D62D8" w:rsidRPr="003D62D8" w:rsidRDefault="003D62D8" w:rsidP="0037730E">
            <w:pPr>
              <w:jc w:val="center"/>
              <w:rPr>
                <w:sz w:val="20"/>
                <w:szCs w:val="20"/>
                <w:lang w:val="en-GB"/>
              </w:rPr>
            </w:pPr>
            <w:r w:rsidRPr="003D62D8">
              <w:rPr>
                <w:sz w:val="20"/>
                <w:szCs w:val="20"/>
                <w:lang w:val="en-GB"/>
              </w:rPr>
              <w:t>Operating Margin</w:t>
            </w:r>
          </w:p>
        </w:tc>
        <w:tc>
          <w:tcPr>
            <w:tcW w:w="0" w:type="auto"/>
            <w:vAlign w:val="center"/>
            <w:hideMark/>
          </w:tcPr>
          <w:p w14:paraId="23730223" w14:textId="77777777" w:rsidR="003D62D8" w:rsidRPr="003D62D8" w:rsidRDefault="003D62D8" w:rsidP="0037730E">
            <w:pPr>
              <w:jc w:val="center"/>
              <w:rPr>
                <w:sz w:val="20"/>
                <w:szCs w:val="20"/>
                <w:lang w:val="en-GB"/>
              </w:rPr>
            </w:pPr>
            <w:r w:rsidRPr="003D62D8">
              <w:rPr>
                <w:sz w:val="20"/>
                <w:szCs w:val="20"/>
                <w:lang w:val="en-GB"/>
              </w:rPr>
              <w:t>~20%</w:t>
            </w:r>
          </w:p>
        </w:tc>
      </w:tr>
      <w:tr w:rsidR="003D62D8" w:rsidRPr="003D62D8" w14:paraId="56A6188A" w14:textId="77777777" w:rsidTr="0037730E">
        <w:trPr>
          <w:trHeight w:val="450"/>
          <w:tblCellSpacing w:w="15" w:type="dxa"/>
          <w:jc w:val="center"/>
        </w:trPr>
        <w:tc>
          <w:tcPr>
            <w:tcW w:w="0" w:type="auto"/>
            <w:vAlign w:val="center"/>
            <w:hideMark/>
          </w:tcPr>
          <w:p w14:paraId="5A481790" w14:textId="77777777" w:rsidR="003D62D8" w:rsidRPr="003D62D8" w:rsidRDefault="003D62D8" w:rsidP="0037730E">
            <w:pPr>
              <w:jc w:val="center"/>
              <w:rPr>
                <w:sz w:val="20"/>
                <w:szCs w:val="20"/>
                <w:lang w:val="en-GB"/>
              </w:rPr>
            </w:pPr>
            <w:r w:rsidRPr="003D62D8">
              <w:rPr>
                <w:sz w:val="20"/>
                <w:szCs w:val="20"/>
                <w:lang w:val="en-GB"/>
              </w:rPr>
              <w:t>Average Revenue per User</w:t>
            </w:r>
          </w:p>
        </w:tc>
        <w:tc>
          <w:tcPr>
            <w:tcW w:w="0" w:type="auto"/>
            <w:vAlign w:val="center"/>
            <w:hideMark/>
          </w:tcPr>
          <w:p w14:paraId="1ABCC389" w14:textId="77777777" w:rsidR="003D62D8" w:rsidRPr="003D62D8" w:rsidRDefault="003D62D8" w:rsidP="0037730E">
            <w:pPr>
              <w:jc w:val="center"/>
              <w:rPr>
                <w:sz w:val="20"/>
                <w:szCs w:val="20"/>
                <w:lang w:val="en-GB"/>
              </w:rPr>
            </w:pPr>
            <w:r w:rsidRPr="003D62D8">
              <w:rPr>
                <w:sz w:val="20"/>
                <w:szCs w:val="20"/>
                <w:lang w:val="en-GB"/>
              </w:rPr>
              <w:t>Increasing trend</w:t>
            </w:r>
          </w:p>
        </w:tc>
      </w:tr>
      <w:tr w:rsidR="003D62D8" w:rsidRPr="003D62D8" w14:paraId="58A41FDD" w14:textId="77777777" w:rsidTr="0037730E">
        <w:trPr>
          <w:trHeight w:val="463"/>
          <w:tblCellSpacing w:w="15" w:type="dxa"/>
          <w:jc w:val="center"/>
        </w:trPr>
        <w:tc>
          <w:tcPr>
            <w:tcW w:w="0" w:type="auto"/>
            <w:vAlign w:val="center"/>
            <w:hideMark/>
          </w:tcPr>
          <w:p w14:paraId="3D0841B2" w14:textId="77777777" w:rsidR="003D62D8" w:rsidRPr="003D62D8" w:rsidRDefault="003D62D8" w:rsidP="0037730E">
            <w:pPr>
              <w:jc w:val="center"/>
              <w:rPr>
                <w:sz w:val="20"/>
                <w:szCs w:val="20"/>
                <w:lang w:val="en-GB"/>
              </w:rPr>
            </w:pPr>
            <w:r w:rsidRPr="003D62D8">
              <w:rPr>
                <w:sz w:val="20"/>
                <w:szCs w:val="20"/>
                <w:lang w:val="en-GB"/>
              </w:rPr>
              <w:t>Churn Rate</w:t>
            </w:r>
          </w:p>
        </w:tc>
        <w:tc>
          <w:tcPr>
            <w:tcW w:w="0" w:type="auto"/>
            <w:vAlign w:val="center"/>
            <w:hideMark/>
          </w:tcPr>
          <w:p w14:paraId="00CD2229" w14:textId="77777777" w:rsidR="003D62D8" w:rsidRPr="003D62D8" w:rsidRDefault="003D62D8" w:rsidP="0037730E">
            <w:pPr>
              <w:jc w:val="center"/>
              <w:rPr>
                <w:sz w:val="20"/>
                <w:szCs w:val="20"/>
                <w:lang w:val="en-GB"/>
              </w:rPr>
            </w:pPr>
            <w:r w:rsidRPr="003D62D8">
              <w:rPr>
                <w:sz w:val="20"/>
                <w:szCs w:val="20"/>
                <w:lang w:val="en-GB"/>
              </w:rPr>
              <w:t>Relatively low</w:t>
            </w:r>
          </w:p>
        </w:tc>
      </w:tr>
    </w:tbl>
    <w:p w14:paraId="5CA730EB" w14:textId="77777777" w:rsidR="0037730E" w:rsidRDefault="0037730E" w:rsidP="0037730E">
      <w:pPr>
        <w:jc w:val="center"/>
        <w:rPr>
          <w:sz w:val="20"/>
          <w:szCs w:val="20"/>
          <w:lang w:val="en-GB"/>
        </w:rPr>
      </w:pPr>
    </w:p>
    <w:p w14:paraId="2B673821" w14:textId="1871BAFE" w:rsidR="003D62D8" w:rsidRPr="003D62D8" w:rsidRDefault="0037730E" w:rsidP="0037730E">
      <w:pPr>
        <w:jc w:val="center"/>
        <w:rPr>
          <w:sz w:val="20"/>
          <w:szCs w:val="20"/>
          <w:lang w:val="en-GB"/>
        </w:rPr>
      </w:pPr>
      <w:r w:rsidRPr="003D62D8">
        <w:rPr>
          <w:sz w:val="20"/>
          <w:szCs w:val="20"/>
          <w:lang w:val="en-GB"/>
        </w:rPr>
        <w:t>Table 3: Key Performance Indicators</w:t>
      </w:r>
      <w:r>
        <w:rPr>
          <w:sz w:val="20"/>
          <w:szCs w:val="20"/>
          <w:lang w:val="en-GB"/>
        </w:rPr>
        <w:t xml:space="preserve"> - </w:t>
      </w:r>
      <w:r w:rsidR="003D62D8" w:rsidRPr="003D62D8">
        <w:rPr>
          <w:sz w:val="20"/>
          <w:szCs w:val="20"/>
          <w:lang w:val="en-GB"/>
        </w:rPr>
        <w:t>Source: Netflix, 2024</w:t>
      </w:r>
    </w:p>
    <w:p w14:paraId="47A11858" w14:textId="77777777" w:rsidR="0037730E" w:rsidRDefault="0037730E" w:rsidP="003D62D8">
      <w:pPr>
        <w:rPr>
          <w:lang w:val="en-GB"/>
        </w:rPr>
      </w:pPr>
    </w:p>
    <w:p w14:paraId="31E11CEF" w14:textId="4CCF4BF0" w:rsidR="003D62D8" w:rsidRPr="003D62D8" w:rsidRDefault="003D62D8" w:rsidP="003D62D8">
      <w:pPr>
        <w:rPr>
          <w:lang w:val="en-GB"/>
        </w:rPr>
      </w:pPr>
      <w:r w:rsidRPr="003D62D8">
        <w:rPr>
          <w:lang w:val="en-GB"/>
        </w:rPr>
        <w:t>These KPIs play a key role in decision-making. For example, subscriber growth is directly linked to revenue, while operating margin reflects cost control.</w:t>
      </w:r>
    </w:p>
    <w:p w14:paraId="29AFA569" w14:textId="1FCCDB00" w:rsidR="0037730E" w:rsidRPr="0037730E" w:rsidRDefault="0037730E" w:rsidP="0037730E">
      <w:pPr>
        <w:rPr>
          <w:lang w:val="en-GB"/>
        </w:rPr>
      </w:pPr>
      <w:r w:rsidRPr="0037730E">
        <w:rPr>
          <w:lang w:val="en-GB"/>
        </w:rPr>
        <w:t xml:space="preserve">Performance measurement is essential for Netflix, as it allows the company to evaluate its success and guide strategic decisions. Netflix uses a combination of financial and non-financial key performance indicators (KPIs), </w:t>
      </w:r>
      <w:r>
        <w:rPr>
          <w:lang w:val="en-GB"/>
        </w:rPr>
        <w:t xml:space="preserve">consistent with management accounting approaches such as the balanced scorecard, which considers both financial results and operational performance </w:t>
      </w:r>
      <w:r w:rsidRPr="0037730E">
        <w:rPr>
          <w:lang w:val="en-GB"/>
        </w:rPr>
        <w:t>(Kaplan and Norton, 1996).</w:t>
      </w:r>
    </w:p>
    <w:p w14:paraId="52696E2E" w14:textId="77777777" w:rsidR="0037730E" w:rsidRPr="0037730E" w:rsidRDefault="0037730E" w:rsidP="0037730E">
      <w:pPr>
        <w:rPr>
          <w:lang w:val="en-GB"/>
        </w:rPr>
      </w:pPr>
      <w:r w:rsidRPr="0037730E">
        <w:rPr>
          <w:lang w:val="en-GB"/>
        </w:rPr>
        <w:t>One of the main financial KPIs is revenue growth, which reached approximately $33.7 billion in 2023 (Netflix, 2024). This shows that the company is continuing to expand despite increased competition. Another important measure is operating margin, which is around 20%, indicating relatively strong cost control compared to earlier years. However, this improvement is partly due to tighter spending rather than rapid growth, which may raise concerns about long-term sustainability.</w:t>
      </w:r>
    </w:p>
    <w:p w14:paraId="31B4CE07" w14:textId="77777777" w:rsidR="0037730E" w:rsidRPr="0037730E" w:rsidRDefault="0037730E" w:rsidP="0037730E">
      <w:pPr>
        <w:rPr>
          <w:lang w:val="en-GB"/>
        </w:rPr>
      </w:pPr>
      <w:r w:rsidRPr="0037730E">
        <w:rPr>
          <w:lang w:val="en-GB"/>
        </w:rPr>
        <w:t>Non-financial KPIs are equally important. Subscriber numbers remain a key measure, with Netflix reporting over 260 million users globally (Netflix, 2024). This reflects the company’s ability to attract and retain customers. In addition, Netflix closely monitors content engagement, using data analytics to track what users watch and for how long. This allows the company to make more informed decisions about future content investment.</w:t>
      </w:r>
    </w:p>
    <w:p w14:paraId="0050AAEE" w14:textId="77777777" w:rsidR="0037730E" w:rsidRPr="0037730E" w:rsidRDefault="0037730E" w:rsidP="0037730E">
      <w:pPr>
        <w:rPr>
          <w:lang w:val="en-GB"/>
        </w:rPr>
      </w:pPr>
      <w:r w:rsidRPr="0037730E">
        <w:rPr>
          <w:lang w:val="en-GB"/>
        </w:rPr>
        <w:t xml:space="preserve">From a management accounting perspective, these KPIs support decision-making by linking performance to strategy. For example, when subscriber growth slowed in 2022, </w:t>
      </w:r>
      <w:r w:rsidRPr="0037730E">
        <w:rPr>
          <w:lang w:val="en-GB"/>
        </w:rPr>
        <w:lastRenderedPageBreak/>
        <w:t>Netflix introduced an ad-supported subscription plan and cracked down on password sharing. These decisions were based on performance data and aimed at increasing revenue and improving profitability.</w:t>
      </w:r>
    </w:p>
    <w:p w14:paraId="31BA0B68" w14:textId="77777777" w:rsidR="0037730E" w:rsidRPr="0037730E" w:rsidRDefault="0037730E" w:rsidP="0037730E">
      <w:pPr>
        <w:rPr>
          <w:lang w:val="en-GB"/>
        </w:rPr>
      </w:pPr>
      <w:r w:rsidRPr="0037730E">
        <w:rPr>
          <w:lang w:val="en-GB"/>
        </w:rPr>
        <w:t>However, there are limitations to this approach. While data-driven decision-making improves efficiency, it may reduce creativity. Over-reliance on algorithms could lead to repetitive content, which may weaken Netflix’s competitive position in the long term (Smith, 2021). In contrast, competitors such as Disney+ rely more on established franchises, which reduces uncertainty in performance measurement (Walt Disney Company, 2024).</w:t>
      </w:r>
    </w:p>
    <w:p w14:paraId="49546F4C" w14:textId="77777777" w:rsidR="0037730E" w:rsidRPr="0037730E" w:rsidRDefault="0037730E" w:rsidP="0037730E">
      <w:pPr>
        <w:rPr>
          <w:lang w:val="en-GB"/>
        </w:rPr>
      </w:pPr>
      <w:r w:rsidRPr="0037730E">
        <w:rPr>
          <w:lang w:val="en-GB"/>
        </w:rPr>
        <w:t>Another issue is that some important factors, such as brand value and customer satisfaction, are difficult to measure accurately. Although Netflix tracks engagement and churn rates, these do not fully capture customer experience. This highlights a limitation of management accounting, as not all valuable information can be quantified (Bhimani et al., 2019).</w:t>
      </w:r>
    </w:p>
    <w:p w14:paraId="257AE78F" w14:textId="439373FD" w:rsidR="003D62D8" w:rsidRPr="003D62D8" w:rsidRDefault="0037730E" w:rsidP="003D62D8">
      <w:pPr>
        <w:rPr>
          <w:lang w:val="en-GB"/>
        </w:rPr>
      </w:pPr>
      <w:r w:rsidRPr="0037730E">
        <w:rPr>
          <w:lang w:val="en-GB"/>
        </w:rPr>
        <w:t xml:space="preserve">Overall, Netflix’s use of KPIs is effective in supporting decision-making, but it also creates challenges. The company must balance data-driven insights with creative </w:t>
      </w:r>
      <w:r>
        <w:rPr>
          <w:lang w:val="en-GB"/>
        </w:rPr>
        <w:t>judgment</w:t>
      </w:r>
      <w:r w:rsidRPr="0037730E">
        <w:rPr>
          <w:lang w:val="en-GB"/>
        </w:rPr>
        <w:t xml:space="preserve"> to maintain its competitive advantage.</w:t>
      </w:r>
    </w:p>
    <w:p w14:paraId="77120ED2" w14:textId="77777777" w:rsidR="003D62D8" w:rsidRPr="003D62D8" w:rsidRDefault="003D62D8" w:rsidP="00A37D64">
      <w:pPr>
        <w:pStyle w:val="Heading1"/>
      </w:pPr>
      <w:bookmarkStart w:id="5" w:name="_Toc225342383"/>
      <w:r w:rsidRPr="003D62D8">
        <w:rPr>
          <w:rFonts w:eastAsia="Times New Roman"/>
        </w:rPr>
        <w:t>5. Sustainability and Ethical Considerations</w:t>
      </w:r>
      <w:bookmarkEnd w:id="5"/>
    </w:p>
    <w:p w14:paraId="157DCF7A" w14:textId="3F9033F9" w:rsidR="0037730E" w:rsidRPr="0037730E" w:rsidRDefault="0037730E" w:rsidP="0037730E">
      <w:r w:rsidRPr="0037730E">
        <w:t xml:space="preserve">Sustainability has become an increasingly important factor in business decision-making, and Netflix has </w:t>
      </w:r>
      <w:r w:rsidR="00605E93">
        <w:t>begun incorporating</w:t>
      </w:r>
      <w:r w:rsidRPr="0037730E">
        <w:t xml:space="preserve"> environmental and social considerations into its operations. The company has committed to reducing its carbon footprint, particularly in content production, by improving energy efficiency and investing in renewable energy (Netflix, 2023). This reflects a broader shift towards sustainable practices within the media industry.</w:t>
      </w:r>
    </w:p>
    <w:p w14:paraId="168D2CDA" w14:textId="77777777" w:rsidR="0037730E" w:rsidRPr="0037730E" w:rsidRDefault="0037730E" w:rsidP="0037730E">
      <w:r w:rsidRPr="0037730E">
        <w:t>From a management accounting perspective, sustainability can be analysed using concepts such as sustainability accounting, which considers both financial and non-financial impacts (Gray, 2010). For Netflix, this means evaluating whether investments in environmentally friendly production methods provide long-term benefits, such as cost savings, improved brand image, and reduced regulatory risk. However, these benefits are often difficult to measure, which limits the effectiveness of traditional accounting tools.</w:t>
      </w:r>
    </w:p>
    <w:p w14:paraId="40FE7426" w14:textId="77777777" w:rsidR="0037730E" w:rsidRPr="0037730E" w:rsidRDefault="0037730E" w:rsidP="0037730E">
      <w:r w:rsidRPr="0037730E">
        <w:lastRenderedPageBreak/>
        <w:t>There are also ethical considerations linked to pricing strategies. Netflix has increased subscription prices in several markets, which has improved revenue but may negatively affect affordability for customers. This creates a conflict between profitability and fairness. Management accounting can support ethical decision-making by providing transparency in cost structures, allowing managers to justify pricing decisions more clearly (Drury, 2018).</w:t>
      </w:r>
    </w:p>
    <w:p w14:paraId="7CBA9E2F" w14:textId="06B2D8AE" w:rsidR="0037730E" w:rsidRPr="0037730E" w:rsidRDefault="0037730E" w:rsidP="0037730E">
      <w:r w:rsidRPr="0037730E">
        <w:t xml:space="preserve">Another ethical issue relates to content production. Netflix must ensure fair working conditions and responsible use of resources. While the company invests heavily in content, there is </w:t>
      </w:r>
      <w:r w:rsidR="00605E93">
        <w:t xml:space="preserve">an </w:t>
      </w:r>
      <w:r w:rsidRPr="0037730E">
        <w:t>ongoing debate about whether cost pressures may impact working conditions within the industry. This highlights the importance of balancing cost efficiency with ethical responsibility.</w:t>
      </w:r>
    </w:p>
    <w:p w14:paraId="1E535CC0" w14:textId="77777777" w:rsidR="0037730E" w:rsidRPr="0037730E" w:rsidRDefault="0037730E" w:rsidP="0037730E">
      <w:r w:rsidRPr="0037730E">
        <w:t>Critically, Netflix appears to treat sustainability as a secondary priority compared to growth and profitability. In contrast, some competitors, such as Disney, have made more visible commitments to environmental and social responsibility (Walt Disney Company, 2024). This suggests that Netflix could improve its integration of sustainability into decision-making.</w:t>
      </w:r>
    </w:p>
    <w:p w14:paraId="4E82F8B3" w14:textId="730C18AD" w:rsidR="003D62D8" w:rsidRPr="003D62D8" w:rsidRDefault="0037730E" w:rsidP="00605E93">
      <w:r w:rsidRPr="0037730E">
        <w:t>Overall, while Netflix has taken steps towards sustainability, there is still room for improvement in how these considerations are measured and applied within management accounting practices.</w:t>
      </w:r>
    </w:p>
    <w:p w14:paraId="118BC6D1" w14:textId="77777777" w:rsidR="003D62D8" w:rsidRDefault="003D62D8" w:rsidP="00A37D64">
      <w:pPr>
        <w:pStyle w:val="Heading1"/>
        <w:rPr>
          <w:rFonts w:eastAsia="Times New Roman"/>
        </w:rPr>
      </w:pPr>
      <w:bookmarkStart w:id="6" w:name="_Toc225342384"/>
      <w:r w:rsidRPr="003D62D8">
        <w:rPr>
          <w:rFonts w:eastAsia="Times New Roman"/>
        </w:rPr>
        <w:t>6. Conclusion and Recommendations</w:t>
      </w:r>
      <w:bookmarkEnd w:id="6"/>
    </w:p>
    <w:p w14:paraId="570B8B06" w14:textId="77777777" w:rsidR="00605E93" w:rsidRPr="00605E93" w:rsidRDefault="00605E93" w:rsidP="00605E93">
      <w:pPr>
        <w:rPr>
          <w:lang w:val="en-GB"/>
        </w:rPr>
      </w:pPr>
      <w:r w:rsidRPr="00605E93">
        <w:rPr>
          <w:lang w:val="en-GB"/>
        </w:rPr>
        <w:t>In conclusion, Netflix demonstrates strong use of management accounting tools to support its financial decision-making. Its subscription-based model and high fixed cost structure highlight the importance of techniques such as cost-volume-profit (CVP) analysis, budgeting, and performance measurement. The company effectively uses KPIs and data analytics to guide strategic decisions, including pricing and market expansion. However, the analysis also shows that Netflix faces significant challenges, particularly due to high content costs, forecasting uncertainty, and increasing competition.</w:t>
      </w:r>
    </w:p>
    <w:p w14:paraId="36BB3989" w14:textId="1C1930F5" w:rsidR="003D62D8" w:rsidRPr="00605E93" w:rsidRDefault="00605E93" w:rsidP="00605E93">
      <w:pPr>
        <w:rPr>
          <w:lang w:val="en-GB"/>
        </w:rPr>
      </w:pPr>
      <w:r w:rsidRPr="00605E93">
        <w:rPr>
          <w:lang w:val="en-GB"/>
        </w:rPr>
        <w:t xml:space="preserve">To improve its performance, Netflix should strengthen its use of predictive analytics </w:t>
      </w:r>
      <w:r>
        <w:rPr>
          <w:lang w:val="en-GB"/>
        </w:rPr>
        <w:t>to forecast content success better</w:t>
      </w:r>
      <w:r w:rsidRPr="00605E93">
        <w:rPr>
          <w:lang w:val="en-GB"/>
        </w:rPr>
        <w:t xml:space="preserve"> and reduce financial risk. In addition, the company should develop more measurable sustainability indicators to support long-term decision-making. Finally, Netflix should adopt a more balanced pricing strategy to </w:t>
      </w:r>
      <w:r w:rsidRPr="00605E93">
        <w:rPr>
          <w:lang w:val="en-GB"/>
        </w:rPr>
        <w:lastRenderedPageBreak/>
        <w:t>maintain customer satisfaction while ensuring profitability. These improvements would enhance the effectiveness of its management accounting practices and support sustainable growth.</w:t>
      </w:r>
    </w:p>
    <w:p w14:paraId="479B0A18" w14:textId="47B4F0DE" w:rsidR="003D62D8" w:rsidRPr="003D62D8" w:rsidRDefault="003D62D8" w:rsidP="00A37D64">
      <w:pPr>
        <w:pStyle w:val="Heading1"/>
      </w:pPr>
      <w:bookmarkStart w:id="7" w:name="_Toc225342385"/>
      <w:r w:rsidRPr="003D62D8">
        <w:rPr>
          <w:rFonts w:eastAsia="Times New Roman"/>
        </w:rPr>
        <w:t>Reference</w:t>
      </w:r>
      <w:bookmarkEnd w:id="7"/>
    </w:p>
    <w:p w14:paraId="1AB32B42" w14:textId="77777777" w:rsidR="009C57A7" w:rsidRPr="008A5C44" w:rsidRDefault="009C57A7" w:rsidP="009C57A7">
      <w:pPr>
        <w:ind w:left="720" w:hanging="720"/>
        <w:rPr>
          <w:lang w:val="en-GB"/>
        </w:rPr>
      </w:pPr>
      <w:r w:rsidRPr="008A5C44">
        <w:rPr>
          <w:lang w:val="en-GB"/>
        </w:rPr>
        <w:t xml:space="preserve">Amazon (2024) </w:t>
      </w:r>
      <w:r w:rsidRPr="008A5C44">
        <w:rPr>
          <w:i/>
          <w:iCs/>
          <w:lang w:val="en-GB"/>
        </w:rPr>
        <w:t>Annual Report 2024</w:t>
      </w:r>
      <w:r w:rsidRPr="008A5C44">
        <w:rPr>
          <w:lang w:val="en-GB"/>
        </w:rPr>
        <w:t xml:space="preserve">. Available at: </w:t>
      </w:r>
      <w:hyperlink r:id="rId9" w:tgtFrame="_new" w:history="1">
        <w:r w:rsidRPr="008A5C44">
          <w:rPr>
            <w:rStyle w:val="Hyperlink"/>
            <w:lang w:val="en-GB"/>
          </w:rPr>
          <w:t>https://www.amazon.com</w:t>
        </w:r>
      </w:hyperlink>
      <w:r w:rsidRPr="008A5C44">
        <w:rPr>
          <w:lang w:val="en-GB"/>
        </w:rPr>
        <w:t xml:space="preserve"> (Accessed: 20 March 2026).</w:t>
      </w:r>
    </w:p>
    <w:p w14:paraId="668F541F" w14:textId="77777777" w:rsidR="009C57A7" w:rsidRPr="003D62D8" w:rsidRDefault="009C57A7" w:rsidP="009C57A7">
      <w:pPr>
        <w:ind w:left="720" w:hanging="720"/>
        <w:rPr>
          <w:lang w:val="en-GB"/>
        </w:rPr>
      </w:pPr>
      <w:r w:rsidRPr="003D62D8">
        <w:rPr>
          <w:lang w:val="en-GB"/>
        </w:rPr>
        <w:t xml:space="preserve">Atrill, P. and McLaney, E. (2019) </w:t>
      </w:r>
      <w:r w:rsidRPr="003D62D8">
        <w:rPr>
          <w:i/>
          <w:iCs/>
          <w:lang w:val="en-GB"/>
        </w:rPr>
        <w:t>Management Accounting for Decision Makers</w:t>
      </w:r>
      <w:r w:rsidRPr="003D62D8">
        <w:rPr>
          <w:lang w:val="en-GB"/>
        </w:rPr>
        <w:t>. 9th edn. Harlow: Pearson.</w:t>
      </w:r>
    </w:p>
    <w:p w14:paraId="239B1E9A" w14:textId="77777777" w:rsidR="009C57A7" w:rsidRPr="008A5C44" w:rsidRDefault="009C57A7" w:rsidP="009C57A7">
      <w:pPr>
        <w:ind w:left="720" w:hanging="720"/>
        <w:rPr>
          <w:lang w:val="en-GB"/>
        </w:rPr>
      </w:pPr>
      <w:r w:rsidRPr="008F701A">
        <w:t xml:space="preserve">Bhimani, A., Horngren, C., Datar, S. and Rajan, M. (2019) </w:t>
      </w:r>
      <w:r w:rsidRPr="008F701A">
        <w:rPr>
          <w:i/>
          <w:iCs/>
        </w:rPr>
        <w:t>Management and Cost Accounting</w:t>
      </w:r>
      <w:r w:rsidRPr="008F701A">
        <w:t>. 7th edn. Harlow: Pearson.</w:t>
      </w:r>
    </w:p>
    <w:p w14:paraId="10F1BEA8" w14:textId="77777777" w:rsidR="009C57A7" w:rsidRPr="003D62D8" w:rsidRDefault="009C57A7" w:rsidP="009C57A7">
      <w:pPr>
        <w:ind w:left="720" w:hanging="720"/>
        <w:rPr>
          <w:lang w:val="en-GB"/>
        </w:rPr>
      </w:pPr>
      <w:r w:rsidRPr="003D62D8">
        <w:rPr>
          <w:lang w:val="en-GB"/>
        </w:rPr>
        <w:t xml:space="preserve">Drury, C. (2018) </w:t>
      </w:r>
      <w:r w:rsidRPr="003D62D8">
        <w:rPr>
          <w:i/>
          <w:iCs/>
          <w:lang w:val="en-GB"/>
        </w:rPr>
        <w:t>Management and Cost Accounting</w:t>
      </w:r>
      <w:r w:rsidRPr="003D62D8">
        <w:rPr>
          <w:lang w:val="en-GB"/>
        </w:rPr>
        <w:t>. 10th edn. London: Cengage Learning.</w:t>
      </w:r>
    </w:p>
    <w:p w14:paraId="252BFC2A" w14:textId="77777777" w:rsidR="009C57A7" w:rsidRPr="003D62D8" w:rsidRDefault="009C57A7" w:rsidP="009C57A7">
      <w:pPr>
        <w:ind w:left="720" w:hanging="720"/>
        <w:rPr>
          <w:lang w:val="en-GB"/>
        </w:rPr>
      </w:pPr>
      <w:r w:rsidRPr="003D62D8">
        <w:rPr>
          <w:lang w:val="en-GB"/>
        </w:rPr>
        <w:t xml:space="preserve">Gray, R. (2010) ‘Is accounting for sustainability actually accounting for sustainability… and how would we know?’, </w:t>
      </w:r>
      <w:r w:rsidRPr="003D62D8">
        <w:rPr>
          <w:i/>
          <w:iCs/>
          <w:lang w:val="en-GB"/>
        </w:rPr>
        <w:t>Accounting, Organizations and Society</w:t>
      </w:r>
      <w:r w:rsidRPr="003D62D8">
        <w:rPr>
          <w:lang w:val="en-GB"/>
        </w:rPr>
        <w:t>, 35(1), pp. 47–62.</w:t>
      </w:r>
    </w:p>
    <w:p w14:paraId="23759586" w14:textId="77777777" w:rsidR="009C57A7" w:rsidRPr="003D62D8" w:rsidRDefault="009C57A7" w:rsidP="009C57A7">
      <w:pPr>
        <w:ind w:left="720" w:hanging="720"/>
        <w:rPr>
          <w:lang w:val="en-GB"/>
        </w:rPr>
      </w:pPr>
      <w:r w:rsidRPr="003D62D8">
        <w:rPr>
          <w:lang w:val="en-GB"/>
        </w:rPr>
        <w:t xml:space="preserve">Horngren, C.T., Datar, S.M. and Rajan, M. (2021) </w:t>
      </w:r>
      <w:r w:rsidRPr="003D62D8">
        <w:rPr>
          <w:i/>
          <w:iCs/>
          <w:lang w:val="en-GB"/>
        </w:rPr>
        <w:t>Cost Accounting: A Managerial Emphasis</w:t>
      </w:r>
      <w:r w:rsidRPr="003D62D8">
        <w:rPr>
          <w:lang w:val="en-GB"/>
        </w:rPr>
        <w:t>. 17th edn. Harlow: Pearson.</w:t>
      </w:r>
    </w:p>
    <w:p w14:paraId="70F60D58" w14:textId="77777777" w:rsidR="009C57A7" w:rsidRPr="008A5C44" w:rsidRDefault="009C57A7" w:rsidP="009C57A7">
      <w:pPr>
        <w:ind w:left="720" w:hanging="720"/>
        <w:rPr>
          <w:lang w:val="en-GB"/>
        </w:rPr>
      </w:pPr>
      <w:r w:rsidRPr="008A5C44">
        <w:rPr>
          <w:lang w:val="en-GB"/>
        </w:rPr>
        <w:t xml:space="preserve">Kaplan, R.S. and Anderson, S.R. (2007) </w:t>
      </w:r>
      <w:r w:rsidRPr="008A5C44">
        <w:rPr>
          <w:i/>
          <w:iCs/>
          <w:lang w:val="en-GB"/>
        </w:rPr>
        <w:t>Time-Driven Activity-Based Costing</w:t>
      </w:r>
      <w:r w:rsidRPr="008A5C44">
        <w:rPr>
          <w:lang w:val="en-GB"/>
        </w:rPr>
        <w:t>. Boston: Harvard Business School Press.</w:t>
      </w:r>
    </w:p>
    <w:p w14:paraId="2A6AD6BE" w14:textId="77777777" w:rsidR="009C57A7" w:rsidRPr="007C188F" w:rsidRDefault="009C57A7" w:rsidP="009C57A7">
      <w:pPr>
        <w:ind w:left="720" w:hanging="720"/>
        <w:rPr>
          <w:lang w:val="en-GB"/>
        </w:rPr>
      </w:pPr>
      <w:r w:rsidRPr="007C188F">
        <w:rPr>
          <w:lang w:val="en-GB"/>
        </w:rPr>
        <w:t xml:space="preserve">Kaplan, R.S. and Norton, D.P. (1996) </w:t>
      </w:r>
      <w:r w:rsidRPr="007C188F">
        <w:rPr>
          <w:i/>
          <w:iCs/>
          <w:lang w:val="en-GB"/>
        </w:rPr>
        <w:t>The Balanced Scorecard: Translating Strategy into Action</w:t>
      </w:r>
      <w:r w:rsidRPr="007C188F">
        <w:rPr>
          <w:lang w:val="en-GB"/>
        </w:rPr>
        <w:t>. Boston: Harvard Business School Press.</w:t>
      </w:r>
    </w:p>
    <w:p w14:paraId="5FBCEE8B" w14:textId="77777777" w:rsidR="009C57A7" w:rsidRPr="003D62D8" w:rsidRDefault="009C57A7" w:rsidP="009C57A7">
      <w:pPr>
        <w:ind w:left="720" w:hanging="720"/>
        <w:rPr>
          <w:lang w:val="en-GB"/>
        </w:rPr>
      </w:pPr>
      <w:r w:rsidRPr="003D62D8">
        <w:rPr>
          <w:lang w:val="en-GB"/>
        </w:rPr>
        <w:t xml:space="preserve">Lobato, R. (2019) </w:t>
      </w:r>
      <w:r w:rsidRPr="003D62D8">
        <w:rPr>
          <w:i/>
          <w:iCs/>
          <w:lang w:val="en-GB"/>
        </w:rPr>
        <w:t>Netflix Nations: The Geography of Digital Distribution</w:t>
      </w:r>
      <w:r w:rsidRPr="003D62D8">
        <w:rPr>
          <w:lang w:val="en-GB"/>
        </w:rPr>
        <w:t>. New York: NYU Press.</w:t>
      </w:r>
    </w:p>
    <w:p w14:paraId="6E183B30" w14:textId="77777777" w:rsidR="009C57A7" w:rsidRPr="003D62D8" w:rsidRDefault="009C57A7" w:rsidP="009C57A7">
      <w:pPr>
        <w:ind w:left="720" w:hanging="720"/>
        <w:rPr>
          <w:lang w:val="en-GB"/>
        </w:rPr>
      </w:pPr>
      <w:r w:rsidRPr="003D62D8">
        <w:rPr>
          <w:lang w:val="en-GB"/>
        </w:rPr>
        <w:t xml:space="preserve">Netflix (2023) </w:t>
      </w:r>
      <w:r w:rsidRPr="003D62D8">
        <w:rPr>
          <w:i/>
          <w:iCs/>
          <w:lang w:val="en-GB"/>
        </w:rPr>
        <w:t>Netflix ESG Report</w:t>
      </w:r>
      <w:r w:rsidRPr="003D62D8">
        <w:rPr>
          <w:lang w:val="en-GB"/>
        </w:rPr>
        <w:t xml:space="preserve">. Available at: </w:t>
      </w:r>
      <w:hyperlink r:id="rId10" w:tgtFrame="_new" w:history="1">
        <w:r w:rsidRPr="003D62D8">
          <w:rPr>
            <w:rStyle w:val="Hyperlink"/>
            <w:lang w:val="en-GB"/>
          </w:rPr>
          <w:t>https://about.netflix.com</w:t>
        </w:r>
      </w:hyperlink>
      <w:r w:rsidRPr="003D62D8">
        <w:rPr>
          <w:lang w:val="en-GB"/>
        </w:rPr>
        <w:t xml:space="preserve"> (Accessed: 20 March 2026).</w:t>
      </w:r>
    </w:p>
    <w:p w14:paraId="32A38179" w14:textId="77777777" w:rsidR="009C57A7" w:rsidRDefault="009C57A7" w:rsidP="009C57A7">
      <w:pPr>
        <w:ind w:left="720" w:hanging="720"/>
        <w:rPr>
          <w:lang w:val="en-GB"/>
        </w:rPr>
      </w:pPr>
      <w:r w:rsidRPr="003D62D8">
        <w:rPr>
          <w:lang w:val="en-GB"/>
        </w:rPr>
        <w:t xml:space="preserve">Netflix (2024) </w:t>
      </w:r>
      <w:r w:rsidRPr="003D62D8">
        <w:rPr>
          <w:i/>
          <w:iCs/>
          <w:lang w:val="en-GB"/>
        </w:rPr>
        <w:t>Annual Report 2024</w:t>
      </w:r>
      <w:r w:rsidRPr="003D62D8">
        <w:rPr>
          <w:lang w:val="en-GB"/>
        </w:rPr>
        <w:t xml:space="preserve">. Available at: </w:t>
      </w:r>
      <w:hyperlink r:id="rId11" w:tgtFrame="_new" w:history="1">
        <w:r w:rsidRPr="003D62D8">
          <w:rPr>
            <w:rStyle w:val="Hyperlink"/>
            <w:lang w:val="en-GB"/>
          </w:rPr>
          <w:t>https://ir.netflix.net</w:t>
        </w:r>
      </w:hyperlink>
      <w:r w:rsidRPr="003D62D8">
        <w:rPr>
          <w:lang w:val="en-GB"/>
        </w:rPr>
        <w:t xml:space="preserve"> (Accessed: 20 March 2026).</w:t>
      </w:r>
    </w:p>
    <w:p w14:paraId="45AABB20" w14:textId="77777777" w:rsidR="009C57A7" w:rsidRPr="00605E93" w:rsidRDefault="009C57A7" w:rsidP="009C57A7">
      <w:pPr>
        <w:ind w:left="720" w:hanging="720"/>
        <w:rPr>
          <w:lang w:val="en-GB"/>
        </w:rPr>
      </w:pPr>
      <w:r w:rsidRPr="007C188F">
        <w:rPr>
          <w:lang w:val="en-GB"/>
        </w:rPr>
        <w:t xml:space="preserve">Smith, M. (2021) ‘Data-driven decision making in streaming services’, </w:t>
      </w:r>
      <w:r w:rsidRPr="007C188F">
        <w:rPr>
          <w:i/>
          <w:iCs/>
          <w:lang w:val="en-GB"/>
        </w:rPr>
        <w:t>Journal of Media Business Studies</w:t>
      </w:r>
      <w:r w:rsidRPr="007C188F">
        <w:rPr>
          <w:lang w:val="en-GB"/>
        </w:rPr>
        <w:t>, 18(3), pp. 145–160.</w:t>
      </w:r>
    </w:p>
    <w:p w14:paraId="41D98EFF" w14:textId="77777777" w:rsidR="009C57A7" w:rsidRDefault="009C57A7" w:rsidP="009C57A7">
      <w:pPr>
        <w:ind w:left="720" w:hanging="720"/>
        <w:rPr>
          <w:lang w:val="en-GB"/>
        </w:rPr>
      </w:pPr>
      <w:r w:rsidRPr="008A5C44">
        <w:rPr>
          <w:lang w:val="en-GB"/>
        </w:rPr>
        <w:lastRenderedPageBreak/>
        <w:t xml:space="preserve">Walt Disney Company (2024) </w:t>
      </w:r>
      <w:r w:rsidRPr="008A5C44">
        <w:rPr>
          <w:i/>
          <w:iCs/>
          <w:lang w:val="en-GB"/>
        </w:rPr>
        <w:t>Annual Report 2024</w:t>
      </w:r>
      <w:r w:rsidRPr="008A5C44">
        <w:rPr>
          <w:lang w:val="en-GB"/>
        </w:rPr>
        <w:t xml:space="preserve">. Available at: </w:t>
      </w:r>
      <w:hyperlink r:id="rId12" w:tgtFrame="_new" w:history="1">
        <w:r w:rsidRPr="008A5C44">
          <w:rPr>
            <w:rStyle w:val="Hyperlink"/>
            <w:lang w:val="en-GB"/>
          </w:rPr>
          <w:t>https://thewaltdisneycompany.com</w:t>
        </w:r>
      </w:hyperlink>
      <w:r w:rsidRPr="008A5C44">
        <w:rPr>
          <w:lang w:val="en-GB"/>
        </w:rPr>
        <w:t xml:space="preserve"> (Accessed: 20 March 2026).</w:t>
      </w:r>
    </w:p>
    <w:sectPr w:rsidR="009C57A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58FD35" w14:textId="77777777" w:rsidR="00B6675C" w:rsidRDefault="00B6675C" w:rsidP="003D62D8">
      <w:pPr>
        <w:spacing w:after="0" w:line="240" w:lineRule="auto"/>
      </w:pPr>
      <w:r>
        <w:separator/>
      </w:r>
    </w:p>
  </w:endnote>
  <w:endnote w:type="continuationSeparator" w:id="0">
    <w:p w14:paraId="0357EB40" w14:textId="77777777" w:rsidR="00B6675C" w:rsidRDefault="00B6675C" w:rsidP="003D62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2335237"/>
      <w:docPartObj>
        <w:docPartGallery w:val="Page Numbers (Bottom of Page)"/>
        <w:docPartUnique/>
      </w:docPartObj>
    </w:sdtPr>
    <w:sdtEndPr>
      <w:rPr>
        <w:noProof/>
      </w:rPr>
    </w:sdtEndPr>
    <w:sdtContent>
      <w:p w14:paraId="02BADF36" w14:textId="44AED84E" w:rsidR="003D62D8" w:rsidRDefault="003D62D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C4010F" w14:textId="77777777" w:rsidR="003D62D8" w:rsidRDefault="003D62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1494DD" w14:textId="77777777" w:rsidR="00B6675C" w:rsidRDefault="00B6675C" w:rsidP="003D62D8">
      <w:pPr>
        <w:spacing w:after="0" w:line="240" w:lineRule="auto"/>
      </w:pPr>
      <w:r>
        <w:separator/>
      </w:r>
    </w:p>
  </w:footnote>
  <w:footnote w:type="continuationSeparator" w:id="0">
    <w:p w14:paraId="50D95926" w14:textId="77777777" w:rsidR="00B6675C" w:rsidRDefault="00B6675C" w:rsidP="003D62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AD5172"/>
    <w:multiLevelType w:val="hybridMultilevel"/>
    <w:tmpl w:val="4B320E40"/>
    <w:lvl w:ilvl="0" w:tplc="0F242E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143529"/>
    <w:multiLevelType w:val="multilevel"/>
    <w:tmpl w:val="26CEF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72C4095"/>
    <w:multiLevelType w:val="multilevel"/>
    <w:tmpl w:val="AC641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6216622">
    <w:abstractNumId w:val="0"/>
  </w:num>
  <w:num w:numId="2" w16cid:durableId="1348289569">
    <w:abstractNumId w:val="1"/>
  </w:num>
  <w:num w:numId="3" w16cid:durableId="14937161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16C"/>
    <w:rsid w:val="000407FD"/>
    <w:rsid w:val="000B1A42"/>
    <w:rsid w:val="00162559"/>
    <w:rsid w:val="00180F4A"/>
    <w:rsid w:val="00193CA5"/>
    <w:rsid w:val="001A2B2A"/>
    <w:rsid w:val="001E3BE1"/>
    <w:rsid w:val="00314AE3"/>
    <w:rsid w:val="0037730E"/>
    <w:rsid w:val="003D62D8"/>
    <w:rsid w:val="004202F5"/>
    <w:rsid w:val="00463C22"/>
    <w:rsid w:val="004B0094"/>
    <w:rsid w:val="004F7760"/>
    <w:rsid w:val="00511DD4"/>
    <w:rsid w:val="006052FB"/>
    <w:rsid w:val="00605E93"/>
    <w:rsid w:val="007178F4"/>
    <w:rsid w:val="00754CE5"/>
    <w:rsid w:val="007C188F"/>
    <w:rsid w:val="00855389"/>
    <w:rsid w:val="008A5C44"/>
    <w:rsid w:val="008E27EC"/>
    <w:rsid w:val="008F701A"/>
    <w:rsid w:val="009C57A7"/>
    <w:rsid w:val="009E5D84"/>
    <w:rsid w:val="00A30525"/>
    <w:rsid w:val="00A37D64"/>
    <w:rsid w:val="00B30D25"/>
    <w:rsid w:val="00B6675C"/>
    <w:rsid w:val="00BB01A5"/>
    <w:rsid w:val="00CC20D5"/>
    <w:rsid w:val="00D9316C"/>
    <w:rsid w:val="00DA3FDB"/>
    <w:rsid w:val="00E07036"/>
    <w:rsid w:val="00F16AE4"/>
    <w:rsid w:val="00FC3B55"/>
    <w:rsid w:val="00FD71C2"/>
    <w:rsid w:val="00FF3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B5A53"/>
  <w15:chartTrackingRefBased/>
  <w15:docId w15:val="{5AAB7CD9-499F-4C17-A878-DED11EDA1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7760"/>
    <w:pPr>
      <w:spacing w:after="80"/>
    </w:pPr>
    <w:rPr>
      <w:rFonts w:ascii="Arial" w:hAnsi="Arial"/>
      <w:sz w:val="24"/>
      <w:lang w:val="en-US"/>
    </w:rPr>
  </w:style>
  <w:style w:type="paragraph" w:styleId="Heading1">
    <w:name w:val="heading 1"/>
    <w:basedOn w:val="Normal"/>
    <w:next w:val="Normal"/>
    <w:link w:val="Heading1Char"/>
    <w:autoRedefine/>
    <w:uiPriority w:val="9"/>
    <w:qFormat/>
    <w:rsid w:val="009E5D84"/>
    <w:pPr>
      <w:keepNext/>
      <w:keepLines/>
      <w:spacing w:before="480" w:after="0"/>
      <w:outlineLvl w:val="0"/>
    </w:pPr>
    <w:rPr>
      <w:rFonts w:eastAsiaTheme="majorEastAsia" w:cstheme="majorBidi"/>
      <w:b/>
      <w:bCs/>
      <w:szCs w:val="28"/>
      <w:lang w:val="en-GB"/>
    </w:rPr>
  </w:style>
  <w:style w:type="paragraph" w:styleId="Heading2">
    <w:name w:val="heading 2"/>
    <w:basedOn w:val="Normal"/>
    <w:next w:val="Normal"/>
    <w:link w:val="Heading2Char"/>
    <w:autoRedefine/>
    <w:uiPriority w:val="9"/>
    <w:unhideWhenUsed/>
    <w:qFormat/>
    <w:rsid w:val="007178F4"/>
    <w:pPr>
      <w:keepNext/>
      <w:keepLines/>
      <w:spacing w:before="160"/>
      <w:outlineLvl w:val="1"/>
    </w:pPr>
    <w:rPr>
      <w:rFonts w:eastAsiaTheme="majorEastAsia" w:cstheme="majorBidi"/>
      <w:b/>
      <w:szCs w:val="32"/>
    </w:rPr>
  </w:style>
  <w:style w:type="paragraph" w:styleId="Heading3">
    <w:name w:val="heading 3"/>
    <w:basedOn w:val="Normal"/>
    <w:next w:val="Normal"/>
    <w:link w:val="Heading3Char"/>
    <w:autoRedefine/>
    <w:uiPriority w:val="9"/>
    <w:unhideWhenUsed/>
    <w:qFormat/>
    <w:rsid w:val="00193CA5"/>
    <w:pPr>
      <w:keepNext/>
      <w:keepLines/>
      <w:spacing w:before="160"/>
      <w:outlineLvl w:val="2"/>
    </w:pPr>
    <w:rPr>
      <w:rFonts w:eastAsiaTheme="majorEastAsia" w:cstheme="majorBidi"/>
      <w:szCs w:val="28"/>
    </w:rPr>
  </w:style>
  <w:style w:type="paragraph" w:styleId="Heading4">
    <w:name w:val="heading 4"/>
    <w:basedOn w:val="Normal"/>
    <w:next w:val="Normal"/>
    <w:link w:val="Heading4Char"/>
    <w:uiPriority w:val="9"/>
    <w:semiHidden/>
    <w:unhideWhenUsed/>
    <w:qFormat/>
    <w:rsid w:val="00D9316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9316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9316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9316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9316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9316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93CA5"/>
    <w:rPr>
      <w:rFonts w:ascii="Arial" w:eastAsiaTheme="majorEastAsia" w:hAnsi="Arial" w:cstheme="majorBidi"/>
      <w:sz w:val="24"/>
      <w:szCs w:val="28"/>
    </w:rPr>
  </w:style>
  <w:style w:type="character" w:customStyle="1" w:styleId="Heading1Char">
    <w:name w:val="Heading 1 Char"/>
    <w:basedOn w:val="DefaultParagraphFont"/>
    <w:link w:val="Heading1"/>
    <w:uiPriority w:val="9"/>
    <w:rsid w:val="009E5D84"/>
    <w:rPr>
      <w:rFonts w:ascii="Arial" w:eastAsiaTheme="majorEastAsia" w:hAnsi="Arial" w:cstheme="majorBidi"/>
      <w:b/>
      <w:bCs/>
      <w:sz w:val="24"/>
      <w:szCs w:val="28"/>
    </w:rPr>
  </w:style>
  <w:style w:type="character" w:customStyle="1" w:styleId="Heading2Char">
    <w:name w:val="Heading 2 Char"/>
    <w:basedOn w:val="DefaultParagraphFont"/>
    <w:link w:val="Heading2"/>
    <w:uiPriority w:val="9"/>
    <w:rsid w:val="007178F4"/>
    <w:rPr>
      <w:rFonts w:ascii="Arial" w:eastAsiaTheme="majorEastAsia" w:hAnsi="Arial" w:cstheme="majorBidi"/>
      <w:b/>
      <w:sz w:val="24"/>
      <w:szCs w:val="32"/>
    </w:rPr>
  </w:style>
  <w:style w:type="character" w:customStyle="1" w:styleId="Heading4Char">
    <w:name w:val="Heading 4 Char"/>
    <w:basedOn w:val="DefaultParagraphFont"/>
    <w:link w:val="Heading4"/>
    <w:uiPriority w:val="9"/>
    <w:semiHidden/>
    <w:rsid w:val="00D9316C"/>
    <w:rPr>
      <w:rFonts w:eastAsiaTheme="majorEastAsia" w:cstheme="majorBidi"/>
      <w:i/>
      <w:iCs/>
      <w:color w:val="0F4761" w:themeColor="accent1" w:themeShade="BF"/>
      <w:sz w:val="24"/>
      <w:lang w:val="en-US"/>
    </w:rPr>
  </w:style>
  <w:style w:type="character" w:customStyle="1" w:styleId="Heading5Char">
    <w:name w:val="Heading 5 Char"/>
    <w:basedOn w:val="DefaultParagraphFont"/>
    <w:link w:val="Heading5"/>
    <w:uiPriority w:val="9"/>
    <w:semiHidden/>
    <w:rsid w:val="00D9316C"/>
    <w:rPr>
      <w:rFonts w:eastAsiaTheme="majorEastAsia" w:cstheme="majorBidi"/>
      <w:color w:val="0F4761" w:themeColor="accent1" w:themeShade="BF"/>
      <w:sz w:val="24"/>
      <w:lang w:val="en-US"/>
    </w:rPr>
  </w:style>
  <w:style w:type="character" w:customStyle="1" w:styleId="Heading6Char">
    <w:name w:val="Heading 6 Char"/>
    <w:basedOn w:val="DefaultParagraphFont"/>
    <w:link w:val="Heading6"/>
    <w:uiPriority w:val="9"/>
    <w:semiHidden/>
    <w:rsid w:val="00D9316C"/>
    <w:rPr>
      <w:rFonts w:eastAsiaTheme="majorEastAsia" w:cstheme="majorBidi"/>
      <w:i/>
      <w:iCs/>
      <w:color w:val="595959" w:themeColor="text1" w:themeTint="A6"/>
      <w:sz w:val="24"/>
      <w:lang w:val="en-US"/>
    </w:rPr>
  </w:style>
  <w:style w:type="character" w:customStyle="1" w:styleId="Heading7Char">
    <w:name w:val="Heading 7 Char"/>
    <w:basedOn w:val="DefaultParagraphFont"/>
    <w:link w:val="Heading7"/>
    <w:uiPriority w:val="9"/>
    <w:semiHidden/>
    <w:rsid w:val="00D9316C"/>
    <w:rPr>
      <w:rFonts w:eastAsiaTheme="majorEastAsia" w:cstheme="majorBidi"/>
      <w:color w:val="595959" w:themeColor="text1" w:themeTint="A6"/>
      <w:sz w:val="24"/>
      <w:lang w:val="en-US"/>
    </w:rPr>
  </w:style>
  <w:style w:type="character" w:customStyle="1" w:styleId="Heading8Char">
    <w:name w:val="Heading 8 Char"/>
    <w:basedOn w:val="DefaultParagraphFont"/>
    <w:link w:val="Heading8"/>
    <w:uiPriority w:val="9"/>
    <w:semiHidden/>
    <w:rsid w:val="00D9316C"/>
    <w:rPr>
      <w:rFonts w:eastAsiaTheme="majorEastAsia" w:cstheme="majorBidi"/>
      <w:i/>
      <w:iCs/>
      <w:color w:val="272727" w:themeColor="text1" w:themeTint="D8"/>
      <w:sz w:val="24"/>
      <w:lang w:val="en-US"/>
    </w:rPr>
  </w:style>
  <w:style w:type="character" w:customStyle="1" w:styleId="Heading9Char">
    <w:name w:val="Heading 9 Char"/>
    <w:basedOn w:val="DefaultParagraphFont"/>
    <w:link w:val="Heading9"/>
    <w:uiPriority w:val="9"/>
    <w:semiHidden/>
    <w:rsid w:val="00D9316C"/>
    <w:rPr>
      <w:rFonts w:eastAsiaTheme="majorEastAsia" w:cstheme="majorBidi"/>
      <w:color w:val="272727" w:themeColor="text1" w:themeTint="D8"/>
      <w:sz w:val="24"/>
      <w:lang w:val="en-US"/>
    </w:rPr>
  </w:style>
  <w:style w:type="paragraph" w:styleId="Title">
    <w:name w:val="Title"/>
    <w:basedOn w:val="Normal"/>
    <w:next w:val="Normal"/>
    <w:link w:val="TitleChar"/>
    <w:uiPriority w:val="10"/>
    <w:qFormat/>
    <w:rsid w:val="00D9316C"/>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316C"/>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D9316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316C"/>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D9316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9316C"/>
    <w:rPr>
      <w:rFonts w:ascii="Arial" w:hAnsi="Arial"/>
      <w:i/>
      <w:iCs/>
      <w:color w:val="404040" w:themeColor="text1" w:themeTint="BF"/>
      <w:sz w:val="24"/>
      <w:lang w:val="en-US"/>
    </w:rPr>
  </w:style>
  <w:style w:type="paragraph" w:styleId="ListParagraph">
    <w:name w:val="List Paragraph"/>
    <w:basedOn w:val="Normal"/>
    <w:uiPriority w:val="34"/>
    <w:qFormat/>
    <w:rsid w:val="00D9316C"/>
    <w:pPr>
      <w:ind w:left="720"/>
      <w:contextualSpacing/>
    </w:pPr>
  </w:style>
  <w:style w:type="character" w:styleId="IntenseEmphasis">
    <w:name w:val="Intense Emphasis"/>
    <w:basedOn w:val="DefaultParagraphFont"/>
    <w:uiPriority w:val="21"/>
    <w:qFormat/>
    <w:rsid w:val="00D9316C"/>
    <w:rPr>
      <w:i/>
      <w:iCs/>
      <w:color w:val="0F4761" w:themeColor="accent1" w:themeShade="BF"/>
    </w:rPr>
  </w:style>
  <w:style w:type="paragraph" w:styleId="IntenseQuote">
    <w:name w:val="Intense Quote"/>
    <w:basedOn w:val="Normal"/>
    <w:next w:val="Normal"/>
    <w:link w:val="IntenseQuoteChar"/>
    <w:uiPriority w:val="30"/>
    <w:qFormat/>
    <w:rsid w:val="00D931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316C"/>
    <w:rPr>
      <w:rFonts w:ascii="Arial" w:hAnsi="Arial"/>
      <w:i/>
      <w:iCs/>
      <w:color w:val="0F4761" w:themeColor="accent1" w:themeShade="BF"/>
      <w:sz w:val="24"/>
      <w:lang w:val="en-US"/>
    </w:rPr>
  </w:style>
  <w:style w:type="character" w:styleId="IntenseReference">
    <w:name w:val="Intense Reference"/>
    <w:basedOn w:val="DefaultParagraphFont"/>
    <w:uiPriority w:val="32"/>
    <w:qFormat/>
    <w:rsid w:val="00D9316C"/>
    <w:rPr>
      <w:b/>
      <w:bCs/>
      <w:smallCaps/>
      <w:color w:val="0F4761" w:themeColor="accent1" w:themeShade="BF"/>
      <w:spacing w:val="5"/>
    </w:rPr>
  </w:style>
  <w:style w:type="paragraph" w:styleId="Header">
    <w:name w:val="header"/>
    <w:basedOn w:val="Normal"/>
    <w:link w:val="HeaderChar"/>
    <w:uiPriority w:val="99"/>
    <w:unhideWhenUsed/>
    <w:rsid w:val="003D62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62D8"/>
    <w:rPr>
      <w:rFonts w:ascii="Arial" w:hAnsi="Arial"/>
      <w:sz w:val="24"/>
      <w:lang w:val="en-US"/>
    </w:rPr>
  </w:style>
  <w:style w:type="paragraph" w:styleId="Footer">
    <w:name w:val="footer"/>
    <w:basedOn w:val="Normal"/>
    <w:link w:val="FooterChar"/>
    <w:uiPriority w:val="99"/>
    <w:unhideWhenUsed/>
    <w:rsid w:val="003D62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62D8"/>
    <w:rPr>
      <w:rFonts w:ascii="Arial" w:hAnsi="Arial"/>
      <w:sz w:val="24"/>
      <w:lang w:val="en-US"/>
    </w:rPr>
  </w:style>
  <w:style w:type="character" w:styleId="Hyperlink">
    <w:name w:val="Hyperlink"/>
    <w:basedOn w:val="DefaultParagraphFont"/>
    <w:uiPriority w:val="99"/>
    <w:unhideWhenUsed/>
    <w:rsid w:val="003D62D8"/>
    <w:rPr>
      <w:color w:val="467886" w:themeColor="hyperlink"/>
      <w:u w:val="single"/>
    </w:rPr>
  </w:style>
  <w:style w:type="character" w:styleId="UnresolvedMention">
    <w:name w:val="Unresolved Mention"/>
    <w:basedOn w:val="DefaultParagraphFont"/>
    <w:uiPriority w:val="99"/>
    <w:semiHidden/>
    <w:unhideWhenUsed/>
    <w:rsid w:val="003D62D8"/>
    <w:rPr>
      <w:color w:val="605E5C"/>
      <w:shd w:val="clear" w:color="auto" w:fill="E1DFDD"/>
    </w:rPr>
  </w:style>
  <w:style w:type="paragraph" w:styleId="TOCHeading">
    <w:name w:val="TOC Heading"/>
    <w:basedOn w:val="Heading1"/>
    <w:next w:val="Normal"/>
    <w:uiPriority w:val="39"/>
    <w:unhideWhenUsed/>
    <w:qFormat/>
    <w:rsid w:val="00A37D64"/>
    <w:pPr>
      <w:spacing w:before="240" w:line="259" w:lineRule="auto"/>
      <w:jc w:val="left"/>
      <w:outlineLvl w:val="9"/>
    </w:pPr>
    <w:rPr>
      <w:rFonts w:asciiTheme="majorHAnsi" w:hAnsiTheme="majorHAnsi"/>
      <w:b w:val="0"/>
      <w:bCs w:val="0"/>
      <w:color w:val="0F4761" w:themeColor="accent1" w:themeShade="BF"/>
      <w:sz w:val="32"/>
      <w:szCs w:val="32"/>
      <w:lang w:val="en-US"/>
    </w:rPr>
  </w:style>
  <w:style w:type="paragraph" w:styleId="TOC1">
    <w:name w:val="toc 1"/>
    <w:basedOn w:val="Normal"/>
    <w:next w:val="Normal"/>
    <w:autoRedefine/>
    <w:uiPriority w:val="39"/>
    <w:unhideWhenUsed/>
    <w:rsid w:val="00A37D6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hewaltdisneycompany.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r.netflix.ne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about.netflix.com" TargetMode="External"/><Relationship Id="rId4" Type="http://schemas.openxmlformats.org/officeDocument/2006/relationships/settings" Target="settings.xml"/><Relationship Id="rId9" Type="http://schemas.openxmlformats.org/officeDocument/2006/relationships/hyperlink" Target="https://www.amazon.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2BD2495-F181-4B49-931C-B99C5814BD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2540</Words>
  <Characters>14480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Antal-Berbecaru (2242917)</dc:creator>
  <cp:keywords/>
  <dc:description/>
  <cp:lastModifiedBy>Carmen Antal-Berbecaru (2242917)</cp:lastModifiedBy>
  <cp:revision>4</cp:revision>
  <dcterms:created xsi:type="dcterms:W3CDTF">2026-03-25T14:55:00Z</dcterms:created>
  <dcterms:modified xsi:type="dcterms:W3CDTF">2026-03-27T18:48:00Z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2515e47b-9334-4517-8d41-0fca00e85985</vt:lpwstr>
  </property>
</Properties>
</file>