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2EFE1" w14:textId="2AB50FE4" w:rsidR="00766772" w:rsidRDefault="00766772" w:rsidP="00766772">
      <w:pPr>
        <w:pStyle w:val="NormalWeb"/>
        <w:jc w:val="center"/>
      </w:pPr>
      <w:r>
        <w:t xml:space="preserve">Jozef Sugar </w:t>
      </w:r>
    </w:p>
    <w:p w14:paraId="58E3E5C0" w14:textId="2945C7CB" w:rsidR="00766772" w:rsidRDefault="00766772" w:rsidP="00766772">
      <w:pPr>
        <w:pStyle w:val="NormalWeb"/>
        <w:jc w:val="center"/>
      </w:pPr>
      <w:r>
        <w:t xml:space="preserve">People across time (HPFY3014) </w:t>
      </w:r>
    </w:p>
    <w:p w14:paraId="3D3A5249" w14:textId="6EC33E83" w:rsidR="00766772" w:rsidRDefault="00766772" w:rsidP="00766772">
      <w:pPr>
        <w:pStyle w:val="NormalWeb"/>
        <w:jc w:val="center"/>
      </w:pPr>
      <w:r>
        <w:t>ESSAY</w:t>
      </w:r>
    </w:p>
    <w:p w14:paraId="60A99CF3" w14:textId="77777777" w:rsidR="00766772" w:rsidRDefault="00766772" w:rsidP="00766772">
      <w:pPr>
        <w:pStyle w:val="NormalWeb"/>
      </w:pPr>
    </w:p>
    <w:p w14:paraId="501B4167" w14:textId="77777777" w:rsidR="00766772" w:rsidRDefault="00766772" w:rsidP="00766772">
      <w:pPr>
        <w:pStyle w:val="NormalWeb"/>
      </w:pPr>
    </w:p>
    <w:p w14:paraId="4832703A" w14:textId="59B5291E" w:rsidR="00766772" w:rsidRDefault="00766772" w:rsidP="00766772">
      <w:pPr>
        <w:pStyle w:val="NormalWeb"/>
        <w:jc w:val="center"/>
      </w:pPr>
      <w:r>
        <w:t>Citizenship and Power in the Roman Empire: Counterexamples of Power in the Late Republic</w:t>
      </w:r>
    </w:p>
    <w:p w14:paraId="46023363" w14:textId="77777777" w:rsidR="00766772" w:rsidRDefault="00766772" w:rsidP="00766772">
      <w:pPr>
        <w:pStyle w:val="NormalWeb"/>
      </w:pPr>
    </w:p>
    <w:p w14:paraId="33C657D2" w14:textId="77777777" w:rsidR="00766772" w:rsidRDefault="00766772" w:rsidP="00766772">
      <w:pPr>
        <w:pStyle w:val="NormalWeb"/>
      </w:pPr>
    </w:p>
    <w:p w14:paraId="520834D7" w14:textId="5D7A3168" w:rsidR="00766772" w:rsidRPr="00766772" w:rsidRDefault="00766772" w:rsidP="00766772">
      <w:pPr>
        <w:pStyle w:val="NormalWeb"/>
        <w:rPr>
          <w:u w:val="single"/>
        </w:rPr>
      </w:pPr>
      <w:r w:rsidRPr="00766772">
        <w:rPr>
          <w:u w:val="single"/>
        </w:rPr>
        <w:t>Introduction</w:t>
      </w:r>
    </w:p>
    <w:p w14:paraId="1FDFF8CB" w14:textId="0AB4AF07" w:rsidR="00766772" w:rsidRDefault="00766772" w:rsidP="00766772">
      <w:pPr>
        <w:pStyle w:val="NormalWeb"/>
      </w:pPr>
      <w:r>
        <w:t xml:space="preserve">The Late Roman Republic of the first century BCE saw the most significant politicisation of power and political reality in its history, which affected the meanings of Roman citizenship and power. During this time of turmoil, citizenship shifted from being a politically exclusive privilege of citizenship status within Rome to an intentional or tactical mode of control and inclusion as Rome grappled with governing a large and culturally different empire. As Rome confronted the reality of an empire, the traditional categories of citizenship (with its legal rights, civic obligations, and cultural identity) grew increasingly contested and hollowed out. This essay </w:t>
      </w:r>
      <w:r>
        <w:t>analyses</w:t>
      </w:r>
      <w:r>
        <w:t xml:space="preserve"> how citizenship was both an inclusionary and an exclusionary mode of control while also demonstrating how and why Roman elites appropriated citizenship to further local control of their political power in the Republic’s last century.</w:t>
      </w:r>
    </w:p>
    <w:p w14:paraId="6E5851AB" w14:textId="77777777" w:rsidR="00766772" w:rsidRPr="00766772" w:rsidRDefault="00766772" w:rsidP="00766772">
      <w:pPr>
        <w:pStyle w:val="NormalWeb"/>
        <w:rPr>
          <w:u w:val="single"/>
        </w:rPr>
      </w:pPr>
      <w:r w:rsidRPr="00766772">
        <w:rPr>
          <w:u w:val="single"/>
        </w:rPr>
        <w:t>Social War and Evolution of Citizenship</w:t>
      </w:r>
    </w:p>
    <w:p w14:paraId="4D4209BA" w14:textId="77777777" w:rsidR="00766772" w:rsidRDefault="00766772" w:rsidP="00766772">
      <w:pPr>
        <w:pStyle w:val="NormalWeb"/>
      </w:pPr>
      <w:r>
        <w:t>The Social War (91-88 B.C.E.) is an important moment in the evolution of Roman citizenship, revealing tensions between Roman exclusivity and imperial exigency. As documented by Appian in his Civil Wars, Italian allies (socii), who fought with Rome for centuries and became culturally assimilated, applied for the rights of full political citizens of Rome, and were angrily denied those rights despite having fought and formed attachments of loyalty towards the Romans soldiers that they fought with (Appian, Civil Wars 1.21). Therefore, the war was not just a symbol of rebellion but a constitutional argument regarding Roman identity, especially as the allies attempted to ground their claim of rights within constitutional confines.</w:t>
      </w:r>
    </w:p>
    <w:p w14:paraId="797C011B" w14:textId="77777777" w:rsidR="00766772" w:rsidRDefault="00766772" w:rsidP="00766772">
      <w:pPr>
        <w:pStyle w:val="NormalWeb"/>
      </w:pPr>
      <w:r>
        <w:t>In the beginning, the Romans decided to resist granting citizenship because of anxieties about cultural purity and diminished power, which were weaved within an anticipated scenario of political consequence after repelling the Allies.</w:t>
      </w:r>
    </w:p>
    <w:p w14:paraId="25434F2A" w14:textId="77777777" w:rsidR="00766772" w:rsidRDefault="00766772" w:rsidP="00766772">
      <w:pPr>
        <w:pStyle w:val="NormalWeb"/>
      </w:pPr>
      <w:r>
        <w:t xml:space="preserve">Roman elites were concerned about the impact of mass enfranchisement on their political monopoly and perceived it as a threat to Rome’s political character. However, the inherent violence of the Social War exposed them to a certain level of pragmatic consideration for those positions. Both the Lex Julia (90 BCE) and subsequent legislation created a pathway to </w:t>
      </w:r>
      <w:r>
        <w:lastRenderedPageBreak/>
        <w:t>citizenship for those Italian communities that either submitted or remained loyal, admitting a new truth that Roman survival depended upon inclusion rather than exclusion.</w:t>
      </w:r>
    </w:p>
    <w:p w14:paraId="2240B688" w14:textId="77777777" w:rsidR="00766772" w:rsidRDefault="00766772" w:rsidP="00766772">
      <w:pPr>
        <w:pStyle w:val="NormalWeb"/>
      </w:pPr>
      <w:r>
        <w:t>This shift created a new frontier for Roman expansion. It made incorporation a part of imperial integration by offering conquered peoples a means to integrate into the Roman system and bind to Roman authority. Mary Beard states, "the Social War in some sense marks the moment when Roman citizenship ceases to be the privilege of a city (its possession precluded all others) and becomes a kind of framework for governing an empire" (Beard, 2015, p. 214). The post-Social War settlement created Italian unity under Roman law, but it undermined Roman exclusivity. The impacts of this change continued to be felt throughout the late Republican period, as a growing citizen population made its mark in the organisation of popular assemblies and electoral processes.</w:t>
      </w:r>
    </w:p>
    <w:p w14:paraId="27A742B2" w14:textId="77777777" w:rsidR="00766772" w:rsidRPr="00766772" w:rsidRDefault="00766772" w:rsidP="00766772">
      <w:pPr>
        <w:pStyle w:val="NormalWeb"/>
        <w:rPr>
          <w:u w:val="single"/>
        </w:rPr>
      </w:pPr>
      <w:r w:rsidRPr="00766772">
        <w:rPr>
          <w:u w:val="single"/>
        </w:rPr>
        <w:t>Citizenship as a Political Instrument</w:t>
      </w:r>
    </w:p>
    <w:p w14:paraId="56B65E7C" w14:textId="77777777" w:rsidR="00766772" w:rsidRDefault="00766772" w:rsidP="00766772">
      <w:pPr>
        <w:pStyle w:val="NormalWeb"/>
      </w:pPr>
      <w:r>
        <w:t>The new citizenship granted following the Social War also displayed the dual role of privilege and political instrument. The Roman citizenry offered access to legal protections, such as the right to trial and appeals, as well as participation in civic and religious life, but they also imposed obligations (military and taxes) that tied them to the Roman state. Citizenship allowed for a complicated management of diversity in unity for those in power in Rome. Rome allowed for distance within citizenship and a hierarchy of citizenship that included full citizenship (</w:t>
      </w:r>
      <w:proofErr w:type="spellStart"/>
      <w:r>
        <w:t>cives</w:t>
      </w:r>
      <w:proofErr w:type="spellEnd"/>
      <w:r>
        <w:t>), Latin rights, etc., so that Rome could adjust the privileges and responsibilities of citizenship depending on the political circumstance. This flexibility allowed Roman administrators to satisfy loyalty with elevated citizenship, mitigate threats from rebellion with different citizenship rights, and deescalate conflict and attract cooperation with the assignment of new citizenship, without entirely sacrificing the notion of some Roman difference.</w:t>
      </w:r>
    </w:p>
    <w:p w14:paraId="2D53A140" w14:textId="18A3CE06" w:rsidR="00766772" w:rsidRDefault="00766772" w:rsidP="00766772">
      <w:pPr>
        <w:pStyle w:val="NormalWeb"/>
      </w:pPr>
      <w:r>
        <w:t xml:space="preserve">As with the actual iteration of expanded citizenship, new forms of political manipulation were developed. As many citizens were far from Rome, they would not exercise their citizenship voting rights, effectively preserving elite control over the central political institutions while also providing a political cover of increased inclusion. Fergus Millar articulated this phenomenon in The Crowd in Rome </w:t>
      </w:r>
      <w:r>
        <w:t>in</w:t>
      </w:r>
      <w:r>
        <w:t xml:space="preserve"> the Late Republic: "But spatial distance enabled the Roman elite to keep their monopoly on political decision-making and create the impression of inclusion." (Millar, 1998, 143). Thus, the new forms of citizenship and their rituals satisfied the calls for citizenship rights and the elite’s need to maintain their political dominance.</w:t>
      </w:r>
    </w:p>
    <w:p w14:paraId="7C5DE4CB" w14:textId="77777777" w:rsidR="00766772" w:rsidRPr="00766772" w:rsidRDefault="00766772" w:rsidP="00766772">
      <w:pPr>
        <w:pStyle w:val="NormalWeb"/>
        <w:rPr>
          <w:u w:val="single"/>
        </w:rPr>
      </w:pPr>
      <w:r w:rsidRPr="00766772">
        <w:rPr>
          <w:u w:val="single"/>
        </w:rPr>
        <w:t>Elite Identity and Manipulation of Roman Values</w:t>
      </w:r>
    </w:p>
    <w:p w14:paraId="391F4A11" w14:textId="77777777" w:rsidR="00766772" w:rsidRDefault="00766772" w:rsidP="00766772">
      <w:pPr>
        <w:pStyle w:val="NormalWeb"/>
      </w:pPr>
      <w:r>
        <w:t xml:space="preserve">Roman elites like Cicero and Julius Caesar reflected the adaptations of traditional Roman values to their new political realities. Cicero's defence of the poet </w:t>
      </w:r>
      <w:proofErr w:type="spellStart"/>
      <w:r>
        <w:t>Archias</w:t>
      </w:r>
      <w:proofErr w:type="spellEnd"/>
      <w:r>
        <w:t xml:space="preserve"> in his Pro </w:t>
      </w:r>
      <w:proofErr w:type="spellStart"/>
      <w:r>
        <w:t>Archia</w:t>
      </w:r>
      <w:proofErr w:type="spellEnd"/>
      <w:r>
        <w:t xml:space="preserve"> speech is indicative of the sophisticated uses of rhetoric to maintain expanded citizenship while depending on antiquated ideas of Roman superiority. By positing that the literary contributions of </w:t>
      </w:r>
      <w:proofErr w:type="spellStart"/>
      <w:r>
        <w:t>Archias</w:t>
      </w:r>
      <w:proofErr w:type="spellEnd"/>
      <w:r>
        <w:t xml:space="preserve"> would add to Roman glory, Cicero placed citizenship on merit, or cultural capital, rather than political expediency, as exemplified in the statement, "What! Did not that great man Africanus, did not Maximus, did not Marcellus, did not Fulvius, did not many other most eminent men think that they were not only acquiring glory for themselves, but also for their posterity and for this city?" (Cicero, Pro </w:t>
      </w:r>
      <w:proofErr w:type="spellStart"/>
      <w:r>
        <w:t>Archia</w:t>
      </w:r>
      <w:proofErr w:type="spellEnd"/>
      <w:r>
        <w:t xml:space="preserve"> 11.26).</w:t>
      </w:r>
    </w:p>
    <w:p w14:paraId="00692DA5" w14:textId="77777777" w:rsidR="00766772" w:rsidRDefault="00766772" w:rsidP="00766772">
      <w:pPr>
        <w:pStyle w:val="NormalWeb"/>
      </w:pPr>
      <w:r>
        <w:lastRenderedPageBreak/>
        <w:t xml:space="preserve">Caesar’s approach was even more radical, incorporating citizenship grants into his personal ambitions and imperial administrative practices. Plutarch records Caesar’s rationale for extending citizenship to the </w:t>
      </w:r>
      <w:proofErr w:type="spellStart"/>
      <w:r>
        <w:t>Gauls</w:t>
      </w:r>
      <w:proofErr w:type="spellEnd"/>
      <w:r>
        <w:t xml:space="preserve"> and other provincial populations as both a need for pragmatic governance and a way to garner political support outside traditional Roman circuits (Plutarch, Life of Caesar 58). Caesar recognised that citizenship could be a powerful tool for creating new and different forms of allegiance that were not tied to a regional or ethnic identity.</w:t>
      </w:r>
    </w:p>
    <w:p w14:paraId="5E08C0A5" w14:textId="77777777" w:rsidR="00766772" w:rsidRDefault="00766772" w:rsidP="00766772">
      <w:pPr>
        <w:pStyle w:val="NormalWeb"/>
      </w:pPr>
      <w:r>
        <w:t xml:space="preserve">Cicero and Caesar employed the Roman concepts of </w:t>
      </w:r>
      <w:proofErr w:type="spellStart"/>
      <w:r>
        <w:t>virtus</w:t>
      </w:r>
      <w:proofErr w:type="spellEnd"/>
      <w:r>
        <w:t xml:space="preserve"> (virtue) and </w:t>
      </w:r>
      <w:proofErr w:type="spellStart"/>
      <w:r>
        <w:t>dignitas</w:t>
      </w:r>
      <w:proofErr w:type="spellEnd"/>
      <w:r>
        <w:t xml:space="preserve"> (dignity) to attach legitimacy to their actions; however, they also changed the meaning of these concepts. Virtus, which traditionally meant military courage and civic service within the Roman community, was changed to signify loyalty to Rome regardless of ethnic origin. Similarly, </w:t>
      </w:r>
      <w:proofErr w:type="spellStart"/>
      <w:r>
        <w:t>dignitas</w:t>
      </w:r>
      <w:proofErr w:type="spellEnd"/>
      <w:r>
        <w:t xml:space="preserve"> evolved to be associated with service to the Roman state rather than aristocratic genealogy, allowing avenues of advancement that were previously off limits to non-Romans. As Andrew Wallace-Hadrill commented, this represented "a cultural revolution that was redefining what it was to be Roman..." (Wallace-Hadrill, Rome's Cultural Revolution, 2008, p. 89).</w:t>
      </w:r>
    </w:p>
    <w:p w14:paraId="10D37281" w14:textId="77777777" w:rsidR="00766772" w:rsidRPr="00766772" w:rsidRDefault="00766772" w:rsidP="00766772">
      <w:pPr>
        <w:pStyle w:val="NormalWeb"/>
        <w:rPr>
          <w:u w:val="single"/>
        </w:rPr>
      </w:pPr>
      <w:r w:rsidRPr="00766772">
        <w:rPr>
          <w:u w:val="single"/>
        </w:rPr>
        <w:t>Scholarly Interpretations and Modern Understanding</w:t>
      </w:r>
    </w:p>
    <w:p w14:paraId="1ADC8AB1" w14:textId="77777777" w:rsidR="00766772" w:rsidRDefault="00766772" w:rsidP="00766772">
      <w:pPr>
        <w:pStyle w:val="NormalWeb"/>
      </w:pPr>
      <w:r>
        <w:t>Modern scholarship has demonstrated the sophistication of the ancient debate against the simplifications of ancient sources. Where Cicero portrayed citizenship as a reward for cultural accomplishment, contemporary evidence indicates that these decisions were at the forefront of more prosaic issues, such as taxation, military recruitment, and administrative efficiency. The rhetorical understanding of citizenship as a purely civic virtue must be tempered by the knowledge that citizenship was also an imperial governance operative.</w:t>
      </w:r>
    </w:p>
    <w:p w14:paraId="19C17B40" w14:textId="77777777" w:rsidR="00766772" w:rsidRDefault="00766772" w:rsidP="00766772">
      <w:pPr>
        <w:pStyle w:val="NormalWeb"/>
      </w:pPr>
      <w:r>
        <w:t xml:space="preserve">Recent historical scholarship has come to emphasise the layered and contested nature of republican citizenship, reversing previous assumptions about the existence of Roman consensus over inclusion and exclusion. Karl-Joachim </w:t>
      </w:r>
      <w:proofErr w:type="spellStart"/>
      <w:r>
        <w:t>Hölkeskamp</w:t>
      </w:r>
      <w:proofErr w:type="spellEnd"/>
      <w:r>
        <w:t xml:space="preserve"> argues that "the citizen body was never as homogeneous and unified as elite rhetoric suggested, and that the process of integrating new citizens also produced enduring tensions which were a component of the Republic's eventual failure" (</w:t>
      </w:r>
      <w:proofErr w:type="spellStart"/>
      <w:r>
        <w:t>Hölkeskamp</w:t>
      </w:r>
      <w:proofErr w:type="spellEnd"/>
      <w:r>
        <w:t>, Reconstructing the Roman Republic, 2010, p. 156). The citizen body was never as homogeneous or unified as elite rhetoric suggested, and the process of integrating new citizens produced enduring tensions.</w:t>
      </w:r>
    </w:p>
    <w:p w14:paraId="2EA1FCA6" w14:textId="77777777" w:rsidR="00766772" w:rsidRDefault="00766772" w:rsidP="00766772">
      <w:pPr>
        <w:pStyle w:val="NormalWeb"/>
      </w:pPr>
      <w:r>
        <w:t>This historical scholarship helped identify how citizenship served the functional roles of different populations within the Roman Empire. Citizenship provided a mechanism for the elite to maintain control over the existing system while adapting to the realities of the empire. Citizenship provided avenues for social and upward mobility and legal protections for new citizens. Citizenship established a framework through which the Roman state could personally engage large groups of loyalists living in diverse zones or territories.</w:t>
      </w:r>
    </w:p>
    <w:p w14:paraId="4655CF01" w14:textId="77777777" w:rsidR="00766772" w:rsidRPr="00766772" w:rsidRDefault="00766772" w:rsidP="00766772">
      <w:pPr>
        <w:pStyle w:val="NormalWeb"/>
        <w:rPr>
          <w:u w:val="single"/>
        </w:rPr>
      </w:pPr>
      <w:r w:rsidRPr="00766772">
        <w:rPr>
          <w:u w:val="single"/>
        </w:rPr>
        <w:t>Conclusion</w:t>
      </w:r>
    </w:p>
    <w:p w14:paraId="64F32FE7" w14:textId="77777777" w:rsidR="00766772" w:rsidRDefault="00766772" w:rsidP="00766772">
      <w:pPr>
        <w:pStyle w:val="NormalWeb"/>
      </w:pPr>
      <w:r>
        <w:t xml:space="preserve">The evolution of Roman citizenship in the late Republic illustrates the intertwining of political contingency and cultural identity in ancient Rome. The Social War compelled Rome’s inhabitants to confront the tension of ruling an empire while confining citizenship to Romans, inevitably leading to revolutionary forms of expanding political inclusion. Despite deepening the political and social horizons of those granted citizenship, this moment differed </w:t>
      </w:r>
      <w:r>
        <w:lastRenderedPageBreak/>
        <w:t>from the evolution of democracy in terms of the connotation of the term, as the forces that enabled the empire to expand politically and culturally depicted layers of traditional forms that adapted to serve new imperial forms.</w:t>
      </w:r>
    </w:p>
    <w:p w14:paraId="6081A940" w14:textId="77777777" w:rsidR="00766772" w:rsidRDefault="00766772" w:rsidP="00766772">
      <w:pPr>
        <w:pStyle w:val="NormalWeb"/>
      </w:pPr>
      <w:r>
        <w:t>Roman elites could fashion citizenship and its meanings to maintain some control over their political and social hegemony while adjusting to political life in the late Republic. The eventual outcome was a complex system that offered real benefits while simultaneously subsidising the hierarchy levels, which further benefitted the elite. Ultimately, citizenship went a long way towards establishing institutions of loyalty and educational practices that allowed the Roman Empire to endure for generations.</w:t>
      </w:r>
    </w:p>
    <w:p w14:paraId="6946F183" w14:textId="77777777" w:rsidR="00766772" w:rsidRDefault="00766772" w:rsidP="00766772">
      <w:pPr>
        <w:pStyle w:val="NormalWeb"/>
      </w:pPr>
      <w:r>
        <w:t>The debates on citizenship in the late Republic open the space for us to think through larger contemporary questions of identity, inclusion, and power’s relationship. The Roman experience illustrates how political communities may re-invent inherited ideas to accommodate fresh challenges and simultaneously reveal the exigency of managing exclusive norms of citizenship expansion as they grapple with the tensions of managing unity in diversity and drawing nostalgic reminders of tradition while deploying new and innovative means.</w:t>
      </w:r>
    </w:p>
    <w:p w14:paraId="61AC12B1" w14:textId="455B2D82" w:rsidR="00766772" w:rsidRPr="00766772" w:rsidRDefault="00766772" w:rsidP="00766772">
      <w:pPr>
        <w:pStyle w:val="NormalWeb"/>
        <w:rPr>
          <w:u w:val="single"/>
        </w:rPr>
      </w:pPr>
      <w:r w:rsidRPr="00766772">
        <w:rPr>
          <w:u w:val="single"/>
        </w:rPr>
        <w:t>Bibliography</w:t>
      </w:r>
      <w:r>
        <w:rPr>
          <w:u w:val="single"/>
        </w:rPr>
        <w:t>:</w:t>
      </w:r>
    </w:p>
    <w:p w14:paraId="215603EB" w14:textId="77777777" w:rsidR="00766772" w:rsidRDefault="00766772" w:rsidP="00766772">
      <w:pPr>
        <w:pStyle w:val="NormalWeb"/>
      </w:pPr>
      <w:r>
        <w:t>Appian. The Civil Wars, translated by J. Carter. London: Penguin Classics, 1996.</w:t>
      </w:r>
    </w:p>
    <w:p w14:paraId="7BE10C42" w14:textId="77777777" w:rsidR="00766772" w:rsidRDefault="00766772" w:rsidP="00766772">
      <w:pPr>
        <w:pStyle w:val="NormalWeb"/>
      </w:pPr>
      <w:r>
        <w:t>Beard, Mary. SPQR: A History of Ancient Rome. London: Profile Books, 2015.</w:t>
      </w:r>
    </w:p>
    <w:p w14:paraId="03A04188" w14:textId="77777777" w:rsidR="00766772" w:rsidRDefault="00766772" w:rsidP="00766772">
      <w:pPr>
        <w:pStyle w:val="NormalWeb"/>
      </w:pPr>
      <w:r>
        <w:t xml:space="preserve">Cicero. Pro </w:t>
      </w:r>
      <w:proofErr w:type="spellStart"/>
      <w:r>
        <w:t>Archia</w:t>
      </w:r>
      <w:proofErr w:type="spellEnd"/>
      <w:r>
        <w:t>. Translated by H. Rackham. Cambridge, MA: Loeb Classical Library, 1927.</w:t>
      </w:r>
    </w:p>
    <w:p w14:paraId="35FEB421" w14:textId="77777777" w:rsidR="00766772" w:rsidRDefault="00766772" w:rsidP="00766772">
      <w:pPr>
        <w:pStyle w:val="NormalWeb"/>
      </w:pPr>
      <w:proofErr w:type="spellStart"/>
      <w:r>
        <w:t>Hölkeskamp</w:t>
      </w:r>
      <w:proofErr w:type="spellEnd"/>
      <w:r>
        <w:t>, Karl-Joachim. Reconstructing the Roman Republic: An Ancient Political Culture and Modern Research. Princeton: Princeton University Press, 2010.</w:t>
      </w:r>
    </w:p>
    <w:p w14:paraId="075138E6" w14:textId="77777777" w:rsidR="00766772" w:rsidRDefault="00766772" w:rsidP="00766772">
      <w:pPr>
        <w:pStyle w:val="NormalWeb"/>
      </w:pPr>
      <w:r>
        <w:t>Millar, Fergus. Crowds in Rome during the Late Republic Ann Arbour: University of Michigan Press, 1998.</w:t>
      </w:r>
    </w:p>
    <w:p w14:paraId="52007A0A" w14:textId="77777777" w:rsidR="00766772" w:rsidRDefault="00766772" w:rsidP="00766772">
      <w:pPr>
        <w:pStyle w:val="NormalWeb"/>
      </w:pPr>
      <w:r>
        <w:t>Plutarch. Parallel Lives. Translated by R. Perrin. Cambridge, MA: Loeb Classical Library, 1914.</w:t>
      </w:r>
    </w:p>
    <w:p w14:paraId="7756AB18" w14:textId="77777777" w:rsidR="00766772" w:rsidRDefault="00766772" w:rsidP="00766772">
      <w:pPr>
        <w:pStyle w:val="NormalWeb"/>
      </w:pPr>
      <w:r>
        <w:t>Wallace-Hadrill, Andrew. Rome’s Cultural Revolution. Cambridge: Cambridge University Press, 2008.</w:t>
      </w:r>
    </w:p>
    <w:p w14:paraId="42C15992" w14:textId="77777777" w:rsidR="00C35597" w:rsidRDefault="00C35597"/>
    <w:sectPr w:rsidR="00C35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772"/>
    <w:rsid w:val="00766772"/>
    <w:rsid w:val="00C35597"/>
    <w:rsid w:val="00C5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3AB2"/>
  <w15:chartTrackingRefBased/>
  <w15:docId w15:val="{FD3D2465-2A7C-48EE-8FFB-C149C08DF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6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772"/>
    <w:rPr>
      <w:rFonts w:eastAsiaTheme="majorEastAsia" w:cstheme="majorBidi"/>
      <w:color w:val="272727" w:themeColor="text1" w:themeTint="D8"/>
    </w:rPr>
  </w:style>
  <w:style w:type="paragraph" w:styleId="Title">
    <w:name w:val="Title"/>
    <w:basedOn w:val="Normal"/>
    <w:next w:val="Normal"/>
    <w:link w:val="TitleChar"/>
    <w:uiPriority w:val="10"/>
    <w:qFormat/>
    <w:rsid w:val="00766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772"/>
    <w:pPr>
      <w:spacing w:before="160"/>
      <w:jc w:val="center"/>
    </w:pPr>
    <w:rPr>
      <w:i/>
      <w:iCs/>
      <w:color w:val="404040" w:themeColor="text1" w:themeTint="BF"/>
    </w:rPr>
  </w:style>
  <w:style w:type="character" w:customStyle="1" w:styleId="QuoteChar">
    <w:name w:val="Quote Char"/>
    <w:basedOn w:val="DefaultParagraphFont"/>
    <w:link w:val="Quote"/>
    <w:uiPriority w:val="29"/>
    <w:rsid w:val="00766772"/>
    <w:rPr>
      <w:i/>
      <w:iCs/>
      <w:color w:val="404040" w:themeColor="text1" w:themeTint="BF"/>
    </w:rPr>
  </w:style>
  <w:style w:type="paragraph" w:styleId="ListParagraph">
    <w:name w:val="List Paragraph"/>
    <w:basedOn w:val="Normal"/>
    <w:uiPriority w:val="34"/>
    <w:qFormat/>
    <w:rsid w:val="00766772"/>
    <w:pPr>
      <w:ind w:left="720"/>
      <w:contextualSpacing/>
    </w:pPr>
  </w:style>
  <w:style w:type="character" w:styleId="IntenseEmphasis">
    <w:name w:val="Intense Emphasis"/>
    <w:basedOn w:val="DefaultParagraphFont"/>
    <w:uiPriority w:val="21"/>
    <w:qFormat/>
    <w:rsid w:val="00766772"/>
    <w:rPr>
      <w:i/>
      <w:iCs/>
      <w:color w:val="0F4761" w:themeColor="accent1" w:themeShade="BF"/>
    </w:rPr>
  </w:style>
  <w:style w:type="paragraph" w:styleId="IntenseQuote">
    <w:name w:val="Intense Quote"/>
    <w:basedOn w:val="Normal"/>
    <w:next w:val="Normal"/>
    <w:link w:val="IntenseQuoteChar"/>
    <w:uiPriority w:val="30"/>
    <w:qFormat/>
    <w:rsid w:val="00766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772"/>
    <w:rPr>
      <w:i/>
      <w:iCs/>
      <w:color w:val="0F4761" w:themeColor="accent1" w:themeShade="BF"/>
    </w:rPr>
  </w:style>
  <w:style w:type="character" w:styleId="IntenseReference">
    <w:name w:val="Intense Reference"/>
    <w:basedOn w:val="DefaultParagraphFont"/>
    <w:uiPriority w:val="32"/>
    <w:qFormat/>
    <w:rsid w:val="00766772"/>
    <w:rPr>
      <w:b/>
      <w:bCs/>
      <w:smallCaps/>
      <w:color w:val="0F4761" w:themeColor="accent1" w:themeShade="BF"/>
      <w:spacing w:val="5"/>
    </w:rPr>
  </w:style>
  <w:style w:type="paragraph" w:styleId="NormalWeb">
    <w:name w:val="Normal (Web)"/>
    <w:basedOn w:val="Normal"/>
    <w:uiPriority w:val="99"/>
    <w:semiHidden/>
    <w:unhideWhenUsed/>
    <w:rsid w:val="007667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923376">
      <w:bodyDiv w:val="1"/>
      <w:marLeft w:val="0"/>
      <w:marRight w:val="0"/>
      <w:marTop w:val="0"/>
      <w:marBottom w:val="0"/>
      <w:divBdr>
        <w:top w:val="none" w:sz="0" w:space="0" w:color="auto"/>
        <w:left w:val="none" w:sz="0" w:space="0" w:color="auto"/>
        <w:bottom w:val="none" w:sz="0" w:space="0" w:color="auto"/>
        <w:right w:val="none" w:sz="0" w:space="0" w:color="auto"/>
      </w:divBdr>
    </w:div>
    <w:div w:id="894589701">
      <w:bodyDiv w:val="1"/>
      <w:marLeft w:val="0"/>
      <w:marRight w:val="0"/>
      <w:marTop w:val="0"/>
      <w:marBottom w:val="0"/>
      <w:divBdr>
        <w:top w:val="none" w:sz="0" w:space="0" w:color="auto"/>
        <w:left w:val="none" w:sz="0" w:space="0" w:color="auto"/>
        <w:bottom w:val="none" w:sz="0" w:space="0" w:color="auto"/>
        <w:right w:val="none" w:sz="0" w:space="0" w:color="auto"/>
      </w:divBdr>
    </w:div>
    <w:div w:id="2058553943">
      <w:bodyDiv w:val="1"/>
      <w:marLeft w:val="0"/>
      <w:marRight w:val="0"/>
      <w:marTop w:val="0"/>
      <w:marBottom w:val="0"/>
      <w:divBdr>
        <w:top w:val="none" w:sz="0" w:space="0" w:color="auto"/>
        <w:left w:val="none" w:sz="0" w:space="0" w:color="auto"/>
        <w:bottom w:val="none" w:sz="0" w:space="0" w:color="auto"/>
        <w:right w:val="none" w:sz="0" w:space="0" w:color="auto"/>
      </w:divBdr>
    </w:div>
    <w:div w:id="2074157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1727</Words>
  <Characters>9847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2025-07-29T18:24:00Z</dcterms:created>
  <dcterms:modified xsi:type="dcterms:W3CDTF">2025-07-29T19:10:00Z</dcterms:modified>
</cp:coreProperties>
</file>