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B74DB" w14:textId="77777777" w:rsidR="00FE05BD" w:rsidRDefault="00FE05BD">
      <w:pPr>
        <w:spacing w:line="360" w:lineRule="auto"/>
        <w:jc w:val="center"/>
        <w:rPr>
          <w:rFonts w:ascii="Times New Roman" w:eastAsia="Times New Roman" w:hAnsi="Times New Roman" w:cs="Times New Roman"/>
          <w:b/>
          <w:sz w:val="44"/>
          <w:szCs w:val="44"/>
        </w:rPr>
      </w:pPr>
      <w:bookmarkStart w:id="0" w:name="_gjdgxs" w:colFirst="0" w:colLast="0"/>
      <w:bookmarkEnd w:id="0"/>
    </w:p>
    <w:p w14:paraId="3836B664" w14:textId="77777777" w:rsidR="00FE05BD" w:rsidRDefault="00FE05BD">
      <w:pPr>
        <w:spacing w:line="360" w:lineRule="auto"/>
        <w:jc w:val="center"/>
        <w:rPr>
          <w:rFonts w:ascii="Times New Roman" w:eastAsia="Times New Roman" w:hAnsi="Times New Roman" w:cs="Times New Roman"/>
          <w:b/>
          <w:sz w:val="44"/>
          <w:szCs w:val="44"/>
        </w:rPr>
      </w:pPr>
    </w:p>
    <w:p w14:paraId="5EEE8C31" w14:textId="6629C8A5" w:rsidR="00F95394" w:rsidRDefault="00000000">
      <w:pPr>
        <w:spacing w:line="360" w:lineRule="auto"/>
        <w:jc w:val="center"/>
        <w:rPr>
          <w:rFonts w:ascii="Times New Roman" w:eastAsia="Times New Roman" w:hAnsi="Times New Roman" w:cs="Times New Roman"/>
          <w:b/>
          <w:sz w:val="44"/>
          <w:szCs w:val="44"/>
        </w:rPr>
      </w:pPr>
      <w:r w:rsidRPr="00FE05BD">
        <w:rPr>
          <w:rFonts w:ascii="Times New Roman" w:eastAsia="Times New Roman" w:hAnsi="Times New Roman" w:cs="Times New Roman"/>
          <w:b/>
          <w:sz w:val="44"/>
          <w:szCs w:val="44"/>
        </w:rPr>
        <w:t>Accounting Fundamentals</w:t>
      </w:r>
    </w:p>
    <w:p w14:paraId="6C03466B" w14:textId="77777777" w:rsidR="00FE05BD" w:rsidRDefault="00FE05BD">
      <w:pPr>
        <w:spacing w:line="360" w:lineRule="auto"/>
        <w:jc w:val="center"/>
        <w:rPr>
          <w:rFonts w:ascii="Times New Roman" w:eastAsia="Times New Roman" w:hAnsi="Times New Roman" w:cs="Times New Roman"/>
          <w:b/>
          <w:sz w:val="44"/>
          <w:szCs w:val="44"/>
        </w:rPr>
      </w:pPr>
    </w:p>
    <w:p w14:paraId="6C5058DA" w14:textId="77777777" w:rsidR="00FE05BD" w:rsidRPr="009C10D6" w:rsidRDefault="00FE05BD" w:rsidP="00FE05BD">
      <w:pPr>
        <w:spacing w:line="360" w:lineRule="auto"/>
        <w:jc w:val="center"/>
        <w:rPr>
          <w:rFonts w:ascii="Times New Roman" w:hAnsi="Times New Roman" w:cs="Times New Roman"/>
          <w:b/>
          <w:bCs/>
          <w:sz w:val="24"/>
          <w:szCs w:val="24"/>
        </w:rPr>
      </w:pPr>
      <w:r w:rsidRPr="009C10D6">
        <w:rPr>
          <w:rFonts w:ascii="Times New Roman" w:hAnsi="Times New Roman" w:cs="Times New Roman"/>
          <w:b/>
          <w:bCs/>
          <w:sz w:val="24"/>
          <w:szCs w:val="24"/>
        </w:rPr>
        <w:t>Student name</w:t>
      </w:r>
      <w:r>
        <w:rPr>
          <w:rFonts w:ascii="Times New Roman" w:hAnsi="Times New Roman" w:cs="Times New Roman"/>
          <w:b/>
          <w:bCs/>
          <w:sz w:val="24"/>
          <w:szCs w:val="24"/>
        </w:rPr>
        <w:t xml:space="preserve"> </w:t>
      </w:r>
      <w:r w:rsidRPr="009C10D6">
        <w:rPr>
          <w:rFonts w:ascii="Times New Roman" w:hAnsi="Times New Roman" w:cs="Times New Roman"/>
          <w:b/>
          <w:bCs/>
          <w:sz w:val="24"/>
          <w:szCs w:val="24"/>
        </w:rPr>
        <w:t xml:space="preserve">George </w:t>
      </w:r>
      <w:proofErr w:type="spellStart"/>
      <w:r w:rsidRPr="009C10D6">
        <w:rPr>
          <w:rFonts w:ascii="Times New Roman" w:hAnsi="Times New Roman" w:cs="Times New Roman"/>
          <w:b/>
          <w:bCs/>
          <w:sz w:val="24"/>
          <w:szCs w:val="24"/>
        </w:rPr>
        <w:t>Nitulescu</w:t>
      </w:r>
      <w:proofErr w:type="spellEnd"/>
    </w:p>
    <w:p w14:paraId="616D87AC" w14:textId="77777777" w:rsidR="00FE05BD" w:rsidRDefault="00FE05BD" w:rsidP="00FE05BD">
      <w:pPr>
        <w:spacing w:line="360" w:lineRule="auto"/>
        <w:jc w:val="center"/>
        <w:rPr>
          <w:rFonts w:ascii="Times New Roman" w:hAnsi="Times New Roman" w:cs="Times New Roman"/>
          <w:b/>
          <w:bCs/>
          <w:sz w:val="24"/>
          <w:szCs w:val="24"/>
        </w:rPr>
      </w:pPr>
      <w:r w:rsidRPr="009C10D6">
        <w:rPr>
          <w:rFonts w:ascii="Times New Roman" w:hAnsi="Times New Roman" w:cs="Times New Roman"/>
          <w:b/>
          <w:bCs/>
          <w:sz w:val="24"/>
          <w:szCs w:val="24"/>
        </w:rPr>
        <w:t>Dat</w:t>
      </w:r>
      <w:r>
        <w:rPr>
          <w:rFonts w:ascii="Times New Roman" w:hAnsi="Times New Roman" w:cs="Times New Roman"/>
          <w:b/>
          <w:bCs/>
          <w:sz w:val="24"/>
          <w:szCs w:val="24"/>
        </w:rPr>
        <w:t>e</w:t>
      </w:r>
      <w:r w:rsidRPr="009C10D6">
        <w:rPr>
          <w:rFonts w:ascii="Times New Roman" w:hAnsi="Times New Roman" w:cs="Times New Roman"/>
          <w:b/>
          <w:bCs/>
          <w:sz w:val="24"/>
          <w:szCs w:val="24"/>
        </w:rPr>
        <w:t>:</w:t>
      </w:r>
      <w:r>
        <w:rPr>
          <w:rFonts w:ascii="Times New Roman" w:hAnsi="Times New Roman" w:cs="Times New Roman"/>
          <w:b/>
          <w:bCs/>
          <w:sz w:val="24"/>
          <w:szCs w:val="24"/>
        </w:rPr>
        <w:t xml:space="preserve"> 05.01.2023</w:t>
      </w:r>
    </w:p>
    <w:p w14:paraId="41FAC1A7" w14:textId="77777777" w:rsidR="00FE05BD" w:rsidRPr="009C10D6" w:rsidRDefault="00FE05BD" w:rsidP="00FE05B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ID:</w:t>
      </w:r>
      <w:r w:rsidRPr="009C10D6">
        <w:rPr>
          <w:rFonts w:ascii="Times New Roman" w:hAnsi="Times New Roman" w:cs="Times New Roman"/>
          <w:b/>
          <w:bCs/>
          <w:sz w:val="24"/>
          <w:szCs w:val="24"/>
        </w:rPr>
        <w:t xml:space="preserve"> 2123688</w:t>
      </w:r>
    </w:p>
    <w:p w14:paraId="6857FB01" w14:textId="77777777" w:rsidR="00FE05BD" w:rsidRPr="00FE05BD" w:rsidRDefault="00FE05BD">
      <w:pPr>
        <w:spacing w:line="360" w:lineRule="auto"/>
        <w:jc w:val="center"/>
        <w:rPr>
          <w:rFonts w:ascii="Times New Roman" w:eastAsia="Times New Roman" w:hAnsi="Times New Roman" w:cs="Times New Roman"/>
          <w:b/>
          <w:sz w:val="44"/>
          <w:szCs w:val="44"/>
        </w:rPr>
      </w:pPr>
    </w:p>
    <w:p w14:paraId="00852F49" w14:textId="77777777" w:rsidR="00F95394" w:rsidRDefault="00F95394">
      <w:pPr>
        <w:spacing w:line="360" w:lineRule="auto"/>
        <w:jc w:val="center"/>
        <w:rPr>
          <w:rFonts w:ascii="Times New Roman" w:eastAsia="Times New Roman" w:hAnsi="Times New Roman" w:cs="Times New Roman"/>
          <w:b/>
          <w:sz w:val="24"/>
          <w:szCs w:val="24"/>
        </w:rPr>
      </w:pPr>
      <w:bookmarkStart w:id="1" w:name="_4lba7uavtb0b" w:colFirst="0" w:colLast="0"/>
      <w:bookmarkEnd w:id="1"/>
    </w:p>
    <w:p w14:paraId="1073C430" w14:textId="77777777" w:rsidR="00F95394" w:rsidRDefault="00F95394">
      <w:pPr>
        <w:spacing w:line="360" w:lineRule="auto"/>
        <w:jc w:val="center"/>
        <w:rPr>
          <w:rFonts w:ascii="Times New Roman" w:eastAsia="Times New Roman" w:hAnsi="Times New Roman" w:cs="Times New Roman"/>
          <w:b/>
          <w:sz w:val="24"/>
          <w:szCs w:val="24"/>
        </w:rPr>
      </w:pPr>
      <w:bookmarkStart w:id="2" w:name="_ghmjlwho8rqr" w:colFirst="0" w:colLast="0"/>
      <w:bookmarkEnd w:id="2"/>
    </w:p>
    <w:p w14:paraId="1DC46675" w14:textId="77777777" w:rsidR="00F95394" w:rsidRDefault="00F95394">
      <w:pPr>
        <w:spacing w:line="360" w:lineRule="auto"/>
        <w:jc w:val="both"/>
        <w:rPr>
          <w:rFonts w:ascii="Times New Roman" w:eastAsia="Times New Roman" w:hAnsi="Times New Roman" w:cs="Times New Roman"/>
          <w:sz w:val="24"/>
          <w:szCs w:val="24"/>
        </w:rPr>
      </w:pPr>
    </w:p>
    <w:p w14:paraId="129B4CFB" w14:textId="77777777" w:rsidR="00F95394" w:rsidRDefault="00F95394">
      <w:pPr>
        <w:spacing w:line="360" w:lineRule="auto"/>
        <w:jc w:val="both"/>
        <w:rPr>
          <w:rFonts w:ascii="Times New Roman" w:eastAsia="Times New Roman" w:hAnsi="Times New Roman" w:cs="Times New Roman"/>
          <w:sz w:val="24"/>
          <w:szCs w:val="24"/>
        </w:rPr>
      </w:pPr>
    </w:p>
    <w:p w14:paraId="6AE505AF" w14:textId="77777777" w:rsidR="00F95394" w:rsidRDefault="00000000">
      <w:pPr>
        <w:spacing w:line="360" w:lineRule="auto"/>
        <w:jc w:val="both"/>
        <w:rPr>
          <w:rFonts w:ascii="Times New Roman" w:eastAsia="Times New Roman" w:hAnsi="Times New Roman" w:cs="Times New Roman"/>
          <w:b/>
          <w:sz w:val="24"/>
          <w:szCs w:val="24"/>
        </w:rPr>
      </w:pPr>
      <w:r>
        <w:br w:type="page"/>
      </w:r>
    </w:p>
    <w:p w14:paraId="6F17F5DE" w14:textId="77777777" w:rsidR="00F95394" w:rsidRDefault="00000000">
      <w:pPr>
        <w:keepNext/>
        <w:keepLines/>
        <w:pBdr>
          <w:top w:val="nil"/>
          <w:left w:val="nil"/>
          <w:bottom w:val="nil"/>
          <w:right w:val="nil"/>
          <w:between w:val="nil"/>
        </w:pBdr>
        <w:spacing w:before="240" w:after="0"/>
        <w:rPr>
          <w:color w:val="2F5496"/>
          <w:sz w:val="32"/>
          <w:szCs w:val="32"/>
        </w:rPr>
      </w:pPr>
      <w:r>
        <w:rPr>
          <w:color w:val="2F5496"/>
          <w:sz w:val="32"/>
          <w:szCs w:val="32"/>
        </w:rPr>
        <w:lastRenderedPageBreak/>
        <w:t>Contents</w:t>
      </w:r>
    </w:p>
    <w:sdt>
      <w:sdtPr>
        <w:id w:val="1427539097"/>
        <w:docPartObj>
          <w:docPartGallery w:val="Table of Contents"/>
          <w:docPartUnique/>
        </w:docPartObj>
      </w:sdtPr>
      <w:sdtContent>
        <w:p w14:paraId="5A61FE8B" w14:textId="0A3475D7" w:rsidR="00FE05BD" w:rsidRDefault="00000000">
          <w:pPr>
            <w:pStyle w:val="TOC1"/>
            <w:tabs>
              <w:tab w:val="right" w:pos="9350"/>
            </w:tabs>
            <w:rPr>
              <w:noProof/>
            </w:rPr>
          </w:pPr>
          <w:r>
            <w:fldChar w:fldCharType="begin"/>
          </w:r>
          <w:r>
            <w:instrText xml:space="preserve"> TOC \h \u \z </w:instrText>
          </w:r>
          <w:r>
            <w:fldChar w:fldCharType="separate"/>
          </w:r>
          <w:hyperlink w:anchor="_Toc123837348" w:history="1">
            <w:r w:rsidR="00FE05BD" w:rsidRPr="001D663C">
              <w:rPr>
                <w:rStyle w:val="Hyperlink"/>
                <w:b/>
                <w:noProof/>
              </w:rPr>
              <w:t>Introduction</w:t>
            </w:r>
            <w:r w:rsidR="00FE05BD">
              <w:rPr>
                <w:noProof/>
                <w:webHidden/>
              </w:rPr>
              <w:tab/>
            </w:r>
            <w:r w:rsidR="00FE05BD">
              <w:rPr>
                <w:noProof/>
                <w:webHidden/>
              </w:rPr>
              <w:fldChar w:fldCharType="begin"/>
            </w:r>
            <w:r w:rsidR="00FE05BD">
              <w:rPr>
                <w:noProof/>
                <w:webHidden/>
              </w:rPr>
              <w:instrText xml:space="preserve"> PAGEREF _Toc123837348 \h </w:instrText>
            </w:r>
            <w:r w:rsidR="00FE05BD">
              <w:rPr>
                <w:noProof/>
                <w:webHidden/>
              </w:rPr>
            </w:r>
            <w:r w:rsidR="00FE05BD">
              <w:rPr>
                <w:noProof/>
                <w:webHidden/>
              </w:rPr>
              <w:fldChar w:fldCharType="separate"/>
            </w:r>
            <w:r w:rsidR="00FE05BD">
              <w:rPr>
                <w:noProof/>
                <w:webHidden/>
              </w:rPr>
              <w:t>3</w:t>
            </w:r>
            <w:r w:rsidR="00FE05BD">
              <w:rPr>
                <w:noProof/>
                <w:webHidden/>
              </w:rPr>
              <w:fldChar w:fldCharType="end"/>
            </w:r>
          </w:hyperlink>
        </w:p>
        <w:p w14:paraId="7C6F06B0" w14:textId="22A5D009" w:rsidR="00FE05BD" w:rsidRDefault="00FE05BD">
          <w:pPr>
            <w:pStyle w:val="TOC1"/>
            <w:tabs>
              <w:tab w:val="right" w:pos="9350"/>
            </w:tabs>
            <w:rPr>
              <w:noProof/>
            </w:rPr>
          </w:pPr>
          <w:hyperlink w:anchor="_Toc123837349" w:history="1">
            <w:r w:rsidRPr="001D663C">
              <w:rPr>
                <w:rStyle w:val="Hyperlink"/>
                <w:b/>
                <w:noProof/>
              </w:rPr>
              <w:t>Question one</w:t>
            </w:r>
            <w:r>
              <w:rPr>
                <w:noProof/>
                <w:webHidden/>
              </w:rPr>
              <w:tab/>
            </w:r>
            <w:r>
              <w:rPr>
                <w:noProof/>
                <w:webHidden/>
              </w:rPr>
              <w:fldChar w:fldCharType="begin"/>
            </w:r>
            <w:r>
              <w:rPr>
                <w:noProof/>
                <w:webHidden/>
              </w:rPr>
              <w:instrText xml:space="preserve"> PAGEREF _Toc123837349 \h </w:instrText>
            </w:r>
            <w:r>
              <w:rPr>
                <w:noProof/>
                <w:webHidden/>
              </w:rPr>
            </w:r>
            <w:r>
              <w:rPr>
                <w:noProof/>
                <w:webHidden/>
              </w:rPr>
              <w:fldChar w:fldCharType="separate"/>
            </w:r>
            <w:r>
              <w:rPr>
                <w:noProof/>
                <w:webHidden/>
              </w:rPr>
              <w:t>4</w:t>
            </w:r>
            <w:r>
              <w:rPr>
                <w:noProof/>
                <w:webHidden/>
              </w:rPr>
              <w:fldChar w:fldCharType="end"/>
            </w:r>
          </w:hyperlink>
        </w:p>
        <w:p w14:paraId="4A60993B" w14:textId="2AD352A9" w:rsidR="00FE05BD" w:rsidRDefault="00FE05BD">
          <w:pPr>
            <w:pStyle w:val="TOC2"/>
            <w:tabs>
              <w:tab w:val="right" w:pos="9350"/>
            </w:tabs>
            <w:rPr>
              <w:noProof/>
            </w:rPr>
          </w:pPr>
          <w:hyperlink w:anchor="_Toc123837350" w:history="1">
            <w:r w:rsidRPr="001D663C">
              <w:rPr>
                <w:rStyle w:val="Hyperlink"/>
                <w:b/>
                <w:noProof/>
              </w:rPr>
              <w:t>Income Statement For Wales Plc</w:t>
            </w:r>
            <w:r>
              <w:rPr>
                <w:noProof/>
                <w:webHidden/>
              </w:rPr>
              <w:tab/>
            </w:r>
            <w:r>
              <w:rPr>
                <w:noProof/>
                <w:webHidden/>
              </w:rPr>
              <w:fldChar w:fldCharType="begin"/>
            </w:r>
            <w:r>
              <w:rPr>
                <w:noProof/>
                <w:webHidden/>
              </w:rPr>
              <w:instrText xml:space="preserve"> PAGEREF _Toc123837350 \h </w:instrText>
            </w:r>
            <w:r>
              <w:rPr>
                <w:noProof/>
                <w:webHidden/>
              </w:rPr>
            </w:r>
            <w:r>
              <w:rPr>
                <w:noProof/>
                <w:webHidden/>
              </w:rPr>
              <w:fldChar w:fldCharType="separate"/>
            </w:r>
            <w:r>
              <w:rPr>
                <w:noProof/>
                <w:webHidden/>
              </w:rPr>
              <w:t>4</w:t>
            </w:r>
            <w:r>
              <w:rPr>
                <w:noProof/>
                <w:webHidden/>
              </w:rPr>
              <w:fldChar w:fldCharType="end"/>
            </w:r>
          </w:hyperlink>
        </w:p>
        <w:p w14:paraId="76E339AE" w14:textId="036CBE00" w:rsidR="00FE05BD" w:rsidRDefault="00FE05BD">
          <w:pPr>
            <w:pStyle w:val="TOC2"/>
            <w:tabs>
              <w:tab w:val="right" w:pos="9350"/>
            </w:tabs>
            <w:rPr>
              <w:noProof/>
            </w:rPr>
          </w:pPr>
          <w:hyperlink w:anchor="_Toc123837351" w:history="1">
            <w:r w:rsidRPr="001D663C">
              <w:rPr>
                <w:rStyle w:val="Hyperlink"/>
                <w:b/>
                <w:noProof/>
              </w:rPr>
              <w:t>Why does the statement of financial position balance?</w:t>
            </w:r>
            <w:r>
              <w:rPr>
                <w:noProof/>
                <w:webHidden/>
              </w:rPr>
              <w:tab/>
            </w:r>
            <w:r>
              <w:rPr>
                <w:noProof/>
                <w:webHidden/>
              </w:rPr>
              <w:fldChar w:fldCharType="begin"/>
            </w:r>
            <w:r>
              <w:rPr>
                <w:noProof/>
                <w:webHidden/>
              </w:rPr>
              <w:instrText xml:space="preserve"> PAGEREF _Toc123837351 \h </w:instrText>
            </w:r>
            <w:r>
              <w:rPr>
                <w:noProof/>
                <w:webHidden/>
              </w:rPr>
            </w:r>
            <w:r>
              <w:rPr>
                <w:noProof/>
                <w:webHidden/>
              </w:rPr>
              <w:fldChar w:fldCharType="separate"/>
            </w:r>
            <w:r>
              <w:rPr>
                <w:noProof/>
                <w:webHidden/>
              </w:rPr>
              <w:t>5</w:t>
            </w:r>
            <w:r>
              <w:rPr>
                <w:noProof/>
                <w:webHidden/>
              </w:rPr>
              <w:fldChar w:fldCharType="end"/>
            </w:r>
          </w:hyperlink>
        </w:p>
        <w:p w14:paraId="0628D2D5" w14:textId="33FAA19E" w:rsidR="00FE05BD" w:rsidRDefault="00FE05BD">
          <w:pPr>
            <w:pStyle w:val="TOC1"/>
            <w:tabs>
              <w:tab w:val="right" w:pos="9350"/>
            </w:tabs>
            <w:rPr>
              <w:noProof/>
            </w:rPr>
          </w:pPr>
          <w:hyperlink w:anchor="_Toc123837352" w:history="1">
            <w:r w:rsidRPr="001D663C">
              <w:rPr>
                <w:rStyle w:val="Hyperlink"/>
                <w:b/>
                <w:noProof/>
              </w:rPr>
              <w:t>Question Two</w:t>
            </w:r>
            <w:r>
              <w:rPr>
                <w:noProof/>
                <w:webHidden/>
              </w:rPr>
              <w:tab/>
            </w:r>
            <w:r>
              <w:rPr>
                <w:noProof/>
                <w:webHidden/>
              </w:rPr>
              <w:fldChar w:fldCharType="begin"/>
            </w:r>
            <w:r>
              <w:rPr>
                <w:noProof/>
                <w:webHidden/>
              </w:rPr>
              <w:instrText xml:space="preserve"> PAGEREF _Toc123837352 \h </w:instrText>
            </w:r>
            <w:r>
              <w:rPr>
                <w:noProof/>
                <w:webHidden/>
              </w:rPr>
            </w:r>
            <w:r>
              <w:rPr>
                <w:noProof/>
                <w:webHidden/>
              </w:rPr>
              <w:fldChar w:fldCharType="separate"/>
            </w:r>
            <w:r>
              <w:rPr>
                <w:noProof/>
                <w:webHidden/>
              </w:rPr>
              <w:t>7</w:t>
            </w:r>
            <w:r>
              <w:rPr>
                <w:noProof/>
                <w:webHidden/>
              </w:rPr>
              <w:fldChar w:fldCharType="end"/>
            </w:r>
          </w:hyperlink>
        </w:p>
        <w:p w14:paraId="672CEA5A" w14:textId="6129356F" w:rsidR="00FE05BD" w:rsidRDefault="00FE05BD">
          <w:pPr>
            <w:pStyle w:val="TOC2"/>
            <w:tabs>
              <w:tab w:val="right" w:pos="9350"/>
            </w:tabs>
            <w:rPr>
              <w:noProof/>
            </w:rPr>
          </w:pPr>
          <w:hyperlink w:anchor="_Toc123837353" w:history="1">
            <w:r w:rsidRPr="001D663C">
              <w:rPr>
                <w:rStyle w:val="Hyperlink"/>
                <w:b/>
                <w:noProof/>
              </w:rPr>
              <w:t>Calculate the following ratios for Sweets plc for 2021 and 2020</w:t>
            </w:r>
            <w:r>
              <w:rPr>
                <w:noProof/>
                <w:webHidden/>
              </w:rPr>
              <w:tab/>
            </w:r>
            <w:r>
              <w:rPr>
                <w:noProof/>
                <w:webHidden/>
              </w:rPr>
              <w:fldChar w:fldCharType="begin"/>
            </w:r>
            <w:r>
              <w:rPr>
                <w:noProof/>
                <w:webHidden/>
              </w:rPr>
              <w:instrText xml:space="preserve"> PAGEREF _Toc123837353 \h </w:instrText>
            </w:r>
            <w:r>
              <w:rPr>
                <w:noProof/>
                <w:webHidden/>
              </w:rPr>
            </w:r>
            <w:r>
              <w:rPr>
                <w:noProof/>
                <w:webHidden/>
              </w:rPr>
              <w:fldChar w:fldCharType="separate"/>
            </w:r>
            <w:r>
              <w:rPr>
                <w:noProof/>
                <w:webHidden/>
              </w:rPr>
              <w:t>7</w:t>
            </w:r>
            <w:r>
              <w:rPr>
                <w:noProof/>
                <w:webHidden/>
              </w:rPr>
              <w:fldChar w:fldCharType="end"/>
            </w:r>
          </w:hyperlink>
        </w:p>
        <w:p w14:paraId="412768A5" w14:textId="3B4F022C" w:rsidR="00FE05BD" w:rsidRDefault="00FE05BD">
          <w:pPr>
            <w:pStyle w:val="TOC2"/>
            <w:tabs>
              <w:tab w:val="right" w:pos="9350"/>
            </w:tabs>
            <w:rPr>
              <w:noProof/>
            </w:rPr>
          </w:pPr>
          <w:hyperlink w:anchor="_Toc123837354" w:history="1">
            <w:r w:rsidRPr="001D663C">
              <w:rPr>
                <w:rStyle w:val="Hyperlink"/>
                <w:b/>
                <w:noProof/>
              </w:rPr>
              <w:t>Financial performance and position of Sweet’s plc.</w:t>
            </w:r>
            <w:r>
              <w:rPr>
                <w:noProof/>
                <w:webHidden/>
              </w:rPr>
              <w:tab/>
            </w:r>
            <w:r>
              <w:rPr>
                <w:noProof/>
                <w:webHidden/>
              </w:rPr>
              <w:fldChar w:fldCharType="begin"/>
            </w:r>
            <w:r>
              <w:rPr>
                <w:noProof/>
                <w:webHidden/>
              </w:rPr>
              <w:instrText xml:space="preserve"> PAGEREF _Toc123837354 \h </w:instrText>
            </w:r>
            <w:r>
              <w:rPr>
                <w:noProof/>
                <w:webHidden/>
              </w:rPr>
            </w:r>
            <w:r>
              <w:rPr>
                <w:noProof/>
                <w:webHidden/>
              </w:rPr>
              <w:fldChar w:fldCharType="separate"/>
            </w:r>
            <w:r>
              <w:rPr>
                <w:noProof/>
                <w:webHidden/>
              </w:rPr>
              <w:t>12</w:t>
            </w:r>
            <w:r>
              <w:rPr>
                <w:noProof/>
                <w:webHidden/>
              </w:rPr>
              <w:fldChar w:fldCharType="end"/>
            </w:r>
          </w:hyperlink>
        </w:p>
        <w:p w14:paraId="1FE655A3" w14:textId="2FF0B20F" w:rsidR="00FE05BD" w:rsidRDefault="00FE05BD">
          <w:pPr>
            <w:pStyle w:val="TOC1"/>
            <w:tabs>
              <w:tab w:val="right" w:pos="9350"/>
            </w:tabs>
            <w:rPr>
              <w:noProof/>
            </w:rPr>
          </w:pPr>
          <w:hyperlink w:anchor="_Toc123837355" w:history="1">
            <w:r w:rsidRPr="001D663C">
              <w:rPr>
                <w:rStyle w:val="Hyperlink"/>
                <w:b/>
                <w:noProof/>
              </w:rPr>
              <w:t>Conclusion</w:t>
            </w:r>
            <w:r>
              <w:rPr>
                <w:noProof/>
                <w:webHidden/>
              </w:rPr>
              <w:tab/>
            </w:r>
            <w:r>
              <w:rPr>
                <w:noProof/>
                <w:webHidden/>
              </w:rPr>
              <w:fldChar w:fldCharType="begin"/>
            </w:r>
            <w:r>
              <w:rPr>
                <w:noProof/>
                <w:webHidden/>
              </w:rPr>
              <w:instrText xml:space="preserve"> PAGEREF _Toc123837355 \h </w:instrText>
            </w:r>
            <w:r>
              <w:rPr>
                <w:noProof/>
                <w:webHidden/>
              </w:rPr>
            </w:r>
            <w:r>
              <w:rPr>
                <w:noProof/>
                <w:webHidden/>
              </w:rPr>
              <w:fldChar w:fldCharType="separate"/>
            </w:r>
            <w:r>
              <w:rPr>
                <w:noProof/>
                <w:webHidden/>
              </w:rPr>
              <w:t>14</w:t>
            </w:r>
            <w:r>
              <w:rPr>
                <w:noProof/>
                <w:webHidden/>
              </w:rPr>
              <w:fldChar w:fldCharType="end"/>
            </w:r>
          </w:hyperlink>
        </w:p>
        <w:p w14:paraId="627023EE" w14:textId="45153282" w:rsidR="00FE05BD" w:rsidRDefault="00FE05BD">
          <w:pPr>
            <w:pStyle w:val="TOC1"/>
            <w:tabs>
              <w:tab w:val="right" w:pos="9350"/>
            </w:tabs>
            <w:rPr>
              <w:noProof/>
            </w:rPr>
          </w:pPr>
          <w:hyperlink w:anchor="_Toc123837356" w:history="1">
            <w:r w:rsidRPr="001D663C">
              <w:rPr>
                <w:rStyle w:val="Hyperlink"/>
                <w:b/>
                <w:noProof/>
              </w:rPr>
              <w:t>Reference</w:t>
            </w:r>
            <w:r>
              <w:rPr>
                <w:noProof/>
                <w:webHidden/>
              </w:rPr>
              <w:tab/>
            </w:r>
            <w:r>
              <w:rPr>
                <w:noProof/>
                <w:webHidden/>
              </w:rPr>
              <w:fldChar w:fldCharType="begin"/>
            </w:r>
            <w:r>
              <w:rPr>
                <w:noProof/>
                <w:webHidden/>
              </w:rPr>
              <w:instrText xml:space="preserve"> PAGEREF _Toc123837356 \h </w:instrText>
            </w:r>
            <w:r>
              <w:rPr>
                <w:noProof/>
                <w:webHidden/>
              </w:rPr>
            </w:r>
            <w:r>
              <w:rPr>
                <w:noProof/>
                <w:webHidden/>
              </w:rPr>
              <w:fldChar w:fldCharType="separate"/>
            </w:r>
            <w:r>
              <w:rPr>
                <w:noProof/>
                <w:webHidden/>
              </w:rPr>
              <w:t>15</w:t>
            </w:r>
            <w:r>
              <w:rPr>
                <w:noProof/>
                <w:webHidden/>
              </w:rPr>
              <w:fldChar w:fldCharType="end"/>
            </w:r>
          </w:hyperlink>
        </w:p>
        <w:p w14:paraId="0CD52413" w14:textId="031F59E0" w:rsidR="00F95394" w:rsidRDefault="00000000">
          <w:pPr>
            <w:rPr>
              <w:sz w:val="24"/>
              <w:szCs w:val="24"/>
            </w:rPr>
          </w:pPr>
          <w:r>
            <w:fldChar w:fldCharType="end"/>
          </w:r>
        </w:p>
      </w:sdtContent>
    </w:sdt>
    <w:p w14:paraId="67D59CA1" w14:textId="77777777" w:rsidR="00F95394" w:rsidRDefault="00000000">
      <w:pPr>
        <w:spacing w:line="360" w:lineRule="auto"/>
        <w:jc w:val="both"/>
        <w:rPr>
          <w:rFonts w:ascii="Times New Roman" w:eastAsia="Times New Roman" w:hAnsi="Times New Roman" w:cs="Times New Roman"/>
          <w:b/>
          <w:sz w:val="24"/>
          <w:szCs w:val="24"/>
        </w:rPr>
      </w:pPr>
      <w:r>
        <w:br w:type="page"/>
      </w:r>
    </w:p>
    <w:p w14:paraId="08E6C161" w14:textId="77777777" w:rsidR="00F95394" w:rsidRDefault="00000000">
      <w:pPr>
        <w:pStyle w:val="Heading1"/>
        <w:jc w:val="both"/>
        <w:rPr>
          <w:b/>
        </w:rPr>
      </w:pPr>
      <w:bookmarkStart w:id="3" w:name="_Toc123837348"/>
      <w:r>
        <w:rPr>
          <w:b/>
        </w:rPr>
        <w:t>Introduction</w:t>
      </w:r>
      <w:bookmarkEnd w:id="3"/>
      <w:r>
        <w:rPr>
          <w:b/>
        </w:rPr>
        <w:t xml:space="preserve"> </w:t>
      </w:r>
    </w:p>
    <w:p w14:paraId="17956781"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input, collecting, summarizing, evaluating, and publishing are all steps in the accounting process that pertain to the monetary operations of a business or institution. Accounting fundamentals serve as a guide for carrying out these activities. Financial statements are prepared using the activities of a company entity throughout an accountancy term, which is typically a year. Accounting is a tool used by businesses to assess their financial position. They support cost budgeting, cost evaluation, and judgment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Because a company's financial status is summarized in its financial report, it is crucial to analyze the financial statement before making any decisions that may enhance the company's finances. On the contrary hand, it gets simple to distinguish between the records of creditors and debtors. They must adhere to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these finance summary principles in order to create a financial statement that is effective. Corporations could properly characterize their economic state by applying those ideas.</w:t>
      </w:r>
      <w:r>
        <w:br w:type="page"/>
      </w:r>
    </w:p>
    <w:p w14:paraId="59B07B5B" w14:textId="77777777" w:rsidR="00F95394" w:rsidRDefault="00000000">
      <w:pPr>
        <w:pStyle w:val="Heading1"/>
        <w:jc w:val="both"/>
        <w:rPr>
          <w:b/>
        </w:rPr>
      </w:pPr>
      <w:bookmarkStart w:id="4" w:name="_Toc123837349"/>
      <w:r>
        <w:rPr>
          <w:b/>
        </w:rPr>
        <w:t>Question one</w:t>
      </w:r>
      <w:bookmarkEnd w:id="4"/>
    </w:p>
    <w:p w14:paraId="62793470" w14:textId="77777777" w:rsidR="00F95394" w:rsidRDefault="00000000">
      <w:pPr>
        <w:pStyle w:val="Heading2"/>
        <w:jc w:val="both"/>
        <w:rPr>
          <w:b/>
        </w:rPr>
      </w:pPr>
      <w:bookmarkStart w:id="5" w:name="_Toc123837350"/>
      <w:r>
        <w:rPr>
          <w:b/>
        </w:rPr>
        <w:t xml:space="preserve">Income Statement </w:t>
      </w:r>
      <w:proofErr w:type="gramStart"/>
      <w:r>
        <w:rPr>
          <w:b/>
        </w:rPr>
        <w:t>For</w:t>
      </w:r>
      <w:proofErr w:type="gramEnd"/>
      <w:r>
        <w:rPr>
          <w:b/>
        </w:rPr>
        <w:t xml:space="preserve"> Wales Plc</w:t>
      </w:r>
      <w:bookmarkEnd w:id="5"/>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F95394" w14:paraId="5B647E35" w14:textId="77777777">
        <w:tc>
          <w:tcPr>
            <w:tcW w:w="4675" w:type="dxa"/>
          </w:tcPr>
          <w:p w14:paraId="5EDD997B"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Revenue </w:t>
            </w:r>
          </w:p>
        </w:tc>
        <w:tc>
          <w:tcPr>
            <w:tcW w:w="4675" w:type="dxa"/>
          </w:tcPr>
          <w:p w14:paraId="7655F9FE"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8,00,000</w:t>
            </w:r>
          </w:p>
        </w:tc>
      </w:tr>
      <w:tr w:rsidR="00F95394" w14:paraId="7F9B9718" w14:textId="77777777">
        <w:tc>
          <w:tcPr>
            <w:tcW w:w="4675" w:type="dxa"/>
          </w:tcPr>
          <w:p w14:paraId="394A97B0"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of sales</w:t>
            </w:r>
          </w:p>
        </w:tc>
        <w:tc>
          <w:tcPr>
            <w:tcW w:w="4675" w:type="dxa"/>
          </w:tcPr>
          <w:p w14:paraId="7DAA0C02"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5,78,650</w:t>
            </w:r>
          </w:p>
        </w:tc>
      </w:tr>
      <w:tr w:rsidR="00F95394" w14:paraId="31B231C1" w14:textId="77777777">
        <w:tc>
          <w:tcPr>
            <w:tcW w:w="4675" w:type="dxa"/>
          </w:tcPr>
          <w:p w14:paraId="0F0062FE"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Gross profit</w:t>
            </w:r>
          </w:p>
        </w:tc>
        <w:tc>
          <w:tcPr>
            <w:tcW w:w="4675" w:type="dxa"/>
          </w:tcPr>
          <w:p w14:paraId="1CE253B6"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2,21,350</w:t>
            </w:r>
          </w:p>
        </w:tc>
      </w:tr>
      <w:tr w:rsidR="00F95394" w14:paraId="68AA5D00" w14:textId="77777777">
        <w:tc>
          <w:tcPr>
            <w:tcW w:w="4675" w:type="dxa"/>
          </w:tcPr>
          <w:p w14:paraId="1C2B7B47"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Administrative expanses </w:t>
            </w:r>
          </w:p>
        </w:tc>
        <w:tc>
          <w:tcPr>
            <w:tcW w:w="4675" w:type="dxa"/>
          </w:tcPr>
          <w:p w14:paraId="4B25152E"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F95394" w14:paraId="693B9A75" w14:textId="77777777">
        <w:tc>
          <w:tcPr>
            <w:tcW w:w="4675" w:type="dxa"/>
          </w:tcPr>
          <w:p w14:paraId="6ABEBA4A"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Interest paid </w:t>
            </w:r>
          </w:p>
        </w:tc>
        <w:tc>
          <w:tcPr>
            <w:tcW w:w="4675" w:type="dxa"/>
          </w:tcPr>
          <w:p w14:paraId="31FD9B4D"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F95394" w14:paraId="799867C3" w14:textId="77777777">
        <w:tc>
          <w:tcPr>
            <w:tcW w:w="4675" w:type="dxa"/>
          </w:tcPr>
          <w:p w14:paraId="2EA17144"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Directors’ remuneration </w:t>
            </w:r>
          </w:p>
        </w:tc>
        <w:tc>
          <w:tcPr>
            <w:tcW w:w="4675" w:type="dxa"/>
          </w:tcPr>
          <w:p w14:paraId="028313BA"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F95394" w14:paraId="5C1DE487" w14:textId="77777777">
        <w:tc>
          <w:tcPr>
            <w:tcW w:w="4675" w:type="dxa"/>
          </w:tcPr>
          <w:p w14:paraId="66D18F96"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Distribution cost </w:t>
            </w:r>
          </w:p>
        </w:tc>
        <w:tc>
          <w:tcPr>
            <w:tcW w:w="4675" w:type="dxa"/>
          </w:tcPr>
          <w:p w14:paraId="107E660E"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28,000</w:t>
            </w:r>
          </w:p>
        </w:tc>
      </w:tr>
      <w:tr w:rsidR="00F95394" w14:paraId="10D8AB63" w14:textId="77777777">
        <w:tc>
          <w:tcPr>
            <w:tcW w:w="4675" w:type="dxa"/>
          </w:tcPr>
          <w:p w14:paraId="01D4E6CA"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Operating profit</w:t>
            </w:r>
          </w:p>
        </w:tc>
        <w:tc>
          <w:tcPr>
            <w:tcW w:w="4675" w:type="dxa"/>
          </w:tcPr>
          <w:p w14:paraId="5FA67B65"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1,32,000</w:t>
            </w:r>
          </w:p>
        </w:tc>
      </w:tr>
      <w:tr w:rsidR="00F95394" w14:paraId="695B3148" w14:textId="77777777">
        <w:trPr>
          <w:trHeight w:val="377"/>
        </w:trPr>
        <w:tc>
          <w:tcPr>
            <w:tcW w:w="4675" w:type="dxa"/>
          </w:tcPr>
          <w:p w14:paraId="6333A957"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 before tax</w:t>
            </w:r>
          </w:p>
        </w:tc>
        <w:tc>
          <w:tcPr>
            <w:tcW w:w="4675" w:type="dxa"/>
          </w:tcPr>
          <w:p w14:paraId="4FF4472C"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3,53,350</w:t>
            </w:r>
          </w:p>
        </w:tc>
      </w:tr>
      <w:tr w:rsidR="00F95394" w14:paraId="367B047F" w14:textId="77777777">
        <w:tc>
          <w:tcPr>
            <w:tcW w:w="4675" w:type="dxa"/>
          </w:tcPr>
          <w:p w14:paraId="6A7E903D"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Taxation</w:t>
            </w:r>
          </w:p>
        </w:tc>
        <w:tc>
          <w:tcPr>
            <w:tcW w:w="4675" w:type="dxa"/>
          </w:tcPr>
          <w:p w14:paraId="14706262"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F95394" w14:paraId="4A4AD110" w14:textId="77777777">
        <w:trPr>
          <w:trHeight w:val="58"/>
        </w:trPr>
        <w:tc>
          <w:tcPr>
            <w:tcW w:w="4675" w:type="dxa"/>
          </w:tcPr>
          <w:p w14:paraId="28684D23"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Profit of the period </w:t>
            </w:r>
          </w:p>
        </w:tc>
        <w:tc>
          <w:tcPr>
            <w:tcW w:w="4675" w:type="dxa"/>
          </w:tcPr>
          <w:p w14:paraId="4463F8C1"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2,53,350</w:t>
            </w:r>
          </w:p>
        </w:tc>
      </w:tr>
    </w:tbl>
    <w:p w14:paraId="3343418F" w14:textId="77777777" w:rsidR="00F95394" w:rsidRDefault="00F95394">
      <w:pPr>
        <w:spacing w:line="360" w:lineRule="auto"/>
        <w:jc w:val="both"/>
        <w:rPr>
          <w:rFonts w:ascii="Times New Roman" w:eastAsia="Times New Roman" w:hAnsi="Times New Roman" w:cs="Times New Roman"/>
          <w:b/>
          <w:sz w:val="24"/>
          <w:szCs w:val="24"/>
        </w:rPr>
      </w:pPr>
    </w:p>
    <w:p w14:paraId="3636D042"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Wales Plc's report of economic condition as of December 31, 2021, a charge of £3,000 owing to salespeople would be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xml:space="preserve"> in the reporting of the economic situation. On December 31, 2021, goods worth £980 were shipped to clients; this would be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xml:space="preserve"> in the report of economic status (Sutton, 2018).</w:t>
      </w:r>
    </w:p>
    <w:p w14:paraId="6FE04E7D" w14:textId="77777777" w:rsidR="00F95394" w:rsidRDefault="00F95394">
      <w:pPr>
        <w:spacing w:line="360" w:lineRule="auto"/>
        <w:jc w:val="both"/>
        <w:rPr>
          <w:rFonts w:ascii="Times New Roman" w:eastAsia="Times New Roman" w:hAnsi="Times New Roman" w:cs="Times New Roman"/>
          <w:sz w:val="24"/>
          <w:szCs w:val="24"/>
        </w:rPr>
      </w:pPr>
    </w:p>
    <w:p w14:paraId="0B2FFB70"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D0D0D"/>
          <w:sz w:val="28"/>
          <w:szCs w:val="28"/>
        </w:rPr>
        <w:t xml:space="preserve">A Statement of Financial Position </w:t>
      </w:r>
      <w:proofErr w:type="gramStart"/>
      <w:r>
        <w:rPr>
          <w:rFonts w:ascii="Times New Roman" w:eastAsia="Times New Roman" w:hAnsi="Times New Roman" w:cs="Times New Roman"/>
          <w:color w:val="0D0D0D"/>
          <w:sz w:val="28"/>
          <w:szCs w:val="28"/>
        </w:rPr>
        <w:t>As</w:t>
      </w:r>
      <w:proofErr w:type="gramEnd"/>
      <w:r>
        <w:rPr>
          <w:rFonts w:ascii="Times New Roman" w:eastAsia="Times New Roman" w:hAnsi="Times New Roman" w:cs="Times New Roman"/>
          <w:color w:val="0D0D0D"/>
          <w:sz w:val="28"/>
          <w:szCs w:val="28"/>
        </w:rPr>
        <w:t xml:space="preserve"> At That Date</w:t>
      </w:r>
      <w:r>
        <w:t>.</w:t>
      </w:r>
    </w:p>
    <w:p w14:paraId="4ACDAC10" w14:textId="77777777" w:rsidR="00F95394" w:rsidRDefault="00F95394">
      <w:pPr>
        <w:spacing w:line="360" w:lineRule="auto"/>
        <w:jc w:val="both"/>
        <w:rPr>
          <w:rFonts w:ascii="Times New Roman" w:eastAsia="Times New Roman" w:hAnsi="Times New Roman" w:cs="Times New Roman"/>
          <w:sz w:val="24"/>
          <w:szCs w:val="24"/>
        </w:rPr>
      </w:pP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F95394" w14:paraId="2D1C25DB" w14:textId="77777777">
        <w:tc>
          <w:tcPr>
            <w:tcW w:w="4675" w:type="dxa"/>
          </w:tcPr>
          <w:p w14:paraId="4F4EBA61"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Assets </w:t>
            </w:r>
          </w:p>
        </w:tc>
        <w:tc>
          <w:tcPr>
            <w:tcW w:w="4675" w:type="dxa"/>
          </w:tcPr>
          <w:p w14:paraId="1A50E98A" w14:textId="77777777" w:rsidR="00F95394" w:rsidRDefault="00F95394">
            <w:pPr>
              <w:spacing w:line="360" w:lineRule="auto"/>
              <w:jc w:val="both"/>
              <w:rPr>
                <w:rFonts w:ascii="Times New Roman" w:eastAsia="Times New Roman" w:hAnsi="Times New Roman" w:cs="Times New Roman"/>
                <w:sz w:val="24"/>
                <w:szCs w:val="24"/>
              </w:rPr>
            </w:pPr>
          </w:p>
        </w:tc>
      </w:tr>
      <w:tr w:rsidR="00F95394" w14:paraId="3EC5E133" w14:textId="77777777">
        <w:tc>
          <w:tcPr>
            <w:tcW w:w="4675" w:type="dxa"/>
          </w:tcPr>
          <w:p w14:paraId="2BE50A6B"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Non-current assets</w:t>
            </w:r>
          </w:p>
        </w:tc>
        <w:tc>
          <w:tcPr>
            <w:tcW w:w="4675" w:type="dxa"/>
          </w:tcPr>
          <w:p w14:paraId="0CCD65C5" w14:textId="77777777" w:rsidR="00F95394" w:rsidRDefault="00F95394">
            <w:pPr>
              <w:spacing w:line="360" w:lineRule="auto"/>
              <w:jc w:val="both"/>
              <w:rPr>
                <w:rFonts w:ascii="Times New Roman" w:eastAsia="Times New Roman" w:hAnsi="Times New Roman" w:cs="Times New Roman"/>
                <w:sz w:val="24"/>
                <w:szCs w:val="24"/>
              </w:rPr>
            </w:pPr>
          </w:p>
        </w:tc>
      </w:tr>
      <w:tr w:rsidR="00F95394" w14:paraId="14C76DE4" w14:textId="77777777">
        <w:tc>
          <w:tcPr>
            <w:tcW w:w="4675" w:type="dxa"/>
          </w:tcPr>
          <w:p w14:paraId="485D48EE"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Property and equipment </w:t>
            </w:r>
          </w:p>
        </w:tc>
        <w:tc>
          <w:tcPr>
            <w:tcW w:w="4675" w:type="dxa"/>
          </w:tcPr>
          <w:p w14:paraId="3DC39F6A"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6,32,730</w:t>
            </w:r>
          </w:p>
        </w:tc>
      </w:tr>
      <w:tr w:rsidR="00F95394" w14:paraId="3B764118" w14:textId="77777777">
        <w:tc>
          <w:tcPr>
            <w:tcW w:w="4675" w:type="dxa"/>
          </w:tcPr>
          <w:p w14:paraId="41CF8923"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 assets </w:t>
            </w:r>
          </w:p>
        </w:tc>
        <w:tc>
          <w:tcPr>
            <w:tcW w:w="4675" w:type="dxa"/>
          </w:tcPr>
          <w:p w14:paraId="51CCDE3A" w14:textId="77777777" w:rsidR="00F95394" w:rsidRDefault="00F95394">
            <w:pPr>
              <w:spacing w:line="360" w:lineRule="auto"/>
              <w:jc w:val="both"/>
              <w:rPr>
                <w:rFonts w:ascii="Times New Roman" w:eastAsia="Times New Roman" w:hAnsi="Times New Roman" w:cs="Times New Roman"/>
                <w:sz w:val="24"/>
                <w:szCs w:val="24"/>
              </w:rPr>
            </w:pPr>
          </w:p>
        </w:tc>
      </w:tr>
      <w:tr w:rsidR="00F95394" w14:paraId="5A20E3F2" w14:textId="77777777">
        <w:tc>
          <w:tcPr>
            <w:tcW w:w="4675" w:type="dxa"/>
          </w:tcPr>
          <w:p w14:paraId="42AC1062"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Inventories </w:t>
            </w:r>
          </w:p>
        </w:tc>
        <w:tc>
          <w:tcPr>
            <w:tcW w:w="4675" w:type="dxa"/>
          </w:tcPr>
          <w:p w14:paraId="5DFD5132"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3,30,600</w:t>
            </w:r>
          </w:p>
        </w:tc>
      </w:tr>
      <w:tr w:rsidR="00F95394" w14:paraId="70AA405C" w14:textId="77777777">
        <w:tc>
          <w:tcPr>
            <w:tcW w:w="4675" w:type="dxa"/>
          </w:tcPr>
          <w:p w14:paraId="3AD5B3A0"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Debtors</w:t>
            </w:r>
          </w:p>
        </w:tc>
        <w:tc>
          <w:tcPr>
            <w:tcW w:w="4675" w:type="dxa"/>
          </w:tcPr>
          <w:p w14:paraId="3358CC81"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1,71,250</w:t>
            </w:r>
          </w:p>
        </w:tc>
      </w:tr>
      <w:tr w:rsidR="00F95394" w14:paraId="4F161522" w14:textId="77777777">
        <w:tc>
          <w:tcPr>
            <w:tcW w:w="4675" w:type="dxa"/>
          </w:tcPr>
          <w:p w14:paraId="4E73FEE9"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Cash and bank</w:t>
            </w:r>
          </w:p>
        </w:tc>
        <w:tc>
          <w:tcPr>
            <w:tcW w:w="4675" w:type="dxa"/>
          </w:tcPr>
          <w:p w14:paraId="5307034A"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76,250</w:t>
            </w:r>
          </w:p>
        </w:tc>
      </w:tr>
      <w:tr w:rsidR="00F95394" w14:paraId="6F7AFE82" w14:textId="77777777">
        <w:tc>
          <w:tcPr>
            <w:tcW w:w="4675" w:type="dxa"/>
          </w:tcPr>
          <w:p w14:paraId="1D359EBB"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assets </w:t>
            </w:r>
          </w:p>
        </w:tc>
        <w:tc>
          <w:tcPr>
            <w:tcW w:w="4675" w:type="dxa"/>
          </w:tcPr>
          <w:p w14:paraId="2D173C8F"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12,10,685</w:t>
            </w:r>
          </w:p>
        </w:tc>
      </w:tr>
      <w:tr w:rsidR="00F95394" w14:paraId="49E534B3" w14:textId="77777777">
        <w:tc>
          <w:tcPr>
            <w:tcW w:w="4675" w:type="dxa"/>
          </w:tcPr>
          <w:p w14:paraId="5C82A2C8"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Liabilities </w:t>
            </w:r>
          </w:p>
        </w:tc>
        <w:tc>
          <w:tcPr>
            <w:tcW w:w="4675" w:type="dxa"/>
          </w:tcPr>
          <w:p w14:paraId="1AABBFAE" w14:textId="77777777" w:rsidR="00F95394" w:rsidRDefault="00F95394">
            <w:pPr>
              <w:spacing w:line="360" w:lineRule="auto"/>
              <w:jc w:val="both"/>
              <w:rPr>
                <w:rFonts w:ascii="Times New Roman" w:eastAsia="Times New Roman" w:hAnsi="Times New Roman" w:cs="Times New Roman"/>
                <w:sz w:val="24"/>
                <w:szCs w:val="24"/>
              </w:rPr>
            </w:pPr>
          </w:p>
        </w:tc>
      </w:tr>
      <w:tr w:rsidR="00F95394" w14:paraId="511A99D8" w14:textId="77777777">
        <w:tc>
          <w:tcPr>
            <w:tcW w:w="4675" w:type="dxa"/>
          </w:tcPr>
          <w:p w14:paraId="7923A398"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Current liabilities </w:t>
            </w:r>
          </w:p>
        </w:tc>
        <w:tc>
          <w:tcPr>
            <w:tcW w:w="4675" w:type="dxa"/>
          </w:tcPr>
          <w:p w14:paraId="674805FD" w14:textId="77777777" w:rsidR="00F95394" w:rsidRDefault="00F95394">
            <w:pPr>
              <w:spacing w:line="360" w:lineRule="auto"/>
              <w:jc w:val="both"/>
              <w:rPr>
                <w:rFonts w:ascii="Times New Roman" w:eastAsia="Times New Roman" w:hAnsi="Times New Roman" w:cs="Times New Roman"/>
                <w:sz w:val="24"/>
                <w:szCs w:val="24"/>
              </w:rPr>
            </w:pPr>
          </w:p>
        </w:tc>
      </w:tr>
      <w:tr w:rsidR="00F95394" w14:paraId="2A6D7124" w14:textId="77777777">
        <w:tc>
          <w:tcPr>
            <w:tcW w:w="4675" w:type="dxa"/>
          </w:tcPr>
          <w:p w14:paraId="048CD2A2"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Trade payable </w:t>
            </w:r>
          </w:p>
        </w:tc>
        <w:tc>
          <w:tcPr>
            <w:tcW w:w="4675" w:type="dxa"/>
          </w:tcPr>
          <w:p w14:paraId="29793831"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1,71,355</w:t>
            </w:r>
          </w:p>
        </w:tc>
      </w:tr>
      <w:tr w:rsidR="00F95394" w14:paraId="298A9980" w14:textId="77777777">
        <w:tc>
          <w:tcPr>
            <w:tcW w:w="4675" w:type="dxa"/>
          </w:tcPr>
          <w:p w14:paraId="439A348A"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Ordinary dividend paid</w:t>
            </w:r>
          </w:p>
        </w:tc>
        <w:tc>
          <w:tcPr>
            <w:tcW w:w="4675" w:type="dxa"/>
          </w:tcPr>
          <w:p w14:paraId="0DDE7065"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r>
      <w:tr w:rsidR="00F95394" w14:paraId="4B0D46C1" w14:textId="77777777">
        <w:tc>
          <w:tcPr>
            <w:tcW w:w="4675" w:type="dxa"/>
          </w:tcPr>
          <w:p w14:paraId="452F8FED"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Preference dividend </w:t>
            </w:r>
          </w:p>
        </w:tc>
        <w:tc>
          <w:tcPr>
            <w:tcW w:w="4675" w:type="dxa"/>
          </w:tcPr>
          <w:p w14:paraId="4CB15B6D"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F95394" w14:paraId="4A9DBA4B" w14:textId="77777777">
        <w:tc>
          <w:tcPr>
            <w:tcW w:w="4675" w:type="dxa"/>
          </w:tcPr>
          <w:p w14:paraId="57603201"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Commission owed</w:t>
            </w:r>
          </w:p>
        </w:tc>
        <w:tc>
          <w:tcPr>
            <w:tcW w:w="4675" w:type="dxa"/>
          </w:tcPr>
          <w:p w14:paraId="206B2CAD"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r>
      <w:tr w:rsidR="00F95394" w14:paraId="51087254" w14:textId="77777777">
        <w:tc>
          <w:tcPr>
            <w:tcW w:w="4675" w:type="dxa"/>
          </w:tcPr>
          <w:p w14:paraId="2000BA19"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Non-current liabilities </w:t>
            </w:r>
          </w:p>
        </w:tc>
        <w:tc>
          <w:tcPr>
            <w:tcW w:w="4675" w:type="dxa"/>
          </w:tcPr>
          <w:p w14:paraId="56F0054E" w14:textId="77777777" w:rsidR="00F95394" w:rsidRDefault="00F95394">
            <w:pPr>
              <w:spacing w:line="360" w:lineRule="auto"/>
              <w:jc w:val="both"/>
              <w:rPr>
                <w:rFonts w:ascii="Times New Roman" w:eastAsia="Times New Roman" w:hAnsi="Times New Roman" w:cs="Times New Roman"/>
                <w:sz w:val="24"/>
                <w:szCs w:val="24"/>
              </w:rPr>
            </w:pPr>
          </w:p>
        </w:tc>
      </w:tr>
      <w:tr w:rsidR="00F95394" w14:paraId="2FC5FA23" w14:textId="77777777">
        <w:tc>
          <w:tcPr>
            <w:tcW w:w="4675" w:type="dxa"/>
          </w:tcPr>
          <w:p w14:paraId="4C16D70F"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debentures </w:t>
            </w:r>
          </w:p>
        </w:tc>
        <w:tc>
          <w:tcPr>
            <w:tcW w:w="4675" w:type="dxa"/>
          </w:tcPr>
          <w:p w14:paraId="23452C6C"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32,980</w:t>
            </w:r>
          </w:p>
        </w:tc>
      </w:tr>
      <w:tr w:rsidR="00F95394" w14:paraId="2A256F5E" w14:textId="77777777">
        <w:tc>
          <w:tcPr>
            <w:tcW w:w="4675" w:type="dxa"/>
          </w:tcPr>
          <w:p w14:paraId="5919CE74"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liabilities </w:t>
            </w:r>
          </w:p>
        </w:tc>
        <w:tc>
          <w:tcPr>
            <w:tcW w:w="4675" w:type="dxa"/>
          </w:tcPr>
          <w:p w14:paraId="4E122BC1"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2,57,335</w:t>
            </w:r>
          </w:p>
        </w:tc>
      </w:tr>
      <w:tr w:rsidR="00F95394" w14:paraId="4F52608D" w14:textId="77777777">
        <w:tc>
          <w:tcPr>
            <w:tcW w:w="4675" w:type="dxa"/>
          </w:tcPr>
          <w:p w14:paraId="792E4455"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Equity  </w:t>
            </w:r>
          </w:p>
        </w:tc>
        <w:tc>
          <w:tcPr>
            <w:tcW w:w="4675" w:type="dxa"/>
          </w:tcPr>
          <w:p w14:paraId="7F007340" w14:textId="77777777" w:rsidR="00F95394" w:rsidRDefault="00F95394">
            <w:pPr>
              <w:spacing w:line="360" w:lineRule="auto"/>
              <w:jc w:val="both"/>
              <w:rPr>
                <w:rFonts w:ascii="Times New Roman" w:eastAsia="Times New Roman" w:hAnsi="Times New Roman" w:cs="Times New Roman"/>
                <w:sz w:val="24"/>
                <w:szCs w:val="24"/>
              </w:rPr>
            </w:pPr>
          </w:p>
        </w:tc>
      </w:tr>
      <w:tr w:rsidR="00F95394" w14:paraId="50CEE36F" w14:textId="77777777">
        <w:tc>
          <w:tcPr>
            <w:tcW w:w="4675" w:type="dxa"/>
          </w:tcPr>
          <w:p w14:paraId="264ED645"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Ordinary shares</w:t>
            </w:r>
          </w:p>
        </w:tc>
        <w:tc>
          <w:tcPr>
            <w:tcW w:w="4675" w:type="dxa"/>
          </w:tcPr>
          <w:p w14:paraId="397ECEC3"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r>
      <w:tr w:rsidR="00F95394" w14:paraId="188BC8CF" w14:textId="77777777">
        <w:tc>
          <w:tcPr>
            <w:tcW w:w="4675" w:type="dxa"/>
          </w:tcPr>
          <w:p w14:paraId="2BF7F5F0"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Preference shares </w:t>
            </w:r>
          </w:p>
        </w:tc>
        <w:tc>
          <w:tcPr>
            <w:tcW w:w="4675" w:type="dxa"/>
          </w:tcPr>
          <w:p w14:paraId="62A2BF25"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3,00,000</w:t>
            </w:r>
          </w:p>
        </w:tc>
      </w:tr>
      <w:tr w:rsidR="00F95394" w14:paraId="0FCE966E" w14:textId="77777777">
        <w:tc>
          <w:tcPr>
            <w:tcW w:w="4675" w:type="dxa"/>
          </w:tcPr>
          <w:p w14:paraId="45A362EC"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Retained earning </w:t>
            </w:r>
          </w:p>
        </w:tc>
        <w:tc>
          <w:tcPr>
            <w:tcW w:w="4675" w:type="dxa"/>
          </w:tcPr>
          <w:p w14:paraId="2816DAA4"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2,53,350</w:t>
            </w:r>
          </w:p>
        </w:tc>
      </w:tr>
      <w:tr w:rsidR="00F95394" w14:paraId="6F2D585B" w14:textId="77777777">
        <w:tc>
          <w:tcPr>
            <w:tcW w:w="4675" w:type="dxa"/>
          </w:tcPr>
          <w:p w14:paraId="036DAD11"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equity </w:t>
            </w:r>
          </w:p>
        </w:tc>
        <w:tc>
          <w:tcPr>
            <w:tcW w:w="4675" w:type="dxa"/>
          </w:tcPr>
          <w:p w14:paraId="21951402"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9,53,350</w:t>
            </w:r>
          </w:p>
        </w:tc>
      </w:tr>
      <w:tr w:rsidR="00F95394" w14:paraId="7D675707" w14:textId="77777777">
        <w:tc>
          <w:tcPr>
            <w:tcW w:w="4675" w:type="dxa"/>
          </w:tcPr>
          <w:p w14:paraId="39A38DC6"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equity and liability </w:t>
            </w:r>
          </w:p>
        </w:tc>
        <w:tc>
          <w:tcPr>
            <w:tcW w:w="4675" w:type="dxa"/>
          </w:tcPr>
          <w:p w14:paraId="5282C25D" w14:textId="77777777" w:rsidR="00F9539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12,10,685</w:t>
            </w:r>
          </w:p>
        </w:tc>
      </w:tr>
    </w:tbl>
    <w:p w14:paraId="0082A14E" w14:textId="77777777" w:rsidR="00F95394" w:rsidRDefault="00F95394">
      <w:pPr>
        <w:spacing w:line="360" w:lineRule="auto"/>
        <w:jc w:val="both"/>
        <w:rPr>
          <w:rFonts w:ascii="Times New Roman" w:eastAsia="Times New Roman" w:hAnsi="Times New Roman" w:cs="Times New Roman"/>
          <w:sz w:val="24"/>
          <w:szCs w:val="24"/>
        </w:rPr>
      </w:pPr>
    </w:p>
    <w:p w14:paraId="2E72E742" w14:textId="77777777" w:rsidR="00F95394" w:rsidRDefault="00000000">
      <w:pPr>
        <w:pStyle w:val="Heading2"/>
        <w:rPr>
          <w:b/>
        </w:rPr>
      </w:pPr>
      <w:bookmarkStart w:id="6" w:name="_Toc123837351"/>
      <w:r>
        <w:rPr>
          <w:b/>
        </w:rPr>
        <w:t>Why does the statement of financial position balance?</w:t>
      </w:r>
      <w:bookmarkEnd w:id="6"/>
    </w:p>
    <w:p w14:paraId="091E921E"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detailing the organization's properties, debts, and shareholder equity, The Balance sheet, also known as the Statement of Financial Position, aids consumers in understanding the </w:t>
      </w:r>
      <w:proofErr w:type="spellStart"/>
      <w:r>
        <w:rPr>
          <w:rFonts w:ascii="Times New Roman" w:eastAsia="Times New Roman" w:hAnsi="Times New Roman" w:cs="Times New Roman"/>
          <w:sz w:val="24"/>
          <w:szCs w:val="24"/>
        </w:rPr>
        <w:t>company 's</w:t>
      </w:r>
      <w:proofErr w:type="spellEnd"/>
      <w:r>
        <w:rPr>
          <w:rFonts w:ascii="Times New Roman" w:eastAsia="Times New Roman" w:hAnsi="Times New Roman" w:cs="Times New Roman"/>
          <w:sz w:val="24"/>
          <w:szCs w:val="24"/>
        </w:rPr>
        <w:t xml:space="preserve"> economic condition at a specific point in time. Among the most substantial financial statements, it provides information on the company's current financial situation at a certain </w:t>
      </w:r>
      <w:proofErr w:type="gramStart"/>
      <w:r>
        <w:rPr>
          <w:rFonts w:ascii="Times New Roman" w:eastAsia="Times New Roman" w:hAnsi="Times New Roman" w:cs="Times New Roman"/>
          <w:sz w:val="24"/>
          <w:szCs w:val="24"/>
        </w:rPr>
        <w:t>period of time</w:t>
      </w:r>
      <w:proofErr w:type="gramEnd"/>
      <w:r>
        <w:rPr>
          <w:rFonts w:ascii="Times New Roman" w:eastAsia="Times New Roman" w:hAnsi="Times New Roman" w:cs="Times New Roman"/>
          <w:sz w:val="24"/>
          <w:szCs w:val="24"/>
        </w:rPr>
        <w:t>. In those other terms, it provides a financial overview of a company and serves as a temporal capsule of the past. It consists of three crucial components, which are detailed below. Properties, debts, and ownership are all reflected on an industry's statements of economic condition when such assets are appraised. A group's control over assets that have the capacity to bring significant financial rewards is represented by its property. Present properties can be categorized as present or non-recurring, with the former depending on how long they have been in use over their financial lifespan. Within a year of being bought, preexisting commodities like inventories and invoices receivables might frequently be transformed into cash (Sutton, 2018). The first of the three primary categories on a financial statement, assets make up the bulk of the overall. As the name suggests, existing property is defined as the amount of all property that is expected to be turned into money within one year and used to finance continuing operations and repay existing costs. Obligations are, in principle, debts that an institution owes as an outcome of a previous transaction and whose delivery diminishes the firm's financial worth. Additionally, there are two categories into which responsibilities might well be divided: existing liability and accrued liabilities commitments. Accounts payable, a short-term obligation owing to providers, is an illustration of a company's existing obligations (Sutton, 2018). The entire amount of debt owed by a firm is also comprised of non-current debts on its balance sheet. As opposed to existing debts, noncurrent debts are lengthy debts or agreements that aren't expected to be fully back within a year from the commencement of the commitment. Due to the accountancy principle of dual entering, the report of the financial situation initially shows a favorable position, and the proprietors maintain accurate accounts of the money and invoicing inputs that are compatible with the statements of the financial situation. The company's ability to manage its money is another benefit of the financial situation report, which is crucial for maintaining positive connections with both consumers and providers. The position statements should be well-balanced in accordance with the dual-entry accountancy concept to be understandable to its intended audience (Sutton, 2018).</w:t>
      </w:r>
    </w:p>
    <w:p w14:paraId="74D83E48" w14:textId="77777777" w:rsidR="00F95394" w:rsidRDefault="00F95394">
      <w:pPr>
        <w:spacing w:line="360" w:lineRule="auto"/>
        <w:jc w:val="both"/>
        <w:rPr>
          <w:rFonts w:ascii="Times New Roman" w:eastAsia="Times New Roman" w:hAnsi="Times New Roman" w:cs="Times New Roman"/>
          <w:sz w:val="24"/>
          <w:szCs w:val="24"/>
        </w:rPr>
      </w:pPr>
    </w:p>
    <w:p w14:paraId="26DA4D40" w14:textId="77777777" w:rsidR="00F95394" w:rsidRDefault="00F95394">
      <w:pPr>
        <w:spacing w:line="360" w:lineRule="auto"/>
        <w:jc w:val="both"/>
        <w:rPr>
          <w:rFonts w:ascii="Times New Roman" w:eastAsia="Times New Roman" w:hAnsi="Times New Roman" w:cs="Times New Roman"/>
          <w:sz w:val="24"/>
          <w:szCs w:val="24"/>
        </w:rPr>
      </w:pPr>
    </w:p>
    <w:p w14:paraId="1FD26080" w14:textId="77777777" w:rsidR="00F95394" w:rsidRDefault="00F95394">
      <w:pPr>
        <w:spacing w:line="360" w:lineRule="auto"/>
        <w:jc w:val="both"/>
        <w:rPr>
          <w:rFonts w:ascii="Times New Roman" w:eastAsia="Times New Roman" w:hAnsi="Times New Roman" w:cs="Times New Roman"/>
          <w:sz w:val="24"/>
          <w:szCs w:val="24"/>
        </w:rPr>
      </w:pPr>
    </w:p>
    <w:p w14:paraId="64CCD694" w14:textId="77777777" w:rsidR="00F95394" w:rsidRDefault="00000000">
      <w:pPr>
        <w:rPr>
          <w:rFonts w:ascii="Times New Roman" w:eastAsia="Times New Roman" w:hAnsi="Times New Roman" w:cs="Times New Roman"/>
          <w:sz w:val="24"/>
          <w:szCs w:val="24"/>
        </w:rPr>
      </w:pPr>
      <w:r>
        <w:br w:type="page"/>
      </w:r>
    </w:p>
    <w:p w14:paraId="2150E1EE" w14:textId="77777777" w:rsidR="00F95394" w:rsidRDefault="00000000">
      <w:pPr>
        <w:pStyle w:val="Heading1"/>
        <w:rPr>
          <w:b/>
        </w:rPr>
      </w:pPr>
      <w:bookmarkStart w:id="7" w:name="_Toc123837352"/>
      <w:r>
        <w:rPr>
          <w:b/>
        </w:rPr>
        <w:t>Question Two</w:t>
      </w:r>
      <w:bookmarkEnd w:id="7"/>
    </w:p>
    <w:p w14:paraId="36F82C19" w14:textId="77777777" w:rsidR="00F95394" w:rsidRDefault="00000000">
      <w:pPr>
        <w:pStyle w:val="Heading2"/>
        <w:rPr>
          <w:b/>
        </w:rPr>
      </w:pPr>
      <w:bookmarkStart w:id="8" w:name="_Toc123837353"/>
      <w:r>
        <w:rPr>
          <w:b/>
        </w:rPr>
        <w:t xml:space="preserve">Calculate the following ratios for </w:t>
      </w:r>
      <w:proofErr w:type="gramStart"/>
      <w:r>
        <w:rPr>
          <w:b/>
        </w:rPr>
        <w:t>Sweets</w:t>
      </w:r>
      <w:proofErr w:type="gramEnd"/>
      <w:r>
        <w:rPr>
          <w:b/>
        </w:rPr>
        <w:t xml:space="preserve"> plc for 2021 and 2020</w:t>
      </w:r>
      <w:bookmarkEnd w:id="8"/>
    </w:p>
    <w:p w14:paraId="69C07D3E"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ROCE</w:t>
      </w:r>
      <w:r>
        <w:rPr>
          <w:rFonts w:ascii="Times New Roman" w:eastAsia="Times New Roman" w:hAnsi="Times New Roman" w:cs="Times New Roman"/>
          <w:sz w:val="24"/>
          <w:szCs w:val="24"/>
        </w:rPr>
        <w:t xml:space="preserve">: When evaluating the profitability of businesses in equity industries like utility and telecommunications, the return on investment can be very helpful. This is so that ROCE may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both indebtedness and capital, unlike the other essentials like return on equity (ROE), which solely assesses performance connected to an industry's investors' shares. Economic results assessment for businesses with high debt levels may be mitigated by doing this (Sutton, 2018).</w:t>
      </w:r>
    </w:p>
    <w:p w14:paraId="18919C47" w14:textId="77777777" w:rsidR="00F95394" w:rsidRDefault="00F95394">
      <w:pPr>
        <w:spacing w:line="360" w:lineRule="auto"/>
        <w:jc w:val="both"/>
        <w:rPr>
          <w:rFonts w:ascii="Times New Roman" w:eastAsia="Times New Roman" w:hAnsi="Times New Roman" w:cs="Times New Roman"/>
          <w:sz w:val="24"/>
          <w:szCs w:val="24"/>
        </w:rPr>
      </w:pPr>
    </w:p>
    <w:p w14:paraId="252500B9"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ROCE=</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earning before interest and tax</m:t>
              </m:r>
            </m:num>
            <m:den>
              <m:r>
                <w:rPr>
                  <w:rFonts w:ascii="Cambria Math" w:eastAsia="Cambria Math" w:hAnsi="Cambria Math" w:cs="Cambria Math"/>
                  <w:sz w:val="24"/>
                  <w:szCs w:val="24"/>
                </w:rPr>
                <m:t xml:space="preserve">capital employed </m:t>
              </m:r>
            </m:den>
          </m:f>
        </m:oMath>
      </m:oMathPara>
    </w:p>
    <w:p w14:paraId="17998423"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Capital employed=Total asses-current assets</m:t>
          </m:r>
        </m:oMath>
      </m:oMathPara>
    </w:p>
    <w:p w14:paraId="776EFEC4"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2021</w:t>
      </w:r>
    </w:p>
    <w:p w14:paraId="78308D0D"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ROCE=</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805</m:t>
              </m:r>
            </m:num>
            <m:den>
              <m:r>
                <w:rPr>
                  <w:rFonts w:ascii="Cambria Math" w:eastAsia="Cambria Math" w:hAnsi="Cambria Math" w:cs="Cambria Math"/>
                  <w:sz w:val="24"/>
                  <w:szCs w:val="24"/>
                </w:rPr>
                <m:t>9736-2303</m:t>
              </m:r>
            </m:den>
          </m:f>
          <m:r>
            <w:rPr>
              <w:rFonts w:ascii="Cambria Math" w:eastAsia="Cambria Math" w:hAnsi="Cambria Math" w:cs="Cambria Math"/>
              <w:sz w:val="24"/>
              <w:szCs w:val="24"/>
            </w:rPr>
            <m:t>=0.108</m:t>
          </m:r>
        </m:oMath>
      </m:oMathPara>
    </w:p>
    <w:p w14:paraId="79A022A1"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2020</w:t>
      </w:r>
    </w:p>
    <w:p w14:paraId="0F5D84E2"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ROCE=</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699</m:t>
              </m:r>
            </m:num>
            <m:den>
              <m:r>
                <w:rPr>
                  <w:rFonts w:ascii="Cambria Math" w:eastAsia="Cambria Math" w:hAnsi="Cambria Math" w:cs="Cambria Math"/>
                  <w:sz w:val="24"/>
                  <w:szCs w:val="24"/>
                </w:rPr>
                <m:t>10087-2355</m:t>
              </m:r>
            </m:den>
          </m:f>
          <m:r>
            <w:rPr>
              <w:rFonts w:ascii="Cambria Math" w:eastAsia="Cambria Math" w:hAnsi="Cambria Math" w:cs="Cambria Math"/>
              <w:sz w:val="24"/>
              <w:szCs w:val="24"/>
            </w:rPr>
            <m:t>=0.090</m:t>
          </m:r>
        </m:oMath>
      </m:oMathPara>
    </w:p>
    <w:p w14:paraId="11BF9876" w14:textId="77777777" w:rsidR="00F95394" w:rsidRDefault="00F95394">
      <w:pPr>
        <w:spacing w:line="360" w:lineRule="auto"/>
        <w:jc w:val="both"/>
        <w:rPr>
          <w:rFonts w:ascii="Times New Roman" w:eastAsia="Times New Roman" w:hAnsi="Times New Roman" w:cs="Times New Roman"/>
          <w:sz w:val="24"/>
          <w:szCs w:val="24"/>
        </w:rPr>
      </w:pPr>
    </w:p>
    <w:p w14:paraId="7E48AFD8" w14:textId="77777777" w:rsidR="00F95394" w:rsidRDefault="00F95394">
      <w:pPr>
        <w:spacing w:line="360" w:lineRule="auto"/>
        <w:jc w:val="both"/>
        <w:rPr>
          <w:rFonts w:ascii="Times New Roman" w:eastAsia="Times New Roman" w:hAnsi="Times New Roman" w:cs="Times New Roman"/>
          <w:sz w:val="24"/>
          <w:szCs w:val="24"/>
        </w:rPr>
      </w:pPr>
    </w:p>
    <w:p w14:paraId="458EEE86" w14:textId="77777777" w:rsidR="00F95394" w:rsidRDefault="00F95394">
      <w:pPr>
        <w:spacing w:line="360" w:lineRule="auto"/>
        <w:jc w:val="both"/>
        <w:rPr>
          <w:rFonts w:ascii="Times New Roman" w:eastAsia="Times New Roman" w:hAnsi="Times New Roman" w:cs="Times New Roman"/>
          <w:sz w:val="24"/>
          <w:szCs w:val="24"/>
        </w:rPr>
      </w:pPr>
    </w:p>
    <w:p w14:paraId="17616AAA"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ROE:</w:t>
      </w:r>
      <w:r>
        <w:rPr>
          <w:rFonts w:ascii="Times New Roman" w:eastAsia="Times New Roman" w:hAnsi="Times New Roman" w:cs="Times New Roman"/>
          <w:sz w:val="24"/>
          <w:szCs w:val="24"/>
        </w:rPr>
        <w:t xml:space="preserve"> Divide net income by shareholders' capital to get returns on equity, a measure of economic effectiveness. Because a company's investors' capital is calculated by deducting its debt from its investments, ROE is also known as yields on net resources. ROE is viewed as a gauge of an industry's profitability and the effectiveness of its income generation. The management is superior at creating revenue and expansion from its new finance the bigger the ROE (</w:t>
      </w:r>
      <w:proofErr w:type="spellStart"/>
      <w:r>
        <w:rPr>
          <w:rFonts w:ascii="Times New Roman" w:eastAsia="Times New Roman" w:hAnsi="Times New Roman" w:cs="Times New Roman"/>
          <w:sz w:val="24"/>
          <w:szCs w:val="24"/>
        </w:rPr>
        <w:t>Swieringa</w:t>
      </w:r>
      <w:proofErr w:type="spellEnd"/>
      <w:r>
        <w:rPr>
          <w:rFonts w:ascii="Times New Roman" w:eastAsia="Times New Roman" w:hAnsi="Times New Roman" w:cs="Times New Roman"/>
          <w:sz w:val="24"/>
          <w:szCs w:val="24"/>
        </w:rPr>
        <w:t>, 2018).</w:t>
      </w:r>
    </w:p>
    <w:p w14:paraId="0F45C963"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2021,</w:t>
      </w:r>
    </w:p>
    <w:p w14:paraId="034B9557"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Return on Equity=</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Net income</m:t>
              </m:r>
            </m:num>
            <m:den>
              <m:r>
                <w:rPr>
                  <w:rFonts w:ascii="Cambria Math" w:eastAsia="Cambria Math" w:hAnsi="Cambria Math" w:cs="Cambria Math"/>
                  <w:sz w:val="24"/>
                  <w:szCs w:val="24"/>
                </w:rPr>
                <m:t>Average shareholder equity</m:t>
              </m:r>
            </m:den>
          </m:f>
        </m:oMath>
      </m:oMathPara>
    </w:p>
    <w:p w14:paraId="05ACCAD4"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431</m:t>
              </m:r>
            </m:num>
            <m:den>
              <m:r>
                <w:rPr>
                  <w:rFonts w:ascii="Cambria Math" w:eastAsia="Cambria Math" w:hAnsi="Cambria Math" w:cs="Cambria Math"/>
                  <w:sz w:val="24"/>
                  <w:szCs w:val="24"/>
                </w:rPr>
                <m:t>3088</m:t>
              </m:r>
            </m:den>
          </m:f>
          <m:r>
            <w:rPr>
              <w:rFonts w:ascii="Cambria Math" w:eastAsia="Cambria Math" w:hAnsi="Cambria Math" w:cs="Cambria Math"/>
              <w:sz w:val="24"/>
              <w:szCs w:val="24"/>
            </w:rPr>
            <m:t>=0.1369</m:t>
          </m:r>
        </m:oMath>
      </m:oMathPara>
    </w:p>
    <w:p w14:paraId="50EDDE8A"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2020,</w:t>
      </w:r>
    </w:p>
    <w:p w14:paraId="507F3574"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Return on Equity=</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366</m:t>
              </m:r>
            </m:num>
            <m:den>
              <m:r>
                <w:rPr>
                  <w:rFonts w:ascii="Cambria Math" w:eastAsia="Cambria Math" w:hAnsi="Cambria Math" w:cs="Cambria Math"/>
                  <w:sz w:val="24"/>
                  <w:szCs w:val="24"/>
                </w:rPr>
                <m:t>2912</m:t>
              </m:r>
            </m:den>
          </m:f>
          <m:r>
            <w:rPr>
              <w:rFonts w:ascii="Cambria Math" w:eastAsia="Cambria Math" w:hAnsi="Cambria Math" w:cs="Cambria Math"/>
              <w:sz w:val="24"/>
              <w:szCs w:val="24"/>
            </w:rPr>
            <m:t>=0.126</m:t>
          </m:r>
        </m:oMath>
      </m:oMathPara>
    </w:p>
    <w:p w14:paraId="3B32922F" w14:textId="77777777" w:rsidR="00F95394" w:rsidRDefault="00F95394">
      <w:pPr>
        <w:spacing w:line="360" w:lineRule="auto"/>
        <w:jc w:val="both"/>
        <w:rPr>
          <w:rFonts w:ascii="Times New Roman" w:eastAsia="Times New Roman" w:hAnsi="Times New Roman" w:cs="Times New Roman"/>
          <w:sz w:val="24"/>
          <w:szCs w:val="24"/>
        </w:rPr>
      </w:pPr>
    </w:p>
    <w:p w14:paraId="1E1EF642"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Earnings per share:</w:t>
      </w:r>
      <w:r>
        <w:rPr>
          <w:rFonts w:ascii="Times New Roman" w:eastAsia="Times New Roman" w:hAnsi="Times New Roman" w:cs="Times New Roman"/>
          <w:sz w:val="24"/>
          <w:szCs w:val="24"/>
        </w:rPr>
        <w:t xml:space="preserve"> To calculate earnings per share, divide a divided by the total numbers of units of the company’s ordinary equity that are still available. The outcome numbers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utilized to estimate the income of a company. Companies frequently release EPS that has been adjusted for exceptional costs and potential share dilution. Total earnings, often known as earnings or revenues, is calculated by multiplying total profit by the number of existing stocks. In a more intricate calculation, the denominator and populations are changed to compensate for units that might be created through possibilities, borrowing obligations, or choices. It acquires considerably more relevant if the remainder of the formula is adjusted to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current operations (</w:t>
      </w:r>
      <w:proofErr w:type="spellStart"/>
      <w:r>
        <w:rPr>
          <w:rFonts w:ascii="Times New Roman" w:eastAsia="Times New Roman" w:hAnsi="Times New Roman" w:cs="Times New Roman"/>
          <w:sz w:val="24"/>
          <w:szCs w:val="24"/>
        </w:rPr>
        <w:t>Swieringa</w:t>
      </w:r>
      <w:proofErr w:type="spellEnd"/>
      <w:r>
        <w:rPr>
          <w:rFonts w:ascii="Times New Roman" w:eastAsia="Times New Roman" w:hAnsi="Times New Roman" w:cs="Times New Roman"/>
          <w:sz w:val="24"/>
          <w:szCs w:val="24"/>
        </w:rPr>
        <w:t>, 2018).</w:t>
      </w:r>
    </w:p>
    <w:p w14:paraId="24DA0C02"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2021,</w:t>
      </w:r>
    </w:p>
    <w:p w14:paraId="5C0B6DE2" w14:textId="77777777" w:rsidR="00F95394" w:rsidRDefault="00F95394">
      <w:pPr>
        <w:spacing w:line="360" w:lineRule="auto"/>
        <w:jc w:val="both"/>
        <w:rPr>
          <w:rFonts w:ascii="Times New Roman" w:eastAsia="Times New Roman" w:hAnsi="Times New Roman" w:cs="Times New Roman"/>
          <w:sz w:val="24"/>
          <w:szCs w:val="24"/>
        </w:rPr>
      </w:pPr>
    </w:p>
    <w:p w14:paraId="3D836A0B"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Earnings per share=</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net income- preferred dividendscome</m:t>
              </m:r>
            </m:num>
            <m:den>
              <m:r>
                <w:rPr>
                  <w:rFonts w:ascii="Cambria Math" w:eastAsia="Cambria Math" w:hAnsi="Cambria Math" w:cs="Cambria Math"/>
                  <w:sz w:val="24"/>
                  <w:szCs w:val="24"/>
                </w:rPr>
                <m:t xml:space="preserve">End of period common share outstanding </m:t>
              </m:r>
            </m:den>
          </m:f>
        </m:oMath>
      </m:oMathPara>
    </w:p>
    <w:p w14:paraId="7587F3E5"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Earnings per share=</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431-255</m:t>
              </m:r>
            </m:num>
            <m:den>
              <m:r>
                <w:rPr>
                  <w:rFonts w:ascii="Cambria Math" w:eastAsia="Cambria Math" w:hAnsi="Cambria Math" w:cs="Cambria Math"/>
                  <w:sz w:val="24"/>
                  <w:szCs w:val="24"/>
                </w:rPr>
                <m:t>300</m:t>
              </m:r>
            </m:den>
          </m:f>
          <m:r>
            <w:rPr>
              <w:rFonts w:ascii="Cambria Math" w:eastAsia="Cambria Math" w:hAnsi="Cambria Math" w:cs="Cambria Math"/>
              <w:sz w:val="24"/>
              <w:szCs w:val="24"/>
            </w:rPr>
            <m:t>=0.587</m:t>
          </m:r>
        </m:oMath>
      </m:oMathPara>
    </w:p>
    <w:p w14:paraId="7BA49877"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2020,</w:t>
      </w:r>
    </w:p>
    <w:p w14:paraId="747A0C3B"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Earnings per share=</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366-242</m:t>
              </m:r>
            </m:num>
            <m:den>
              <m:r>
                <w:rPr>
                  <w:rFonts w:ascii="Cambria Math" w:eastAsia="Cambria Math" w:hAnsi="Cambria Math" w:cs="Cambria Math"/>
                  <w:sz w:val="24"/>
                  <w:szCs w:val="24"/>
                </w:rPr>
                <m:t>300</m:t>
              </m:r>
            </m:den>
          </m:f>
          <m:r>
            <w:rPr>
              <w:rFonts w:ascii="Cambria Math" w:eastAsia="Cambria Math" w:hAnsi="Cambria Math" w:cs="Cambria Math"/>
              <w:sz w:val="24"/>
              <w:szCs w:val="24"/>
            </w:rPr>
            <m:t>=0.41133</m:t>
          </m:r>
        </m:oMath>
      </m:oMathPara>
    </w:p>
    <w:p w14:paraId="09342F25" w14:textId="77777777" w:rsidR="00F95394" w:rsidRDefault="00F95394">
      <w:pPr>
        <w:spacing w:line="360" w:lineRule="auto"/>
        <w:jc w:val="both"/>
        <w:rPr>
          <w:rFonts w:ascii="Times New Roman" w:eastAsia="Times New Roman" w:hAnsi="Times New Roman" w:cs="Times New Roman"/>
          <w:sz w:val="24"/>
          <w:szCs w:val="24"/>
        </w:rPr>
      </w:pPr>
    </w:p>
    <w:p w14:paraId="32014DB9"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Net profit margin:</w:t>
      </w:r>
      <w:r>
        <w:rPr>
          <w:rFonts w:ascii="Times New Roman" w:eastAsia="Times New Roman" w:hAnsi="Times New Roman" w:cs="Times New Roman"/>
          <w:sz w:val="24"/>
          <w:szCs w:val="24"/>
        </w:rPr>
        <w:t xml:space="preserve"> A financial metric known as net profit margin, also known as earning percentage or revenue growth ratio, is utilized to determine the proportion of revenues that a business derives from its total purchases. It calculates a business's total income generates for each </w:t>
      </w:r>
      <w:proofErr w:type="gramStart"/>
      <w:r>
        <w:rPr>
          <w:rFonts w:ascii="Times New Roman" w:eastAsia="Times New Roman" w:hAnsi="Times New Roman" w:cs="Times New Roman"/>
          <w:sz w:val="24"/>
          <w:szCs w:val="24"/>
        </w:rPr>
        <w:t>dollars</w:t>
      </w:r>
      <w:proofErr w:type="gramEnd"/>
      <w:r>
        <w:rPr>
          <w:rFonts w:ascii="Times New Roman" w:eastAsia="Times New Roman" w:hAnsi="Times New Roman" w:cs="Times New Roman"/>
          <w:sz w:val="24"/>
          <w:szCs w:val="24"/>
        </w:rPr>
        <w:t xml:space="preserve"> of selling. The gross income margins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the proportion of operating profit, also known as gross profit, to overall sales, expressed as a percentage (</w:t>
      </w:r>
      <w:proofErr w:type="spellStart"/>
      <w:r>
        <w:rPr>
          <w:rFonts w:ascii="Times New Roman" w:eastAsia="Times New Roman" w:hAnsi="Times New Roman" w:cs="Times New Roman"/>
          <w:sz w:val="24"/>
          <w:szCs w:val="24"/>
        </w:rPr>
        <w:t>Swieringa</w:t>
      </w:r>
      <w:proofErr w:type="spellEnd"/>
      <w:r>
        <w:rPr>
          <w:rFonts w:ascii="Times New Roman" w:eastAsia="Times New Roman" w:hAnsi="Times New Roman" w:cs="Times New Roman"/>
          <w:sz w:val="24"/>
          <w:szCs w:val="24"/>
        </w:rPr>
        <w:t>, 2018).</w:t>
      </w:r>
    </w:p>
    <w:p w14:paraId="770F7D48"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2021,</w:t>
      </w:r>
    </w:p>
    <w:p w14:paraId="28463383"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Net profit margin=</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 xml:space="preserve">revenue-cost </m:t>
              </m:r>
            </m:num>
            <m:den>
              <m:r>
                <w:rPr>
                  <w:rFonts w:ascii="Cambria Math" w:eastAsia="Cambria Math" w:hAnsi="Cambria Math" w:cs="Cambria Math"/>
                  <w:sz w:val="24"/>
                  <w:szCs w:val="24"/>
                </w:rPr>
                <m:t xml:space="preserve">revenue </m:t>
              </m:r>
            </m:den>
          </m:f>
        </m:oMath>
      </m:oMathPara>
    </w:p>
    <w:p w14:paraId="2832E1E9"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Net profit margin=</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6738-2698</m:t>
              </m:r>
            </m:num>
            <m:den>
              <m:r>
                <w:rPr>
                  <w:rFonts w:ascii="Cambria Math" w:eastAsia="Cambria Math" w:hAnsi="Cambria Math" w:cs="Cambria Math"/>
                  <w:sz w:val="24"/>
                  <w:szCs w:val="24"/>
                </w:rPr>
                <m:t>6738</m:t>
              </m:r>
            </m:den>
          </m:f>
          <m:r>
            <w:rPr>
              <w:rFonts w:ascii="Cambria Math" w:eastAsia="Cambria Math" w:hAnsi="Cambria Math" w:cs="Cambria Math"/>
              <w:sz w:val="24"/>
              <w:szCs w:val="24"/>
            </w:rPr>
            <m:t>=0.5995</m:t>
          </m:r>
        </m:oMath>
      </m:oMathPara>
    </w:p>
    <w:p w14:paraId="43117FC3"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2020,</w:t>
      </w:r>
    </w:p>
    <w:p w14:paraId="115F26B2"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Net profit margin=</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6441-2646</m:t>
              </m:r>
            </m:num>
            <m:den>
              <m:r>
                <w:rPr>
                  <w:rFonts w:ascii="Cambria Math" w:eastAsia="Cambria Math" w:hAnsi="Cambria Math" w:cs="Cambria Math"/>
                  <w:sz w:val="24"/>
                  <w:szCs w:val="24"/>
                </w:rPr>
                <m:t>6441</m:t>
              </m:r>
            </m:den>
          </m:f>
          <m:r>
            <w:rPr>
              <w:rFonts w:ascii="Cambria Math" w:eastAsia="Cambria Math" w:hAnsi="Cambria Math" w:cs="Cambria Math"/>
              <w:sz w:val="24"/>
              <w:szCs w:val="24"/>
            </w:rPr>
            <m:t>=0.5891</m:t>
          </m:r>
        </m:oMath>
      </m:oMathPara>
    </w:p>
    <w:p w14:paraId="0A5C3FC0" w14:textId="77777777" w:rsidR="00F95394" w:rsidRDefault="00F95394">
      <w:pPr>
        <w:spacing w:line="360" w:lineRule="auto"/>
        <w:jc w:val="both"/>
        <w:rPr>
          <w:rFonts w:ascii="Times New Roman" w:eastAsia="Times New Roman" w:hAnsi="Times New Roman" w:cs="Times New Roman"/>
          <w:sz w:val="24"/>
          <w:szCs w:val="24"/>
        </w:rPr>
      </w:pPr>
    </w:p>
    <w:p w14:paraId="10066E5D" w14:textId="77777777" w:rsidR="00F95394" w:rsidRDefault="00F95394">
      <w:pPr>
        <w:spacing w:line="360" w:lineRule="auto"/>
        <w:jc w:val="both"/>
        <w:rPr>
          <w:rFonts w:ascii="Times New Roman" w:eastAsia="Times New Roman" w:hAnsi="Times New Roman" w:cs="Times New Roman"/>
          <w:sz w:val="24"/>
          <w:szCs w:val="24"/>
        </w:rPr>
      </w:pPr>
    </w:p>
    <w:p w14:paraId="61C48F72"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Asset turnover:</w:t>
      </w:r>
      <w:r>
        <w:rPr>
          <w:rFonts w:ascii="Times New Roman" w:eastAsia="Times New Roman" w:hAnsi="Times New Roman" w:cs="Times New Roman"/>
          <w:sz w:val="24"/>
          <w:szCs w:val="24"/>
        </w:rPr>
        <w:t xml:space="preserve"> The asset turnover ratio gauges how well a business sells or generates income from its property. A ratio is computed by measuring the monetary quantity of sold to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industry’s income in order to assess the efficacy of an institution ' activities. A highest ratio is frequently chosen since it indicates that the company is more successful at generating sales or </w:t>
      </w:r>
      <w:proofErr w:type="spellStart"/>
      <w:proofErr w:type="gramStart"/>
      <w:r>
        <w:rPr>
          <w:rFonts w:ascii="Times New Roman" w:eastAsia="Times New Roman" w:hAnsi="Times New Roman" w:cs="Times New Roman"/>
          <w:sz w:val="24"/>
          <w:szCs w:val="24"/>
        </w:rPr>
        <w:t>profits.A</w:t>
      </w:r>
      <w:proofErr w:type="spellEnd"/>
      <w:proofErr w:type="gramEnd"/>
      <w:r>
        <w:rPr>
          <w:rFonts w:ascii="Times New Roman" w:eastAsia="Times New Roman" w:hAnsi="Times New Roman" w:cs="Times New Roman"/>
          <w:sz w:val="24"/>
          <w:szCs w:val="24"/>
        </w:rPr>
        <w:t xml:space="preserve"> lesser ratio shows that a business could not be utilizing its resources as effectively. Just the ratios of businesses in the same industry must be evaluated because asset turnover ratios change across other industries. Any span of time may be used, although commonly an annually schedule is used to determine the ratio (Turtle &amp; Wang, 2017).</w:t>
      </w:r>
    </w:p>
    <w:p w14:paraId="4CBFE1F4"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2021,</w:t>
      </w:r>
    </w:p>
    <w:p w14:paraId="784C29CD"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Asset turnover=</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revenue</m:t>
              </m:r>
            </m:num>
            <m:den>
              <m:r>
                <w:rPr>
                  <w:rFonts w:ascii="Cambria Math" w:eastAsia="Cambria Math" w:hAnsi="Cambria Math" w:cs="Cambria Math"/>
                  <w:sz w:val="24"/>
                  <w:szCs w:val="24"/>
                </w:rPr>
                <m:t xml:space="preserve">total assets </m:t>
              </m:r>
            </m:den>
          </m:f>
        </m:oMath>
      </m:oMathPara>
    </w:p>
    <w:p w14:paraId="1CEC8759"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Assets turnover=</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6738</m:t>
              </m:r>
            </m:num>
            <m:den>
              <m:r>
                <w:rPr>
                  <w:rFonts w:ascii="Cambria Math" w:eastAsia="Cambria Math" w:hAnsi="Cambria Math" w:cs="Cambria Math"/>
                  <w:sz w:val="24"/>
                  <w:szCs w:val="24"/>
                </w:rPr>
                <m:t>9736</m:t>
              </m:r>
            </m:den>
          </m:f>
          <m:r>
            <w:rPr>
              <w:rFonts w:ascii="Cambria Math" w:eastAsia="Cambria Math" w:hAnsi="Cambria Math" w:cs="Cambria Math"/>
              <w:sz w:val="24"/>
              <w:szCs w:val="24"/>
            </w:rPr>
            <m:t>=0.692</m:t>
          </m:r>
        </m:oMath>
      </m:oMathPara>
    </w:p>
    <w:p w14:paraId="39112E22"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2020,</w:t>
      </w:r>
    </w:p>
    <w:p w14:paraId="6323AF28"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Assets turnover=</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6441</m:t>
              </m:r>
            </m:num>
            <m:den>
              <m:r>
                <w:rPr>
                  <w:rFonts w:ascii="Cambria Math" w:eastAsia="Cambria Math" w:hAnsi="Cambria Math" w:cs="Cambria Math"/>
                  <w:sz w:val="24"/>
                  <w:szCs w:val="24"/>
                </w:rPr>
                <m:t>10087</m:t>
              </m:r>
            </m:den>
          </m:f>
          <m:r>
            <w:rPr>
              <w:rFonts w:ascii="Cambria Math" w:eastAsia="Cambria Math" w:hAnsi="Cambria Math" w:cs="Cambria Math"/>
              <w:sz w:val="24"/>
              <w:szCs w:val="24"/>
            </w:rPr>
            <m:t>=0.639</m:t>
          </m:r>
        </m:oMath>
      </m:oMathPara>
    </w:p>
    <w:p w14:paraId="6B038571" w14:textId="77777777" w:rsidR="00F95394" w:rsidRDefault="00F95394">
      <w:pPr>
        <w:spacing w:line="360" w:lineRule="auto"/>
        <w:jc w:val="both"/>
        <w:rPr>
          <w:rFonts w:ascii="Times New Roman" w:eastAsia="Times New Roman" w:hAnsi="Times New Roman" w:cs="Times New Roman"/>
          <w:sz w:val="24"/>
          <w:szCs w:val="24"/>
        </w:rPr>
      </w:pPr>
    </w:p>
    <w:p w14:paraId="0123402F"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Stock holding days</w:t>
      </w:r>
      <w:r>
        <w:rPr>
          <w:rFonts w:ascii="Times New Roman" w:eastAsia="Times New Roman" w:hAnsi="Times New Roman" w:cs="Times New Roman"/>
          <w:sz w:val="24"/>
          <w:szCs w:val="24"/>
        </w:rPr>
        <w:t>: A keeping time in the context of investment is the interval following the acquisition and selling of a property or commodity. Possession durations are significant since they affect when an owner will be taxed on financial profits at a short-term or lengthy rate whenever their sale a property at a gain (Turtle &amp; Wang, 2017).</w:t>
      </w:r>
    </w:p>
    <w:p w14:paraId="4061EF91"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2021,</w:t>
      </w:r>
    </w:p>
    <w:p w14:paraId="083052C4"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Stock holding days=</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 xml:space="preserve">inventory </m:t>
              </m:r>
            </m:num>
            <m:den>
              <m:r>
                <w:rPr>
                  <w:rFonts w:ascii="Cambria Math" w:eastAsia="Cambria Math" w:hAnsi="Cambria Math" w:cs="Cambria Math"/>
                  <w:sz w:val="24"/>
                  <w:szCs w:val="24"/>
                </w:rPr>
                <m:t>cost of goods sold</m:t>
              </m:r>
            </m:den>
          </m:f>
          <m:r>
            <w:rPr>
              <w:rFonts w:ascii="Cambria Math" w:eastAsia="Cambria Math" w:hAnsi="Cambria Math" w:cs="Cambria Math"/>
              <w:sz w:val="24"/>
              <w:szCs w:val="24"/>
            </w:rPr>
            <m:t>×365</m:t>
          </m:r>
        </m:oMath>
      </m:oMathPara>
    </w:p>
    <w:p w14:paraId="40E3D3EA"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Stock holding days=</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708</m:t>
              </m:r>
            </m:num>
            <m:den>
              <m:r>
                <w:rPr>
                  <w:rFonts w:ascii="Cambria Math" w:eastAsia="Cambria Math" w:hAnsi="Cambria Math" w:cs="Cambria Math"/>
                  <w:sz w:val="24"/>
                  <w:szCs w:val="24"/>
                </w:rPr>
                <m:t>3225</m:t>
              </m:r>
            </m:den>
          </m:f>
          <m:r>
            <w:rPr>
              <w:rFonts w:ascii="Cambria Math" w:eastAsia="Cambria Math" w:hAnsi="Cambria Math" w:cs="Cambria Math"/>
              <w:sz w:val="24"/>
              <w:szCs w:val="24"/>
            </w:rPr>
            <m:t>×365=80 days</m:t>
          </m:r>
        </m:oMath>
      </m:oMathPara>
    </w:p>
    <w:p w14:paraId="7F458003"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2020,</w:t>
      </w:r>
    </w:p>
    <w:p w14:paraId="284CE249"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Stock holding days=</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659</m:t>
              </m:r>
            </m:num>
            <m:den>
              <m:r>
                <w:rPr>
                  <w:rFonts w:ascii="Cambria Math" w:eastAsia="Cambria Math" w:hAnsi="Cambria Math" w:cs="Cambria Math"/>
                  <w:sz w:val="24"/>
                  <w:szCs w:val="24"/>
                </w:rPr>
                <m:t>3097</m:t>
              </m:r>
            </m:den>
          </m:f>
          <m:r>
            <w:rPr>
              <w:rFonts w:ascii="Cambria Math" w:eastAsia="Cambria Math" w:hAnsi="Cambria Math" w:cs="Cambria Math"/>
              <w:sz w:val="24"/>
              <w:szCs w:val="24"/>
            </w:rPr>
            <m:t>×365=78 days</m:t>
          </m:r>
        </m:oMath>
      </m:oMathPara>
    </w:p>
    <w:p w14:paraId="2891D347"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Debtor’s collection period:</w:t>
      </w:r>
      <w:r>
        <w:rPr>
          <w:rFonts w:ascii="Times New Roman" w:eastAsia="Times New Roman" w:hAnsi="Times New Roman" w:cs="Times New Roman"/>
          <w:sz w:val="24"/>
          <w:szCs w:val="24"/>
        </w:rPr>
        <w:t xml:space="preserve"> According to many experts, if a company gives two months of interest-free credit, the recovering period should be 90 periods or less. This </w:t>
      </w:r>
      <w:proofErr w:type="gramStart"/>
      <w:r>
        <w:rPr>
          <w:rFonts w:ascii="Times New Roman" w:eastAsia="Times New Roman" w:hAnsi="Times New Roman" w:cs="Times New Roman"/>
          <w:sz w:val="24"/>
          <w:szCs w:val="24"/>
        </w:rPr>
        <w:t>period of time</w:t>
      </w:r>
      <w:proofErr w:type="gramEnd"/>
      <w:r>
        <w:rPr>
          <w:rFonts w:ascii="Times New Roman" w:eastAsia="Times New Roman" w:hAnsi="Times New Roman" w:cs="Times New Roman"/>
          <w:sz w:val="24"/>
          <w:szCs w:val="24"/>
        </w:rPr>
        <w:t xml:space="preserve"> serves as an example about just how long it takes to create and acquire a credits payment after one has been made. Since it shows that a company is making revenue more rapidly, a quicker borrowing period is sometimes seen as better than a lengthier one. The amount owed by a company's debts is multiply by 365 and divided by the yearly selling on contract to arrive at the short payback earnings ratio (Turtle &amp; Wang, 2017).</w:t>
      </w:r>
    </w:p>
    <w:p w14:paraId="7D630C94"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2021,</w:t>
      </w:r>
    </w:p>
    <w:p w14:paraId="5BE67609"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Debtors collection period=</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debtors</m:t>
              </m:r>
            </m:num>
            <m:den>
              <m:r>
                <w:rPr>
                  <w:rFonts w:ascii="Cambria Math" w:eastAsia="Cambria Math" w:hAnsi="Cambria Math" w:cs="Cambria Math"/>
                  <w:sz w:val="24"/>
                  <w:szCs w:val="24"/>
                </w:rPr>
                <m:t>sales turnover</m:t>
              </m:r>
            </m:den>
          </m:f>
          <m:r>
            <w:rPr>
              <w:rFonts w:ascii="Cambria Math" w:eastAsia="Cambria Math" w:hAnsi="Cambria Math" w:cs="Cambria Math"/>
              <w:sz w:val="24"/>
              <w:szCs w:val="24"/>
            </w:rPr>
            <m:t>×365</m:t>
          </m:r>
        </m:oMath>
      </m:oMathPara>
    </w:p>
    <w:p w14:paraId="334B233E"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Debtors collection period=</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1249</m:t>
              </m:r>
            </m:num>
            <m:den>
              <m:r>
                <w:rPr>
                  <w:rFonts w:ascii="Cambria Math" w:eastAsia="Cambria Math" w:hAnsi="Cambria Math" w:cs="Cambria Math"/>
                  <w:sz w:val="24"/>
                  <w:szCs w:val="24"/>
                </w:rPr>
                <m:t>6738</m:t>
              </m:r>
            </m:den>
          </m:f>
          <m:r>
            <w:rPr>
              <w:rFonts w:ascii="Cambria Math" w:eastAsia="Cambria Math" w:hAnsi="Cambria Math" w:cs="Cambria Math"/>
              <w:sz w:val="24"/>
              <w:szCs w:val="24"/>
            </w:rPr>
            <m:t>×365=68 days</m:t>
          </m:r>
        </m:oMath>
      </m:oMathPara>
    </w:p>
    <w:p w14:paraId="6493D18C"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2020,</w:t>
      </w:r>
    </w:p>
    <w:p w14:paraId="15DAC167"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Debtors collection period=</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1287</m:t>
              </m:r>
            </m:num>
            <m:den>
              <m:r>
                <w:rPr>
                  <w:rFonts w:ascii="Cambria Math" w:eastAsia="Cambria Math" w:hAnsi="Cambria Math" w:cs="Cambria Math"/>
                  <w:sz w:val="24"/>
                  <w:szCs w:val="24"/>
                </w:rPr>
                <m:t>6441</m:t>
              </m:r>
            </m:den>
          </m:f>
          <m:r>
            <w:rPr>
              <w:rFonts w:ascii="Cambria Math" w:eastAsia="Cambria Math" w:hAnsi="Cambria Math" w:cs="Cambria Math"/>
              <w:sz w:val="24"/>
              <w:szCs w:val="24"/>
            </w:rPr>
            <m:t>×365=73 days</m:t>
          </m:r>
        </m:oMath>
      </m:oMathPara>
    </w:p>
    <w:p w14:paraId="043A4238"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Current ratio</w:t>
      </w:r>
      <w:r>
        <w:rPr>
          <w:rFonts w:ascii="Times New Roman" w:eastAsia="Times New Roman" w:hAnsi="Times New Roman" w:cs="Times New Roman"/>
          <w:sz w:val="24"/>
          <w:szCs w:val="24"/>
        </w:rPr>
        <w:t xml:space="preserve">: A liquidity ratio known as the existent ratios evaluates a sector's ability to pay short-term or periodical obligations. It demonstrates to customers and academics how a company might utilize its current assets to paying away its current obligations and related bills owed to the greatest degree feasible. A current ratio that is approximately to or slightly over the industry average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adequate. A frequency proportion that is lower than the industry average might raise the chance of difficulties or failing. </w:t>
      </w:r>
      <w:proofErr w:type="gramStart"/>
      <w:r>
        <w:rPr>
          <w:rFonts w:ascii="Times New Roman" w:eastAsia="Times New Roman" w:hAnsi="Times New Roman" w:cs="Times New Roman"/>
          <w:sz w:val="24"/>
          <w:szCs w:val="24"/>
        </w:rPr>
        <w:t>Similarly</w:t>
      </w:r>
      <w:proofErr w:type="gramEnd"/>
      <w:r>
        <w:rPr>
          <w:rFonts w:ascii="Times New Roman" w:eastAsia="Times New Roman" w:hAnsi="Times New Roman" w:cs="Times New Roman"/>
          <w:sz w:val="24"/>
          <w:szCs w:val="24"/>
        </w:rPr>
        <w:t xml:space="preserve"> to this, it indicates that management may not be generating the best utilization of capabilities if an institution 's current ratio is much greater than that of the comparable groups (Sutton, 2018).</w:t>
      </w:r>
    </w:p>
    <w:p w14:paraId="4A0B21DB"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2021,</w:t>
      </w:r>
    </w:p>
    <w:p w14:paraId="281E9B49"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Current ratio=</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 xml:space="preserve"> current assets</m:t>
              </m:r>
            </m:num>
            <m:den>
              <m:r>
                <w:rPr>
                  <w:rFonts w:ascii="Cambria Math" w:eastAsia="Cambria Math" w:hAnsi="Cambria Math" w:cs="Cambria Math"/>
                  <w:sz w:val="24"/>
                  <w:szCs w:val="24"/>
                </w:rPr>
                <m:t>current liabilities</m:t>
              </m:r>
            </m:den>
          </m:f>
        </m:oMath>
      </m:oMathPara>
    </w:p>
    <w:p w14:paraId="3938195C"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Current ratio=</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2303</m:t>
              </m:r>
            </m:num>
            <m:den>
              <m:r>
                <w:rPr>
                  <w:rFonts w:ascii="Cambria Math" w:eastAsia="Cambria Math" w:hAnsi="Cambria Math" w:cs="Cambria Math"/>
                  <w:sz w:val="24"/>
                  <w:szCs w:val="24"/>
                </w:rPr>
                <m:t>2511</m:t>
              </m:r>
            </m:den>
          </m:f>
          <m:r>
            <w:rPr>
              <w:rFonts w:ascii="Cambria Math" w:eastAsia="Cambria Math" w:hAnsi="Cambria Math" w:cs="Cambria Math"/>
              <w:sz w:val="24"/>
              <w:szCs w:val="24"/>
            </w:rPr>
            <m:t>=0.917</m:t>
          </m:r>
        </m:oMath>
      </m:oMathPara>
    </w:p>
    <w:p w14:paraId="3831B018"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2020,</w:t>
      </w:r>
    </w:p>
    <w:p w14:paraId="653D621B"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Current ratio=</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2355</m:t>
              </m:r>
            </m:num>
            <m:den>
              <m:r>
                <w:rPr>
                  <w:rFonts w:ascii="Cambria Math" w:eastAsia="Cambria Math" w:hAnsi="Cambria Math" w:cs="Cambria Math"/>
                  <w:sz w:val="24"/>
                  <w:szCs w:val="24"/>
                </w:rPr>
                <m:t>3046</m:t>
              </m:r>
            </m:den>
          </m:f>
          <m:r>
            <w:rPr>
              <w:rFonts w:ascii="Cambria Math" w:eastAsia="Cambria Math" w:hAnsi="Cambria Math" w:cs="Cambria Math"/>
              <w:sz w:val="24"/>
              <w:szCs w:val="24"/>
            </w:rPr>
            <m:t>=0.773</m:t>
          </m:r>
        </m:oMath>
      </m:oMathPara>
    </w:p>
    <w:p w14:paraId="7EE99A65" w14:textId="77777777" w:rsidR="00F95394" w:rsidRDefault="00F95394">
      <w:pPr>
        <w:spacing w:line="360" w:lineRule="auto"/>
        <w:jc w:val="both"/>
        <w:rPr>
          <w:rFonts w:ascii="Times New Roman" w:eastAsia="Times New Roman" w:hAnsi="Times New Roman" w:cs="Times New Roman"/>
          <w:sz w:val="24"/>
          <w:szCs w:val="24"/>
        </w:rPr>
      </w:pPr>
    </w:p>
    <w:p w14:paraId="62D506CE"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Gearing ratio:</w:t>
      </w:r>
      <w:r>
        <w:rPr>
          <w:rFonts w:ascii="Times New Roman" w:eastAsia="Times New Roman" w:hAnsi="Times New Roman" w:cs="Times New Roman"/>
          <w:sz w:val="24"/>
          <w:szCs w:val="24"/>
        </w:rPr>
        <w:t xml:space="preserve"> Economic gearing ratios, a class of frequently utilized monetary indicators, connect a mortgage to other monetary measures such corporation equity or business private land. An indicator of the percentage of an institution's activities are funded by equities from shareholder as contrast to borrowing from lenders, gearing ratios are a sort of financial leveraging data. Gearing ratios are useful in the examination of principles. By determining gearing ratios, we can better understand where a company gets its operating funding, which helps us learn more about a firm's reliability and its capability to deal with financial instability. Learn more about assessing organizational fundamentals (Sutton, 2018).</w:t>
      </w:r>
    </w:p>
    <w:p w14:paraId="2172FF41"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2021,</w:t>
      </w:r>
    </w:p>
    <w:p w14:paraId="53B7221A"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Gearing ratio=</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debt</m:t>
              </m:r>
            </m:num>
            <m:den>
              <m:r>
                <w:rPr>
                  <w:rFonts w:ascii="Cambria Math" w:eastAsia="Cambria Math" w:hAnsi="Cambria Math" w:cs="Cambria Math"/>
                  <w:sz w:val="24"/>
                  <w:szCs w:val="24"/>
                </w:rPr>
                <m:t>debts+equity</m:t>
              </m:r>
            </m:den>
          </m:f>
        </m:oMath>
      </m:oMathPara>
    </w:p>
    <w:p w14:paraId="33A40FD8"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Gearing ratio=</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6648</m:t>
              </m:r>
            </m:num>
            <m:den>
              <m:r>
                <w:rPr>
                  <w:rFonts w:ascii="Cambria Math" w:eastAsia="Cambria Math" w:hAnsi="Cambria Math" w:cs="Cambria Math"/>
                  <w:sz w:val="24"/>
                  <w:szCs w:val="24"/>
                </w:rPr>
                <m:t>6648+9736</m:t>
              </m:r>
            </m:den>
          </m:f>
          <m:r>
            <w:rPr>
              <w:rFonts w:ascii="Cambria Math" w:eastAsia="Cambria Math" w:hAnsi="Cambria Math" w:cs="Cambria Math"/>
              <w:sz w:val="24"/>
              <w:szCs w:val="24"/>
            </w:rPr>
            <m:t>=0.4156</m:t>
          </m:r>
        </m:oMath>
      </m:oMathPara>
    </w:p>
    <w:p w14:paraId="3800A77D" w14:textId="77777777" w:rsidR="00F95394" w:rsidRDefault="00F95394">
      <w:pPr>
        <w:spacing w:line="360" w:lineRule="auto"/>
        <w:jc w:val="both"/>
        <w:rPr>
          <w:rFonts w:ascii="Times New Roman" w:eastAsia="Times New Roman" w:hAnsi="Times New Roman" w:cs="Times New Roman"/>
          <w:sz w:val="24"/>
          <w:szCs w:val="24"/>
        </w:rPr>
      </w:pPr>
    </w:p>
    <w:p w14:paraId="0C262DF8"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2020,</w:t>
      </w:r>
    </w:p>
    <w:p w14:paraId="2FBE487B"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Gearing ratio=</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7175</m:t>
              </m:r>
            </m:num>
            <m:den>
              <m:r>
                <w:rPr>
                  <w:rFonts w:ascii="Cambria Math" w:eastAsia="Cambria Math" w:hAnsi="Cambria Math" w:cs="Cambria Math"/>
                  <w:sz w:val="24"/>
                  <w:szCs w:val="24"/>
                </w:rPr>
                <m:t>7175+10087</m:t>
              </m:r>
            </m:den>
          </m:f>
          <m:r>
            <w:rPr>
              <w:rFonts w:ascii="Cambria Math" w:eastAsia="Cambria Math" w:hAnsi="Cambria Math" w:cs="Cambria Math"/>
              <w:sz w:val="24"/>
              <w:szCs w:val="24"/>
            </w:rPr>
            <m:t>=0.406</m:t>
          </m:r>
        </m:oMath>
      </m:oMathPara>
    </w:p>
    <w:p w14:paraId="31EF51CE" w14:textId="77777777" w:rsidR="00F95394" w:rsidRDefault="00F95394">
      <w:pPr>
        <w:spacing w:line="360" w:lineRule="auto"/>
        <w:jc w:val="both"/>
        <w:rPr>
          <w:rFonts w:ascii="Times New Roman" w:eastAsia="Times New Roman" w:hAnsi="Times New Roman" w:cs="Times New Roman"/>
          <w:sz w:val="24"/>
          <w:szCs w:val="24"/>
        </w:rPr>
      </w:pPr>
    </w:p>
    <w:p w14:paraId="45220B60"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Interest cover:</w:t>
      </w:r>
      <w:r>
        <w:rPr>
          <w:rFonts w:ascii="Times New Roman" w:eastAsia="Times New Roman" w:hAnsi="Times New Roman" w:cs="Times New Roman"/>
          <w:sz w:val="24"/>
          <w:szCs w:val="24"/>
        </w:rPr>
        <w:t xml:space="preserve"> To evaluate a company's capacity to discharge the payment on its previous debt, a financial metric known as the Payment Covering Ratios is used. Borrowers, lending institutions, and financiers frequently utilize the ICR to assess how risky it is to extend credit to a business. The "double income obtained" percentage is another name for the cover ratio. It is also known as the percent interests generated ratio, and it aids in determining the danger involved with the loan amounts. The danger is reduced the greater the ICR. As a result, buyers and borrowers choose to providing cash to businesses with a larger ratio since they are aware that the latter can simply repay the interests </w:t>
      </w:r>
      <w:proofErr w:type="gramStart"/>
      <w:r>
        <w:rPr>
          <w:rFonts w:ascii="Times New Roman" w:eastAsia="Times New Roman" w:hAnsi="Times New Roman" w:cs="Times New Roman"/>
          <w:sz w:val="24"/>
          <w:szCs w:val="24"/>
        </w:rPr>
        <w:t>during the course of</w:t>
      </w:r>
      <w:proofErr w:type="gramEnd"/>
      <w:r>
        <w:rPr>
          <w:rFonts w:ascii="Times New Roman" w:eastAsia="Times New Roman" w:hAnsi="Times New Roman" w:cs="Times New Roman"/>
          <w:sz w:val="24"/>
          <w:szCs w:val="24"/>
        </w:rPr>
        <w:t xml:space="preserve"> a loan (Sutton, 2018).</w:t>
      </w:r>
    </w:p>
    <w:p w14:paraId="461B3CEA"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2020,</w:t>
      </w:r>
    </w:p>
    <w:p w14:paraId="1DFCAB16"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Interest cover=</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currents liabilities</m:t>
              </m:r>
            </m:num>
            <m:den>
              <m:r>
                <w:rPr>
                  <w:rFonts w:ascii="Cambria Math" w:eastAsia="Cambria Math" w:hAnsi="Cambria Math" w:cs="Cambria Math"/>
                  <w:sz w:val="24"/>
                  <w:szCs w:val="24"/>
                </w:rPr>
                <m:t xml:space="preserve">inventories </m:t>
              </m:r>
            </m:den>
          </m:f>
        </m:oMath>
      </m:oMathPara>
    </w:p>
    <w:p w14:paraId="013C28D0"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Interest cover=</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2303-2511</m:t>
              </m:r>
            </m:num>
            <m:den>
              <m:r>
                <w:rPr>
                  <w:rFonts w:ascii="Cambria Math" w:eastAsia="Cambria Math" w:hAnsi="Cambria Math" w:cs="Cambria Math"/>
                  <w:sz w:val="24"/>
                  <w:szCs w:val="24"/>
                </w:rPr>
                <m:t xml:space="preserve">708 </m:t>
              </m:r>
            </m:den>
          </m:f>
          <m:r>
            <w:rPr>
              <w:rFonts w:ascii="Cambria Math" w:eastAsia="Cambria Math" w:hAnsi="Cambria Math" w:cs="Cambria Math"/>
              <w:sz w:val="24"/>
              <w:szCs w:val="24"/>
            </w:rPr>
            <m:t>=0.2937</m:t>
          </m:r>
        </m:oMath>
      </m:oMathPara>
    </w:p>
    <w:p w14:paraId="7BF6616A"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Year 2021,</w:t>
      </w:r>
    </w:p>
    <w:p w14:paraId="36042602" w14:textId="77777777" w:rsidR="00F95394" w:rsidRDefault="00000000">
      <w:pPr>
        <w:jc w:val="center"/>
        <w:rPr>
          <w:rFonts w:ascii="Cambria Math" w:eastAsia="Cambria Math" w:hAnsi="Cambria Math" w:cs="Cambria Math"/>
          <w:sz w:val="24"/>
          <w:szCs w:val="24"/>
        </w:rPr>
      </w:pPr>
      <m:oMathPara>
        <m:oMath>
          <m:r>
            <w:rPr>
              <w:rFonts w:ascii="Cambria Math" w:eastAsia="Cambria Math" w:hAnsi="Cambria Math" w:cs="Cambria Math"/>
              <w:sz w:val="24"/>
              <w:szCs w:val="24"/>
            </w:rPr>
            <m:t>Interest cover=</m:t>
          </m:r>
          <m:f>
            <m:fPr>
              <m:ctrlPr>
                <w:rPr>
                  <w:rFonts w:ascii="Cambria Math" w:eastAsia="Cambria Math" w:hAnsi="Cambria Math" w:cs="Cambria Math"/>
                  <w:sz w:val="24"/>
                  <w:szCs w:val="24"/>
                </w:rPr>
              </m:ctrlPr>
            </m:fPr>
            <m:num>
              <m:r>
                <w:rPr>
                  <w:rFonts w:ascii="Cambria Math" w:eastAsia="Cambria Math" w:hAnsi="Cambria Math" w:cs="Cambria Math"/>
                  <w:sz w:val="24"/>
                  <w:szCs w:val="24"/>
                </w:rPr>
                <m:t>2355-3046</m:t>
              </m:r>
            </m:num>
            <m:den>
              <m:r>
                <w:rPr>
                  <w:rFonts w:ascii="Cambria Math" w:eastAsia="Cambria Math" w:hAnsi="Cambria Math" w:cs="Cambria Math"/>
                  <w:sz w:val="24"/>
                  <w:szCs w:val="24"/>
                </w:rPr>
                <m:t>659</m:t>
              </m:r>
            </m:den>
          </m:f>
          <m:r>
            <w:rPr>
              <w:rFonts w:ascii="Cambria Math" w:eastAsia="Cambria Math" w:hAnsi="Cambria Math" w:cs="Cambria Math"/>
              <w:sz w:val="24"/>
              <w:szCs w:val="24"/>
            </w:rPr>
            <m:t>=0.659</m:t>
          </m:r>
        </m:oMath>
      </m:oMathPara>
    </w:p>
    <w:p w14:paraId="5832DB8A" w14:textId="77777777" w:rsidR="00F95394" w:rsidRDefault="00F95394">
      <w:pPr>
        <w:spacing w:line="360" w:lineRule="auto"/>
        <w:jc w:val="both"/>
        <w:rPr>
          <w:rFonts w:ascii="Times New Roman" w:eastAsia="Times New Roman" w:hAnsi="Times New Roman" w:cs="Times New Roman"/>
          <w:sz w:val="24"/>
          <w:szCs w:val="24"/>
        </w:rPr>
      </w:pPr>
    </w:p>
    <w:p w14:paraId="321D1B8B" w14:textId="77777777" w:rsidR="00F95394" w:rsidRDefault="00000000">
      <w:pPr>
        <w:pStyle w:val="Heading2"/>
        <w:rPr>
          <w:b/>
        </w:rPr>
      </w:pPr>
      <w:bookmarkStart w:id="9" w:name="_Toc123837354"/>
      <w:r>
        <w:rPr>
          <w:b/>
        </w:rPr>
        <w:t xml:space="preserve">Financial performance and position of </w:t>
      </w:r>
      <w:proofErr w:type="gramStart"/>
      <w:r>
        <w:rPr>
          <w:b/>
        </w:rPr>
        <w:t>Sweet’s</w:t>
      </w:r>
      <w:proofErr w:type="gramEnd"/>
      <w:r>
        <w:rPr>
          <w:b/>
        </w:rPr>
        <w:t xml:space="preserve"> plc.</w:t>
      </w:r>
      <w:bookmarkEnd w:id="9"/>
    </w:p>
    <w:p w14:paraId="21B6783E"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industry's numerous constituents include traders, lenders, speculators, employees, and executives, to name just a few. Monitoring a company’s economic outcomes is something that all industries are engaged in doing. How effectively a firm produces income, maintains its properties, honors its agreements, and safeguards the financial concerns of its stockholders and customers depends on its financial effectiveness. There are several ways to gauge financial performance, but they all must be considered concurrently (Richardson et al., 2019). Along with overall units sold, column headings like operational earnings, operating cash flows, and earnings from processes can be included. Further examination of the economic documents by the investigator or shareholders may be desirable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search for any signs of diminishing expenditures or percentages of cent increase. This is where the main emphasis of Six Sigma methodologies lies (Richardson et al., 2019).</w:t>
      </w:r>
    </w:p>
    <w:p w14:paraId="702FA6B5"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report makes it abundantly evident that Sweets PLC Organization continues to operate in the marketplace with a strong level of monetary versatility. Availability would be at a greater scale in 2021 than it was in 2020. This shows how the company’s revenue is increasing over time. The gear reduction ratio, which quantifies the connection among the pair, is used in a balanced scorecard to evaluate an industry's ownership or capitalization to its debt. The company's high gearing level suggests that it will be able to fulfill its commitments. Since it demonstrates how so many earnings a company makes </w:t>
      </w:r>
      <w:proofErr w:type="gramStart"/>
      <w:r>
        <w:rPr>
          <w:rFonts w:ascii="Times New Roman" w:eastAsia="Times New Roman" w:hAnsi="Times New Roman" w:cs="Times New Roman"/>
          <w:sz w:val="24"/>
          <w:szCs w:val="24"/>
        </w:rPr>
        <w:t>in excess of</w:t>
      </w:r>
      <w:proofErr w:type="gramEnd"/>
      <w:r>
        <w:rPr>
          <w:rFonts w:ascii="Times New Roman" w:eastAsia="Times New Roman" w:hAnsi="Times New Roman" w:cs="Times New Roman"/>
          <w:sz w:val="24"/>
          <w:szCs w:val="24"/>
        </w:rPr>
        <w:t xml:space="preserve"> what it spends on manufacturing, the net income margins ratio is frequently employed by businesses to gauge their profitability. Returns on equities (ROE) is a crucial metric for assessing how well a business’s finance leadership group is handling its finances and property. The industry's development rate undoubtedly accelerated between 2020 and 2021. The business’s economic standing is getting better. Additionally, the current asset is substantially higher in 2021 than it is in 2020 (Richardson et al., 2019).</w:t>
      </w:r>
    </w:p>
    <w:p w14:paraId="6F1B52D4" w14:textId="77777777" w:rsidR="00F95394" w:rsidRDefault="00F95394">
      <w:pPr>
        <w:spacing w:line="360" w:lineRule="auto"/>
        <w:jc w:val="both"/>
        <w:rPr>
          <w:rFonts w:ascii="Times New Roman" w:eastAsia="Times New Roman" w:hAnsi="Times New Roman" w:cs="Times New Roman"/>
          <w:sz w:val="24"/>
          <w:szCs w:val="24"/>
        </w:rPr>
      </w:pPr>
    </w:p>
    <w:p w14:paraId="06459092" w14:textId="77777777" w:rsidR="00F95394" w:rsidRDefault="00000000">
      <w:pPr>
        <w:spacing w:line="360" w:lineRule="auto"/>
        <w:jc w:val="both"/>
        <w:rPr>
          <w:rFonts w:ascii="Times New Roman" w:eastAsia="Times New Roman" w:hAnsi="Times New Roman" w:cs="Times New Roman"/>
          <w:sz w:val="24"/>
          <w:szCs w:val="24"/>
        </w:rPr>
      </w:pPr>
      <w:r>
        <w:br w:type="page"/>
      </w:r>
    </w:p>
    <w:p w14:paraId="35C7E6C3" w14:textId="77777777" w:rsidR="00F95394" w:rsidRDefault="00000000">
      <w:pPr>
        <w:pStyle w:val="Heading1"/>
        <w:rPr>
          <w:b/>
        </w:rPr>
      </w:pPr>
      <w:bookmarkStart w:id="10" w:name="_Toc123837355"/>
      <w:r>
        <w:rPr>
          <w:b/>
        </w:rPr>
        <w:t>Conclusion</w:t>
      </w:r>
      <w:bookmarkEnd w:id="10"/>
    </w:p>
    <w:p w14:paraId="50ECA9BF"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 of this research is that fundamental accounting is essential to every company. It helps businesses to monitor its financial performances and take well-informed decisions that would boost its profits. A variety of tools and procedures are used by accountants to gather and analyze financial data before giving suggestions and comments to the team and managers of the company. Companies must identify their financial status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determine their economic capability or position. The capability of the company is the basis for all </w:t>
      </w:r>
      <w:proofErr w:type="gramStart"/>
      <w:r>
        <w:rPr>
          <w:rFonts w:ascii="Times New Roman" w:eastAsia="Times New Roman" w:hAnsi="Times New Roman" w:cs="Times New Roman"/>
          <w:sz w:val="24"/>
          <w:szCs w:val="24"/>
        </w:rPr>
        <w:t>choices,</w:t>
      </w:r>
      <w:proofErr w:type="gramEnd"/>
      <w:r>
        <w:rPr>
          <w:rFonts w:ascii="Times New Roman" w:eastAsia="Times New Roman" w:hAnsi="Times New Roman" w:cs="Times New Roman"/>
          <w:sz w:val="24"/>
          <w:szCs w:val="24"/>
        </w:rPr>
        <w:t xml:space="preserve"> therefore it would be extremely beneficial to analyze and execute strategies in accordance with the economic statements. </w:t>
      </w:r>
    </w:p>
    <w:p w14:paraId="2238D53D" w14:textId="77777777" w:rsidR="00F95394" w:rsidRDefault="00000000">
      <w:pPr>
        <w:spacing w:line="360" w:lineRule="auto"/>
        <w:jc w:val="both"/>
        <w:rPr>
          <w:rFonts w:ascii="Times New Roman" w:eastAsia="Times New Roman" w:hAnsi="Times New Roman" w:cs="Times New Roman"/>
          <w:sz w:val="24"/>
          <w:szCs w:val="24"/>
        </w:rPr>
      </w:pPr>
      <w:r>
        <w:br w:type="page"/>
      </w:r>
    </w:p>
    <w:p w14:paraId="79593842" w14:textId="77777777" w:rsidR="00F95394" w:rsidRDefault="00000000">
      <w:pPr>
        <w:pStyle w:val="Heading1"/>
        <w:rPr>
          <w:b/>
        </w:rPr>
      </w:pPr>
      <w:bookmarkStart w:id="11" w:name="_Toc123837356"/>
      <w:r>
        <w:rPr>
          <w:b/>
        </w:rPr>
        <w:t>Reference</w:t>
      </w:r>
      <w:bookmarkEnd w:id="11"/>
      <w:r>
        <w:rPr>
          <w:b/>
        </w:rPr>
        <w:t xml:space="preserve"> </w:t>
      </w:r>
    </w:p>
    <w:p w14:paraId="6ED03788"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6: Composition of Central Bank Balance Sheet Assets” 2018 Central Bank Balance Sheet and Real Business Cycles, pp. 87–120. Available at: https://doi.org/10.1515/9781547400577-006. </w:t>
      </w:r>
    </w:p>
    <w:p w14:paraId="44EF4A7A"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statement reporting: The balance sheet” 2019 The Complete CPA Reference, pp. 33–90. Available at: https://doi.org/10.1002/9781119204121.ch2. </w:t>
      </w:r>
    </w:p>
    <w:p w14:paraId="2B08FDB8"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statement reporting: The income statement” 2015 The Complete CPA Reference, pp. 1–31. Available at: https://doi.org/10.1002/9781119204121.ch1. </w:t>
      </w:r>
    </w:p>
    <w:p w14:paraId="12FA35B1"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“Fundamental accounting concepts” 2019 Financial Accounting, pp. 37–80. Available at: https://doi.org/10.4324/9781315728445-11. </w:t>
      </w:r>
    </w:p>
    <w:p w14:paraId="23EA8378"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income statement/statement of comprehensive income” 2016 UK GAAP Financial Statement Disclosures Manual, pp. 67–82. Available at: https://doi.org/10.1002/9781119283393.ch4. </w:t>
      </w:r>
    </w:p>
    <w:p w14:paraId="76C266F6"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Richardson, S., Tuna, İ. and Wysocki, P. 2019 “Accounting anomalies and fundamental analysis: A review of recent research advances,” Journal of Accounting and Economics, 50(2-3), pp. 410–454. Available at: https://doi.org/10.1016/j.jacceco.2010.09.008. </w:t>
      </w:r>
    </w:p>
    <w:p w14:paraId="1AF4D970"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“Statement of financial position” 2019 Wiley 2016: Interpretation and Application of International Financial Reporting Standards, pp. 61–75. Available at: https://doi.org/10.1002/9781119254447.ch04. </w:t>
      </w:r>
    </w:p>
    <w:p w14:paraId="3E467115"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Sutton, S.G. 2018 “The fundamental role of Technology in Accounting: Researching Reality,” Advances in Accounting Behavioral Research, pp. 1–11. Available at: https://doi.org/10.1108/s1475-1488(2010)0000013004. </w:t>
      </w:r>
    </w:p>
    <w:p w14:paraId="2F6D12D7" w14:textId="77777777" w:rsidR="00F95394"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Swieringa</w:t>
      </w:r>
      <w:proofErr w:type="spellEnd"/>
      <w:r>
        <w:rPr>
          <w:rFonts w:ascii="Times New Roman" w:eastAsia="Times New Roman" w:hAnsi="Times New Roman" w:cs="Times New Roman"/>
          <w:sz w:val="24"/>
          <w:szCs w:val="24"/>
        </w:rPr>
        <w:t xml:space="preserve">, R.J. 2018 “Robert T. Sprouse and fundamental concepts of financial accounting,” Accounting Horizons, 25(1), pp. 207–220. Available at: https://doi.org/10.2308/acch.2011.25.1.207. </w:t>
      </w:r>
    </w:p>
    <w:p w14:paraId="06787E47" w14:textId="77777777" w:rsidR="00F9539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Turtle, H.J. and Wang, K. 2017 “The value in fundamental accounting information,” Journal of Financial Research, 40(1), pp. 113–140. Available at: https://doi.org/10.1111/jfir.12119.</w:t>
      </w:r>
    </w:p>
    <w:sectPr w:rsidR="00F95394">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36559" w14:textId="77777777" w:rsidR="009A2AF5" w:rsidRDefault="009A2AF5">
      <w:pPr>
        <w:spacing w:after="0" w:line="240" w:lineRule="auto"/>
      </w:pPr>
      <w:r>
        <w:separator/>
      </w:r>
    </w:p>
  </w:endnote>
  <w:endnote w:type="continuationSeparator" w:id="0">
    <w:p w14:paraId="5BA87795" w14:textId="77777777" w:rsidR="009A2AF5" w:rsidRDefault="009A2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0B4F3" w14:textId="77777777" w:rsidR="00F95394"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E05BD">
      <w:rPr>
        <w:noProof/>
        <w:color w:val="000000"/>
      </w:rPr>
      <w:t>1</w:t>
    </w:r>
    <w:r>
      <w:rPr>
        <w:color w:val="000000"/>
      </w:rPr>
      <w:fldChar w:fldCharType="end"/>
    </w:r>
  </w:p>
  <w:p w14:paraId="3ACA8B92" w14:textId="77777777" w:rsidR="00F95394" w:rsidRDefault="00F9539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24F53" w14:textId="77777777" w:rsidR="009A2AF5" w:rsidRDefault="009A2AF5">
      <w:pPr>
        <w:spacing w:after="0" w:line="240" w:lineRule="auto"/>
      </w:pPr>
      <w:r>
        <w:separator/>
      </w:r>
    </w:p>
  </w:footnote>
  <w:footnote w:type="continuationSeparator" w:id="0">
    <w:p w14:paraId="70E42980" w14:textId="77777777" w:rsidR="009A2AF5" w:rsidRDefault="009A2A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394"/>
    <w:rsid w:val="009A2AF5"/>
    <w:rsid w:val="00F95394"/>
    <w:rsid w:val="00FE0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B199B"/>
  <w15:docId w15:val="{E5FF1197-3F13-49CD-91D5-1A3FCABEE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outlineLvl w:val="0"/>
    </w:pPr>
    <w:rPr>
      <w:rFonts w:ascii="Times New Roman" w:eastAsia="Times New Roman" w:hAnsi="Times New Roman" w:cs="Times New Roman"/>
      <w:color w:val="0D0D0D"/>
      <w:sz w:val="32"/>
      <w:szCs w:val="32"/>
    </w:rPr>
  </w:style>
  <w:style w:type="paragraph" w:styleId="Heading2">
    <w:name w:val="heading 2"/>
    <w:basedOn w:val="Normal"/>
    <w:next w:val="Normal"/>
    <w:uiPriority w:val="9"/>
    <w:unhideWhenUsed/>
    <w:qFormat/>
    <w:pPr>
      <w:keepNext/>
      <w:keepLines/>
      <w:spacing w:before="40" w:after="0" w:line="360" w:lineRule="auto"/>
      <w:outlineLvl w:val="1"/>
    </w:pPr>
    <w:rPr>
      <w:rFonts w:ascii="Times New Roman" w:eastAsia="Times New Roman" w:hAnsi="Times New Roman" w:cs="Times New Roman"/>
      <w:color w:val="0D0D0D"/>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E05BD"/>
    <w:pPr>
      <w:spacing w:after="100"/>
    </w:pPr>
  </w:style>
  <w:style w:type="paragraph" w:styleId="TOC2">
    <w:name w:val="toc 2"/>
    <w:basedOn w:val="Normal"/>
    <w:next w:val="Normal"/>
    <w:autoRedefine/>
    <w:uiPriority w:val="39"/>
    <w:unhideWhenUsed/>
    <w:rsid w:val="00FE05BD"/>
    <w:pPr>
      <w:spacing w:after="100"/>
      <w:ind w:left="220"/>
    </w:pPr>
  </w:style>
  <w:style w:type="character" w:styleId="Hyperlink">
    <w:name w:val="Hyperlink"/>
    <w:basedOn w:val="DefaultParagraphFont"/>
    <w:uiPriority w:val="99"/>
    <w:unhideWhenUsed/>
    <w:rsid w:val="00FE05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2887</Words>
  <Characters>16457</Characters>
  <DocSecurity>0</DocSecurity>
  <Lines>137</Lines>
  <Paragraphs>38</Paragraphs>
  <ScaleCrop>false</ScaleCrop>
  <Company/>
  <LinksUpToDate>false</LinksUpToDate>
  <CharactersWithSpaces>19306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2023-01-05T18:57:00Z</dcterms:created>
  <dcterms:modified xsi:type="dcterms:W3CDTF">2023-01-05T18:57:00Z</dcterms:modified>
</cp:coreProperties>
</file>