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6629"/>
        <w:gridCol w:w="1237"/>
        <w:gridCol w:w="468"/>
        <w:gridCol w:w="1443"/>
        <w:gridCol w:w="662"/>
      </w:tblGrid>
      <w:tr>
        <w:trPr>
          <w:trHeight w:val="418" w:hRule="auto"/>
          <w:jc w:val="center"/>
        </w:trPr>
        <w:tc>
          <w:tcPr>
            <w:tcW w:w="6629" w:type="dxa"/>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4483" w:dyaOrig="1953">
                <v:rect xmlns:o="urn:schemas-microsoft-com:office:office" xmlns:v="urn:schemas-microsoft-com:vml" id="rectole0000000000" style="width:224.150000pt;height:97.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 Student Journal (learning log) 750 words +/- 10%</w:t>
            </w:r>
          </w:p>
          <w:p>
            <w:pPr>
              <w:spacing w:before="0" w:after="160" w:line="259"/>
              <w:ind w:right="0" w:left="0" w:firstLine="0"/>
              <w:jc w:val="left"/>
              <w:rPr>
                <w:spacing w:val="0"/>
                <w:position w:val="0"/>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shd w:fill="auto" w:val="clear"/>
              </w:rPr>
            </w:pPr>
            <w:r>
              <w:rPr>
                <w:rFonts w:ascii="Arial" w:hAnsi="Arial" w:cs="Arial" w:eastAsia="Arial"/>
                <w:b/>
                <w:color w:val="auto"/>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2233812</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0"/>
                <w:shd w:fill="auto" w:val="clear"/>
              </w:rPr>
            </w:pPr>
          </w:p>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Operating Hotel Facilities </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9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BMIH4006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Natalie Brailsford </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6629"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10439"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0" w:after="0" w:line="240"/>
              <w:ind w:right="0" w:left="0" w:firstLine="0"/>
              <w:jc w:val="center"/>
              <w:rPr>
                <w:rFonts w:ascii="Arial" w:hAnsi="Arial" w:cs="Arial" w:eastAsia="Arial"/>
                <w:color w:val="auto"/>
                <w:spacing w:val="0"/>
                <w:position w:val="0"/>
                <w:sz w:val="20"/>
                <w:shd w:fill="auto" w:val="clear"/>
              </w:rPr>
            </w:pP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plan to reflect on my recent placement experience which involves working at a hotel using Gibbs Reflective Cycle (</w:t>
            </w:r>
            <w:r>
              <w:rPr>
                <w:rFonts w:ascii="Arial" w:hAnsi="Arial" w:cs="Arial" w:eastAsia="Arial"/>
                <w:color w:val="auto"/>
                <w:spacing w:val="0"/>
                <w:position w:val="0"/>
                <w:sz w:val="24"/>
                <w:shd w:fill="FFFFFF" w:val="clear"/>
              </w:rPr>
              <w:t xml:space="preserve">Adeani et al., 2020)</w:t>
            </w:r>
            <w:r>
              <w:rPr>
                <w:rFonts w:ascii="Arial" w:hAnsi="Arial" w:cs="Arial" w:eastAsia="Arial"/>
                <w:color w:val="auto"/>
                <w:spacing w:val="0"/>
                <w:position w:val="0"/>
                <w:sz w:val="24"/>
                <w:shd w:fill="auto" w:val="clear"/>
              </w:rPr>
              <w:t xml:space="preserve">. The model was developed in 1988 by Graham Gibbs. It offers a structure through which repeated experiences can be effectively evaluated and I will learn and plan from the findings. </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Description</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recently completed my placement in the housekeeping and the Hotel that I have worked for has 3 floors and 166 rooms along with 4 Disabilities rooms on the ground floor. I used to start my shift at 10 AM and after the start of the shift, the staff was provided with a list which informed us of the number of rooms that needed cleaning and it also contained details of each room. The list which was provided mainly contained details regarding the ways each room should be cleaned; moreover, it contained abbreviations and the meaning was taught during the training period at the Hotel. For instance, the room number along with the abbreviation ST indicated that the customer is staying over in the room, and it should be cleaned quickly; whereas DC indicated deep cleaning and the room should be cleaned carefully, which usually took 1 hour. Based on the analysis of Yasir et al</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(2021), the hotel staff are primarily responsible for ensuring guest satisfaction which ultimately affects the performance of the hotel. Thus, I can mention that the tasks which I have performed in the housekeeping department were essential for the overall guest experience of the hotel, as clean rooms increase guest satisfaction and improves hotel’s reputation.</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Feelings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Initially, during the placement, I was quite nervous, as in the hotel management sector, I was responsible for multiple tasks and also needed to remember details such as check-in time, and check-out time and effectively handle customer complaints. However, while working at the Hotel, I gained several skills which increased my motivation. I believe the other employees were also anxious on their first day; however, teamwork helped each other with tasks which led to the development of feelings of trust and a positive work environment. As per the views of Khalimova (2020), collaboration among housekeeping department is crucial as it fosters a productive work environment and reduces the chances of errors. Furthermore, through effective communication, I was able to interact and collaborate with team members and resolve conflicts simultaneously.  Hence, while reflecting on the experience I can mention that I had mixed emotions which consisted of being nervous and also motivated to improve my performance. </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Evaluation</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positive aspects of the experience involve teamwork, along with the new skills and knowledge I have acquired. The work environment was quite friendly and during challenges, my teammates helped me understand the tasks.  On the other hand, I can mention that initially, I struggled to understand the roles and responsibilities and had trouble learning the different abbreviations. According to the analysis of Weber et al.</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(2020), staff training is necessary in hotels, as it can help them provide clear understanding of the roles and responsibilities. Therefore, with clear training, my current challenge to understand the duties could be resolved.  As a result, I often made mistakes which further affected my individual performance as well as the team’s. Overall, the factors which contributed to making the experience positive were the collaborative effort, along my drive to learn from my mistakes. </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Analysis</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Based on the analysis of </w:t>
            </w:r>
            <w:r>
              <w:rPr>
                <w:rFonts w:ascii="Arial" w:hAnsi="Arial" w:cs="Arial" w:eastAsia="Arial"/>
                <w:color w:val="auto"/>
                <w:spacing w:val="0"/>
                <w:position w:val="0"/>
                <w:sz w:val="24"/>
                <w:shd w:fill="FFFFFF" w:val="clear"/>
              </w:rPr>
              <w:t xml:space="preserve">Ushakov </w:t>
            </w:r>
            <w:r>
              <w:rPr>
                <w:rFonts w:ascii="Arial" w:hAnsi="Arial" w:cs="Arial" w:eastAsia="Arial"/>
                <w:i/>
                <w:color w:val="auto"/>
                <w:spacing w:val="0"/>
                <w:position w:val="0"/>
                <w:sz w:val="24"/>
                <w:shd w:fill="FFFFFF" w:val="clear"/>
              </w:rPr>
              <w:t xml:space="preserve">et al. </w:t>
            </w:r>
            <w:r>
              <w:rPr>
                <w:rFonts w:ascii="Arial" w:hAnsi="Arial" w:cs="Arial" w:eastAsia="Arial"/>
                <w:color w:val="auto"/>
                <w:spacing w:val="0"/>
                <w:position w:val="0"/>
                <w:sz w:val="24"/>
                <w:shd w:fill="FFFFFF" w:val="clear"/>
              </w:rPr>
              <w:t xml:space="preserve">(2020), teamwork effectively encourages personal growth, enhances job satisfaction, and reduces stress. Hence, I can mention that teamwork plays a major role in turning the experience positive. I often faced issues in understanding instructions or retaining information; however, while working the team often simplified the guides and working process which helped me reduce mistakes. It is essential to highlight that teamwork fosters learning and development, as working in teams helps develop the ability to learn from others and identify individual strengths and weaknesses (</w:t>
            </w:r>
            <w:r>
              <w:rPr>
                <w:rFonts w:ascii="Arial" w:hAnsi="Arial" w:cs="Arial" w:eastAsia="Arial"/>
                <w:color w:val="auto"/>
                <w:spacing w:val="0"/>
                <w:position w:val="0"/>
                <w:sz w:val="24"/>
                <w:shd w:fill="auto" w:val="clear"/>
              </w:rPr>
              <w:t xml:space="preserve">Priyangika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w:t>
            </w:r>
            <w:r>
              <w:rPr>
                <w:rFonts w:ascii="Arial" w:hAnsi="Arial" w:cs="Arial" w:eastAsia="Arial"/>
                <w:color w:val="auto"/>
                <w:spacing w:val="0"/>
                <w:position w:val="0"/>
                <w:sz w:val="24"/>
                <w:shd w:fill="FFFFFF" w:val="clear"/>
              </w:rPr>
              <w:t xml:space="preserve">. On the other hand, the negative aspects involved my mistakes, and the cause is my lack of skills such as multitasking and communication. </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While evaluating the experience, I can mention that during the placement, I have learnt key skills such as collaboration and self-motivation. In addition to this, working at this particular Hotel has helped me gain knowledge of the hospitality industry along with the expectations that the staff is required to meet while working at the Hotel. I have further identified a few skills which I am currently lacking including </w:t>
            </w:r>
            <w:r>
              <w:rPr>
                <w:rFonts w:ascii="Arial" w:hAnsi="Arial" w:cs="Arial" w:eastAsia="Arial"/>
                <w:color w:val="auto"/>
                <w:spacing w:val="0"/>
                <w:position w:val="0"/>
                <w:sz w:val="24"/>
                <w:shd w:fill="FFFFFF" w:val="clear"/>
              </w:rPr>
              <w:t xml:space="preserve">multitasking and communication skills. Hence, in the next step, I intend to develop an action plan</w:t>
            </w:r>
            <w:r>
              <w:rPr>
                <w:rFonts w:ascii="Arial" w:hAnsi="Arial" w:cs="Arial" w:eastAsia="Arial"/>
                <w:color w:val="auto"/>
                <w:spacing w:val="0"/>
                <w:position w:val="0"/>
                <w:sz w:val="24"/>
                <w:shd w:fill="auto" w:val="clear"/>
              </w:rPr>
              <w:t xml:space="preserve"> to achieve the skills I am currently lacking.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Action Plan</w:t>
            </w:r>
          </w:p>
          <w:tbl>
            <w:tblPr/>
            <w:tblGrid>
              <w:gridCol w:w="1872"/>
              <w:gridCol w:w="1872"/>
              <w:gridCol w:w="1872"/>
              <w:gridCol w:w="1872"/>
              <w:gridCol w:w="1872"/>
            </w:tblGrid>
            <w:tr>
              <w:trPr>
                <w:trHeight w:val="1" w:hRule="atLeast"/>
                <w:jc w:val="left"/>
              </w:trPr>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Specific</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Measurable</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Achievable</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Relevance</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Time Frame</w:t>
                  </w:r>
                </w:p>
              </w:tc>
            </w:tr>
            <w:tr>
              <w:trPr>
                <w:trHeight w:val="1" w:hRule="atLeast"/>
                <w:jc w:val="left"/>
              </w:trPr>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aim to develop communication skills.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plan to measure the goal through feedback and self-assessment.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aim to learn communication skills by increasing group activities and learning active listening to appropriately respond to cues.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The goal is highly relevant, as it can help individuals understand instructions and communicate their issues in a proper manner (Ivanov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 months</w:t>
                  </w:r>
                </w:p>
              </w:tc>
            </w:tr>
            <w:tr>
              <w:trPr>
                <w:trHeight w:val="1" w:hRule="atLeast"/>
                <w:jc w:val="left"/>
              </w:trPr>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aim to develop multitasking skills.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intend to measure this goal through To-Do lists and calendars.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 am to achieve this goal by practising time management and avoiding procrastination.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The goal is relevant since it helps in handling multiple tasks which are required in the hotel management industry (Bas Collins et al</w:t>
                  </w:r>
                  <w:r>
                    <w:rPr>
                      <w:rFonts w:ascii="Arial" w:hAnsi="Arial" w:cs="Arial" w:eastAsia="Arial"/>
                      <w:i/>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2021). </w:t>
                  </w:r>
                </w:p>
              </w:tc>
              <w:tc>
                <w:tcPr>
                  <w:tcW w:w="1872"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20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 months</w:t>
                  </w:r>
                </w:p>
              </w:tc>
            </w:tr>
          </w:tbl>
          <w:p>
            <w:pPr>
              <w:spacing w:before="200" w:after="0" w:line="360"/>
              <w:ind w:right="0" w:left="0" w:firstLine="0"/>
              <w:jc w:val="both"/>
              <w:rPr>
                <w:rFonts w:ascii="Arial" w:hAnsi="Arial" w:cs="Arial" w:eastAsia="Arial"/>
                <w:b/>
                <w:color w:val="auto"/>
                <w:spacing w:val="0"/>
                <w:position w:val="0"/>
                <w:sz w:val="24"/>
                <w:shd w:fill="auto" w:val="clear"/>
              </w:rPr>
            </w:pPr>
          </w:p>
          <w:p>
            <w:pPr>
              <w:spacing w:before="200" w:after="0" w:line="360"/>
              <w:ind w:right="0" w:left="0" w:firstLine="0"/>
              <w:jc w:val="both"/>
              <w:rPr>
                <w:rFonts w:ascii="Arial" w:hAnsi="Arial" w:cs="Arial" w:eastAsia="Arial"/>
                <w:b/>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rFonts w:ascii="Arial" w:hAnsi="Arial" w:cs="Arial" w:eastAsia="Arial"/>
                <w:color w:val="auto"/>
                <w:spacing w:val="0"/>
                <w:position w:val="0"/>
                <w:sz w:val="20"/>
                <w:shd w:fill="auto" w:val="clear"/>
              </w:rPr>
            </w:pPr>
          </w:p>
          <w:p>
            <w:pPr>
              <w:spacing w:before="0" w:after="0" w:line="240"/>
              <w:ind w:right="0" w:left="0" w:firstLine="0"/>
              <w:jc w:val="left"/>
              <w:rPr>
                <w:color w:val="auto"/>
                <w:spacing w:val="0"/>
                <w:position w:val="0"/>
              </w:rPr>
            </w:pPr>
          </w:p>
        </w:tc>
      </w:tr>
    </w:tbl>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Component Two:</w:t>
      </w:r>
      <w:r>
        <w:rPr>
          <w:rFonts w:ascii="Calibri" w:hAnsi="Calibri" w:cs="Calibri" w:eastAsia="Calibri"/>
          <w:color w:val="000000"/>
          <w:spacing w:val="0"/>
          <w:position w:val="0"/>
          <w:sz w:val="24"/>
          <w:shd w:fill="auto" w:val="clear"/>
        </w:rPr>
        <w:t xml:space="preserve"> </w:t>
      </w:r>
      <w:r>
        <w:rPr>
          <w:rFonts w:ascii="Times New Roman" w:hAnsi="Times New Roman" w:cs="Times New Roman" w:eastAsia="Times New Roman"/>
          <w:b/>
          <w:color w:val="000000"/>
          <w:spacing w:val="0"/>
          <w:position w:val="0"/>
          <w:sz w:val="28"/>
          <w:shd w:fill="auto" w:val="clear"/>
        </w:rPr>
        <w:t xml:space="preserve">Health and Safety Guide </w:t>
      </w:r>
    </w:p>
    <w:p>
      <w:pPr>
        <w:spacing w:before="0" w:after="160" w:line="259"/>
        <w:ind w:right="0" w:left="0" w:firstLine="0"/>
        <w:jc w:val="left"/>
        <w:rPr>
          <w:rFonts w:ascii="Times New Roman" w:hAnsi="Times New Roman" w:cs="Times New Roman" w:eastAsia="Times New Roman"/>
          <w:b/>
          <w:color w:val="000000"/>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Contribution to Overall Module Assessment: 25%</w:t>
      </w:r>
    </w:p>
    <w:p>
      <w:pPr>
        <w:spacing w:before="0" w:after="0" w:line="240"/>
        <w:ind w:right="0" w:left="0" w:firstLine="0"/>
        <w:jc w:val="center"/>
        <w:rPr>
          <w:rFonts w:ascii="Times New Roman" w:hAnsi="Times New Roman" w:cs="Times New Roman" w:eastAsia="Times New Roman"/>
          <w:color w:val="000000"/>
          <w:spacing w:val="0"/>
          <w:position w:val="0"/>
          <w:sz w:val="28"/>
          <w:shd w:fill="FFFFFF"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Effective housekeeping helps avoid and control workplace hazards. Furthermore, poor housekeeping such as the sight of debris, clutter, paper and spills should not be considered normal, as other serious hazards can result from these mishaps. Based on the analysis of Bridger (2018), housekeeping is not limited to cleanliness, as it is also associated with keeping work areas orderly and neat, removing waste materials and maintaining halls and floors to reduce trip hazards. Hence, the guide emphasises the importance of effective housekeeping and maintaining it continuously. </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Potential Risks</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risks which are associated with poor housekeeping include incidents such as: </w:t>
      </w:r>
    </w:p>
    <w:p>
      <w:pPr>
        <w:numPr>
          <w:ilvl w:val="0"/>
          <w:numId w:val="48"/>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Guests and staff can trip over loose objects on platforms, stairs and floors. </w:t>
      </w:r>
    </w:p>
    <w:p>
      <w:pPr>
        <w:numPr>
          <w:ilvl w:val="0"/>
          <w:numId w:val="4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Guests can be injured from falling objects that are not disposed of properly. </w:t>
      </w:r>
    </w:p>
    <w:p>
      <w:pPr>
        <w:numPr>
          <w:ilvl w:val="0"/>
          <w:numId w:val="4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Slipping hazards can increase from wet and dirty surfaces. </w:t>
      </w:r>
    </w:p>
    <w:p>
      <w:pPr>
        <w:numPr>
          <w:ilvl w:val="0"/>
          <w:numId w:val="4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Guests can face issues from poorly stacked materials in the hotel rooms or from misplaced materials. </w:t>
      </w:r>
    </w:p>
    <w:p>
      <w:pPr>
        <w:numPr>
          <w:ilvl w:val="0"/>
          <w:numId w:val="4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Grave injuries such as puncturing, cutting or tearing of skin can occur from chipped wood or steel. </w:t>
      </w:r>
    </w:p>
    <w:p>
      <w:pPr>
        <w:numPr>
          <w:ilvl w:val="0"/>
          <w:numId w:val="4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Children can access the stray chemicals left in the aisle which can lead to serious complications. </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Precautions</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Preventing Trips and Falls</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Eliminating Fiore Hazards</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Decluttering</w:t>
      </w:r>
    </w:p>
    <w:p>
      <w:pPr>
        <w:spacing w:before="200" w:after="0" w:line="360"/>
        <w:ind w:right="0" w:left="0" w:firstLine="0"/>
        <w:jc w:val="both"/>
        <w:rPr>
          <w:rFonts w:ascii="Arial" w:hAnsi="Arial" w:cs="Arial" w:eastAsia="Arial"/>
          <w:b/>
          <w:color w:val="auto"/>
          <w:spacing w:val="0"/>
          <w:position w:val="0"/>
          <w:sz w:val="24"/>
          <w:shd w:fill="auto" w:val="clear"/>
        </w:rPr>
      </w:pPr>
    </w:p>
    <w:p>
      <w:pPr>
        <w:spacing w:before="200" w:after="0" w:line="360"/>
        <w:ind w:right="0" w:left="0" w:firstLine="0"/>
        <w:jc w:val="both"/>
        <w:rPr>
          <w:rFonts w:ascii="Arial" w:hAnsi="Arial" w:cs="Arial" w:eastAsia="Arial"/>
          <w:b/>
          <w:color w:val="auto"/>
          <w:spacing w:val="0"/>
          <w:position w:val="0"/>
          <w:sz w:val="24"/>
          <w:shd w:fill="auto" w:val="clear"/>
        </w:rPr>
      </w:pPr>
    </w:p>
    <w:p>
      <w:pPr>
        <w:spacing w:before="200" w:after="0" w:line="360"/>
        <w:ind w:right="0" w:left="0" w:firstLine="0"/>
        <w:jc w:val="both"/>
        <w:rPr>
          <w:rFonts w:ascii="Arial" w:hAnsi="Arial" w:cs="Arial" w:eastAsia="Arial"/>
          <w:b/>
          <w:color w:val="auto"/>
          <w:spacing w:val="0"/>
          <w:position w:val="0"/>
          <w:sz w:val="24"/>
          <w:shd w:fill="auto" w:val="clear"/>
        </w:rPr>
      </w:pP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Procedures:</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1. </w:t>
      </w:r>
      <w:r>
        <w:rPr>
          <w:rFonts w:ascii="Arial" w:hAnsi="Arial" w:cs="Arial" w:eastAsia="Arial"/>
          <w:i/>
          <w:color w:val="auto"/>
          <w:spacing w:val="0"/>
          <w:position w:val="0"/>
          <w:sz w:val="24"/>
          <w:shd w:fill="auto" w:val="clear"/>
        </w:rPr>
        <w:t xml:space="preserve">Disposing of trash:</w:t>
      </w:r>
      <w:r>
        <w:rPr>
          <w:rFonts w:ascii="Arial" w:hAnsi="Arial" w:cs="Arial" w:eastAsia="Arial"/>
          <w:color w:val="auto"/>
          <w:spacing w:val="0"/>
          <w:position w:val="0"/>
          <w:sz w:val="24"/>
          <w:shd w:fill="auto" w:val="clear"/>
        </w:rPr>
        <w:t xml:space="preserve"> The housekeeping staff first needs to dispose of trash by removing garbage bags and the inner part of the bin should be thoroughly satisfied before replacing it with a new bag.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 </w:t>
      </w:r>
      <w:r>
        <w:rPr>
          <w:rFonts w:ascii="Arial" w:hAnsi="Arial" w:cs="Arial" w:eastAsia="Arial"/>
          <w:i/>
          <w:color w:val="auto"/>
          <w:spacing w:val="0"/>
          <w:position w:val="0"/>
          <w:sz w:val="24"/>
          <w:shd w:fill="auto" w:val="clear"/>
        </w:rPr>
        <w:t xml:space="preserve">Dusting at a higher level:</w:t>
      </w:r>
      <w:r>
        <w:rPr>
          <w:rFonts w:ascii="Arial" w:hAnsi="Arial" w:cs="Arial" w:eastAsia="Arial"/>
          <w:color w:val="auto"/>
          <w:spacing w:val="0"/>
          <w:position w:val="0"/>
          <w:sz w:val="24"/>
          <w:shd w:fill="auto" w:val="clear"/>
        </w:rPr>
        <w:t xml:space="preserve"> Next, the staff is required to dust anything at a shoulder level or while working at a clockwise or anti-clockwise motion.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 </w:t>
      </w:r>
      <w:r>
        <w:rPr>
          <w:rFonts w:ascii="Arial" w:hAnsi="Arial" w:cs="Arial" w:eastAsia="Arial"/>
          <w:i/>
          <w:color w:val="auto"/>
          <w:spacing w:val="0"/>
          <w:position w:val="0"/>
          <w:sz w:val="24"/>
          <w:shd w:fill="auto" w:val="clear"/>
        </w:rPr>
        <w:t xml:space="preserve">Damp Wipe:</w:t>
      </w:r>
      <w:r>
        <w:rPr>
          <w:rFonts w:ascii="Arial" w:hAnsi="Arial" w:cs="Arial" w:eastAsia="Arial"/>
          <w:color w:val="auto"/>
          <w:spacing w:val="0"/>
          <w:position w:val="0"/>
          <w:sz w:val="24"/>
          <w:shd w:fill="auto" w:val="clear"/>
        </w:rPr>
        <w:t xml:space="preserve"> Using a damp cloth with natural disinfectant fact all the high-touch surfaces should be cleaned except for glass surfaces.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 </w:t>
      </w:r>
      <w:r>
        <w:rPr>
          <w:rFonts w:ascii="Arial" w:hAnsi="Arial" w:cs="Arial" w:eastAsia="Arial"/>
          <w:i/>
          <w:color w:val="auto"/>
          <w:spacing w:val="0"/>
          <w:position w:val="0"/>
          <w:sz w:val="24"/>
          <w:shd w:fill="auto" w:val="clear"/>
        </w:rPr>
        <w:t xml:space="preserve">Restocking items:</w:t>
      </w:r>
      <w:r>
        <w:rPr>
          <w:rFonts w:ascii="Arial" w:hAnsi="Arial" w:cs="Arial" w:eastAsia="Arial"/>
          <w:color w:val="auto"/>
          <w:spacing w:val="0"/>
          <w:position w:val="0"/>
          <w:sz w:val="24"/>
          <w:shd w:fill="auto" w:val="clear"/>
        </w:rPr>
        <w:t xml:space="preserve"> The bathroom supplies and other supplies in the room such as paper towels, toilet paper, and tissues should be restored.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5. </w:t>
      </w:r>
      <w:r>
        <w:rPr>
          <w:rFonts w:ascii="Arial" w:hAnsi="Arial" w:cs="Arial" w:eastAsia="Arial"/>
          <w:i/>
          <w:color w:val="auto"/>
          <w:spacing w:val="0"/>
          <w:position w:val="0"/>
          <w:sz w:val="24"/>
          <w:shd w:fill="auto" w:val="clear"/>
        </w:rPr>
        <w:t xml:space="preserve">Floor-level mopping and dusting:</w:t>
      </w:r>
      <w:r>
        <w:rPr>
          <w:rFonts w:ascii="Arial" w:hAnsi="Arial" w:cs="Arial" w:eastAsia="Arial"/>
          <w:color w:val="auto"/>
          <w:spacing w:val="0"/>
          <w:position w:val="0"/>
          <w:sz w:val="24"/>
          <w:shd w:fill="auto" w:val="clear"/>
        </w:rPr>
        <w:t xml:space="preserve"> The lower areas should be thoroughly dry-mopped to collect all dust and debris.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6. </w:t>
      </w:r>
      <w:r>
        <w:rPr>
          <w:rFonts w:ascii="Arial" w:hAnsi="Arial" w:cs="Arial" w:eastAsia="Arial"/>
          <w:i/>
          <w:color w:val="auto"/>
          <w:spacing w:val="0"/>
          <w:position w:val="0"/>
          <w:sz w:val="24"/>
          <w:shd w:fill="auto" w:val="clear"/>
        </w:rPr>
        <w:t xml:space="preserve">Careful inspection:</w:t>
      </w:r>
      <w:r>
        <w:rPr>
          <w:rFonts w:ascii="Arial" w:hAnsi="Arial" w:cs="Arial" w:eastAsia="Arial"/>
          <w:color w:val="auto"/>
          <w:spacing w:val="0"/>
          <w:position w:val="0"/>
          <w:sz w:val="24"/>
          <w:shd w:fill="auto" w:val="clear"/>
        </w:rPr>
        <w:t xml:space="preserve"> Before moving to the last stage, it is necessary to walk around the whole premise and inspect the area for additional cleaning. </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7. </w:t>
      </w:r>
      <w:r>
        <w:rPr>
          <w:rFonts w:ascii="Arial" w:hAnsi="Arial" w:cs="Arial" w:eastAsia="Arial"/>
          <w:i/>
          <w:color w:val="auto"/>
          <w:spacing w:val="0"/>
          <w:position w:val="0"/>
          <w:sz w:val="24"/>
          <w:shd w:fill="auto" w:val="clear"/>
        </w:rPr>
        <w:t xml:space="preserve">Cleaning wet floor surfaces: </w:t>
      </w:r>
      <w:r>
        <w:rPr>
          <w:rFonts w:ascii="Arial" w:hAnsi="Arial" w:cs="Arial" w:eastAsia="Arial"/>
          <w:color w:val="auto"/>
          <w:spacing w:val="0"/>
          <w:position w:val="0"/>
          <w:sz w:val="24"/>
          <w:shd w:fill="auto" w:val="clear"/>
        </w:rPr>
        <w:t xml:space="preserve">The final step involves cleaning the room using a wet mopping process and it is essential to put a wet floor sign while cleaning. </w:t>
      </w:r>
    </w:p>
    <w:p>
      <w:pPr>
        <w:spacing w:before="200" w:after="0" w:line="360"/>
        <w:ind w:right="0" w:left="0" w:firstLine="0"/>
        <w:jc w:val="center"/>
        <w:rPr>
          <w:rFonts w:ascii="Arial" w:hAnsi="Arial" w:cs="Arial" w:eastAsia="Arial"/>
          <w:color w:val="auto"/>
          <w:spacing w:val="0"/>
          <w:position w:val="0"/>
          <w:sz w:val="24"/>
          <w:shd w:fill="auto" w:val="clear"/>
        </w:rPr>
      </w:pP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Equipment</w:t>
      </w:r>
    </w:p>
    <w:p>
      <w:pPr>
        <w:spacing w:before="200" w:after="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Manual Equipment</w:t>
      </w:r>
    </w:p>
    <w:p>
      <w:pPr>
        <w:numPr>
          <w:ilvl w:val="0"/>
          <w:numId w:val="53"/>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Microfibre cloth</w:t>
      </w:r>
    </w:p>
    <w:p>
      <w:pPr>
        <w:numPr>
          <w:ilvl w:val="0"/>
          <w:numId w:val="5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Abrasives</w:t>
      </w:r>
    </w:p>
    <w:p>
      <w:pPr>
        <w:numPr>
          <w:ilvl w:val="0"/>
          <w:numId w:val="5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Brushes</w:t>
      </w:r>
    </w:p>
    <w:p>
      <w:pPr>
        <w:numPr>
          <w:ilvl w:val="0"/>
          <w:numId w:val="5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Brooms</w:t>
      </w:r>
    </w:p>
    <w:p>
      <w:pPr>
        <w:spacing w:before="200" w:after="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Electronic Equipment</w:t>
      </w:r>
    </w:p>
    <w:p>
      <w:pPr>
        <w:numPr>
          <w:ilvl w:val="0"/>
          <w:numId w:val="56"/>
        </w:numPr>
        <w:spacing w:before="20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Vacuum Cleaner</w:t>
      </w:r>
    </w:p>
    <w:p>
      <w:pPr>
        <w:numPr>
          <w:ilvl w:val="0"/>
          <w:numId w:val="56"/>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Polishing Machine</w:t>
      </w:r>
    </w:p>
    <w:p>
      <w:pPr>
        <w:numPr>
          <w:ilvl w:val="0"/>
          <w:numId w:val="56"/>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Steam Vapour Machine</w:t>
      </w:r>
    </w:p>
    <w:p>
      <w:pPr>
        <w:numPr>
          <w:ilvl w:val="0"/>
          <w:numId w:val="56"/>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Floor Scrubber</w:t>
      </w:r>
    </w:p>
    <w:p>
      <w:pPr>
        <w:spacing w:before="20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Hazard Mitigation</w:t>
      </w:r>
    </w:p>
    <w:p>
      <w:pPr>
        <w:spacing w:before="20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Based on the analysis, the key hazards associated with housekeeping include strain and sprain hazards, laceration hazards, and fall hazards. One of the crucial things the workers have to keep in mind is to place items in their proper places, as leaving equipment and tools not in the proper place leads to fall hazards and tripping hazards (</w:t>
      </w:r>
      <w:r>
        <w:rPr>
          <w:rFonts w:ascii="Arial" w:hAnsi="Arial" w:cs="Arial" w:eastAsia="Arial"/>
          <w:color w:val="auto"/>
          <w:spacing w:val="0"/>
          <w:position w:val="0"/>
          <w:sz w:val="24"/>
          <w:shd w:fill="FFFFFF" w:val="clear"/>
        </w:rPr>
        <w:t xml:space="preserve">Singh and Prakash, 2020</w:t>
      </w:r>
      <w:r>
        <w:rPr>
          <w:rFonts w:ascii="Arial" w:hAnsi="Arial" w:cs="Arial" w:eastAsia="Arial"/>
          <w:color w:val="auto"/>
          <w:spacing w:val="0"/>
          <w:position w:val="0"/>
          <w:sz w:val="24"/>
          <w:shd w:fill="auto" w:val="clear"/>
        </w:rPr>
        <w:t xml:space="preserve">). </w:t>
      </w:r>
    </w:p>
    <w:p>
      <w:pPr>
        <w:spacing w:before="200" w:after="0" w:line="360"/>
        <w:ind w:right="0" w:left="0" w:firstLine="0"/>
        <w:jc w:val="center"/>
        <w:rPr>
          <w:rFonts w:ascii="Arial" w:hAnsi="Arial" w:cs="Arial" w:eastAsia="Arial"/>
          <w:b/>
          <w:color w:val="auto"/>
          <w:spacing w:val="0"/>
          <w:position w:val="0"/>
          <w:sz w:val="24"/>
          <w:shd w:fill="auto" w:val="clear"/>
        </w:rPr>
      </w:pPr>
    </w:p>
    <w:p>
      <w:pPr>
        <w:spacing w:before="200" w:after="0" w:line="360"/>
        <w:ind w:right="0" w:left="0" w:firstLine="0"/>
        <w:jc w:val="center"/>
        <w:rPr>
          <w:rFonts w:ascii="Arial" w:hAnsi="Arial" w:cs="Arial" w:eastAsia="Arial"/>
          <w:b/>
          <w:color w:val="auto"/>
          <w:spacing w:val="0"/>
          <w:position w:val="0"/>
          <w:sz w:val="24"/>
          <w:shd w:fill="auto" w:val="clear"/>
        </w:rPr>
      </w:pPr>
      <w:r>
        <w:rPr>
          <w:rFonts w:ascii="Calibri" w:hAnsi="Calibri" w:cs="Calibri" w:eastAsia="Calibri"/>
          <w:color w:val="auto"/>
          <w:spacing w:val="0"/>
          <w:position w:val="0"/>
          <w:sz w:val="22"/>
          <w:shd w:fill="auto" w:val="clear"/>
        </w:rPr>
        <w:br/>
      </w:r>
    </w:p>
    <w:p>
      <w:pPr>
        <w:spacing w:before="200" w:after="0" w:line="360"/>
        <w:ind w:right="0" w:left="0" w:firstLine="0"/>
        <w:jc w:val="center"/>
        <w:rPr>
          <w:rFonts w:ascii="Arial" w:hAnsi="Arial" w:cs="Arial" w:eastAsia="Arial"/>
          <w:b/>
          <w:color w:val="auto"/>
          <w:spacing w:val="0"/>
          <w:position w:val="0"/>
          <w:sz w:val="24"/>
          <w:shd w:fill="auto" w:val="clear"/>
        </w:rPr>
      </w:pPr>
    </w:p>
    <w:p>
      <w:pPr>
        <w:spacing w:before="200" w:after="0" w:line="360"/>
        <w:ind w:right="0" w:left="0" w:firstLine="0"/>
        <w:jc w:val="center"/>
        <w:rPr>
          <w:rFonts w:ascii="Arial" w:hAnsi="Arial" w:cs="Arial" w:eastAsia="Arial"/>
          <w:b/>
          <w:color w:val="auto"/>
          <w:spacing w:val="0"/>
          <w:position w:val="0"/>
          <w:sz w:val="24"/>
          <w:shd w:fill="auto" w:val="clear"/>
        </w:rPr>
      </w:pPr>
      <w:r>
        <w:object w:dxaOrig="2098" w:dyaOrig="2098">
          <v:rect xmlns:o="urn:schemas-microsoft-com:office:office" xmlns:v="urn:schemas-microsoft-com:vml" id="rectole0000000001" style="width:104.900000pt;height:104.9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00" w:after="0" w:line="360"/>
        <w:ind w:right="0" w:left="0" w:firstLine="0"/>
        <w:jc w:val="center"/>
        <w:rPr>
          <w:rFonts w:ascii="Arial" w:hAnsi="Arial" w:cs="Arial" w:eastAsia="Arial"/>
          <w:b/>
          <w:color w:val="auto"/>
          <w:spacing w:val="0"/>
          <w:position w:val="0"/>
          <w:sz w:val="24"/>
          <w:shd w:fill="auto" w:val="clear"/>
        </w:rPr>
      </w:pPr>
      <w:r>
        <w:object w:dxaOrig="6364" w:dyaOrig="9001">
          <v:rect xmlns:o="urn:schemas-microsoft-com:office:office" xmlns:v="urn:schemas-microsoft-com:vml" id="rectole0000000002" style="width:318.200000pt;height:450.0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200" w:after="0" w:line="360"/>
        <w:ind w:right="0" w:left="0" w:firstLine="0"/>
        <w:jc w:val="center"/>
        <w:rPr>
          <w:rFonts w:ascii="Arial" w:hAnsi="Arial" w:cs="Arial" w:eastAsia="Arial"/>
          <w:b/>
          <w:color w:val="auto"/>
          <w:spacing w:val="0"/>
          <w:position w:val="0"/>
          <w:sz w:val="24"/>
          <w:shd w:fill="auto" w:val="clear"/>
        </w:rPr>
      </w:pPr>
    </w:p>
    <w:p>
      <w:pPr>
        <w:spacing w:before="200" w:after="0" w:line="360"/>
        <w:ind w:right="0" w:left="0" w:firstLine="0"/>
        <w:jc w:val="center"/>
        <w:rPr>
          <w:rFonts w:ascii="Arial" w:hAnsi="Arial" w:cs="Arial" w:eastAsia="Arial"/>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259"/>
        <w:ind w:right="0" w:left="0" w:firstLine="0"/>
        <w:jc w:val="both"/>
        <w:rPr>
          <w:rFonts w:ascii="Calibri Light" w:hAnsi="Calibri Light" w:cs="Calibri Light" w:eastAsia="Calibri Light"/>
          <w:b/>
          <w:color w:val="auto"/>
          <w:spacing w:val="0"/>
          <w:position w:val="0"/>
          <w:sz w:val="32"/>
          <w:shd w:fill="auto" w:val="clear"/>
        </w:rPr>
      </w:pPr>
      <w:r>
        <w:rPr>
          <w:rFonts w:ascii="Calibri Light" w:hAnsi="Calibri Light" w:cs="Calibri Light" w:eastAsia="Calibri Light"/>
          <w:b/>
          <w:color w:val="auto"/>
          <w:spacing w:val="0"/>
          <w:position w:val="0"/>
          <w:sz w:val="32"/>
          <w:shd w:fill="auto" w:val="clear"/>
        </w:rPr>
        <w:t xml:space="preserve">Reference List </w:t>
      </w:r>
    </w:p>
    <w:p>
      <w:pPr>
        <w:spacing w:before="24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Adeani, I.S., Febriani, R.B. and Syafryadin, S., (2020). Using GIBBS’reflective cycle in making reflections of literary analysis. </w:t>
      </w:r>
      <w:r>
        <w:rPr>
          <w:rFonts w:ascii="Arial" w:hAnsi="Arial" w:cs="Arial" w:eastAsia="Arial"/>
          <w:i/>
          <w:color w:val="auto"/>
          <w:spacing w:val="0"/>
          <w:position w:val="0"/>
          <w:sz w:val="24"/>
          <w:shd w:fill="FFFFFF" w:val="clear"/>
        </w:rPr>
        <w:t xml:space="preserve">Indonesian EFL Journal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6</w:t>
      </w:r>
      <w:r>
        <w:rPr>
          <w:rFonts w:ascii="Arial" w:hAnsi="Arial" w:cs="Arial" w:eastAsia="Arial"/>
          <w:color w:val="auto"/>
          <w:spacing w:val="0"/>
          <w:position w:val="0"/>
          <w:sz w:val="24"/>
          <w:shd w:fill="FFFFFF" w:val="clear"/>
        </w:rPr>
        <w:t xml:space="preserve">(2), pp.139-148.</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 Collins, A., Gunduz Songur, A. and Dogan, S., (2021). Marketing Tourism and Hotel Management Schools in the Context of Higher Education Globalization and Student Mobility through Improved Curriculum and Industrial Training Offerings. </w:t>
      </w:r>
      <w:r>
        <w:rPr>
          <w:rFonts w:ascii="Arial" w:hAnsi="Arial" w:cs="Arial" w:eastAsia="Arial"/>
          <w:i/>
          <w:color w:val="auto"/>
          <w:spacing w:val="0"/>
          <w:position w:val="0"/>
          <w:sz w:val="24"/>
          <w:shd w:fill="auto" w:val="clear"/>
        </w:rPr>
        <w:t xml:space="preserve">Journal of Global Education and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w:t>
      </w:r>
      <w:r>
        <w:rPr>
          <w:rFonts w:ascii="Arial" w:hAnsi="Arial" w:cs="Arial" w:eastAsia="Arial"/>
          <w:color w:val="auto"/>
          <w:spacing w:val="0"/>
          <w:position w:val="0"/>
          <w:sz w:val="24"/>
          <w:shd w:fill="auto" w:val="clear"/>
        </w:rPr>
        <w:t xml:space="preserve">(2), pp.121-135.</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Ivanov, S., Seyito</w:t>
      </w:r>
      <w:r>
        <w:rPr>
          <w:rFonts w:ascii="Arial" w:hAnsi="Arial" w:cs="Arial" w:eastAsia="Arial"/>
          <w:color w:val="auto"/>
          <w:spacing w:val="0"/>
          <w:position w:val="0"/>
          <w:sz w:val="24"/>
          <w:shd w:fill="auto" w:val="clear"/>
        </w:rPr>
        <w:t xml:space="preserve">ğlu, F. and Markova, M., (2020). Hotel managers’ perceptions towards the use of robots: a mixed-methods approach. </w:t>
      </w:r>
      <w:r>
        <w:rPr>
          <w:rFonts w:ascii="Arial" w:hAnsi="Arial" w:cs="Arial" w:eastAsia="Arial"/>
          <w:i/>
          <w:color w:val="auto"/>
          <w:spacing w:val="0"/>
          <w:position w:val="0"/>
          <w:sz w:val="24"/>
          <w:shd w:fill="auto" w:val="clear"/>
        </w:rPr>
        <w:t xml:space="preserve">Information Technology &amp; Tourism</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 pp.505-535.</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Khalimova, N.J., (2020). Analysis of foreign experience in hotel career enhancement programs. </w:t>
      </w:r>
      <w:r>
        <w:rPr>
          <w:rFonts w:ascii="Arial" w:hAnsi="Arial" w:cs="Arial" w:eastAsia="Arial"/>
          <w:i/>
          <w:color w:val="auto"/>
          <w:spacing w:val="0"/>
          <w:position w:val="0"/>
          <w:sz w:val="24"/>
          <w:shd w:fill="auto" w:val="clear"/>
        </w:rPr>
        <w:t xml:space="preserve">Central Asian Problems of Modern Science and Education</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2020</w:t>
      </w:r>
      <w:r>
        <w:rPr>
          <w:rFonts w:ascii="Arial" w:hAnsi="Arial" w:cs="Arial" w:eastAsia="Arial"/>
          <w:color w:val="auto"/>
          <w:spacing w:val="0"/>
          <w:position w:val="0"/>
          <w:sz w:val="24"/>
          <w:shd w:fill="auto" w:val="clear"/>
        </w:rPr>
        <w:t xml:space="preserve">(2), pp.3-14.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Priyangika, K.D.T., Perera, B.A.K.S. and Wickremanayake Karunaratne, T.L., (2020). Facilities management roles in the hotel industry: the skills and competencies required. </w:t>
      </w:r>
      <w:r>
        <w:rPr>
          <w:rFonts w:ascii="Arial" w:hAnsi="Arial" w:cs="Arial" w:eastAsia="Arial"/>
          <w:i/>
          <w:color w:val="auto"/>
          <w:spacing w:val="0"/>
          <w:position w:val="0"/>
          <w:sz w:val="24"/>
          <w:shd w:fill="auto" w:val="clear"/>
        </w:rPr>
        <w:t xml:space="preserve">Journal of Quality Assurance in Hospitality &amp; Tourism</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21</w:t>
      </w:r>
      <w:r>
        <w:rPr>
          <w:rFonts w:ascii="Arial" w:hAnsi="Arial" w:cs="Arial" w:eastAsia="Arial"/>
          <w:color w:val="auto"/>
          <w:spacing w:val="0"/>
          <w:position w:val="0"/>
          <w:sz w:val="24"/>
          <w:shd w:fill="auto" w:val="clear"/>
        </w:rPr>
        <w:t xml:space="preserve">(4), pp.454-473.</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Ushakov, R.N., Kryukova, E.M., Khetagurova, V.S., Mukhomorova, I.V. and Zelenov, V.V., (2020). Efficiency of hotel management. Training of specialists in hotel industry field. </w:t>
      </w:r>
      <w:r>
        <w:rPr>
          <w:rFonts w:ascii="Arial" w:hAnsi="Arial" w:cs="Arial" w:eastAsia="Arial"/>
          <w:i/>
          <w:color w:val="auto"/>
          <w:spacing w:val="0"/>
          <w:position w:val="0"/>
          <w:sz w:val="24"/>
          <w:shd w:fill="auto" w:val="clear"/>
        </w:rPr>
        <w:t xml:space="preserve">Journal of Environmental Management &amp; Tourism</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11</w:t>
      </w:r>
      <w:r>
        <w:rPr>
          <w:rFonts w:ascii="Arial" w:hAnsi="Arial" w:cs="Arial" w:eastAsia="Arial"/>
          <w:color w:val="auto"/>
          <w:spacing w:val="0"/>
          <w:position w:val="0"/>
          <w:sz w:val="24"/>
          <w:shd w:fill="auto" w:val="clear"/>
        </w:rPr>
        <w:t xml:space="preserve">(2 (42)), pp.388-395.</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Weber, M.R., Lee, J. and Crawford, A., (2020). A suggested best practices for enhancing performance of soft skills with entry-level hospitality managers. </w:t>
      </w:r>
      <w:r>
        <w:rPr>
          <w:rFonts w:ascii="Arial" w:hAnsi="Arial" w:cs="Arial" w:eastAsia="Arial"/>
          <w:i/>
          <w:color w:val="auto"/>
          <w:spacing w:val="0"/>
          <w:position w:val="0"/>
          <w:sz w:val="24"/>
          <w:shd w:fill="auto" w:val="clear"/>
        </w:rPr>
        <w:t xml:space="preserve">Anatolia</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31</w:t>
      </w:r>
      <w:r>
        <w:rPr>
          <w:rFonts w:ascii="Arial" w:hAnsi="Arial" w:cs="Arial" w:eastAsia="Arial"/>
          <w:color w:val="auto"/>
          <w:spacing w:val="0"/>
          <w:position w:val="0"/>
          <w:sz w:val="24"/>
          <w:shd w:fill="auto" w:val="clear"/>
        </w:rPr>
        <w:t xml:space="preserve">(1), pp.76-87.</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Yasir, M., Majid, A., Yasir, M., Qudratullah, H., Ullah, R. and Khattak, A., (2021). Participation of hotel managers in CSR activities in developing countries: A defining role of CSR orientation, CSR competencies, and CSR commitment. </w:t>
      </w:r>
      <w:r>
        <w:rPr>
          <w:rFonts w:ascii="Arial" w:hAnsi="Arial" w:cs="Arial" w:eastAsia="Arial"/>
          <w:i/>
          <w:color w:val="auto"/>
          <w:spacing w:val="0"/>
          <w:position w:val="0"/>
          <w:sz w:val="24"/>
          <w:shd w:fill="auto" w:val="clear"/>
        </w:rPr>
        <w:t xml:space="preserve">Corporate social responsibility and Environmental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28</w:t>
      </w:r>
      <w:r>
        <w:rPr>
          <w:rFonts w:ascii="Arial" w:hAnsi="Arial" w:cs="Arial" w:eastAsia="Arial"/>
          <w:color w:val="auto"/>
          <w:spacing w:val="0"/>
          <w:position w:val="0"/>
          <w:sz w:val="24"/>
          <w:shd w:fill="auto" w:val="clear"/>
        </w:rPr>
        <w:t xml:space="preserve">(1), pp.239-250.</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48">
    <w:abstractNumId w:val="12"/>
  </w:num>
  <w:num w:numId="53">
    <w:abstractNumId w:val="6"/>
  </w:num>
  <w:num w:numId="5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