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E3BF614" w14:textId="2222DBC8" w:rsidR="009E1D83" w:rsidRPr="004F6EB2" w:rsidRDefault="009E1D83" w:rsidP="00E34CA5">
      <w:pPr>
        <w:spacing w:line="276" w:lineRule="auto"/>
        <w:ind w:left="567" w:right="531"/>
        <w:jc w:val="center"/>
        <w:rPr>
          <w:rFonts w:asciiTheme="minorHAnsi" w:eastAsia="Calibri" w:hAnsiTheme="minorHAnsi" w:cstheme="minorHAnsi"/>
          <w:sz w:val="28"/>
          <w:szCs w:val="28"/>
        </w:rPr>
      </w:pPr>
    </w:p>
    <w:p w14:paraId="2E5641E0" w14:textId="652BE82B" w:rsidR="000571EE" w:rsidRPr="004F6EB2" w:rsidRDefault="000571EE" w:rsidP="0073143D">
      <w:pPr>
        <w:spacing w:line="276" w:lineRule="auto"/>
        <w:ind w:left="567" w:right="531"/>
        <w:jc w:val="center"/>
        <w:rPr>
          <w:rFonts w:asciiTheme="minorHAnsi" w:eastAsia="Calibri" w:hAnsiTheme="minorHAnsi" w:cstheme="minorHAnsi"/>
          <w:b/>
          <w:bCs/>
          <w:sz w:val="28"/>
          <w:szCs w:val="28"/>
        </w:rPr>
      </w:pPr>
      <w:r w:rsidRPr="004F6EB2">
        <w:rPr>
          <w:rFonts w:asciiTheme="minorHAnsi" w:eastAsia="Calibri" w:hAnsiTheme="minorHAnsi" w:cstheme="minorHAnsi"/>
          <w:b/>
          <w:bCs/>
          <w:sz w:val="28"/>
          <w:szCs w:val="28"/>
        </w:rPr>
        <w:t>Luke Rimes – 2117603</w:t>
      </w:r>
    </w:p>
    <w:p w14:paraId="10ABEBA6" w14:textId="77777777" w:rsidR="000571EE" w:rsidRPr="004F6EB2" w:rsidRDefault="000571EE" w:rsidP="0073143D">
      <w:pPr>
        <w:spacing w:line="276" w:lineRule="auto"/>
        <w:ind w:left="567" w:right="531"/>
        <w:jc w:val="both"/>
        <w:rPr>
          <w:rFonts w:asciiTheme="minorHAnsi" w:eastAsia="Calibri" w:hAnsiTheme="minorHAnsi" w:cstheme="minorHAnsi"/>
          <w:b/>
          <w:bCs/>
          <w:sz w:val="28"/>
          <w:szCs w:val="28"/>
        </w:rPr>
      </w:pPr>
    </w:p>
    <w:p w14:paraId="7A15623C" w14:textId="77777777" w:rsidR="009E1D83" w:rsidRPr="004F6EB2" w:rsidRDefault="009E1D83" w:rsidP="0073143D">
      <w:pPr>
        <w:spacing w:line="276" w:lineRule="auto"/>
        <w:ind w:right="531"/>
        <w:jc w:val="both"/>
        <w:rPr>
          <w:rFonts w:asciiTheme="minorHAnsi" w:eastAsia="Calibri" w:hAnsiTheme="minorHAnsi" w:cstheme="minorHAnsi"/>
          <w:b/>
          <w:bCs/>
          <w:sz w:val="28"/>
          <w:szCs w:val="28"/>
        </w:rPr>
      </w:pPr>
      <w:r w:rsidRPr="004F6EB2">
        <w:rPr>
          <w:rFonts w:asciiTheme="minorHAnsi" w:eastAsia="Calibri" w:hAnsiTheme="minorHAnsi" w:cstheme="minorHAnsi"/>
          <w:b/>
          <w:bCs/>
          <w:sz w:val="28"/>
          <w:szCs w:val="28"/>
        </w:rPr>
        <w:t>Evaluate the effectiveness of crime prevention strategies (</w:t>
      </w:r>
      <w:proofErr w:type="gramStart"/>
      <w:r w:rsidRPr="004F6EB2">
        <w:rPr>
          <w:rFonts w:asciiTheme="minorHAnsi" w:eastAsia="Calibri" w:hAnsiTheme="minorHAnsi" w:cstheme="minorHAnsi"/>
          <w:b/>
          <w:bCs/>
          <w:sz w:val="28"/>
          <w:szCs w:val="28"/>
        </w:rPr>
        <w:t>e.g.</w:t>
      </w:r>
      <w:proofErr w:type="gramEnd"/>
      <w:r w:rsidRPr="004F6EB2">
        <w:rPr>
          <w:rFonts w:asciiTheme="minorHAnsi" w:eastAsia="Calibri" w:hAnsiTheme="minorHAnsi" w:cstheme="minorHAnsi"/>
          <w:b/>
          <w:bCs/>
          <w:sz w:val="28"/>
          <w:szCs w:val="28"/>
        </w:rPr>
        <w:t xml:space="preserve"> problem-oriented policing, predictive policing, intelligence-led policing, reactive policing) in relation to a specific type of crime of your own choosing. Your answer must be based on academic research, not personal experience.</w:t>
      </w:r>
    </w:p>
    <w:p w14:paraId="74897048" w14:textId="77777777" w:rsidR="009E1D83" w:rsidRPr="004F6EB2" w:rsidRDefault="009E1D83" w:rsidP="0073143D">
      <w:pPr>
        <w:spacing w:line="276" w:lineRule="auto"/>
        <w:ind w:right="531"/>
        <w:jc w:val="both"/>
        <w:rPr>
          <w:rFonts w:asciiTheme="minorHAnsi" w:hAnsiTheme="minorHAnsi" w:cstheme="minorHAnsi"/>
          <w:sz w:val="28"/>
          <w:szCs w:val="28"/>
        </w:rPr>
      </w:pPr>
    </w:p>
    <w:p w14:paraId="57A58153" w14:textId="701A67CC" w:rsidR="009E1D83" w:rsidRPr="004F6EB2" w:rsidRDefault="009E1D83" w:rsidP="0073143D">
      <w:pPr>
        <w:spacing w:line="276" w:lineRule="auto"/>
        <w:ind w:right="531"/>
        <w:jc w:val="both"/>
        <w:rPr>
          <w:rFonts w:asciiTheme="minorHAnsi" w:hAnsiTheme="minorHAnsi" w:cstheme="minorHAnsi"/>
          <w:sz w:val="28"/>
          <w:szCs w:val="28"/>
        </w:rPr>
      </w:pPr>
    </w:p>
    <w:p w14:paraId="0BCE6E79" w14:textId="13F8637D" w:rsidR="0056129A" w:rsidRPr="0056129A" w:rsidRDefault="0056129A" w:rsidP="0073143D">
      <w:pPr>
        <w:spacing w:after="160" w:line="276" w:lineRule="auto"/>
        <w:jc w:val="both"/>
        <w:rPr>
          <w:rFonts w:asciiTheme="minorHAnsi" w:eastAsiaTheme="minorHAnsi" w:hAnsiTheme="minorHAnsi" w:cstheme="minorHAnsi"/>
          <w:sz w:val="28"/>
          <w:szCs w:val="28"/>
          <w:lang w:eastAsia="en-US"/>
        </w:rPr>
      </w:pPr>
      <w:r w:rsidRPr="0056129A">
        <w:rPr>
          <w:rFonts w:asciiTheme="minorHAnsi" w:eastAsiaTheme="minorHAnsi" w:hAnsiTheme="minorHAnsi" w:cstheme="minorHAnsi"/>
          <w:sz w:val="28"/>
          <w:szCs w:val="28"/>
          <w:lang w:eastAsia="en-US"/>
        </w:rPr>
        <w:t>This essay will evaluate the efficacy of two prevention strategies for theft related crimes: problem-orientated policing and predictive policing.</w:t>
      </w:r>
    </w:p>
    <w:p w14:paraId="0970E24A" w14:textId="77777777" w:rsidR="0056129A" w:rsidRPr="0056129A" w:rsidRDefault="0056129A" w:rsidP="0073143D">
      <w:pPr>
        <w:spacing w:before="100" w:beforeAutospacing="1" w:after="240" w:line="276" w:lineRule="auto"/>
        <w:ind w:firstLine="720"/>
        <w:jc w:val="both"/>
        <w:rPr>
          <w:rFonts w:asciiTheme="minorHAnsi" w:eastAsiaTheme="minorHAnsi" w:hAnsiTheme="minorHAnsi" w:cstheme="minorHAnsi"/>
          <w:sz w:val="28"/>
          <w:szCs w:val="28"/>
          <w:lang w:eastAsia="en-US"/>
        </w:rPr>
      </w:pPr>
      <w:r w:rsidRPr="0056129A">
        <w:rPr>
          <w:rFonts w:asciiTheme="minorHAnsi" w:eastAsiaTheme="minorHAnsi" w:hAnsiTheme="minorHAnsi" w:cstheme="minorHAnsi"/>
          <w:sz w:val="28"/>
          <w:szCs w:val="28"/>
          <w:lang w:eastAsia="en-US"/>
        </w:rPr>
        <w:t xml:space="preserve">Problem-orientated policing (POP) is a method of confronting crime and disorder by identifying a given problem, applying detailed analysis to understand the issue, and then creating a bespoke police reaction to the problem (Goldstein, 1979). The impacts of this response to the problem are then assessed for improvements to promote best standard operational procedure. </w:t>
      </w:r>
    </w:p>
    <w:p w14:paraId="4AA5EB8D" w14:textId="0EA9E6C8" w:rsidR="0056129A" w:rsidRPr="0056129A" w:rsidRDefault="0056129A" w:rsidP="0073143D">
      <w:pPr>
        <w:spacing w:before="100" w:beforeAutospacing="1" w:after="240" w:line="276" w:lineRule="auto"/>
        <w:ind w:firstLine="720"/>
        <w:jc w:val="both"/>
        <w:rPr>
          <w:rFonts w:asciiTheme="minorHAnsi" w:eastAsiaTheme="minorHAnsi" w:hAnsiTheme="minorHAnsi" w:cstheme="minorHAnsi"/>
          <w:sz w:val="28"/>
          <w:szCs w:val="28"/>
          <w:lang w:eastAsia="en-US"/>
        </w:rPr>
      </w:pPr>
      <w:r w:rsidRPr="0056129A">
        <w:rPr>
          <w:rFonts w:asciiTheme="minorHAnsi" w:eastAsiaTheme="minorHAnsi" w:hAnsiTheme="minorHAnsi" w:cstheme="minorHAnsi"/>
          <w:sz w:val="28"/>
          <w:szCs w:val="28"/>
          <w:lang w:eastAsia="en-US"/>
        </w:rPr>
        <w:t>The premise of this model is to establish the root cause of problem and the factors that assist it. POP’s simplicity as an organic model is used by police officers and security staff and works to by tackling the nucleus of the issue at hand and the elements that support it, which if successful would</w:t>
      </w:r>
      <w:r w:rsidR="006072D5">
        <w:rPr>
          <w:rFonts w:asciiTheme="minorHAnsi" w:eastAsiaTheme="minorHAnsi" w:hAnsiTheme="minorHAnsi" w:cstheme="minorHAnsi"/>
          <w:sz w:val="28"/>
          <w:szCs w:val="28"/>
          <w:lang w:eastAsia="en-US"/>
        </w:rPr>
        <w:t xml:space="preserve"> highlight</w:t>
      </w:r>
      <w:r w:rsidRPr="0056129A">
        <w:rPr>
          <w:rFonts w:asciiTheme="minorHAnsi" w:eastAsiaTheme="minorHAnsi" w:hAnsiTheme="minorHAnsi" w:cstheme="minorHAnsi"/>
          <w:sz w:val="28"/>
          <w:szCs w:val="28"/>
          <w:lang w:eastAsia="en-US"/>
        </w:rPr>
        <w:t xml:space="preserve"> the POP response as </w:t>
      </w:r>
      <w:r w:rsidRPr="0056129A">
        <w:rPr>
          <w:rFonts w:asciiTheme="minorHAnsi" w:eastAsiaTheme="minorHAnsi" w:hAnsiTheme="minorHAnsi" w:cstheme="minorHAnsi"/>
          <w:i/>
          <w:iCs/>
          <w:sz w:val="28"/>
          <w:szCs w:val="28"/>
          <w:lang w:eastAsia="en-US"/>
        </w:rPr>
        <w:t>effective</w:t>
      </w:r>
      <w:r w:rsidRPr="0056129A">
        <w:rPr>
          <w:rFonts w:asciiTheme="minorHAnsi" w:eastAsiaTheme="minorHAnsi" w:hAnsiTheme="minorHAnsi" w:cstheme="minorHAnsi"/>
          <w:sz w:val="28"/>
          <w:szCs w:val="28"/>
          <w:lang w:eastAsia="en-US"/>
        </w:rPr>
        <w:t xml:space="preserve"> (College of Policing, 2022). </w:t>
      </w:r>
    </w:p>
    <w:p w14:paraId="5A4A62AD" w14:textId="5EEB9261" w:rsidR="0056129A" w:rsidRPr="0056129A" w:rsidRDefault="0056129A" w:rsidP="0073143D">
      <w:pPr>
        <w:spacing w:before="100" w:beforeAutospacing="1" w:after="240" w:line="276" w:lineRule="auto"/>
        <w:ind w:firstLine="720"/>
        <w:jc w:val="both"/>
        <w:rPr>
          <w:rFonts w:asciiTheme="minorHAnsi" w:eastAsiaTheme="minorHAnsi" w:hAnsiTheme="minorHAnsi" w:cstheme="minorHAnsi"/>
          <w:sz w:val="28"/>
          <w:szCs w:val="28"/>
          <w:lang w:eastAsia="en-US"/>
        </w:rPr>
      </w:pPr>
      <w:r w:rsidRPr="0056129A">
        <w:rPr>
          <w:rFonts w:asciiTheme="minorHAnsi" w:eastAsiaTheme="minorHAnsi" w:hAnsiTheme="minorHAnsi" w:cstheme="minorHAnsi"/>
          <w:sz w:val="28"/>
          <w:szCs w:val="28"/>
          <w:lang w:eastAsia="en-US"/>
        </w:rPr>
        <w:t xml:space="preserve">POP’s effectiveness can be adjudged by evaluating quantitative data in the form of offence occurrences and the financial losses over a set period in a specific area during the employment of a POP response (College of Policing, 2017). With the help of the data analysts and researchers at university level, further patterns can be </w:t>
      </w:r>
      <w:r w:rsidR="006072D5" w:rsidRPr="0056129A">
        <w:rPr>
          <w:rFonts w:asciiTheme="minorHAnsi" w:eastAsiaTheme="minorHAnsi" w:hAnsiTheme="minorHAnsi" w:cstheme="minorHAnsi"/>
          <w:sz w:val="28"/>
          <w:szCs w:val="28"/>
          <w:lang w:eastAsia="en-US"/>
        </w:rPr>
        <w:t>proven</w:t>
      </w:r>
      <w:r w:rsidRPr="0056129A">
        <w:rPr>
          <w:rFonts w:asciiTheme="minorHAnsi" w:eastAsiaTheme="minorHAnsi" w:hAnsiTheme="minorHAnsi" w:cstheme="minorHAnsi"/>
          <w:sz w:val="28"/>
          <w:szCs w:val="28"/>
          <w:lang w:eastAsia="en-US"/>
        </w:rPr>
        <w:t xml:space="preserve"> where more nuanced crime types can be realised. </w:t>
      </w:r>
    </w:p>
    <w:p w14:paraId="72B87A9C" w14:textId="78AA91B2" w:rsidR="0056129A" w:rsidRPr="0056129A" w:rsidRDefault="0056129A" w:rsidP="0073143D">
      <w:pPr>
        <w:spacing w:before="100" w:beforeAutospacing="1" w:after="240" w:line="276" w:lineRule="auto"/>
        <w:ind w:firstLine="720"/>
        <w:jc w:val="both"/>
        <w:rPr>
          <w:rFonts w:asciiTheme="minorHAnsi" w:eastAsiaTheme="minorHAnsi" w:hAnsiTheme="minorHAnsi" w:cstheme="minorHAnsi"/>
          <w:sz w:val="28"/>
          <w:szCs w:val="28"/>
          <w:lang w:eastAsia="en-US"/>
        </w:rPr>
      </w:pPr>
      <w:r w:rsidRPr="0056129A">
        <w:rPr>
          <w:rFonts w:asciiTheme="minorHAnsi" w:eastAsiaTheme="minorHAnsi" w:hAnsiTheme="minorHAnsi" w:cstheme="minorHAnsi"/>
          <w:sz w:val="28"/>
          <w:szCs w:val="28"/>
          <w:lang w:eastAsia="en-US"/>
        </w:rPr>
        <w:t xml:space="preserve">Through assessing the crime levels in Warwickshire retail establishments, Guillaume recorded that a supermarket store in Warwick found that 59% of thefts were of from bags and purses in customer trolleys. After receiving this data, the store adapted their trolleys to include a ‘bag safe, which rested under </w:t>
      </w:r>
      <w:r w:rsidRPr="0056129A">
        <w:rPr>
          <w:rFonts w:asciiTheme="minorHAnsi" w:eastAsiaTheme="minorHAnsi" w:hAnsiTheme="minorHAnsi" w:cstheme="minorHAnsi"/>
          <w:sz w:val="28"/>
          <w:szCs w:val="28"/>
          <w:lang w:eastAsia="en-US"/>
        </w:rPr>
        <w:lastRenderedPageBreak/>
        <w:t xml:space="preserve">the base of the trolley. Guillaume then analysed the same store over the next three months to </w:t>
      </w:r>
      <w:r w:rsidR="00057234" w:rsidRPr="0056129A">
        <w:rPr>
          <w:rFonts w:asciiTheme="minorHAnsi" w:eastAsiaTheme="minorHAnsi" w:hAnsiTheme="minorHAnsi" w:cstheme="minorHAnsi"/>
          <w:sz w:val="28"/>
          <w:szCs w:val="28"/>
          <w:lang w:eastAsia="en-US"/>
        </w:rPr>
        <w:t>assess</w:t>
      </w:r>
      <w:r w:rsidRPr="0056129A">
        <w:rPr>
          <w:rFonts w:asciiTheme="minorHAnsi" w:eastAsiaTheme="minorHAnsi" w:hAnsiTheme="minorHAnsi" w:cstheme="minorHAnsi"/>
          <w:sz w:val="28"/>
          <w:szCs w:val="28"/>
          <w:lang w:eastAsia="en-US"/>
        </w:rPr>
        <w:t xml:space="preserve"> if the bag safe worked (Guillaume, 2012). </w:t>
      </w:r>
    </w:p>
    <w:p w14:paraId="2A44A4DD" w14:textId="062208D6" w:rsidR="0056129A" w:rsidRPr="0056129A" w:rsidRDefault="0056129A" w:rsidP="0073143D">
      <w:pPr>
        <w:spacing w:before="100" w:beforeAutospacing="1" w:after="240" w:line="276" w:lineRule="auto"/>
        <w:ind w:firstLine="720"/>
        <w:jc w:val="both"/>
        <w:rPr>
          <w:rFonts w:asciiTheme="minorHAnsi" w:eastAsiaTheme="minorHAnsi" w:hAnsiTheme="minorHAnsi" w:cstheme="minorHAnsi"/>
          <w:sz w:val="28"/>
          <w:szCs w:val="28"/>
          <w:lang w:eastAsia="en-US"/>
        </w:rPr>
      </w:pPr>
      <w:r w:rsidRPr="0056129A">
        <w:rPr>
          <w:rFonts w:asciiTheme="minorHAnsi" w:eastAsiaTheme="minorHAnsi" w:hAnsiTheme="minorHAnsi" w:cstheme="minorHAnsi"/>
          <w:sz w:val="28"/>
          <w:szCs w:val="28"/>
          <w:lang w:eastAsia="en-US"/>
        </w:rPr>
        <w:t xml:space="preserve">When discouraging and preventing thefts, this study also </w:t>
      </w:r>
      <w:r w:rsidR="006072D5" w:rsidRPr="0056129A">
        <w:rPr>
          <w:rFonts w:asciiTheme="minorHAnsi" w:eastAsiaTheme="minorHAnsi" w:hAnsiTheme="minorHAnsi" w:cstheme="minorHAnsi"/>
          <w:sz w:val="28"/>
          <w:szCs w:val="28"/>
          <w:lang w:eastAsia="en-US"/>
        </w:rPr>
        <w:t>shown</w:t>
      </w:r>
      <w:r w:rsidRPr="0056129A">
        <w:rPr>
          <w:rFonts w:asciiTheme="minorHAnsi" w:eastAsiaTheme="minorHAnsi" w:hAnsiTheme="minorHAnsi" w:cstheme="minorHAnsi"/>
          <w:sz w:val="28"/>
          <w:szCs w:val="28"/>
          <w:lang w:eastAsia="en-US"/>
        </w:rPr>
        <w:t xml:space="preserve"> roadblocks within POP approaches. There were issues with sample size (3 months) to reveal sufficient quantitative data, which resulted in Guillaume’s research team needing to further scrutinise and review their model for improvement. The team asked questions </w:t>
      </w:r>
      <w:r w:rsidR="004D4C9C" w:rsidRPr="0056129A">
        <w:rPr>
          <w:rFonts w:asciiTheme="minorHAnsi" w:eastAsiaTheme="minorHAnsi" w:hAnsiTheme="minorHAnsi" w:cstheme="minorHAnsi"/>
          <w:sz w:val="28"/>
          <w:szCs w:val="28"/>
          <w:lang w:eastAsia="en-US"/>
        </w:rPr>
        <w:t>about</w:t>
      </w:r>
      <w:r w:rsidRPr="0056129A">
        <w:rPr>
          <w:rFonts w:asciiTheme="minorHAnsi" w:eastAsiaTheme="minorHAnsi" w:hAnsiTheme="minorHAnsi" w:cstheme="minorHAnsi"/>
          <w:sz w:val="28"/>
          <w:szCs w:val="28"/>
          <w:lang w:eastAsia="en-US"/>
        </w:rPr>
        <w:t xml:space="preserve"> the utility and practicality of the bag safe in relation to its size and the need for customers to remove their bag for using its contents – all of which would lead to the customer removing their bag (Guillaume</w:t>
      </w:r>
      <w:r w:rsidR="00A34A69" w:rsidRPr="004F6EB2">
        <w:rPr>
          <w:rFonts w:asciiTheme="minorHAnsi" w:eastAsiaTheme="minorHAnsi" w:hAnsiTheme="minorHAnsi" w:cstheme="minorHAnsi"/>
          <w:sz w:val="28"/>
          <w:szCs w:val="28"/>
          <w:lang w:eastAsia="en-US"/>
        </w:rPr>
        <w:t>, 2012</w:t>
      </w:r>
      <w:r w:rsidRPr="0056129A">
        <w:rPr>
          <w:rFonts w:asciiTheme="minorHAnsi" w:eastAsiaTheme="minorHAnsi" w:hAnsiTheme="minorHAnsi" w:cstheme="minorHAnsi"/>
          <w:sz w:val="28"/>
          <w:szCs w:val="28"/>
          <w:lang w:eastAsia="en-US"/>
        </w:rPr>
        <w:t xml:space="preserve">). </w:t>
      </w:r>
    </w:p>
    <w:p w14:paraId="2675853C" w14:textId="4D8640FA" w:rsidR="0056129A" w:rsidRPr="0056129A" w:rsidRDefault="0056129A" w:rsidP="0073143D">
      <w:pPr>
        <w:spacing w:before="100" w:beforeAutospacing="1" w:after="240" w:line="276" w:lineRule="auto"/>
        <w:ind w:firstLine="720"/>
        <w:jc w:val="both"/>
        <w:rPr>
          <w:rFonts w:asciiTheme="minorHAnsi" w:eastAsiaTheme="minorHAnsi" w:hAnsiTheme="minorHAnsi" w:cstheme="minorHAnsi"/>
          <w:sz w:val="28"/>
          <w:szCs w:val="28"/>
          <w:lang w:eastAsia="en-US"/>
        </w:rPr>
      </w:pPr>
      <w:r w:rsidRPr="0056129A">
        <w:rPr>
          <w:rFonts w:asciiTheme="minorHAnsi" w:eastAsiaTheme="minorHAnsi" w:hAnsiTheme="minorHAnsi" w:cstheme="minorHAnsi"/>
          <w:sz w:val="28"/>
          <w:szCs w:val="28"/>
          <w:lang w:eastAsia="en-US"/>
        </w:rPr>
        <w:t xml:space="preserve">Overall, while the number </w:t>
      </w:r>
      <w:r w:rsidR="00CD1965">
        <w:rPr>
          <w:rFonts w:asciiTheme="minorHAnsi" w:eastAsiaTheme="minorHAnsi" w:hAnsiTheme="minorHAnsi" w:cstheme="minorHAnsi"/>
          <w:sz w:val="28"/>
          <w:szCs w:val="28"/>
          <w:lang w:eastAsia="en-US"/>
        </w:rPr>
        <w:t>of</w:t>
      </w:r>
      <w:r w:rsidRPr="0056129A">
        <w:rPr>
          <w:rFonts w:asciiTheme="minorHAnsi" w:eastAsiaTheme="minorHAnsi" w:hAnsiTheme="minorHAnsi" w:cstheme="minorHAnsi"/>
          <w:sz w:val="28"/>
          <w:szCs w:val="28"/>
          <w:lang w:eastAsia="en-US"/>
        </w:rPr>
        <w:t xml:space="preserve"> bag-theft related crimes were too few to make a comparison with previous months, the project was a success and was a finalist in the International Herman Goldstein Award for Excellence in POP. Customers “immediately” noticed the safes and those who used the new trolley would use it again. It was precisely the methodology within POP, particularly the assessment and improvement stage, where this case study flourishes in promoting POP </w:t>
      </w:r>
      <w:r w:rsidR="00417B4E">
        <w:rPr>
          <w:rFonts w:asciiTheme="minorHAnsi" w:eastAsiaTheme="minorHAnsi" w:hAnsiTheme="minorHAnsi" w:cstheme="minorHAnsi"/>
          <w:sz w:val="28"/>
          <w:szCs w:val="28"/>
          <w:lang w:eastAsia="en-US"/>
        </w:rPr>
        <w:t>a</w:t>
      </w:r>
      <w:r w:rsidRPr="0056129A">
        <w:rPr>
          <w:rFonts w:asciiTheme="minorHAnsi" w:eastAsiaTheme="minorHAnsi" w:hAnsiTheme="minorHAnsi" w:cstheme="minorHAnsi"/>
          <w:sz w:val="28"/>
          <w:szCs w:val="28"/>
          <w:lang w:eastAsia="en-US"/>
        </w:rPr>
        <w:t>s a successful policing model.</w:t>
      </w:r>
    </w:p>
    <w:p w14:paraId="05850533" w14:textId="6F1BDC9F" w:rsidR="0056129A" w:rsidRPr="0056129A" w:rsidRDefault="0056129A" w:rsidP="0073143D">
      <w:pPr>
        <w:spacing w:before="100" w:beforeAutospacing="1" w:after="240" w:line="276" w:lineRule="auto"/>
        <w:ind w:firstLine="720"/>
        <w:jc w:val="both"/>
        <w:rPr>
          <w:rFonts w:asciiTheme="minorHAnsi" w:eastAsiaTheme="minorHAnsi" w:hAnsiTheme="minorHAnsi" w:cstheme="minorHAnsi"/>
          <w:sz w:val="28"/>
          <w:szCs w:val="28"/>
          <w:lang w:eastAsia="en-US"/>
        </w:rPr>
      </w:pPr>
      <w:r w:rsidRPr="0056129A">
        <w:rPr>
          <w:rFonts w:asciiTheme="minorHAnsi" w:eastAsiaTheme="minorHAnsi" w:hAnsiTheme="minorHAnsi" w:cstheme="minorHAnsi"/>
          <w:sz w:val="28"/>
          <w:szCs w:val="28"/>
          <w:lang w:eastAsia="en-US"/>
        </w:rPr>
        <w:t xml:space="preserve">In return, </w:t>
      </w:r>
      <w:r w:rsidR="00A34A69" w:rsidRPr="004F6EB2">
        <w:rPr>
          <w:rFonts w:asciiTheme="minorHAnsi" w:eastAsiaTheme="minorHAnsi" w:hAnsiTheme="minorHAnsi" w:cstheme="minorHAnsi"/>
          <w:sz w:val="28"/>
          <w:szCs w:val="28"/>
          <w:lang w:eastAsia="en-US"/>
        </w:rPr>
        <w:t>the</w:t>
      </w:r>
      <w:r w:rsidRPr="0056129A">
        <w:rPr>
          <w:rFonts w:asciiTheme="minorHAnsi" w:eastAsiaTheme="minorHAnsi" w:hAnsiTheme="minorHAnsi" w:cstheme="minorHAnsi"/>
          <w:sz w:val="28"/>
          <w:szCs w:val="28"/>
          <w:lang w:eastAsia="en-US"/>
        </w:rPr>
        <w:t xml:space="preserve"> project</w:t>
      </w:r>
      <w:r w:rsidR="00417B4E">
        <w:rPr>
          <w:rFonts w:asciiTheme="minorHAnsi" w:eastAsiaTheme="minorHAnsi" w:hAnsiTheme="minorHAnsi" w:cstheme="minorHAnsi"/>
          <w:sz w:val="28"/>
          <w:szCs w:val="28"/>
          <w:lang w:eastAsia="en-US"/>
        </w:rPr>
        <w:t xml:space="preserve"> was</w:t>
      </w:r>
      <w:r w:rsidRPr="0056129A">
        <w:rPr>
          <w:rFonts w:asciiTheme="minorHAnsi" w:eastAsiaTheme="minorHAnsi" w:hAnsiTheme="minorHAnsi" w:cstheme="minorHAnsi"/>
          <w:sz w:val="28"/>
          <w:szCs w:val="28"/>
          <w:lang w:eastAsia="en-US"/>
        </w:rPr>
        <w:t xml:space="preserve"> award</w:t>
      </w:r>
      <w:r w:rsidR="00417B4E">
        <w:rPr>
          <w:rFonts w:asciiTheme="minorHAnsi" w:eastAsiaTheme="minorHAnsi" w:hAnsiTheme="minorHAnsi" w:cstheme="minorHAnsi"/>
          <w:sz w:val="28"/>
          <w:szCs w:val="28"/>
          <w:lang w:eastAsia="en-US"/>
        </w:rPr>
        <w:t>ed</w:t>
      </w:r>
      <w:r w:rsidRPr="0056129A">
        <w:rPr>
          <w:rFonts w:asciiTheme="minorHAnsi" w:eastAsiaTheme="minorHAnsi" w:hAnsiTheme="minorHAnsi" w:cstheme="minorHAnsi"/>
          <w:sz w:val="28"/>
          <w:szCs w:val="28"/>
          <w:lang w:eastAsia="en-US"/>
        </w:rPr>
        <w:t xml:space="preserve"> £25,000 </w:t>
      </w:r>
      <w:r w:rsidR="00417B4E">
        <w:rPr>
          <w:rFonts w:asciiTheme="minorHAnsi" w:eastAsiaTheme="minorHAnsi" w:hAnsiTheme="minorHAnsi" w:cstheme="minorHAnsi"/>
          <w:sz w:val="28"/>
          <w:szCs w:val="28"/>
          <w:lang w:eastAsia="en-US"/>
        </w:rPr>
        <w:t>and</w:t>
      </w:r>
      <w:r w:rsidRPr="0056129A">
        <w:rPr>
          <w:rFonts w:asciiTheme="minorHAnsi" w:eastAsiaTheme="minorHAnsi" w:hAnsiTheme="minorHAnsi" w:cstheme="minorHAnsi"/>
          <w:sz w:val="28"/>
          <w:szCs w:val="28"/>
          <w:lang w:eastAsia="en-US"/>
        </w:rPr>
        <w:t xml:space="preserve"> was to be recycled back into supermarkets to produce “a cost-effective version of the trolley safe that supermarkets at about 10% of the price of the original trolley safe” (Guillaume, 2012). </w:t>
      </w:r>
    </w:p>
    <w:p w14:paraId="5B25240E" w14:textId="3163A3F5" w:rsidR="0056129A" w:rsidRPr="0056129A" w:rsidRDefault="0056129A" w:rsidP="0073143D">
      <w:pPr>
        <w:spacing w:before="100" w:beforeAutospacing="1" w:after="240" w:line="276" w:lineRule="auto"/>
        <w:ind w:firstLine="720"/>
        <w:jc w:val="both"/>
        <w:rPr>
          <w:rFonts w:asciiTheme="minorHAnsi" w:eastAsiaTheme="minorHAnsi" w:hAnsiTheme="minorHAnsi" w:cstheme="minorHAnsi"/>
          <w:sz w:val="28"/>
          <w:szCs w:val="28"/>
          <w:lang w:eastAsia="en-US"/>
        </w:rPr>
      </w:pPr>
      <w:r w:rsidRPr="0056129A">
        <w:rPr>
          <w:rFonts w:asciiTheme="minorHAnsi" w:eastAsiaTheme="minorHAnsi" w:hAnsiTheme="minorHAnsi" w:cstheme="minorHAnsi"/>
          <w:sz w:val="28"/>
          <w:szCs w:val="28"/>
          <w:lang w:eastAsia="en-US"/>
        </w:rPr>
        <w:t xml:space="preserve">Despite the success of Guillaume’s model, theft related crimes </w:t>
      </w:r>
      <w:r w:rsidR="00555968" w:rsidRPr="004F6EB2">
        <w:rPr>
          <w:rFonts w:asciiTheme="minorHAnsi" w:eastAsiaTheme="minorHAnsi" w:hAnsiTheme="minorHAnsi" w:cstheme="minorHAnsi"/>
          <w:sz w:val="28"/>
          <w:szCs w:val="28"/>
          <w:lang w:eastAsia="en-US"/>
        </w:rPr>
        <w:t>like</w:t>
      </w:r>
      <w:r w:rsidRPr="0056129A">
        <w:rPr>
          <w:rFonts w:asciiTheme="minorHAnsi" w:eastAsiaTheme="minorHAnsi" w:hAnsiTheme="minorHAnsi" w:cstheme="minorHAnsi"/>
          <w:sz w:val="28"/>
          <w:szCs w:val="28"/>
          <w:lang w:eastAsia="en-US"/>
        </w:rPr>
        <w:t xml:space="preserve"> burglaries </w:t>
      </w:r>
      <w:r w:rsidR="00CE4515" w:rsidRPr="0056129A">
        <w:rPr>
          <w:rFonts w:asciiTheme="minorHAnsi" w:eastAsiaTheme="minorHAnsi" w:hAnsiTheme="minorHAnsi" w:cstheme="minorHAnsi"/>
          <w:sz w:val="28"/>
          <w:szCs w:val="28"/>
          <w:lang w:eastAsia="en-US"/>
        </w:rPr>
        <w:t>pose different</w:t>
      </w:r>
      <w:r w:rsidRPr="0056129A">
        <w:rPr>
          <w:rFonts w:asciiTheme="minorHAnsi" w:eastAsiaTheme="minorHAnsi" w:hAnsiTheme="minorHAnsi" w:cstheme="minorHAnsi"/>
          <w:sz w:val="28"/>
          <w:szCs w:val="28"/>
          <w:lang w:eastAsia="en-US"/>
        </w:rPr>
        <w:t xml:space="preserve"> problem</w:t>
      </w:r>
      <w:r w:rsidR="000D1258" w:rsidRPr="004F6EB2">
        <w:rPr>
          <w:rFonts w:asciiTheme="minorHAnsi" w:eastAsiaTheme="minorHAnsi" w:hAnsiTheme="minorHAnsi" w:cstheme="minorHAnsi"/>
          <w:sz w:val="28"/>
          <w:szCs w:val="28"/>
          <w:lang w:eastAsia="en-US"/>
        </w:rPr>
        <w:t>s</w:t>
      </w:r>
      <w:r w:rsidRPr="0056129A">
        <w:rPr>
          <w:rFonts w:asciiTheme="minorHAnsi" w:eastAsiaTheme="minorHAnsi" w:hAnsiTheme="minorHAnsi" w:cstheme="minorHAnsi"/>
          <w:sz w:val="28"/>
          <w:szCs w:val="28"/>
          <w:lang w:eastAsia="en-US"/>
        </w:rPr>
        <w:t xml:space="preserve"> that require alternative approaches. This is due to the larger scales of impact to its victims and the financial losses involved</w:t>
      </w:r>
      <w:r w:rsidR="00E07BE1" w:rsidRPr="0056129A">
        <w:rPr>
          <w:rFonts w:asciiTheme="minorHAnsi" w:eastAsiaTheme="minorHAnsi" w:hAnsiTheme="minorHAnsi" w:cstheme="minorHAnsi"/>
          <w:sz w:val="28"/>
          <w:szCs w:val="28"/>
          <w:lang w:eastAsia="en-US"/>
        </w:rPr>
        <w:t xml:space="preserve">. </w:t>
      </w:r>
      <w:r w:rsidRPr="0056129A">
        <w:rPr>
          <w:rFonts w:asciiTheme="minorHAnsi" w:eastAsiaTheme="minorHAnsi" w:hAnsiTheme="minorHAnsi" w:cstheme="minorHAnsi"/>
          <w:sz w:val="28"/>
          <w:szCs w:val="28"/>
          <w:lang w:eastAsia="en-US"/>
        </w:rPr>
        <w:t xml:space="preserve">While there is a level of surmising in how to prevent the act of stealing by employing a targeting hardening measure – the bag safe –, burglaries on the other hand present difficulties regarding the location of the theft itself and further challenges such as future prevention. </w:t>
      </w:r>
    </w:p>
    <w:p w14:paraId="3AE52592" w14:textId="77777777" w:rsidR="0056129A" w:rsidRPr="0056129A" w:rsidRDefault="0056129A" w:rsidP="0073143D">
      <w:pPr>
        <w:spacing w:before="100" w:beforeAutospacing="1" w:after="240" w:line="276" w:lineRule="auto"/>
        <w:ind w:firstLine="720"/>
        <w:jc w:val="both"/>
        <w:rPr>
          <w:rFonts w:asciiTheme="minorHAnsi" w:eastAsiaTheme="minorHAnsi" w:hAnsiTheme="minorHAnsi" w:cstheme="minorHAnsi"/>
          <w:sz w:val="28"/>
          <w:szCs w:val="28"/>
          <w:lang w:eastAsia="en-US"/>
        </w:rPr>
      </w:pPr>
      <w:r w:rsidRPr="0056129A">
        <w:rPr>
          <w:rFonts w:asciiTheme="minorHAnsi" w:eastAsiaTheme="minorHAnsi" w:hAnsiTheme="minorHAnsi" w:cstheme="minorHAnsi"/>
          <w:sz w:val="28"/>
          <w:szCs w:val="28"/>
          <w:lang w:eastAsia="en-US"/>
        </w:rPr>
        <w:t xml:space="preserve">The use of Predictive Policing (PP) has been employed to tackle burglaries. PP takes data sets such as location, season, time, and modus operandi for a given crime and is imputed into predictive analytic computer systems to generate prospective future criminal activity. </w:t>
      </w:r>
    </w:p>
    <w:p w14:paraId="03DF2EE1" w14:textId="08DAD381" w:rsidR="0056129A" w:rsidRPr="0056129A" w:rsidRDefault="0056129A" w:rsidP="0073143D">
      <w:pPr>
        <w:spacing w:before="100" w:beforeAutospacing="1" w:after="240" w:line="276" w:lineRule="auto"/>
        <w:ind w:firstLine="720"/>
        <w:jc w:val="both"/>
        <w:rPr>
          <w:rFonts w:asciiTheme="minorHAnsi" w:eastAsiaTheme="minorHAnsi" w:hAnsiTheme="minorHAnsi" w:cstheme="minorHAnsi"/>
          <w:sz w:val="28"/>
          <w:szCs w:val="28"/>
          <w:lang w:eastAsia="en-US"/>
        </w:rPr>
      </w:pPr>
      <w:r w:rsidRPr="0056129A">
        <w:rPr>
          <w:rFonts w:asciiTheme="minorHAnsi" w:eastAsiaTheme="minorHAnsi" w:hAnsiTheme="minorHAnsi" w:cstheme="minorHAnsi"/>
          <w:sz w:val="28"/>
          <w:szCs w:val="28"/>
          <w:lang w:eastAsia="en-US"/>
        </w:rPr>
        <w:lastRenderedPageBreak/>
        <w:t xml:space="preserve">Studies on police services in German speaking nations have developed a similar model named PRECOB. The system generates trigger areas where burglaries are likely to occur by imputing a recent burglary into the analytical system (Egbert, 2019). The prediction software analyses the latest incident against past burglaries in that area and assesses the likelihood of repeat burglaries based on the imputation criteria. </w:t>
      </w:r>
      <w:r w:rsidR="00E07BE1">
        <w:rPr>
          <w:rFonts w:asciiTheme="minorHAnsi" w:eastAsiaTheme="minorHAnsi" w:hAnsiTheme="minorHAnsi" w:cstheme="minorHAnsi"/>
          <w:sz w:val="28"/>
          <w:szCs w:val="28"/>
          <w:lang w:eastAsia="en-US"/>
        </w:rPr>
        <w:t>This</w:t>
      </w:r>
      <w:r w:rsidRPr="0056129A">
        <w:rPr>
          <w:rFonts w:asciiTheme="minorHAnsi" w:eastAsiaTheme="minorHAnsi" w:hAnsiTheme="minorHAnsi" w:cstheme="minorHAnsi"/>
          <w:sz w:val="28"/>
          <w:szCs w:val="28"/>
          <w:lang w:eastAsia="en-US"/>
        </w:rPr>
        <w:t xml:space="preserve"> system establishes </w:t>
      </w:r>
      <w:r w:rsidRPr="0056129A">
        <w:rPr>
          <w:rFonts w:asciiTheme="minorHAnsi" w:eastAsiaTheme="minorHAnsi" w:hAnsiTheme="minorHAnsi" w:cstheme="minorHAnsi"/>
          <w:i/>
          <w:iCs/>
          <w:sz w:val="28"/>
          <w:szCs w:val="28"/>
          <w:lang w:eastAsia="en-US"/>
        </w:rPr>
        <w:t>hot zones</w:t>
      </w:r>
      <w:r w:rsidRPr="0056129A">
        <w:rPr>
          <w:rFonts w:asciiTheme="minorHAnsi" w:eastAsiaTheme="minorHAnsi" w:hAnsiTheme="minorHAnsi" w:cstheme="minorHAnsi"/>
          <w:sz w:val="28"/>
          <w:szCs w:val="28"/>
          <w:lang w:eastAsia="en-US"/>
        </w:rPr>
        <w:t xml:space="preserve"> for the crime itself, which allows police managers and police officers to target their policing areas more efficiently (Crank, 2012). </w:t>
      </w:r>
    </w:p>
    <w:p w14:paraId="2416233D" w14:textId="1A840E81" w:rsidR="0056129A" w:rsidRPr="0056129A" w:rsidRDefault="0056129A" w:rsidP="0073143D">
      <w:pPr>
        <w:spacing w:before="100" w:beforeAutospacing="1" w:after="240" w:line="276" w:lineRule="auto"/>
        <w:ind w:firstLine="720"/>
        <w:jc w:val="both"/>
        <w:rPr>
          <w:rFonts w:asciiTheme="minorHAnsi" w:eastAsiaTheme="minorHAnsi" w:hAnsiTheme="minorHAnsi" w:cstheme="minorHAnsi"/>
          <w:sz w:val="28"/>
          <w:szCs w:val="28"/>
          <w:lang w:eastAsia="en-US"/>
        </w:rPr>
      </w:pPr>
      <w:r w:rsidRPr="0056129A">
        <w:rPr>
          <w:rFonts w:asciiTheme="minorHAnsi" w:eastAsiaTheme="minorHAnsi" w:hAnsiTheme="minorHAnsi" w:cstheme="minorHAnsi"/>
          <w:sz w:val="28"/>
          <w:szCs w:val="28"/>
          <w:lang w:eastAsia="en-US"/>
        </w:rPr>
        <w:t xml:space="preserve">The system is useful in identifying serial and professional burglars that operate in a certain way to target their victims. By establishing the modus operandi of the burglar, e.g., </w:t>
      </w:r>
      <w:r w:rsidRPr="0056129A">
        <w:rPr>
          <w:rFonts w:asciiTheme="minorHAnsi" w:eastAsiaTheme="minorHAnsi" w:hAnsiTheme="minorHAnsi" w:cstheme="minorHAnsi"/>
          <w:i/>
          <w:iCs/>
          <w:sz w:val="28"/>
          <w:szCs w:val="28"/>
          <w:lang w:eastAsia="en-US"/>
        </w:rPr>
        <w:t xml:space="preserve">did they enter silently through a window, use </w:t>
      </w:r>
      <w:r w:rsidR="004D4C9C" w:rsidRPr="0056129A">
        <w:rPr>
          <w:rFonts w:asciiTheme="minorHAnsi" w:eastAsiaTheme="minorHAnsi" w:hAnsiTheme="minorHAnsi" w:cstheme="minorHAnsi"/>
          <w:i/>
          <w:iCs/>
          <w:sz w:val="28"/>
          <w:szCs w:val="28"/>
          <w:lang w:eastAsia="en-US"/>
        </w:rPr>
        <w:t xml:space="preserve">proper </w:t>
      </w:r>
      <w:r w:rsidR="004D4C9C">
        <w:rPr>
          <w:rFonts w:asciiTheme="minorHAnsi" w:eastAsiaTheme="minorHAnsi" w:hAnsiTheme="minorHAnsi" w:cstheme="minorHAnsi"/>
          <w:i/>
          <w:iCs/>
          <w:sz w:val="28"/>
          <w:szCs w:val="28"/>
          <w:lang w:eastAsia="en-US"/>
        </w:rPr>
        <w:t>tools for</w:t>
      </w:r>
      <w:r w:rsidRPr="0056129A">
        <w:rPr>
          <w:rFonts w:asciiTheme="minorHAnsi" w:eastAsiaTheme="minorHAnsi" w:hAnsiTheme="minorHAnsi" w:cstheme="minorHAnsi"/>
          <w:i/>
          <w:iCs/>
          <w:sz w:val="28"/>
          <w:szCs w:val="28"/>
          <w:lang w:eastAsia="en-US"/>
        </w:rPr>
        <w:t xml:space="preserve"> entry and removal of items, and focus on high reward items such as jewellery</w:t>
      </w:r>
      <w:r w:rsidRPr="0056129A">
        <w:rPr>
          <w:rFonts w:asciiTheme="minorHAnsi" w:eastAsiaTheme="minorHAnsi" w:hAnsiTheme="minorHAnsi" w:cstheme="minorHAnsi"/>
          <w:sz w:val="28"/>
          <w:szCs w:val="28"/>
          <w:lang w:eastAsia="en-US"/>
        </w:rPr>
        <w:t>, then the chances of a repeat burglary in that area may be high. Consequently, this area can be targeted by uniformed officers during the times and areas specified within the PP analysis to deter and prevent near-future burglaries</w:t>
      </w:r>
      <w:r w:rsidR="00E07BE1" w:rsidRPr="0056129A">
        <w:rPr>
          <w:rFonts w:asciiTheme="minorHAnsi" w:eastAsiaTheme="minorHAnsi" w:hAnsiTheme="minorHAnsi" w:cstheme="minorHAnsi"/>
          <w:sz w:val="28"/>
          <w:szCs w:val="28"/>
          <w:lang w:eastAsia="en-US"/>
        </w:rPr>
        <w:t xml:space="preserve">. </w:t>
      </w:r>
      <w:r w:rsidRPr="0056129A">
        <w:rPr>
          <w:rFonts w:asciiTheme="minorHAnsi" w:eastAsiaTheme="minorHAnsi" w:hAnsiTheme="minorHAnsi" w:cstheme="minorHAnsi"/>
          <w:sz w:val="28"/>
          <w:szCs w:val="28"/>
          <w:lang w:eastAsia="en-US"/>
        </w:rPr>
        <w:t xml:space="preserve">PRECOB has also developed imputation data which covers potential journeys </w:t>
      </w:r>
      <w:r w:rsidR="00CE4515" w:rsidRPr="0056129A">
        <w:rPr>
          <w:rFonts w:asciiTheme="minorHAnsi" w:eastAsiaTheme="minorHAnsi" w:hAnsiTheme="minorHAnsi" w:cstheme="minorHAnsi"/>
          <w:sz w:val="28"/>
          <w:szCs w:val="28"/>
          <w:lang w:eastAsia="en-US"/>
        </w:rPr>
        <w:t>to</w:t>
      </w:r>
      <w:r w:rsidRPr="0056129A">
        <w:rPr>
          <w:rFonts w:asciiTheme="minorHAnsi" w:eastAsiaTheme="minorHAnsi" w:hAnsiTheme="minorHAnsi" w:cstheme="minorHAnsi"/>
          <w:sz w:val="28"/>
          <w:szCs w:val="28"/>
          <w:lang w:eastAsia="en-US"/>
        </w:rPr>
        <w:t xml:space="preserve"> and from the initial burglary location. This not only assists Golden Hour opportunities to identify the suspect, but also presents patterns for the future so that police can better concentrate on entry routes and means of transport for future suspects (Egbert, 2019).</w:t>
      </w:r>
    </w:p>
    <w:p w14:paraId="0052A92A" w14:textId="4EF37CDA" w:rsidR="0056129A" w:rsidRPr="0056129A" w:rsidRDefault="0056129A" w:rsidP="0073143D">
      <w:pPr>
        <w:spacing w:before="100" w:beforeAutospacing="1" w:after="240" w:line="276" w:lineRule="auto"/>
        <w:ind w:firstLine="720"/>
        <w:jc w:val="both"/>
        <w:rPr>
          <w:rFonts w:asciiTheme="minorHAnsi" w:eastAsiaTheme="minorHAnsi" w:hAnsiTheme="minorHAnsi" w:cstheme="minorHAnsi"/>
          <w:sz w:val="28"/>
          <w:szCs w:val="28"/>
          <w:lang w:eastAsia="en-US"/>
        </w:rPr>
      </w:pPr>
      <w:r w:rsidRPr="0056129A">
        <w:rPr>
          <w:rFonts w:asciiTheme="minorHAnsi" w:eastAsiaTheme="minorHAnsi" w:hAnsiTheme="minorHAnsi" w:cstheme="minorHAnsi"/>
          <w:sz w:val="28"/>
          <w:szCs w:val="28"/>
          <w:lang w:eastAsia="en-US"/>
        </w:rPr>
        <w:t>However, the implementation of such technology raises concerns both at an operational level, but also at wider societal and democratic spheres (Leese, 2019). Firstly, increased</w:t>
      </w:r>
      <w:r w:rsidR="00A644C4">
        <w:rPr>
          <w:rFonts w:asciiTheme="minorHAnsi" w:eastAsiaTheme="minorHAnsi" w:hAnsiTheme="minorHAnsi" w:cstheme="minorHAnsi"/>
          <w:sz w:val="28"/>
          <w:szCs w:val="28"/>
          <w:lang w:eastAsia="en-US"/>
        </w:rPr>
        <w:t xml:space="preserve"> police</w:t>
      </w:r>
      <w:r w:rsidRPr="0056129A">
        <w:rPr>
          <w:rFonts w:asciiTheme="minorHAnsi" w:eastAsiaTheme="minorHAnsi" w:hAnsiTheme="minorHAnsi" w:cstheme="minorHAnsi"/>
          <w:sz w:val="28"/>
          <w:szCs w:val="28"/>
          <w:lang w:eastAsia="en-US"/>
        </w:rPr>
        <w:t xml:space="preserve"> presence in </w:t>
      </w:r>
      <w:r w:rsidR="00A644C4">
        <w:rPr>
          <w:rFonts w:asciiTheme="minorHAnsi" w:eastAsiaTheme="minorHAnsi" w:hAnsiTheme="minorHAnsi" w:cstheme="minorHAnsi"/>
          <w:sz w:val="28"/>
          <w:szCs w:val="28"/>
          <w:lang w:eastAsia="en-US"/>
        </w:rPr>
        <w:t>hotspot areas</w:t>
      </w:r>
      <w:r w:rsidRPr="0056129A">
        <w:rPr>
          <w:rFonts w:asciiTheme="minorHAnsi" w:eastAsiaTheme="minorHAnsi" w:hAnsiTheme="minorHAnsi" w:cstheme="minorHAnsi"/>
          <w:sz w:val="28"/>
          <w:szCs w:val="28"/>
          <w:lang w:eastAsia="en-US"/>
        </w:rPr>
        <w:t xml:space="preserve"> alone</w:t>
      </w:r>
      <w:r w:rsidR="00A644C4">
        <w:rPr>
          <w:rFonts w:asciiTheme="minorHAnsi" w:eastAsiaTheme="minorHAnsi" w:hAnsiTheme="minorHAnsi" w:cstheme="minorHAnsi"/>
          <w:sz w:val="28"/>
          <w:szCs w:val="28"/>
          <w:lang w:eastAsia="en-US"/>
        </w:rPr>
        <w:t>,</w:t>
      </w:r>
      <w:r w:rsidRPr="0056129A">
        <w:rPr>
          <w:rFonts w:asciiTheme="minorHAnsi" w:eastAsiaTheme="minorHAnsi" w:hAnsiTheme="minorHAnsi" w:cstheme="minorHAnsi"/>
          <w:sz w:val="28"/>
          <w:szCs w:val="28"/>
          <w:lang w:eastAsia="en-US"/>
        </w:rPr>
        <w:t xml:space="preserve"> is insufficient, as policing resources must move around their areas and respond to high priority calls, thus leaving the area and allowing burglars the opportunity to steal. More importantly, the use of a computer to generate tasking and officer patrols, removes the agency from the officer and strips back their experience of crimes and specific crime areas (</w:t>
      </w:r>
      <w:r w:rsidR="006430E3" w:rsidRPr="004F6EB2">
        <w:rPr>
          <w:rFonts w:asciiTheme="minorHAnsi" w:eastAsiaTheme="minorHAnsi" w:hAnsiTheme="minorHAnsi" w:cstheme="minorHAnsi"/>
          <w:sz w:val="28"/>
          <w:szCs w:val="28"/>
          <w:lang w:eastAsia="en-US"/>
        </w:rPr>
        <w:t>Sandhu, 2022</w:t>
      </w:r>
      <w:r w:rsidRPr="0056129A">
        <w:rPr>
          <w:rFonts w:asciiTheme="minorHAnsi" w:eastAsiaTheme="minorHAnsi" w:hAnsiTheme="minorHAnsi" w:cstheme="minorHAnsi"/>
          <w:sz w:val="28"/>
          <w:szCs w:val="28"/>
          <w:lang w:eastAsia="en-US"/>
        </w:rPr>
        <w:t xml:space="preserve">). </w:t>
      </w:r>
    </w:p>
    <w:p w14:paraId="1FB3DCE6" w14:textId="2E5B6B34" w:rsidR="009B67BB" w:rsidRPr="0056129A" w:rsidRDefault="0056129A" w:rsidP="0073143D">
      <w:pPr>
        <w:spacing w:before="100" w:beforeAutospacing="1" w:after="240" w:line="276" w:lineRule="auto"/>
        <w:ind w:firstLine="720"/>
        <w:jc w:val="both"/>
        <w:rPr>
          <w:rFonts w:asciiTheme="minorHAnsi" w:eastAsiaTheme="minorHAnsi" w:hAnsiTheme="minorHAnsi" w:cstheme="minorHAnsi"/>
          <w:sz w:val="28"/>
          <w:szCs w:val="28"/>
          <w:lang w:eastAsia="en-US"/>
        </w:rPr>
      </w:pPr>
      <w:r w:rsidRPr="0056129A">
        <w:rPr>
          <w:rFonts w:asciiTheme="minorHAnsi" w:eastAsiaTheme="minorHAnsi" w:hAnsiTheme="minorHAnsi" w:cstheme="minorHAnsi"/>
          <w:sz w:val="28"/>
          <w:szCs w:val="28"/>
          <w:lang w:eastAsia="en-US"/>
        </w:rPr>
        <w:t xml:space="preserve">It can be argued that PP and POP are complimentary in some respects, as predictive systems are able to undergo re-evaluation processes and improvements in response to new problems or digest more information types to establish patterns (Bullock, 2012). </w:t>
      </w:r>
      <w:r w:rsidR="00983ADA">
        <w:rPr>
          <w:rFonts w:asciiTheme="minorHAnsi" w:eastAsiaTheme="minorHAnsi" w:hAnsiTheme="minorHAnsi" w:cstheme="minorHAnsi"/>
          <w:sz w:val="28"/>
          <w:szCs w:val="28"/>
          <w:lang w:eastAsia="en-US"/>
        </w:rPr>
        <w:t>Furthermore</w:t>
      </w:r>
      <w:r w:rsidRPr="0056129A">
        <w:rPr>
          <w:rFonts w:asciiTheme="minorHAnsi" w:eastAsiaTheme="minorHAnsi" w:hAnsiTheme="minorHAnsi" w:cstheme="minorHAnsi"/>
          <w:sz w:val="28"/>
          <w:szCs w:val="28"/>
          <w:lang w:eastAsia="en-US"/>
        </w:rPr>
        <w:t xml:space="preserve">, the generation of this data decreases the possibilities of human error and can be obtained fair quicker with </w:t>
      </w:r>
      <w:r w:rsidRPr="0056129A">
        <w:rPr>
          <w:rFonts w:asciiTheme="minorHAnsi" w:eastAsiaTheme="minorHAnsi" w:hAnsiTheme="minorHAnsi" w:cstheme="minorHAnsi"/>
          <w:sz w:val="28"/>
          <w:szCs w:val="28"/>
          <w:lang w:eastAsia="en-US"/>
        </w:rPr>
        <w:lastRenderedPageBreak/>
        <w:t xml:space="preserve">less resources due to the PP systems employed. </w:t>
      </w:r>
      <w:r w:rsidR="009B67BB">
        <w:rPr>
          <w:rFonts w:asciiTheme="minorHAnsi" w:eastAsiaTheme="minorHAnsi" w:hAnsiTheme="minorHAnsi" w:cstheme="minorHAnsi"/>
          <w:sz w:val="28"/>
          <w:szCs w:val="28"/>
          <w:lang w:eastAsia="en-US"/>
        </w:rPr>
        <w:t xml:space="preserve">Therefore, </w:t>
      </w:r>
      <w:r w:rsidR="00BE1632">
        <w:rPr>
          <w:rFonts w:asciiTheme="minorHAnsi" w:eastAsiaTheme="minorHAnsi" w:hAnsiTheme="minorHAnsi" w:cstheme="minorHAnsi"/>
          <w:sz w:val="28"/>
          <w:szCs w:val="28"/>
          <w:lang w:eastAsia="en-US"/>
        </w:rPr>
        <w:t>when policing leans towards a more</w:t>
      </w:r>
      <w:r w:rsidR="009B67BB">
        <w:rPr>
          <w:rFonts w:asciiTheme="minorHAnsi" w:eastAsiaTheme="minorHAnsi" w:hAnsiTheme="minorHAnsi" w:cstheme="minorHAnsi"/>
          <w:sz w:val="28"/>
          <w:szCs w:val="28"/>
          <w:lang w:eastAsia="en-US"/>
        </w:rPr>
        <w:t xml:space="preserve"> evidence-based approach</w:t>
      </w:r>
      <w:r w:rsidR="00BE1632">
        <w:rPr>
          <w:rFonts w:asciiTheme="minorHAnsi" w:eastAsiaTheme="minorHAnsi" w:hAnsiTheme="minorHAnsi" w:cstheme="minorHAnsi"/>
          <w:sz w:val="28"/>
          <w:szCs w:val="28"/>
          <w:lang w:eastAsia="en-US"/>
        </w:rPr>
        <w:t>, where data is imputed into a predictive system, officers can then apply a POP approach to this information</w:t>
      </w:r>
      <w:r w:rsidR="00942288">
        <w:rPr>
          <w:rFonts w:asciiTheme="minorHAnsi" w:eastAsiaTheme="minorHAnsi" w:hAnsiTheme="minorHAnsi" w:cstheme="minorHAnsi"/>
          <w:sz w:val="28"/>
          <w:szCs w:val="28"/>
          <w:lang w:eastAsia="en-US"/>
        </w:rPr>
        <w:t xml:space="preserve"> </w:t>
      </w:r>
      <w:r w:rsidR="008F2995">
        <w:rPr>
          <w:rFonts w:asciiTheme="minorHAnsi" w:eastAsiaTheme="minorHAnsi" w:hAnsiTheme="minorHAnsi" w:cstheme="minorHAnsi"/>
          <w:sz w:val="28"/>
          <w:szCs w:val="28"/>
          <w:lang w:eastAsia="en-US"/>
        </w:rPr>
        <w:t>to assist with crime strategies.</w:t>
      </w:r>
    </w:p>
    <w:p w14:paraId="21F04F27" w14:textId="77777777" w:rsidR="0056129A" w:rsidRPr="0056129A" w:rsidRDefault="0056129A" w:rsidP="0073143D">
      <w:pPr>
        <w:spacing w:before="100" w:beforeAutospacing="1" w:after="240" w:line="276" w:lineRule="auto"/>
        <w:ind w:firstLine="720"/>
        <w:jc w:val="both"/>
        <w:rPr>
          <w:rFonts w:asciiTheme="minorHAnsi" w:eastAsiaTheme="minorHAnsi" w:hAnsiTheme="minorHAnsi" w:cstheme="minorHAnsi"/>
          <w:sz w:val="28"/>
          <w:szCs w:val="28"/>
          <w:lang w:eastAsia="en-US"/>
        </w:rPr>
      </w:pPr>
      <w:r w:rsidRPr="0056129A">
        <w:rPr>
          <w:rFonts w:asciiTheme="minorHAnsi" w:eastAsiaTheme="minorHAnsi" w:hAnsiTheme="minorHAnsi" w:cstheme="minorHAnsi"/>
          <w:sz w:val="28"/>
          <w:szCs w:val="28"/>
          <w:lang w:eastAsia="en-US"/>
        </w:rPr>
        <w:t xml:space="preserve">In conclusion, this essay has aired two ways that police can tackle theft related crimes such as simple store thefts and burglaries. Both show merit in identifying issues and proactively responding theft, whether location or method of criminal activity. However, the similar issues found in both strategies such as resource deficiencies and inappropriate funding for police services, further elucidates cotemporary policing challenges to detect and deter crime. </w:t>
      </w:r>
    </w:p>
    <w:p w14:paraId="400CF3A5" w14:textId="39D21999" w:rsidR="0056129A" w:rsidRPr="004F6EB2" w:rsidRDefault="002A3BFB" w:rsidP="00CE4515">
      <w:pPr>
        <w:spacing w:line="276" w:lineRule="auto"/>
        <w:ind w:right="531"/>
        <w:jc w:val="right"/>
        <w:rPr>
          <w:rFonts w:asciiTheme="minorHAnsi" w:hAnsiTheme="minorHAnsi" w:cstheme="minorHAnsi"/>
          <w:sz w:val="28"/>
          <w:szCs w:val="28"/>
        </w:rPr>
      </w:pPr>
      <w:r w:rsidRPr="004F6EB2">
        <w:rPr>
          <w:rFonts w:asciiTheme="minorHAnsi" w:hAnsiTheme="minorHAnsi" w:cstheme="minorHAnsi"/>
          <w:sz w:val="28"/>
          <w:szCs w:val="28"/>
        </w:rPr>
        <w:t>Words: 10</w:t>
      </w:r>
      <w:r w:rsidR="00CE4515">
        <w:rPr>
          <w:rFonts w:asciiTheme="minorHAnsi" w:hAnsiTheme="minorHAnsi" w:cstheme="minorHAnsi"/>
          <w:sz w:val="28"/>
          <w:szCs w:val="28"/>
        </w:rPr>
        <w:t>9</w:t>
      </w:r>
      <w:r w:rsidR="008F2995">
        <w:rPr>
          <w:rFonts w:asciiTheme="minorHAnsi" w:hAnsiTheme="minorHAnsi" w:cstheme="minorHAnsi"/>
          <w:sz w:val="28"/>
          <w:szCs w:val="28"/>
        </w:rPr>
        <w:t>0</w:t>
      </w:r>
    </w:p>
    <w:p w14:paraId="3E10F3F0" w14:textId="2B6B1D7F" w:rsidR="00E34CA5" w:rsidRPr="004F6EB2" w:rsidRDefault="00E34CA5" w:rsidP="0073143D">
      <w:pPr>
        <w:spacing w:line="276" w:lineRule="auto"/>
        <w:ind w:right="531"/>
        <w:jc w:val="both"/>
        <w:rPr>
          <w:rFonts w:asciiTheme="minorHAnsi" w:hAnsiTheme="minorHAnsi" w:cstheme="minorHAnsi"/>
          <w:sz w:val="28"/>
          <w:szCs w:val="28"/>
        </w:rPr>
      </w:pPr>
    </w:p>
    <w:p w14:paraId="47576CC6" w14:textId="7FF4C762" w:rsidR="00E34CA5" w:rsidRPr="004F6EB2" w:rsidRDefault="00E34CA5" w:rsidP="0073143D">
      <w:pPr>
        <w:spacing w:line="276" w:lineRule="auto"/>
        <w:ind w:right="531"/>
        <w:jc w:val="both"/>
        <w:rPr>
          <w:rFonts w:asciiTheme="minorHAnsi" w:hAnsiTheme="minorHAnsi" w:cstheme="minorHAnsi"/>
          <w:sz w:val="28"/>
          <w:szCs w:val="28"/>
        </w:rPr>
      </w:pPr>
    </w:p>
    <w:p w14:paraId="6C920A89" w14:textId="77777777" w:rsidR="00E34CA5" w:rsidRPr="004F6EB2" w:rsidRDefault="00E34CA5" w:rsidP="0073143D">
      <w:pPr>
        <w:spacing w:line="276" w:lineRule="auto"/>
        <w:ind w:right="531"/>
        <w:jc w:val="both"/>
        <w:rPr>
          <w:rFonts w:asciiTheme="minorHAnsi" w:hAnsiTheme="minorHAnsi" w:cstheme="minorHAnsi"/>
          <w:sz w:val="28"/>
          <w:szCs w:val="28"/>
        </w:rPr>
      </w:pPr>
    </w:p>
    <w:p w14:paraId="3445E488" w14:textId="39AB276D" w:rsidR="0056129A" w:rsidRPr="004F6EB2" w:rsidRDefault="0056129A" w:rsidP="0073143D">
      <w:pPr>
        <w:spacing w:line="276" w:lineRule="auto"/>
        <w:ind w:right="531"/>
        <w:jc w:val="both"/>
        <w:rPr>
          <w:rFonts w:asciiTheme="minorHAnsi" w:hAnsiTheme="minorHAnsi" w:cstheme="minorHAnsi"/>
          <w:sz w:val="28"/>
          <w:szCs w:val="28"/>
        </w:rPr>
      </w:pPr>
    </w:p>
    <w:p w14:paraId="76144B99" w14:textId="03A525F8" w:rsidR="00E34CA5" w:rsidRPr="004F6EB2" w:rsidRDefault="00E34CA5" w:rsidP="0073143D">
      <w:pPr>
        <w:spacing w:line="276" w:lineRule="auto"/>
        <w:ind w:right="531"/>
        <w:jc w:val="both"/>
        <w:rPr>
          <w:rFonts w:asciiTheme="minorHAnsi" w:hAnsiTheme="minorHAnsi" w:cstheme="minorHAnsi"/>
          <w:sz w:val="28"/>
          <w:szCs w:val="28"/>
        </w:rPr>
      </w:pPr>
    </w:p>
    <w:p w14:paraId="71AE5875" w14:textId="488477A4" w:rsidR="00E34CA5" w:rsidRPr="004F6EB2" w:rsidRDefault="00E34CA5" w:rsidP="0073143D">
      <w:pPr>
        <w:spacing w:line="276" w:lineRule="auto"/>
        <w:ind w:right="531"/>
        <w:jc w:val="both"/>
        <w:rPr>
          <w:rFonts w:asciiTheme="minorHAnsi" w:hAnsiTheme="minorHAnsi" w:cstheme="minorHAnsi"/>
          <w:sz w:val="28"/>
          <w:szCs w:val="28"/>
        </w:rPr>
      </w:pPr>
    </w:p>
    <w:p w14:paraId="1CEEA13A" w14:textId="09ABEEF6" w:rsidR="00E34CA5" w:rsidRPr="004F6EB2" w:rsidRDefault="00E34CA5" w:rsidP="0073143D">
      <w:pPr>
        <w:spacing w:line="276" w:lineRule="auto"/>
        <w:ind w:right="531"/>
        <w:jc w:val="both"/>
        <w:rPr>
          <w:rFonts w:asciiTheme="minorHAnsi" w:hAnsiTheme="minorHAnsi" w:cstheme="minorHAnsi"/>
          <w:sz w:val="28"/>
          <w:szCs w:val="28"/>
        </w:rPr>
      </w:pPr>
    </w:p>
    <w:p w14:paraId="23FB1262" w14:textId="71FD0A39" w:rsidR="00E34CA5" w:rsidRPr="004F6EB2" w:rsidRDefault="00E34CA5" w:rsidP="0073143D">
      <w:pPr>
        <w:spacing w:line="276" w:lineRule="auto"/>
        <w:ind w:right="531"/>
        <w:jc w:val="both"/>
        <w:rPr>
          <w:rFonts w:asciiTheme="minorHAnsi" w:hAnsiTheme="minorHAnsi" w:cstheme="minorHAnsi"/>
          <w:sz w:val="28"/>
          <w:szCs w:val="28"/>
        </w:rPr>
      </w:pPr>
    </w:p>
    <w:p w14:paraId="137E17A2" w14:textId="675D5D1E" w:rsidR="00E34CA5" w:rsidRPr="004F6EB2" w:rsidRDefault="00E34CA5" w:rsidP="0073143D">
      <w:pPr>
        <w:spacing w:line="276" w:lineRule="auto"/>
        <w:ind w:right="531"/>
        <w:jc w:val="both"/>
        <w:rPr>
          <w:rFonts w:asciiTheme="minorHAnsi" w:hAnsiTheme="minorHAnsi" w:cstheme="minorHAnsi"/>
          <w:sz w:val="28"/>
          <w:szCs w:val="28"/>
        </w:rPr>
      </w:pPr>
    </w:p>
    <w:p w14:paraId="03CA3BBE" w14:textId="00629476" w:rsidR="00E34CA5" w:rsidRPr="004F6EB2" w:rsidRDefault="00E34CA5" w:rsidP="0073143D">
      <w:pPr>
        <w:spacing w:line="276" w:lineRule="auto"/>
        <w:ind w:right="531"/>
        <w:jc w:val="both"/>
        <w:rPr>
          <w:rFonts w:asciiTheme="minorHAnsi" w:hAnsiTheme="minorHAnsi" w:cstheme="minorHAnsi"/>
          <w:sz w:val="28"/>
          <w:szCs w:val="28"/>
        </w:rPr>
      </w:pPr>
    </w:p>
    <w:p w14:paraId="60E61B54" w14:textId="76B342A6" w:rsidR="00E34CA5" w:rsidRPr="004F6EB2" w:rsidRDefault="00E34CA5" w:rsidP="0073143D">
      <w:pPr>
        <w:spacing w:line="276" w:lineRule="auto"/>
        <w:ind w:right="531"/>
        <w:jc w:val="both"/>
        <w:rPr>
          <w:rFonts w:asciiTheme="minorHAnsi" w:hAnsiTheme="minorHAnsi" w:cstheme="minorHAnsi"/>
          <w:sz w:val="28"/>
          <w:szCs w:val="28"/>
        </w:rPr>
      </w:pPr>
    </w:p>
    <w:p w14:paraId="5610E06D" w14:textId="607E94D4" w:rsidR="00E34CA5" w:rsidRPr="004F6EB2" w:rsidRDefault="00E34CA5" w:rsidP="0073143D">
      <w:pPr>
        <w:spacing w:line="276" w:lineRule="auto"/>
        <w:ind w:right="531"/>
        <w:jc w:val="both"/>
        <w:rPr>
          <w:rFonts w:asciiTheme="minorHAnsi" w:hAnsiTheme="minorHAnsi" w:cstheme="minorHAnsi"/>
          <w:sz w:val="28"/>
          <w:szCs w:val="28"/>
        </w:rPr>
      </w:pPr>
    </w:p>
    <w:p w14:paraId="7320840C" w14:textId="4176A3F0" w:rsidR="00E34CA5" w:rsidRPr="004F6EB2" w:rsidRDefault="00E34CA5" w:rsidP="0073143D">
      <w:pPr>
        <w:spacing w:line="276" w:lineRule="auto"/>
        <w:ind w:right="531"/>
        <w:jc w:val="both"/>
        <w:rPr>
          <w:rFonts w:asciiTheme="minorHAnsi" w:hAnsiTheme="minorHAnsi" w:cstheme="minorHAnsi"/>
          <w:sz w:val="28"/>
          <w:szCs w:val="28"/>
        </w:rPr>
      </w:pPr>
    </w:p>
    <w:p w14:paraId="7F7C1775" w14:textId="569CEB93" w:rsidR="00E34CA5" w:rsidRPr="004F6EB2" w:rsidRDefault="00E34CA5" w:rsidP="0073143D">
      <w:pPr>
        <w:spacing w:line="276" w:lineRule="auto"/>
        <w:ind w:right="531"/>
        <w:jc w:val="both"/>
        <w:rPr>
          <w:rFonts w:asciiTheme="minorHAnsi" w:hAnsiTheme="minorHAnsi" w:cstheme="minorHAnsi"/>
          <w:sz w:val="28"/>
          <w:szCs w:val="28"/>
        </w:rPr>
      </w:pPr>
    </w:p>
    <w:p w14:paraId="5D063AD8" w14:textId="530C6582" w:rsidR="00E34CA5" w:rsidRPr="004F6EB2" w:rsidRDefault="00E34CA5" w:rsidP="0073143D">
      <w:pPr>
        <w:spacing w:line="276" w:lineRule="auto"/>
        <w:ind w:right="531"/>
        <w:jc w:val="both"/>
        <w:rPr>
          <w:rFonts w:asciiTheme="minorHAnsi" w:hAnsiTheme="minorHAnsi" w:cstheme="minorHAnsi"/>
          <w:sz w:val="28"/>
          <w:szCs w:val="28"/>
        </w:rPr>
      </w:pPr>
    </w:p>
    <w:p w14:paraId="1D9EFB6E" w14:textId="560CB1DC" w:rsidR="00E34CA5" w:rsidRDefault="00E34CA5" w:rsidP="0073143D">
      <w:pPr>
        <w:spacing w:line="276" w:lineRule="auto"/>
        <w:ind w:right="531"/>
        <w:jc w:val="both"/>
        <w:rPr>
          <w:rFonts w:asciiTheme="minorHAnsi" w:hAnsiTheme="minorHAnsi" w:cstheme="minorHAnsi"/>
          <w:sz w:val="28"/>
          <w:szCs w:val="28"/>
        </w:rPr>
      </w:pPr>
    </w:p>
    <w:p w14:paraId="401028CD" w14:textId="46FA1F2F" w:rsidR="004F6EB2" w:rsidRDefault="004F6EB2" w:rsidP="0073143D">
      <w:pPr>
        <w:spacing w:line="276" w:lineRule="auto"/>
        <w:ind w:right="531"/>
        <w:jc w:val="both"/>
        <w:rPr>
          <w:rFonts w:asciiTheme="minorHAnsi" w:hAnsiTheme="minorHAnsi" w:cstheme="minorHAnsi"/>
          <w:sz w:val="28"/>
          <w:szCs w:val="28"/>
        </w:rPr>
      </w:pPr>
    </w:p>
    <w:p w14:paraId="048B1855" w14:textId="67312894" w:rsidR="004F6EB2" w:rsidRDefault="004F6EB2" w:rsidP="0073143D">
      <w:pPr>
        <w:spacing w:line="276" w:lineRule="auto"/>
        <w:ind w:right="531"/>
        <w:jc w:val="both"/>
        <w:rPr>
          <w:rFonts w:asciiTheme="minorHAnsi" w:hAnsiTheme="minorHAnsi" w:cstheme="minorHAnsi"/>
          <w:sz w:val="28"/>
          <w:szCs w:val="28"/>
        </w:rPr>
      </w:pPr>
    </w:p>
    <w:p w14:paraId="63EE9C57" w14:textId="53F0A8FF" w:rsidR="004F6EB2" w:rsidRDefault="004F6EB2" w:rsidP="0073143D">
      <w:pPr>
        <w:spacing w:line="276" w:lineRule="auto"/>
        <w:ind w:right="531"/>
        <w:jc w:val="both"/>
        <w:rPr>
          <w:rFonts w:asciiTheme="minorHAnsi" w:hAnsiTheme="minorHAnsi" w:cstheme="minorHAnsi"/>
          <w:sz w:val="28"/>
          <w:szCs w:val="28"/>
        </w:rPr>
      </w:pPr>
    </w:p>
    <w:p w14:paraId="52900DFC" w14:textId="7B756418" w:rsidR="004F6EB2" w:rsidRDefault="004F6EB2" w:rsidP="0073143D">
      <w:pPr>
        <w:spacing w:line="276" w:lineRule="auto"/>
        <w:ind w:right="531"/>
        <w:jc w:val="both"/>
        <w:rPr>
          <w:rFonts w:asciiTheme="minorHAnsi" w:hAnsiTheme="minorHAnsi" w:cstheme="minorHAnsi"/>
          <w:sz w:val="28"/>
          <w:szCs w:val="28"/>
        </w:rPr>
      </w:pPr>
    </w:p>
    <w:p w14:paraId="618DEDF8" w14:textId="77777777" w:rsidR="004F6EB2" w:rsidRPr="004F6EB2" w:rsidRDefault="004F6EB2" w:rsidP="0073143D">
      <w:pPr>
        <w:spacing w:line="276" w:lineRule="auto"/>
        <w:ind w:right="531"/>
        <w:jc w:val="both"/>
        <w:rPr>
          <w:rFonts w:asciiTheme="minorHAnsi" w:hAnsiTheme="minorHAnsi" w:cstheme="minorHAnsi"/>
          <w:sz w:val="28"/>
          <w:szCs w:val="28"/>
        </w:rPr>
      </w:pPr>
    </w:p>
    <w:p w14:paraId="35E72A2E" w14:textId="77777777" w:rsidR="00E34CA5" w:rsidRPr="004F6EB2" w:rsidRDefault="00E34CA5" w:rsidP="0073143D">
      <w:pPr>
        <w:spacing w:line="276" w:lineRule="auto"/>
        <w:ind w:right="531"/>
        <w:jc w:val="both"/>
        <w:rPr>
          <w:rFonts w:asciiTheme="minorHAnsi" w:hAnsiTheme="minorHAnsi" w:cstheme="minorHAnsi"/>
          <w:sz w:val="28"/>
          <w:szCs w:val="28"/>
        </w:rPr>
      </w:pPr>
    </w:p>
    <w:p w14:paraId="3502F37C" w14:textId="1D59F1F4" w:rsidR="009E1D83" w:rsidRPr="004F6EB2" w:rsidRDefault="000571EE" w:rsidP="0073143D">
      <w:pPr>
        <w:spacing w:line="276" w:lineRule="auto"/>
        <w:ind w:right="531"/>
        <w:jc w:val="both"/>
        <w:rPr>
          <w:rFonts w:asciiTheme="minorHAnsi" w:eastAsia="Calibri" w:hAnsiTheme="minorHAnsi" w:cstheme="minorHAnsi"/>
          <w:b/>
          <w:bCs/>
          <w:sz w:val="28"/>
          <w:szCs w:val="28"/>
        </w:rPr>
      </w:pPr>
      <w:r w:rsidRPr="004F6EB2">
        <w:rPr>
          <w:rFonts w:asciiTheme="minorHAnsi" w:eastAsia="Calibri" w:hAnsiTheme="minorHAnsi" w:cstheme="minorHAnsi"/>
          <w:b/>
          <w:bCs/>
          <w:sz w:val="28"/>
          <w:szCs w:val="28"/>
        </w:rPr>
        <w:lastRenderedPageBreak/>
        <w:t>To</w:t>
      </w:r>
      <w:r w:rsidR="009E1D83" w:rsidRPr="004F6EB2">
        <w:rPr>
          <w:rFonts w:asciiTheme="minorHAnsi" w:eastAsia="Calibri" w:hAnsiTheme="minorHAnsi" w:cstheme="minorHAnsi"/>
          <w:b/>
          <w:bCs/>
          <w:sz w:val="28"/>
          <w:szCs w:val="28"/>
        </w:rPr>
        <w:t xml:space="preserve"> what extent do police have a role in creating and maintaining community cohesion? Your answer must be based on academic research. </w:t>
      </w:r>
    </w:p>
    <w:p w14:paraId="60D076F2" w14:textId="38700233" w:rsidR="0056129A" w:rsidRPr="004F6EB2" w:rsidRDefault="0056129A" w:rsidP="0073143D">
      <w:pPr>
        <w:spacing w:line="276" w:lineRule="auto"/>
        <w:ind w:right="531"/>
        <w:jc w:val="both"/>
        <w:rPr>
          <w:rFonts w:asciiTheme="minorHAnsi" w:hAnsiTheme="minorHAnsi" w:cstheme="minorHAnsi"/>
          <w:sz w:val="28"/>
          <w:szCs w:val="28"/>
        </w:rPr>
      </w:pPr>
    </w:p>
    <w:p w14:paraId="3C1121AA" w14:textId="78454701" w:rsidR="0056129A" w:rsidRPr="004F6EB2" w:rsidRDefault="0056129A" w:rsidP="0073143D">
      <w:pPr>
        <w:spacing w:line="276" w:lineRule="auto"/>
        <w:ind w:right="531"/>
        <w:jc w:val="both"/>
        <w:rPr>
          <w:rFonts w:asciiTheme="minorHAnsi" w:hAnsiTheme="minorHAnsi" w:cstheme="minorHAnsi"/>
          <w:sz w:val="28"/>
          <w:szCs w:val="28"/>
        </w:rPr>
      </w:pPr>
    </w:p>
    <w:p w14:paraId="214A78F6" w14:textId="64B5F5C4" w:rsidR="009C078F" w:rsidRPr="004F6EB2" w:rsidRDefault="009C078F" w:rsidP="0073143D">
      <w:pPr>
        <w:spacing w:line="276" w:lineRule="auto"/>
        <w:jc w:val="both"/>
        <w:rPr>
          <w:rFonts w:asciiTheme="minorHAnsi" w:hAnsiTheme="minorHAnsi" w:cstheme="minorHAnsi"/>
          <w:sz w:val="28"/>
          <w:szCs w:val="28"/>
        </w:rPr>
      </w:pPr>
      <w:r w:rsidRPr="004F6EB2">
        <w:rPr>
          <w:rFonts w:asciiTheme="minorHAnsi" w:hAnsiTheme="minorHAnsi" w:cstheme="minorHAnsi"/>
          <w:sz w:val="28"/>
          <w:szCs w:val="28"/>
        </w:rPr>
        <w:t xml:space="preserve">This essay will evaluate the role of the police towards instilling and preserving social solidarity amongst its communities. </w:t>
      </w:r>
    </w:p>
    <w:p w14:paraId="33A25B03" w14:textId="77777777" w:rsidR="009C078F" w:rsidRPr="004F6EB2" w:rsidRDefault="009C078F" w:rsidP="0073143D">
      <w:pPr>
        <w:spacing w:line="276" w:lineRule="auto"/>
        <w:jc w:val="both"/>
        <w:rPr>
          <w:rFonts w:asciiTheme="minorHAnsi" w:hAnsiTheme="minorHAnsi" w:cstheme="minorHAnsi"/>
          <w:sz w:val="28"/>
          <w:szCs w:val="28"/>
        </w:rPr>
      </w:pPr>
    </w:p>
    <w:p w14:paraId="410F361B" w14:textId="67C68D92" w:rsidR="009C078F" w:rsidRPr="004F6EB2" w:rsidRDefault="009C078F" w:rsidP="0073143D">
      <w:pPr>
        <w:spacing w:line="276" w:lineRule="auto"/>
        <w:ind w:firstLine="720"/>
        <w:jc w:val="both"/>
        <w:rPr>
          <w:rFonts w:asciiTheme="minorHAnsi" w:hAnsiTheme="minorHAnsi" w:cstheme="minorHAnsi"/>
          <w:sz w:val="28"/>
          <w:szCs w:val="28"/>
        </w:rPr>
      </w:pPr>
      <w:r w:rsidRPr="004F6EB2">
        <w:rPr>
          <w:rFonts w:asciiTheme="minorHAnsi" w:hAnsiTheme="minorHAnsi" w:cstheme="minorHAnsi"/>
          <w:sz w:val="28"/>
          <w:szCs w:val="28"/>
        </w:rPr>
        <w:t xml:space="preserve">Having been borne out of Sir Robert Peel’s ideals in 1829, policing in England and Wales defined itself upon being a service </w:t>
      </w:r>
      <w:r w:rsidRPr="004F6EB2">
        <w:rPr>
          <w:rFonts w:asciiTheme="minorHAnsi" w:hAnsiTheme="minorHAnsi" w:cstheme="minorHAnsi"/>
          <w:i/>
          <w:iCs/>
          <w:sz w:val="28"/>
          <w:szCs w:val="28"/>
        </w:rPr>
        <w:t>to the public, by the public</w:t>
      </w:r>
      <w:r w:rsidRPr="004F6EB2">
        <w:rPr>
          <w:rFonts w:asciiTheme="minorHAnsi" w:hAnsiTheme="minorHAnsi" w:cstheme="minorHAnsi"/>
          <w:sz w:val="28"/>
          <w:szCs w:val="28"/>
        </w:rPr>
        <w:t xml:space="preserve">. The historic adage goes, “the police are the public and the public are the police” strikes, therefore, that the idea of the ‘community’ is kept safe by those within it – creating a social contract, a dyad, where it is incumbent upon the community to deter crime and preserve safety (Home Office, 2012). </w:t>
      </w:r>
    </w:p>
    <w:p w14:paraId="47320350" w14:textId="77777777" w:rsidR="009C078F" w:rsidRPr="004F6EB2" w:rsidRDefault="009C078F" w:rsidP="0073143D">
      <w:pPr>
        <w:spacing w:line="276" w:lineRule="auto"/>
        <w:ind w:firstLine="720"/>
        <w:jc w:val="both"/>
        <w:rPr>
          <w:rFonts w:asciiTheme="minorHAnsi" w:hAnsiTheme="minorHAnsi" w:cstheme="minorHAnsi"/>
          <w:sz w:val="28"/>
          <w:szCs w:val="28"/>
        </w:rPr>
      </w:pPr>
    </w:p>
    <w:p w14:paraId="7F9B813F" w14:textId="687CE7DD" w:rsidR="009C078F" w:rsidRPr="004F6EB2" w:rsidRDefault="009C078F" w:rsidP="0073143D">
      <w:pPr>
        <w:spacing w:line="276" w:lineRule="auto"/>
        <w:ind w:firstLine="720"/>
        <w:jc w:val="both"/>
        <w:rPr>
          <w:rFonts w:asciiTheme="minorHAnsi" w:hAnsiTheme="minorHAnsi" w:cstheme="minorHAnsi"/>
          <w:sz w:val="28"/>
          <w:szCs w:val="28"/>
        </w:rPr>
      </w:pPr>
      <w:r w:rsidRPr="004F6EB2">
        <w:rPr>
          <w:rFonts w:asciiTheme="minorHAnsi" w:hAnsiTheme="minorHAnsi" w:cstheme="minorHAnsi"/>
          <w:sz w:val="28"/>
          <w:szCs w:val="28"/>
        </w:rPr>
        <w:t xml:space="preserve">This tradition has come in many forms in the last 194 years, but policing has always aimed to quash social disorder and forge community cohesion. From beat policing to the creation of Neighbourhood Policing Teams (NPT), and Police Community Support Officers (PCSO), positive interactions between the public and the police are vital. This relationship between the public and the police in England and Wales remains “unique”, as learned police historian Charles </w:t>
      </w:r>
      <w:proofErr w:type="spellStart"/>
      <w:r w:rsidRPr="004F6EB2">
        <w:rPr>
          <w:rFonts w:asciiTheme="minorHAnsi" w:hAnsiTheme="minorHAnsi" w:cstheme="minorHAnsi"/>
          <w:sz w:val="28"/>
          <w:szCs w:val="28"/>
        </w:rPr>
        <w:t>Raith</w:t>
      </w:r>
      <w:proofErr w:type="spellEnd"/>
      <w:r w:rsidRPr="004F6EB2">
        <w:rPr>
          <w:rFonts w:asciiTheme="minorHAnsi" w:hAnsiTheme="minorHAnsi" w:cstheme="minorHAnsi"/>
          <w:sz w:val="28"/>
          <w:szCs w:val="28"/>
        </w:rPr>
        <w:t xml:space="preserve"> posited in 1956:</w:t>
      </w:r>
    </w:p>
    <w:p w14:paraId="1AD7E706" w14:textId="77777777" w:rsidR="009C078F" w:rsidRPr="004F6EB2" w:rsidRDefault="009C078F" w:rsidP="0073143D">
      <w:pPr>
        <w:spacing w:line="276" w:lineRule="auto"/>
        <w:ind w:firstLine="720"/>
        <w:jc w:val="both"/>
        <w:rPr>
          <w:rFonts w:asciiTheme="minorHAnsi" w:hAnsiTheme="minorHAnsi" w:cstheme="minorHAnsi"/>
          <w:sz w:val="28"/>
          <w:szCs w:val="28"/>
        </w:rPr>
      </w:pPr>
    </w:p>
    <w:p w14:paraId="0BBA4D1E" w14:textId="77777777" w:rsidR="009C078F" w:rsidRPr="004F6EB2" w:rsidRDefault="009C078F" w:rsidP="0073143D">
      <w:pPr>
        <w:spacing w:line="276" w:lineRule="auto"/>
        <w:ind w:left="567" w:right="567"/>
        <w:jc w:val="both"/>
        <w:rPr>
          <w:rFonts w:asciiTheme="minorHAnsi" w:hAnsiTheme="minorHAnsi" w:cstheme="minorHAnsi"/>
          <w:sz w:val="24"/>
          <w:szCs w:val="24"/>
        </w:rPr>
      </w:pPr>
      <w:r w:rsidRPr="004F6EB2">
        <w:rPr>
          <w:rFonts w:asciiTheme="minorHAnsi" w:hAnsiTheme="minorHAnsi" w:cstheme="minorHAnsi"/>
          <w:sz w:val="24"/>
          <w:szCs w:val="24"/>
        </w:rPr>
        <w:t>“</w:t>
      </w:r>
      <w:proofErr w:type="gramStart"/>
      <w:r w:rsidRPr="004F6EB2">
        <w:rPr>
          <w:rFonts w:asciiTheme="minorHAnsi" w:hAnsiTheme="minorHAnsi" w:cstheme="minorHAnsi"/>
          <w:color w:val="0B0C0C"/>
          <w:sz w:val="24"/>
          <w:szCs w:val="24"/>
          <w:shd w:val="clear" w:color="auto" w:fill="FFFFFF"/>
        </w:rPr>
        <w:t>because</w:t>
      </w:r>
      <w:proofErr w:type="gramEnd"/>
      <w:r w:rsidRPr="004F6EB2">
        <w:rPr>
          <w:rFonts w:asciiTheme="minorHAnsi" w:hAnsiTheme="minorHAnsi" w:cstheme="minorHAnsi"/>
          <w:color w:val="0B0C0C"/>
          <w:sz w:val="24"/>
          <w:szCs w:val="24"/>
          <w:shd w:val="clear" w:color="auto" w:fill="FFFFFF"/>
        </w:rPr>
        <w:t xml:space="preserve"> it derived not from fear but almost exclusively from public co-operation with the police, induced by them designedly by behaviour which secures and maintains for them the approval, respect and affection of the public” (</w:t>
      </w:r>
      <w:proofErr w:type="spellStart"/>
      <w:r w:rsidRPr="004F6EB2">
        <w:rPr>
          <w:rFonts w:asciiTheme="minorHAnsi" w:hAnsiTheme="minorHAnsi" w:cstheme="minorHAnsi"/>
          <w:color w:val="0B0C0C"/>
          <w:sz w:val="24"/>
          <w:szCs w:val="24"/>
          <w:shd w:val="clear" w:color="auto" w:fill="FFFFFF"/>
        </w:rPr>
        <w:t>Raith</w:t>
      </w:r>
      <w:proofErr w:type="spellEnd"/>
      <w:r w:rsidRPr="004F6EB2">
        <w:rPr>
          <w:rFonts w:asciiTheme="minorHAnsi" w:hAnsiTheme="minorHAnsi" w:cstheme="minorHAnsi"/>
          <w:color w:val="0B0C0C"/>
          <w:sz w:val="24"/>
          <w:szCs w:val="24"/>
          <w:shd w:val="clear" w:color="auto" w:fill="FFFFFF"/>
        </w:rPr>
        <w:t>, 1956).</w:t>
      </w:r>
    </w:p>
    <w:p w14:paraId="052D3BDD" w14:textId="77777777" w:rsidR="009C078F" w:rsidRPr="004F6EB2" w:rsidRDefault="009C078F" w:rsidP="0073143D">
      <w:pPr>
        <w:spacing w:line="276" w:lineRule="auto"/>
        <w:jc w:val="both"/>
        <w:rPr>
          <w:rFonts w:asciiTheme="minorHAnsi" w:hAnsiTheme="minorHAnsi" w:cstheme="minorHAnsi"/>
          <w:sz w:val="28"/>
          <w:szCs w:val="28"/>
        </w:rPr>
      </w:pPr>
    </w:p>
    <w:p w14:paraId="335E3719" w14:textId="7DAECAB3" w:rsidR="009C078F" w:rsidRPr="004F6EB2" w:rsidRDefault="009C078F" w:rsidP="00720053">
      <w:pPr>
        <w:spacing w:line="276" w:lineRule="auto"/>
        <w:ind w:firstLine="720"/>
        <w:jc w:val="both"/>
        <w:rPr>
          <w:rFonts w:asciiTheme="minorHAnsi" w:hAnsiTheme="minorHAnsi" w:cstheme="minorHAnsi"/>
          <w:sz w:val="28"/>
          <w:szCs w:val="28"/>
        </w:rPr>
      </w:pPr>
      <w:r w:rsidRPr="004F6EB2">
        <w:rPr>
          <w:rFonts w:asciiTheme="minorHAnsi" w:hAnsiTheme="minorHAnsi" w:cstheme="minorHAnsi"/>
          <w:sz w:val="28"/>
          <w:szCs w:val="28"/>
        </w:rPr>
        <w:t>Key to maintaining cohesion has been responding effectively to incidents and crimes that impact the community most. These are known as ‘signal crimes’, which are crimes and disorder such as anti-social behaviour, drunkenness and drugs, theft, and criminal damage to property (</w:t>
      </w:r>
      <w:proofErr w:type="spellStart"/>
      <w:r w:rsidRPr="004F6EB2">
        <w:rPr>
          <w:rFonts w:asciiTheme="minorHAnsi" w:hAnsiTheme="minorHAnsi" w:cstheme="minorHAnsi"/>
          <w:sz w:val="28"/>
          <w:szCs w:val="28"/>
        </w:rPr>
        <w:t>Myhill</w:t>
      </w:r>
      <w:proofErr w:type="spellEnd"/>
      <w:r w:rsidRPr="004F6EB2">
        <w:rPr>
          <w:rFonts w:asciiTheme="minorHAnsi" w:hAnsiTheme="minorHAnsi" w:cstheme="minorHAnsi"/>
          <w:sz w:val="28"/>
          <w:szCs w:val="28"/>
        </w:rPr>
        <w:t xml:space="preserve">, 2012). In successfully </w:t>
      </w:r>
      <w:r w:rsidR="00CE4515" w:rsidRPr="004F6EB2">
        <w:rPr>
          <w:rFonts w:asciiTheme="minorHAnsi" w:hAnsiTheme="minorHAnsi" w:cstheme="minorHAnsi"/>
          <w:sz w:val="28"/>
          <w:szCs w:val="28"/>
        </w:rPr>
        <w:t>tackling these</w:t>
      </w:r>
      <w:r w:rsidRPr="004F6EB2">
        <w:rPr>
          <w:rFonts w:asciiTheme="minorHAnsi" w:hAnsiTheme="minorHAnsi" w:cstheme="minorHAnsi"/>
          <w:sz w:val="28"/>
          <w:szCs w:val="28"/>
        </w:rPr>
        <w:t xml:space="preserve"> incidents, those which effect community members’ view of crime due to their personal or distressing nature, public trust in the police can be earned and fear of crime lowered (Lowe, 2012; Crowl 2017). </w:t>
      </w:r>
    </w:p>
    <w:p w14:paraId="33493E67" w14:textId="77777777" w:rsidR="009C078F" w:rsidRPr="004F6EB2" w:rsidRDefault="009C078F" w:rsidP="0073143D">
      <w:pPr>
        <w:spacing w:line="276" w:lineRule="auto"/>
        <w:jc w:val="both"/>
        <w:rPr>
          <w:rFonts w:asciiTheme="minorHAnsi" w:hAnsiTheme="minorHAnsi" w:cstheme="minorHAnsi"/>
          <w:sz w:val="28"/>
          <w:szCs w:val="28"/>
        </w:rPr>
      </w:pPr>
    </w:p>
    <w:p w14:paraId="40747B32" w14:textId="63A17950" w:rsidR="009C078F" w:rsidRPr="004F6EB2" w:rsidRDefault="009C078F" w:rsidP="0073143D">
      <w:pPr>
        <w:spacing w:line="276" w:lineRule="auto"/>
        <w:ind w:firstLine="720"/>
        <w:jc w:val="both"/>
        <w:rPr>
          <w:rFonts w:asciiTheme="minorHAnsi" w:hAnsiTheme="minorHAnsi" w:cstheme="minorHAnsi"/>
          <w:sz w:val="28"/>
          <w:szCs w:val="28"/>
        </w:rPr>
      </w:pPr>
      <w:r w:rsidRPr="004F6EB2">
        <w:rPr>
          <w:rFonts w:asciiTheme="minorHAnsi" w:hAnsiTheme="minorHAnsi" w:cstheme="minorHAnsi"/>
          <w:sz w:val="28"/>
          <w:szCs w:val="28"/>
        </w:rPr>
        <w:lastRenderedPageBreak/>
        <w:t xml:space="preserve">While this </w:t>
      </w:r>
      <w:r w:rsidR="00E07BE1" w:rsidRPr="004F6EB2">
        <w:rPr>
          <w:rFonts w:asciiTheme="minorHAnsi" w:hAnsiTheme="minorHAnsi" w:cstheme="minorHAnsi"/>
          <w:sz w:val="28"/>
          <w:szCs w:val="28"/>
        </w:rPr>
        <w:t>relies</w:t>
      </w:r>
      <w:r w:rsidRPr="004F6EB2">
        <w:rPr>
          <w:rFonts w:asciiTheme="minorHAnsi" w:hAnsiTheme="minorHAnsi" w:cstheme="minorHAnsi"/>
          <w:sz w:val="28"/>
          <w:szCs w:val="28"/>
        </w:rPr>
        <w:t xml:space="preserve"> on the effectiveness of police responses to crimes in the first place, a long-lasting relationship between the police and the public can also come from interactions between the two (Merenda, 2021). A continued friendly, empathetic, and equitable approach to the community is vital, because </w:t>
      </w:r>
      <w:r w:rsidR="00246574">
        <w:rPr>
          <w:rFonts w:asciiTheme="minorHAnsi" w:hAnsiTheme="minorHAnsi" w:cstheme="minorHAnsi"/>
          <w:sz w:val="28"/>
          <w:szCs w:val="28"/>
        </w:rPr>
        <w:t xml:space="preserve">the </w:t>
      </w:r>
      <w:r w:rsidRPr="004F6EB2">
        <w:rPr>
          <w:rFonts w:asciiTheme="minorHAnsi" w:hAnsiTheme="minorHAnsi" w:cstheme="minorHAnsi"/>
          <w:sz w:val="28"/>
          <w:szCs w:val="28"/>
        </w:rPr>
        <w:t xml:space="preserve">public feel they </w:t>
      </w:r>
      <w:r w:rsidR="00543CC4" w:rsidRPr="004F6EB2">
        <w:rPr>
          <w:rFonts w:asciiTheme="minorHAnsi" w:hAnsiTheme="minorHAnsi" w:cstheme="minorHAnsi"/>
          <w:sz w:val="28"/>
          <w:szCs w:val="28"/>
        </w:rPr>
        <w:t>can</w:t>
      </w:r>
      <w:r w:rsidRPr="004F6EB2">
        <w:rPr>
          <w:rFonts w:asciiTheme="minorHAnsi" w:hAnsiTheme="minorHAnsi" w:cstheme="minorHAnsi"/>
          <w:sz w:val="28"/>
          <w:szCs w:val="28"/>
        </w:rPr>
        <w:t xml:space="preserve"> come forward and provide police with </w:t>
      </w:r>
      <w:r w:rsidR="00454494" w:rsidRPr="004F6EB2">
        <w:rPr>
          <w:rFonts w:asciiTheme="minorHAnsi" w:hAnsiTheme="minorHAnsi" w:cstheme="minorHAnsi"/>
          <w:sz w:val="28"/>
          <w:szCs w:val="28"/>
        </w:rPr>
        <w:t>valuable information</w:t>
      </w:r>
      <w:r w:rsidRPr="004F6EB2">
        <w:rPr>
          <w:rFonts w:asciiTheme="minorHAnsi" w:hAnsiTheme="minorHAnsi" w:cstheme="minorHAnsi"/>
          <w:sz w:val="28"/>
          <w:szCs w:val="28"/>
        </w:rPr>
        <w:t xml:space="preserve"> and intelligence on crime within the community (Lowe, 2012). </w:t>
      </w:r>
    </w:p>
    <w:p w14:paraId="407528E8" w14:textId="77777777" w:rsidR="009C078F" w:rsidRPr="004F6EB2" w:rsidRDefault="009C078F" w:rsidP="0073143D">
      <w:pPr>
        <w:spacing w:line="276" w:lineRule="auto"/>
        <w:ind w:firstLine="720"/>
        <w:jc w:val="both"/>
        <w:rPr>
          <w:rFonts w:asciiTheme="minorHAnsi" w:hAnsiTheme="minorHAnsi" w:cstheme="minorHAnsi"/>
          <w:sz w:val="28"/>
          <w:szCs w:val="28"/>
        </w:rPr>
      </w:pPr>
    </w:p>
    <w:p w14:paraId="4FA70115" w14:textId="69AF2DE9" w:rsidR="009C078F" w:rsidRPr="004F6EB2" w:rsidRDefault="009C078F" w:rsidP="0073143D">
      <w:pPr>
        <w:spacing w:line="276" w:lineRule="auto"/>
        <w:ind w:firstLine="720"/>
        <w:jc w:val="both"/>
        <w:rPr>
          <w:rFonts w:asciiTheme="minorHAnsi" w:hAnsiTheme="minorHAnsi" w:cstheme="minorHAnsi"/>
          <w:sz w:val="28"/>
          <w:szCs w:val="28"/>
        </w:rPr>
      </w:pPr>
      <w:r w:rsidRPr="004F6EB2">
        <w:rPr>
          <w:rFonts w:asciiTheme="minorHAnsi" w:hAnsiTheme="minorHAnsi" w:cstheme="minorHAnsi"/>
          <w:sz w:val="28"/>
          <w:szCs w:val="28"/>
        </w:rPr>
        <w:t xml:space="preserve">Lombardo (2018) argues that success within community policing offers a lens into informal social control where community’s self-police. This can be seen in the form of providing intelligence to the police and being more likely to report crimes. </w:t>
      </w:r>
    </w:p>
    <w:p w14:paraId="0081377D" w14:textId="77777777" w:rsidR="009C078F" w:rsidRPr="004F6EB2" w:rsidRDefault="009C078F" w:rsidP="0073143D">
      <w:pPr>
        <w:spacing w:line="276" w:lineRule="auto"/>
        <w:ind w:firstLine="720"/>
        <w:jc w:val="both"/>
        <w:rPr>
          <w:rFonts w:asciiTheme="minorHAnsi" w:hAnsiTheme="minorHAnsi" w:cstheme="minorHAnsi"/>
          <w:sz w:val="28"/>
          <w:szCs w:val="28"/>
        </w:rPr>
      </w:pPr>
    </w:p>
    <w:p w14:paraId="54E16D40" w14:textId="6F79D73F" w:rsidR="009C078F" w:rsidRPr="004F6EB2" w:rsidRDefault="009C078F" w:rsidP="0073143D">
      <w:pPr>
        <w:spacing w:line="276" w:lineRule="auto"/>
        <w:ind w:firstLine="720"/>
        <w:jc w:val="both"/>
        <w:rPr>
          <w:rFonts w:asciiTheme="minorHAnsi" w:hAnsiTheme="minorHAnsi" w:cstheme="minorHAnsi"/>
          <w:sz w:val="28"/>
          <w:szCs w:val="28"/>
        </w:rPr>
      </w:pPr>
      <w:r w:rsidRPr="004F6EB2">
        <w:rPr>
          <w:rFonts w:asciiTheme="minorHAnsi" w:hAnsiTheme="minorHAnsi" w:cstheme="minorHAnsi"/>
          <w:sz w:val="28"/>
          <w:szCs w:val="28"/>
        </w:rPr>
        <w:t>Seen more simply, the employment of policing models such as Problem Orientated Policing (Goldstein, 1979) and Intelligence Lead policing, have been able to work collectively to effectively target certain crime types in specific ‘hot spot’ areas</w:t>
      </w:r>
      <w:r w:rsidR="002749E8">
        <w:rPr>
          <w:rFonts w:asciiTheme="minorHAnsi" w:hAnsiTheme="minorHAnsi" w:cstheme="minorHAnsi"/>
          <w:sz w:val="28"/>
          <w:szCs w:val="28"/>
        </w:rPr>
        <w:t xml:space="preserve"> (Crank, 2012)</w:t>
      </w:r>
      <w:r w:rsidRPr="004F6EB2">
        <w:rPr>
          <w:rFonts w:asciiTheme="minorHAnsi" w:hAnsiTheme="minorHAnsi" w:cstheme="minorHAnsi"/>
          <w:sz w:val="28"/>
          <w:szCs w:val="28"/>
        </w:rPr>
        <w:t xml:space="preserve">. In doing so, police have been able to involve the public – both previous and potential future victims – into policing their community. </w:t>
      </w:r>
    </w:p>
    <w:p w14:paraId="67291C4B" w14:textId="77777777" w:rsidR="009C078F" w:rsidRPr="004F6EB2" w:rsidRDefault="009C078F" w:rsidP="0073143D">
      <w:pPr>
        <w:spacing w:line="276" w:lineRule="auto"/>
        <w:ind w:firstLine="720"/>
        <w:jc w:val="both"/>
        <w:rPr>
          <w:rFonts w:asciiTheme="minorHAnsi" w:hAnsiTheme="minorHAnsi" w:cstheme="minorHAnsi"/>
          <w:sz w:val="28"/>
          <w:szCs w:val="28"/>
        </w:rPr>
      </w:pPr>
    </w:p>
    <w:p w14:paraId="2F2F669A" w14:textId="7FCC4B03" w:rsidR="009C078F" w:rsidRPr="004F6EB2" w:rsidRDefault="009C078F" w:rsidP="0073143D">
      <w:pPr>
        <w:spacing w:line="276" w:lineRule="auto"/>
        <w:ind w:firstLine="720"/>
        <w:jc w:val="both"/>
        <w:rPr>
          <w:rFonts w:asciiTheme="minorHAnsi" w:hAnsiTheme="minorHAnsi" w:cstheme="minorHAnsi"/>
          <w:sz w:val="28"/>
          <w:szCs w:val="28"/>
        </w:rPr>
      </w:pPr>
      <w:r w:rsidRPr="004F6EB2">
        <w:rPr>
          <w:rFonts w:asciiTheme="minorHAnsi" w:hAnsiTheme="minorHAnsi" w:cstheme="minorHAnsi"/>
          <w:sz w:val="28"/>
          <w:szCs w:val="28"/>
        </w:rPr>
        <w:t xml:space="preserve">The increased ownership of community in self-policing and involvement in crime reduction, Durkheim argued, provided increased social solidarity, and therefore created community cohesion because shared moral values of a law-abiding majority, had been challenged by offenders and resolved by police (Durkheim, 1895). </w:t>
      </w:r>
    </w:p>
    <w:p w14:paraId="5B66A9C0" w14:textId="77777777" w:rsidR="00CF0D0A" w:rsidRPr="004F6EB2" w:rsidRDefault="00CF0D0A" w:rsidP="0073143D">
      <w:pPr>
        <w:spacing w:line="276" w:lineRule="auto"/>
        <w:ind w:firstLine="720"/>
        <w:jc w:val="both"/>
        <w:rPr>
          <w:rFonts w:asciiTheme="minorHAnsi" w:hAnsiTheme="minorHAnsi" w:cstheme="minorHAnsi"/>
          <w:sz w:val="28"/>
          <w:szCs w:val="28"/>
        </w:rPr>
      </w:pPr>
    </w:p>
    <w:p w14:paraId="487FF75D" w14:textId="03196861" w:rsidR="009C078F" w:rsidRPr="004F6EB2" w:rsidRDefault="009C078F" w:rsidP="0073143D">
      <w:pPr>
        <w:spacing w:line="276" w:lineRule="auto"/>
        <w:ind w:firstLine="720"/>
        <w:jc w:val="both"/>
        <w:rPr>
          <w:rFonts w:asciiTheme="minorHAnsi" w:hAnsiTheme="minorHAnsi" w:cstheme="minorHAnsi"/>
          <w:sz w:val="28"/>
          <w:szCs w:val="28"/>
        </w:rPr>
      </w:pPr>
      <w:r w:rsidRPr="004F6EB2">
        <w:rPr>
          <w:rFonts w:asciiTheme="minorHAnsi" w:hAnsiTheme="minorHAnsi" w:cstheme="minorHAnsi"/>
          <w:sz w:val="28"/>
          <w:szCs w:val="28"/>
        </w:rPr>
        <w:t>The</w:t>
      </w:r>
      <w:r w:rsidR="002766D5">
        <w:rPr>
          <w:rFonts w:asciiTheme="minorHAnsi" w:hAnsiTheme="minorHAnsi" w:cstheme="minorHAnsi"/>
          <w:sz w:val="28"/>
          <w:szCs w:val="28"/>
        </w:rPr>
        <w:t xml:space="preserve"> effectiveness</w:t>
      </w:r>
      <w:r w:rsidRPr="004F6EB2">
        <w:rPr>
          <w:rFonts w:asciiTheme="minorHAnsi" w:hAnsiTheme="minorHAnsi" w:cstheme="minorHAnsi"/>
          <w:sz w:val="28"/>
          <w:szCs w:val="28"/>
        </w:rPr>
        <w:t xml:space="preserve"> of policing in creating cohesion as outlined above rests on building and maintaining positive relationships between the public and the police. This premise further requires communities to respond positively towards police, so long as police visibility and response to public-voiced problems are responded to. </w:t>
      </w:r>
    </w:p>
    <w:p w14:paraId="6C7C8377" w14:textId="77777777" w:rsidR="00CF0D0A" w:rsidRPr="004F6EB2" w:rsidRDefault="00CF0D0A" w:rsidP="0073143D">
      <w:pPr>
        <w:spacing w:line="276" w:lineRule="auto"/>
        <w:ind w:firstLine="720"/>
        <w:jc w:val="both"/>
        <w:rPr>
          <w:rFonts w:asciiTheme="minorHAnsi" w:hAnsiTheme="minorHAnsi" w:cstheme="minorHAnsi"/>
          <w:sz w:val="28"/>
          <w:szCs w:val="28"/>
        </w:rPr>
      </w:pPr>
    </w:p>
    <w:p w14:paraId="70418752" w14:textId="77777777" w:rsidR="009C078F" w:rsidRPr="004F6EB2" w:rsidRDefault="009C078F" w:rsidP="0073143D">
      <w:pPr>
        <w:spacing w:line="276" w:lineRule="auto"/>
        <w:ind w:firstLine="720"/>
        <w:jc w:val="both"/>
        <w:rPr>
          <w:rFonts w:asciiTheme="minorHAnsi" w:hAnsiTheme="minorHAnsi" w:cstheme="minorHAnsi"/>
          <w:sz w:val="28"/>
          <w:szCs w:val="28"/>
        </w:rPr>
      </w:pPr>
      <w:r w:rsidRPr="004F6EB2">
        <w:rPr>
          <w:rFonts w:asciiTheme="minorHAnsi" w:hAnsiTheme="minorHAnsi" w:cstheme="minorHAnsi"/>
          <w:sz w:val="28"/>
          <w:szCs w:val="28"/>
        </w:rPr>
        <w:t xml:space="preserve">A central challenge to the polices’ role in community cohesion can be clearly seen by the actions and views of minorities within the community which hold the police in a negative light. </w:t>
      </w:r>
    </w:p>
    <w:p w14:paraId="1CF13B25" w14:textId="5F752C45" w:rsidR="009C078F" w:rsidRPr="004F6EB2" w:rsidRDefault="009C078F" w:rsidP="0073143D">
      <w:pPr>
        <w:spacing w:line="276" w:lineRule="auto"/>
        <w:ind w:firstLine="720"/>
        <w:jc w:val="both"/>
        <w:rPr>
          <w:rFonts w:asciiTheme="minorHAnsi" w:hAnsiTheme="minorHAnsi" w:cstheme="minorHAnsi"/>
          <w:sz w:val="28"/>
          <w:szCs w:val="28"/>
        </w:rPr>
      </w:pPr>
      <w:r w:rsidRPr="004F6EB2">
        <w:rPr>
          <w:rFonts w:asciiTheme="minorHAnsi" w:hAnsiTheme="minorHAnsi" w:cstheme="minorHAnsi"/>
          <w:sz w:val="28"/>
          <w:szCs w:val="28"/>
        </w:rPr>
        <w:lastRenderedPageBreak/>
        <w:t xml:space="preserve">Giwa (2018) posited that the police, alone, are insufficient in dealing with the complexities between them and minority persons who have historically and presently been oppressed by police services. </w:t>
      </w:r>
    </w:p>
    <w:p w14:paraId="2D3045B5" w14:textId="77777777" w:rsidR="009C078F" w:rsidRPr="004F6EB2" w:rsidRDefault="009C078F" w:rsidP="0073143D">
      <w:pPr>
        <w:spacing w:line="276" w:lineRule="auto"/>
        <w:ind w:firstLine="720"/>
        <w:jc w:val="both"/>
        <w:rPr>
          <w:rFonts w:asciiTheme="minorHAnsi" w:hAnsiTheme="minorHAnsi" w:cstheme="minorHAnsi"/>
          <w:sz w:val="28"/>
          <w:szCs w:val="28"/>
        </w:rPr>
      </w:pPr>
    </w:p>
    <w:p w14:paraId="6D76B2B6" w14:textId="1C21A0B6" w:rsidR="009C078F" w:rsidRPr="004F6EB2" w:rsidRDefault="009C078F" w:rsidP="0073143D">
      <w:pPr>
        <w:spacing w:line="276" w:lineRule="auto"/>
        <w:ind w:firstLine="720"/>
        <w:jc w:val="both"/>
        <w:rPr>
          <w:rFonts w:asciiTheme="minorHAnsi" w:hAnsiTheme="minorHAnsi" w:cstheme="minorHAnsi"/>
          <w:sz w:val="28"/>
          <w:szCs w:val="28"/>
        </w:rPr>
      </w:pPr>
      <w:r w:rsidRPr="004F6EB2">
        <w:rPr>
          <w:rFonts w:asciiTheme="minorHAnsi" w:hAnsiTheme="minorHAnsi" w:cstheme="minorHAnsi"/>
          <w:sz w:val="28"/>
          <w:szCs w:val="28"/>
        </w:rPr>
        <w:t xml:space="preserve">Indeed, it would be remiss to scantly address the extensive, worldwide anti-police actions and empowerment of the Black, Asian, and Minority Ethnic (BAME) communities and of women, in reaction to the Black Lives Matter demonstrations, as well as the response to the rape and death of Sarah Everard. Due to increased public opinion and evidence into institutional racism and sexism (Macpherson, 1999), as well as corruption and political criticism towards police leaders </w:t>
      </w:r>
      <w:r w:rsidR="004F6EB2">
        <w:rPr>
          <w:rFonts w:asciiTheme="minorHAnsi" w:hAnsiTheme="minorHAnsi" w:cstheme="minorHAnsi"/>
          <w:sz w:val="28"/>
          <w:szCs w:val="28"/>
        </w:rPr>
        <w:t>–</w:t>
      </w:r>
      <w:r w:rsidRPr="004F6EB2">
        <w:rPr>
          <w:rFonts w:asciiTheme="minorHAnsi" w:hAnsiTheme="minorHAnsi" w:cstheme="minorHAnsi"/>
          <w:sz w:val="28"/>
          <w:szCs w:val="28"/>
        </w:rPr>
        <w:t xml:space="preserve"> some have gone as far as suggesting the abolishment of policing entirely, as the view of the police service as a </w:t>
      </w:r>
      <w:r w:rsidRPr="004F6EB2">
        <w:rPr>
          <w:rFonts w:asciiTheme="minorHAnsi" w:hAnsiTheme="minorHAnsi" w:cstheme="minorHAnsi"/>
          <w:i/>
          <w:iCs/>
          <w:sz w:val="28"/>
          <w:szCs w:val="28"/>
        </w:rPr>
        <w:t>fit for purpose</w:t>
      </w:r>
      <w:r w:rsidRPr="004F6EB2">
        <w:rPr>
          <w:rFonts w:asciiTheme="minorHAnsi" w:hAnsiTheme="minorHAnsi" w:cstheme="minorHAnsi"/>
          <w:sz w:val="28"/>
          <w:szCs w:val="28"/>
        </w:rPr>
        <w:t xml:space="preserve"> institution has been strappingly criticised (College of Policing, 2021). </w:t>
      </w:r>
    </w:p>
    <w:p w14:paraId="49B0C751" w14:textId="77777777" w:rsidR="009C078F" w:rsidRPr="004F6EB2" w:rsidRDefault="009C078F" w:rsidP="0073143D">
      <w:pPr>
        <w:spacing w:line="276" w:lineRule="auto"/>
        <w:ind w:firstLine="720"/>
        <w:jc w:val="both"/>
        <w:rPr>
          <w:rFonts w:asciiTheme="minorHAnsi" w:hAnsiTheme="minorHAnsi" w:cstheme="minorHAnsi"/>
          <w:sz w:val="28"/>
          <w:szCs w:val="28"/>
        </w:rPr>
      </w:pPr>
    </w:p>
    <w:p w14:paraId="7DB2D9C3" w14:textId="44589C9B" w:rsidR="009C078F" w:rsidRPr="004F6EB2" w:rsidRDefault="00026CD9" w:rsidP="0073143D">
      <w:pPr>
        <w:spacing w:line="276" w:lineRule="auto"/>
        <w:ind w:firstLine="720"/>
        <w:jc w:val="both"/>
        <w:rPr>
          <w:rFonts w:asciiTheme="minorHAnsi" w:hAnsiTheme="minorHAnsi" w:cstheme="minorHAnsi"/>
          <w:sz w:val="28"/>
          <w:szCs w:val="28"/>
        </w:rPr>
      </w:pPr>
      <w:r>
        <w:rPr>
          <w:rFonts w:asciiTheme="minorHAnsi" w:hAnsiTheme="minorHAnsi" w:cstheme="minorHAnsi"/>
          <w:sz w:val="28"/>
          <w:szCs w:val="28"/>
        </w:rPr>
        <w:t>C</w:t>
      </w:r>
      <w:r w:rsidR="009C078F" w:rsidRPr="004F6EB2">
        <w:rPr>
          <w:rFonts w:asciiTheme="minorHAnsi" w:hAnsiTheme="minorHAnsi" w:cstheme="minorHAnsi"/>
          <w:sz w:val="28"/>
          <w:szCs w:val="28"/>
        </w:rPr>
        <w:t xml:space="preserve">omplexities outlined above offer a pivotal debacle: if community cohesion relies on the relationship between the public and the police, where reporting and identifying problems are central; how might the police integrate disillusioned and disaffected members of a community with heavily negative and politicised police opinions? </w:t>
      </w:r>
    </w:p>
    <w:p w14:paraId="7911B536" w14:textId="77777777" w:rsidR="009C078F" w:rsidRPr="004F6EB2" w:rsidRDefault="009C078F" w:rsidP="0073143D">
      <w:pPr>
        <w:spacing w:line="276" w:lineRule="auto"/>
        <w:ind w:firstLine="720"/>
        <w:jc w:val="both"/>
        <w:rPr>
          <w:rFonts w:asciiTheme="minorHAnsi" w:hAnsiTheme="minorHAnsi" w:cstheme="minorHAnsi"/>
          <w:sz w:val="28"/>
          <w:szCs w:val="28"/>
        </w:rPr>
      </w:pPr>
    </w:p>
    <w:p w14:paraId="5159128A" w14:textId="4CE45DD4" w:rsidR="009C078F" w:rsidRPr="004F6EB2" w:rsidRDefault="009C078F" w:rsidP="0073143D">
      <w:pPr>
        <w:spacing w:line="276" w:lineRule="auto"/>
        <w:ind w:firstLine="720"/>
        <w:jc w:val="both"/>
        <w:rPr>
          <w:rFonts w:asciiTheme="minorHAnsi" w:hAnsiTheme="minorHAnsi" w:cstheme="minorHAnsi"/>
          <w:sz w:val="28"/>
          <w:szCs w:val="28"/>
        </w:rPr>
      </w:pPr>
      <w:r w:rsidRPr="004F6EB2">
        <w:rPr>
          <w:rFonts w:asciiTheme="minorHAnsi" w:hAnsiTheme="minorHAnsi" w:cstheme="minorHAnsi"/>
          <w:sz w:val="28"/>
          <w:szCs w:val="28"/>
        </w:rPr>
        <w:t xml:space="preserve">While further contending that Conservative austerity and manipulation of police officer numbers has brought into question the police’s ability to respond to calls adequately and safely – let alone non-emergency community issues – </w:t>
      </w:r>
      <w:r w:rsidR="00E07BE1" w:rsidRPr="004F6EB2">
        <w:rPr>
          <w:rFonts w:asciiTheme="minorHAnsi" w:hAnsiTheme="minorHAnsi" w:cstheme="minorHAnsi"/>
          <w:sz w:val="28"/>
          <w:szCs w:val="28"/>
        </w:rPr>
        <w:t>the police</w:t>
      </w:r>
      <w:r w:rsidRPr="004F6EB2">
        <w:rPr>
          <w:rFonts w:asciiTheme="minorHAnsi" w:hAnsiTheme="minorHAnsi" w:cstheme="minorHAnsi"/>
          <w:sz w:val="28"/>
          <w:szCs w:val="28"/>
        </w:rPr>
        <w:t xml:space="preserve"> are unable to effectively assure community cohesion. </w:t>
      </w:r>
    </w:p>
    <w:p w14:paraId="00A6DEED" w14:textId="77777777" w:rsidR="009C078F" w:rsidRPr="004F6EB2" w:rsidRDefault="009C078F" w:rsidP="0073143D">
      <w:pPr>
        <w:spacing w:line="276" w:lineRule="auto"/>
        <w:ind w:firstLine="720"/>
        <w:jc w:val="both"/>
        <w:rPr>
          <w:rFonts w:asciiTheme="minorHAnsi" w:hAnsiTheme="minorHAnsi" w:cstheme="minorHAnsi"/>
          <w:sz w:val="28"/>
          <w:szCs w:val="28"/>
        </w:rPr>
      </w:pPr>
    </w:p>
    <w:p w14:paraId="612905FB" w14:textId="7B222884" w:rsidR="009C078F" w:rsidRPr="004F6EB2" w:rsidRDefault="009C078F" w:rsidP="0073143D">
      <w:pPr>
        <w:spacing w:line="276" w:lineRule="auto"/>
        <w:ind w:firstLine="720"/>
        <w:jc w:val="both"/>
        <w:rPr>
          <w:rFonts w:asciiTheme="minorHAnsi" w:hAnsiTheme="minorHAnsi" w:cstheme="minorHAnsi"/>
          <w:sz w:val="28"/>
          <w:szCs w:val="28"/>
        </w:rPr>
      </w:pPr>
      <w:r w:rsidRPr="004F6EB2">
        <w:rPr>
          <w:rFonts w:asciiTheme="minorHAnsi" w:hAnsiTheme="minorHAnsi" w:cstheme="minorHAnsi"/>
          <w:sz w:val="28"/>
          <w:szCs w:val="28"/>
        </w:rPr>
        <w:t>A way to resolve this predicament may be through collaboration with partners in socials services, BAWSO, and community religious groups to allow for an effective remedy towards community cohesion and relationship building</w:t>
      </w:r>
      <w:r w:rsidR="004362E6">
        <w:rPr>
          <w:rFonts w:asciiTheme="minorHAnsi" w:hAnsiTheme="minorHAnsi" w:cstheme="minorHAnsi"/>
          <w:sz w:val="28"/>
          <w:szCs w:val="28"/>
        </w:rPr>
        <w:t xml:space="preserve"> (</w:t>
      </w:r>
      <w:proofErr w:type="spellStart"/>
      <w:r w:rsidR="004362E6">
        <w:rPr>
          <w:rFonts w:asciiTheme="minorHAnsi" w:hAnsiTheme="minorHAnsi" w:cstheme="minorHAnsi"/>
          <w:sz w:val="28"/>
          <w:szCs w:val="28"/>
        </w:rPr>
        <w:t>GOV</w:t>
      </w:r>
      <w:r w:rsidR="00DE32EF">
        <w:rPr>
          <w:rFonts w:asciiTheme="minorHAnsi" w:hAnsiTheme="minorHAnsi" w:cstheme="minorHAnsi"/>
          <w:sz w:val="28"/>
          <w:szCs w:val="28"/>
        </w:rPr>
        <w:t>.</w:t>
      </w:r>
      <w:r w:rsidR="004362E6">
        <w:rPr>
          <w:rFonts w:asciiTheme="minorHAnsi" w:hAnsiTheme="minorHAnsi" w:cstheme="minorHAnsi"/>
          <w:sz w:val="28"/>
          <w:szCs w:val="28"/>
        </w:rPr>
        <w:t>Wales</w:t>
      </w:r>
      <w:proofErr w:type="spellEnd"/>
      <w:r w:rsidR="004362E6">
        <w:rPr>
          <w:rFonts w:asciiTheme="minorHAnsi" w:hAnsiTheme="minorHAnsi" w:cstheme="minorHAnsi"/>
          <w:sz w:val="28"/>
          <w:szCs w:val="28"/>
        </w:rPr>
        <w:t>, 2021</w:t>
      </w:r>
      <w:r w:rsidR="009879E4">
        <w:rPr>
          <w:rFonts w:asciiTheme="minorHAnsi" w:hAnsiTheme="minorHAnsi" w:cstheme="minorHAnsi"/>
          <w:sz w:val="28"/>
          <w:szCs w:val="28"/>
        </w:rPr>
        <w:t>; College of Policing, 2015</w:t>
      </w:r>
      <w:r w:rsidR="004362E6">
        <w:rPr>
          <w:rFonts w:asciiTheme="minorHAnsi" w:hAnsiTheme="minorHAnsi" w:cstheme="minorHAnsi"/>
          <w:sz w:val="28"/>
          <w:szCs w:val="28"/>
        </w:rPr>
        <w:t>)</w:t>
      </w:r>
      <w:r w:rsidRPr="004F6EB2">
        <w:rPr>
          <w:rFonts w:asciiTheme="minorHAnsi" w:hAnsiTheme="minorHAnsi" w:cstheme="minorHAnsi"/>
          <w:sz w:val="28"/>
          <w:szCs w:val="28"/>
        </w:rPr>
        <w:t xml:space="preserve">. </w:t>
      </w:r>
    </w:p>
    <w:p w14:paraId="40DA45B9" w14:textId="77777777" w:rsidR="009C078F" w:rsidRPr="004F6EB2" w:rsidRDefault="009C078F" w:rsidP="0073143D">
      <w:pPr>
        <w:spacing w:line="276" w:lineRule="auto"/>
        <w:ind w:firstLine="720"/>
        <w:jc w:val="both"/>
        <w:rPr>
          <w:rFonts w:asciiTheme="minorHAnsi" w:hAnsiTheme="minorHAnsi" w:cstheme="minorHAnsi"/>
          <w:sz w:val="28"/>
          <w:szCs w:val="28"/>
        </w:rPr>
      </w:pPr>
    </w:p>
    <w:p w14:paraId="7DD763D1" w14:textId="6B4B9B4E" w:rsidR="009C078F" w:rsidRPr="004F6EB2" w:rsidRDefault="009C078F" w:rsidP="0073143D">
      <w:pPr>
        <w:spacing w:line="276" w:lineRule="auto"/>
        <w:ind w:firstLine="720"/>
        <w:jc w:val="both"/>
        <w:rPr>
          <w:rFonts w:asciiTheme="minorHAnsi" w:hAnsiTheme="minorHAnsi" w:cstheme="minorHAnsi"/>
          <w:sz w:val="28"/>
          <w:szCs w:val="28"/>
        </w:rPr>
      </w:pPr>
      <w:r w:rsidRPr="004F6EB2">
        <w:rPr>
          <w:rFonts w:asciiTheme="minorHAnsi" w:hAnsiTheme="minorHAnsi" w:cstheme="minorHAnsi"/>
          <w:sz w:val="28"/>
          <w:szCs w:val="28"/>
        </w:rPr>
        <w:t>Giwa</w:t>
      </w:r>
      <w:r w:rsidR="00DE32EF">
        <w:rPr>
          <w:rFonts w:asciiTheme="minorHAnsi" w:hAnsiTheme="minorHAnsi" w:cstheme="minorHAnsi"/>
          <w:sz w:val="28"/>
          <w:szCs w:val="28"/>
        </w:rPr>
        <w:t xml:space="preserve"> (2018)</w:t>
      </w:r>
      <w:r w:rsidRPr="004F6EB2">
        <w:rPr>
          <w:rFonts w:asciiTheme="minorHAnsi" w:hAnsiTheme="minorHAnsi" w:cstheme="minorHAnsi"/>
          <w:sz w:val="28"/>
          <w:szCs w:val="28"/>
        </w:rPr>
        <w:t xml:space="preserve"> has also argued for the creation of ‘Police Social Workers’, </w:t>
      </w:r>
      <w:r w:rsidR="002766D5" w:rsidRPr="004F6EB2">
        <w:rPr>
          <w:rFonts w:asciiTheme="minorHAnsi" w:hAnsiTheme="minorHAnsi" w:cstheme="minorHAnsi"/>
          <w:sz w:val="28"/>
          <w:szCs w:val="28"/>
        </w:rPr>
        <w:t>which</w:t>
      </w:r>
      <w:r w:rsidRPr="004F6EB2">
        <w:rPr>
          <w:rFonts w:asciiTheme="minorHAnsi" w:hAnsiTheme="minorHAnsi" w:cstheme="minorHAnsi"/>
          <w:sz w:val="28"/>
          <w:szCs w:val="28"/>
        </w:rPr>
        <w:t xml:space="preserve"> would respond to non-emergency incidents. She argued that although the modern-day police officer must hold an eclectic skill set, specific qualities in social workers such as increased empathy with a view of the </w:t>
      </w:r>
      <w:r w:rsidR="00543CC4" w:rsidRPr="004F6EB2">
        <w:rPr>
          <w:rFonts w:asciiTheme="minorHAnsi" w:hAnsiTheme="minorHAnsi" w:cstheme="minorHAnsi"/>
          <w:sz w:val="28"/>
          <w:szCs w:val="28"/>
        </w:rPr>
        <w:t>family, may</w:t>
      </w:r>
      <w:r w:rsidRPr="004F6EB2">
        <w:rPr>
          <w:rFonts w:asciiTheme="minorHAnsi" w:hAnsiTheme="minorHAnsi" w:cstheme="minorHAnsi"/>
          <w:sz w:val="28"/>
          <w:szCs w:val="28"/>
        </w:rPr>
        <w:t xml:space="preserve"> be of </w:t>
      </w:r>
      <w:r w:rsidRPr="004F6EB2">
        <w:rPr>
          <w:rFonts w:asciiTheme="minorHAnsi" w:hAnsiTheme="minorHAnsi" w:cstheme="minorHAnsi"/>
          <w:sz w:val="28"/>
          <w:szCs w:val="28"/>
        </w:rPr>
        <w:lastRenderedPageBreak/>
        <w:t xml:space="preserve">great benefit to fostering positive relations with police. Likewise, Lamin (2012) outlined that due to the challenges faced by police: </w:t>
      </w:r>
    </w:p>
    <w:p w14:paraId="09F211E8" w14:textId="77777777" w:rsidR="009C078F" w:rsidRPr="004F6EB2" w:rsidRDefault="009C078F" w:rsidP="0073143D">
      <w:pPr>
        <w:spacing w:line="276" w:lineRule="auto"/>
        <w:ind w:firstLine="720"/>
        <w:jc w:val="both"/>
        <w:rPr>
          <w:rFonts w:asciiTheme="minorHAnsi" w:hAnsiTheme="minorHAnsi" w:cstheme="minorHAnsi"/>
          <w:sz w:val="28"/>
          <w:szCs w:val="28"/>
        </w:rPr>
      </w:pPr>
    </w:p>
    <w:p w14:paraId="4B1D4FDF" w14:textId="73711426" w:rsidR="009C078F" w:rsidRPr="004F6EB2" w:rsidRDefault="009C078F" w:rsidP="0073143D">
      <w:pPr>
        <w:spacing w:line="276" w:lineRule="auto"/>
        <w:ind w:left="567" w:right="567"/>
        <w:jc w:val="both"/>
        <w:rPr>
          <w:rFonts w:asciiTheme="minorHAnsi" w:hAnsiTheme="minorHAnsi" w:cstheme="minorHAnsi"/>
          <w:sz w:val="28"/>
          <w:szCs w:val="28"/>
        </w:rPr>
      </w:pPr>
      <w:r w:rsidRPr="004F6EB2">
        <w:rPr>
          <w:rFonts w:asciiTheme="minorHAnsi" w:hAnsiTheme="minorHAnsi" w:cstheme="minorHAnsi"/>
          <w:sz w:val="28"/>
          <w:szCs w:val="28"/>
        </w:rPr>
        <w:t xml:space="preserve">“Effective prevention, intervention, and stabilization require more than police action and goes beyond the capability of any single </w:t>
      </w:r>
      <w:r w:rsidR="00543CC4" w:rsidRPr="004F6EB2">
        <w:rPr>
          <w:rFonts w:asciiTheme="minorHAnsi" w:hAnsiTheme="minorHAnsi" w:cstheme="minorHAnsi"/>
          <w:sz w:val="28"/>
          <w:szCs w:val="28"/>
        </w:rPr>
        <w:t>agency”.</w:t>
      </w:r>
    </w:p>
    <w:p w14:paraId="3AFF200A" w14:textId="77777777" w:rsidR="009C078F" w:rsidRPr="004F6EB2" w:rsidRDefault="009C078F" w:rsidP="0073143D">
      <w:pPr>
        <w:spacing w:line="276" w:lineRule="auto"/>
        <w:ind w:left="567" w:right="567"/>
        <w:jc w:val="both"/>
        <w:rPr>
          <w:rFonts w:asciiTheme="minorHAnsi" w:hAnsiTheme="minorHAnsi" w:cstheme="minorHAnsi"/>
          <w:sz w:val="28"/>
          <w:szCs w:val="28"/>
        </w:rPr>
      </w:pPr>
    </w:p>
    <w:p w14:paraId="3E8DFD19" w14:textId="0C8B07BD" w:rsidR="009C078F" w:rsidRPr="004F6EB2" w:rsidRDefault="009C078F" w:rsidP="0073143D">
      <w:pPr>
        <w:spacing w:line="276" w:lineRule="auto"/>
        <w:jc w:val="both"/>
        <w:rPr>
          <w:rFonts w:asciiTheme="minorHAnsi" w:hAnsiTheme="minorHAnsi" w:cstheme="minorHAnsi"/>
          <w:sz w:val="28"/>
          <w:szCs w:val="28"/>
        </w:rPr>
      </w:pPr>
      <w:r w:rsidRPr="004F6EB2">
        <w:rPr>
          <w:rFonts w:asciiTheme="minorHAnsi" w:hAnsiTheme="minorHAnsi" w:cstheme="minorHAnsi"/>
          <w:sz w:val="28"/>
          <w:szCs w:val="28"/>
        </w:rPr>
        <w:t xml:space="preserve">Furthermore, the idea of increasing the number of multi-disciplinary professionals at a community level when responding to issues of crime and anti-social behaviour, may also increase the relationship building from by youth minority members (Fine, 2021). </w:t>
      </w:r>
    </w:p>
    <w:p w14:paraId="4CB4A118" w14:textId="77777777" w:rsidR="00CF0D0A" w:rsidRPr="004F6EB2" w:rsidRDefault="00CF0D0A" w:rsidP="0073143D">
      <w:pPr>
        <w:spacing w:line="276" w:lineRule="auto"/>
        <w:jc w:val="both"/>
        <w:rPr>
          <w:rFonts w:asciiTheme="minorHAnsi" w:hAnsiTheme="minorHAnsi" w:cstheme="minorHAnsi"/>
          <w:sz w:val="28"/>
          <w:szCs w:val="28"/>
        </w:rPr>
      </w:pPr>
    </w:p>
    <w:p w14:paraId="68336ED0" w14:textId="2A6B5FA5" w:rsidR="009C078F" w:rsidRPr="004F6EB2" w:rsidRDefault="009C078F" w:rsidP="0073143D">
      <w:pPr>
        <w:spacing w:line="276" w:lineRule="auto"/>
        <w:ind w:firstLine="720"/>
        <w:jc w:val="both"/>
        <w:rPr>
          <w:rFonts w:asciiTheme="minorHAnsi" w:hAnsiTheme="minorHAnsi" w:cstheme="minorHAnsi"/>
          <w:sz w:val="28"/>
          <w:szCs w:val="28"/>
        </w:rPr>
      </w:pPr>
      <w:bookmarkStart w:id="0" w:name="_Hlk133841304"/>
      <w:r w:rsidRPr="004F6EB2">
        <w:rPr>
          <w:rFonts w:asciiTheme="minorHAnsi" w:hAnsiTheme="minorHAnsi" w:cstheme="minorHAnsi"/>
          <w:sz w:val="28"/>
          <w:szCs w:val="28"/>
        </w:rPr>
        <w:t xml:space="preserve">In </w:t>
      </w:r>
      <w:r w:rsidR="00207DDB">
        <w:rPr>
          <w:rFonts w:asciiTheme="minorHAnsi" w:hAnsiTheme="minorHAnsi" w:cstheme="minorHAnsi"/>
          <w:sz w:val="28"/>
          <w:szCs w:val="28"/>
        </w:rPr>
        <w:t>conclusion</w:t>
      </w:r>
      <w:r w:rsidRPr="004F6EB2">
        <w:rPr>
          <w:rFonts w:asciiTheme="minorHAnsi" w:hAnsiTheme="minorHAnsi" w:cstheme="minorHAnsi"/>
          <w:sz w:val="28"/>
          <w:szCs w:val="28"/>
        </w:rPr>
        <w:t xml:space="preserve">, this essay has illuminated the symbiotic relationship between the police and the public, arguing the necessary role that the police have in creating community cohesion through responding to specific problems identified by the public. Moreover, while there are limitations with police responses to certain crimes, it is the overall approach and contact with the public that makes long lasting impacts and creates trust over time. Whilst community policing holds </w:t>
      </w:r>
      <w:r w:rsidR="00454494" w:rsidRPr="004F6EB2">
        <w:rPr>
          <w:rFonts w:asciiTheme="minorHAnsi" w:hAnsiTheme="minorHAnsi" w:cstheme="minorHAnsi"/>
          <w:sz w:val="28"/>
          <w:szCs w:val="28"/>
        </w:rPr>
        <w:t>a significant role</w:t>
      </w:r>
      <w:r w:rsidRPr="004F6EB2">
        <w:rPr>
          <w:rFonts w:asciiTheme="minorHAnsi" w:hAnsiTheme="minorHAnsi" w:cstheme="minorHAnsi"/>
          <w:sz w:val="28"/>
          <w:szCs w:val="28"/>
        </w:rPr>
        <w:t>, this essay has also made clear the importance of effective partnerships with other agencies to respond to the heterogenous fears and crimes the public are victim to.</w:t>
      </w:r>
    </w:p>
    <w:bookmarkEnd w:id="0"/>
    <w:p w14:paraId="14C1DFD0" w14:textId="77777777" w:rsidR="0056129A" w:rsidRPr="004F6EB2" w:rsidRDefault="0056129A" w:rsidP="0073143D">
      <w:pPr>
        <w:spacing w:line="276" w:lineRule="auto"/>
        <w:ind w:right="531"/>
        <w:jc w:val="both"/>
        <w:rPr>
          <w:rFonts w:asciiTheme="minorHAnsi" w:hAnsiTheme="minorHAnsi" w:cstheme="minorHAnsi"/>
          <w:sz w:val="28"/>
          <w:szCs w:val="28"/>
        </w:rPr>
      </w:pPr>
    </w:p>
    <w:p w14:paraId="4ADA8A16" w14:textId="7C7911D7" w:rsidR="009E1D83" w:rsidRDefault="00CF0D0A" w:rsidP="004F6EB2">
      <w:pPr>
        <w:spacing w:line="276" w:lineRule="auto"/>
        <w:ind w:left="567" w:right="531"/>
        <w:jc w:val="right"/>
        <w:rPr>
          <w:rFonts w:asciiTheme="minorHAnsi" w:hAnsiTheme="minorHAnsi" w:cstheme="minorHAnsi"/>
          <w:sz w:val="28"/>
          <w:szCs w:val="28"/>
        </w:rPr>
      </w:pPr>
      <w:r w:rsidRPr="004F6EB2">
        <w:rPr>
          <w:rFonts w:asciiTheme="minorHAnsi" w:hAnsiTheme="minorHAnsi" w:cstheme="minorHAnsi"/>
          <w:sz w:val="28"/>
          <w:szCs w:val="28"/>
        </w:rPr>
        <w:t>Words: 1</w:t>
      </w:r>
      <w:r w:rsidR="00543CC4" w:rsidRPr="004F6EB2">
        <w:rPr>
          <w:rFonts w:asciiTheme="minorHAnsi" w:hAnsiTheme="minorHAnsi" w:cstheme="minorHAnsi"/>
          <w:sz w:val="28"/>
          <w:szCs w:val="28"/>
        </w:rPr>
        <w:t>0</w:t>
      </w:r>
      <w:r w:rsidR="00207DDB">
        <w:rPr>
          <w:rFonts w:asciiTheme="minorHAnsi" w:hAnsiTheme="minorHAnsi" w:cstheme="minorHAnsi"/>
          <w:sz w:val="28"/>
          <w:szCs w:val="28"/>
        </w:rPr>
        <w:t>6</w:t>
      </w:r>
      <w:r w:rsidR="00CE4515">
        <w:rPr>
          <w:rFonts w:asciiTheme="minorHAnsi" w:hAnsiTheme="minorHAnsi" w:cstheme="minorHAnsi"/>
          <w:sz w:val="28"/>
          <w:szCs w:val="28"/>
        </w:rPr>
        <w:t>2</w:t>
      </w:r>
    </w:p>
    <w:p w14:paraId="1E1E7883" w14:textId="7EA485B6" w:rsidR="004F6EB2" w:rsidRDefault="004F6EB2" w:rsidP="004F6EB2">
      <w:pPr>
        <w:spacing w:line="276" w:lineRule="auto"/>
        <w:ind w:left="567" w:right="531"/>
        <w:jc w:val="right"/>
        <w:rPr>
          <w:rFonts w:asciiTheme="minorHAnsi" w:hAnsiTheme="minorHAnsi" w:cstheme="minorHAnsi"/>
          <w:sz w:val="28"/>
          <w:szCs w:val="28"/>
        </w:rPr>
      </w:pPr>
    </w:p>
    <w:p w14:paraId="08AA8CD5" w14:textId="11E988A5" w:rsidR="004F6EB2" w:rsidRDefault="004F6EB2" w:rsidP="004F6EB2">
      <w:pPr>
        <w:spacing w:line="276" w:lineRule="auto"/>
        <w:ind w:left="567" w:right="531"/>
        <w:jc w:val="right"/>
        <w:rPr>
          <w:rFonts w:asciiTheme="minorHAnsi" w:hAnsiTheme="minorHAnsi" w:cstheme="minorHAnsi"/>
          <w:sz w:val="28"/>
          <w:szCs w:val="28"/>
        </w:rPr>
      </w:pPr>
    </w:p>
    <w:p w14:paraId="472BDD6F" w14:textId="78DACDB4" w:rsidR="004F6EB2" w:rsidRDefault="004F6EB2" w:rsidP="004F6EB2">
      <w:pPr>
        <w:spacing w:line="276" w:lineRule="auto"/>
        <w:ind w:left="567" w:right="531"/>
        <w:jc w:val="right"/>
        <w:rPr>
          <w:rFonts w:asciiTheme="minorHAnsi" w:hAnsiTheme="minorHAnsi" w:cstheme="minorHAnsi"/>
          <w:sz w:val="28"/>
          <w:szCs w:val="28"/>
        </w:rPr>
      </w:pPr>
    </w:p>
    <w:p w14:paraId="7D125F2F" w14:textId="44DA8463" w:rsidR="004F6EB2" w:rsidRDefault="004F6EB2" w:rsidP="004F6EB2">
      <w:pPr>
        <w:spacing w:line="276" w:lineRule="auto"/>
        <w:ind w:left="567" w:right="531"/>
        <w:jc w:val="right"/>
        <w:rPr>
          <w:rFonts w:asciiTheme="minorHAnsi" w:hAnsiTheme="minorHAnsi" w:cstheme="minorHAnsi"/>
          <w:sz w:val="28"/>
          <w:szCs w:val="28"/>
        </w:rPr>
      </w:pPr>
    </w:p>
    <w:p w14:paraId="0E159C9D" w14:textId="6E25F3EC" w:rsidR="004F6EB2" w:rsidRDefault="004F6EB2" w:rsidP="004F6EB2">
      <w:pPr>
        <w:spacing w:line="276" w:lineRule="auto"/>
        <w:ind w:left="567" w:right="531"/>
        <w:jc w:val="right"/>
        <w:rPr>
          <w:rFonts w:asciiTheme="minorHAnsi" w:hAnsiTheme="minorHAnsi" w:cstheme="minorHAnsi"/>
          <w:sz w:val="28"/>
          <w:szCs w:val="28"/>
        </w:rPr>
      </w:pPr>
    </w:p>
    <w:p w14:paraId="410B8A1D" w14:textId="77777777" w:rsidR="004F6EB2" w:rsidRPr="004F6EB2" w:rsidRDefault="004F6EB2" w:rsidP="004F6EB2">
      <w:pPr>
        <w:spacing w:line="276" w:lineRule="auto"/>
        <w:ind w:left="567" w:right="531"/>
        <w:jc w:val="right"/>
        <w:rPr>
          <w:rFonts w:asciiTheme="minorHAnsi" w:hAnsiTheme="minorHAnsi" w:cstheme="minorHAnsi"/>
          <w:sz w:val="28"/>
          <w:szCs w:val="28"/>
        </w:rPr>
      </w:pPr>
    </w:p>
    <w:p w14:paraId="2E0780CE" w14:textId="70E53D65" w:rsidR="00E34CA5" w:rsidRPr="004F6EB2" w:rsidRDefault="00E34CA5" w:rsidP="0073143D">
      <w:pPr>
        <w:spacing w:line="276" w:lineRule="auto"/>
        <w:ind w:left="567" w:right="531"/>
        <w:jc w:val="both"/>
        <w:rPr>
          <w:rFonts w:asciiTheme="minorHAnsi" w:hAnsiTheme="minorHAnsi" w:cstheme="minorHAnsi"/>
          <w:sz w:val="28"/>
          <w:szCs w:val="28"/>
        </w:rPr>
      </w:pPr>
    </w:p>
    <w:p w14:paraId="25713CC3" w14:textId="0434BC11" w:rsidR="00E34CA5" w:rsidRPr="004F6EB2" w:rsidRDefault="00E34CA5" w:rsidP="0073143D">
      <w:pPr>
        <w:spacing w:line="276" w:lineRule="auto"/>
        <w:ind w:left="567" w:right="531"/>
        <w:jc w:val="both"/>
        <w:rPr>
          <w:rFonts w:asciiTheme="minorHAnsi" w:hAnsiTheme="minorHAnsi" w:cstheme="minorHAnsi"/>
          <w:sz w:val="28"/>
          <w:szCs w:val="28"/>
        </w:rPr>
      </w:pPr>
    </w:p>
    <w:p w14:paraId="761F86A1" w14:textId="77777777" w:rsidR="00E34CA5" w:rsidRPr="004F6EB2" w:rsidRDefault="00E34CA5" w:rsidP="0073143D">
      <w:pPr>
        <w:spacing w:line="276" w:lineRule="auto"/>
        <w:ind w:left="567" w:right="531"/>
        <w:jc w:val="both"/>
        <w:rPr>
          <w:rFonts w:asciiTheme="minorHAnsi" w:hAnsiTheme="minorHAnsi" w:cstheme="minorHAnsi"/>
          <w:sz w:val="28"/>
          <w:szCs w:val="28"/>
        </w:rPr>
      </w:pPr>
    </w:p>
    <w:p w14:paraId="3CF051B9" w14:textId="77777777" w:rsidR="009E1D83" w:rsidRPr="004F6EB2" w:rsidRDefault="009E1D83" w:rsidP="0073143D">
      <w:pPr>
        <w:spacing w:line="276" w:lineRule="auto"/>
        <w:ind w:left="567" w:right="531"/>
        <w:jc w:val="both"/>
        <w:rPr>
          <w:rFonts w:asciiTheme="minorHAnsi" w:hAnsiTheme="minorHAnsi" w:cstheme="minorHAnsi"/>
          <w:sz w:val="28"/>
          <w:szCs w:val="28"/>
        </w:rPr>
      </w:pPr>
    </w:p>
    <w:p w14:paraId="30BECDAE" w14:textId="77777777" w:rsidR="009E1D83" w:rsidRPr="004F6EB2" w:rsidRDefault="009E1D83" w:rsidP="0073143D">
      <w:pPr>
        <w:spacing w:line="276" w:lineRule="auto"/>
        <w:ind w:right="531"/>
        <w:jc w:val="both"/>
        <w:rPr>
          <w:rFonts w:asciiTheme="minorHAnsi" w:eastAsia="Calibri" w:hAnsiTheme="minorHAnsi" w:cstheme="minorHAnsi"/>
          <w:sz w:val="28"/>
          <w:szCs w:val="28"/>
        </w:rPr>
      </w:pPr>
      <w:r w:rsidRPr="004F6EB2">
        <w:rPr>
          <w:rFonts w:asciiTheme="minorHAnsi" w:eastAsia="Calibri" w:hAnsiTheme="minorHAnsi" w:cstheme="minorHAnsi"/>
          <w:b/>
          <w:bCs/>
          <w:sz w:val="28"/>
          <w:szCs w:val="28"/>
        </w:rPr>
        <w:lastRenderedPageBreak/>
        <w:t>What impact can personal bias have on investigations, and how effective are the measures in place to prevent this? Your answer must be based on academic research rather than personal experience.</w:t>
      </w:r>
      <w:r w:rsidRPr="004F6EB2">
        <w:rPr>
          <w:rFonts w:asciiTheme="minorHAnsi" w:eastAsia="Calibri" w:hAnsiTheme="minorHAnsi" w:cstheme="minorHAnsi"/>
          <w:sz w:val="28"/>
          <w:szCs w:val="28"/>
        </w:rPr>
        <w:t xml:space="preserve"> </w:t>
      </w:r>
    </w:p>
    <w:p w14:paraId="2FC3C187" w14:textId="03E424C6" w:rsidR="00E34CA5" w:rsidRPr="004F6EB2" w:rsidRDefault="00E34CA5" w:rsidP="0073143D">
      <w:pPr>
        <w:spacing w:line="276" w:lineRule="auto"/>
        <w:ind w:right="531"/>
        <w:jc w:val="both"/>
        <w:rPr>
          <w:rFonts w:asciiTheme="minorHAnsi" w:eastAsia="Calibri" w:hAnsiTheme="minorHAnsi" w:cstheme="minorHAnsi"/>
          <w:sz w:val="28"/>
          <w:szCs w:val="28"/>
        </w:rPr>
      </w:pPr>
    </w:p>
    <w:p w14:paraId="43E71CC6" w14:textId="70AF82EE" w:rsidR="00E34CA5" w:rsidRPr="004F6EB2" w:rsidRDefault="00E34CA5" w:rsidP="0073143D">
      <w:pPr>
        <w:spacing w:line="276" w:lineRule="auto"/>
        <w:ind w:right="531"/>
        <w:jc w:val="both"/>
        <w:rPr>
          <w:rFonts w:asciiTheme="minorHAnsi" w:eastAsia="Calibri" w:hAnsiTheme="minorHAnsi" w:cstheme="minorHAnsi"/>
          <w:sz w:val="28"/>
          <w:szCs w:val="28"/>
        </w:rPr>
      </w:pPr>
      <w:r w:rsidRPr="00E34CA5">
        <w:rPr>
          <w:rFonts w:asciiTheme="minorHAnsi" w:eastAsia="Calibri" w:hAnsiTheme="minorHAnsi" w:cstheme="minorHAnsi"/>
          <w:sz w:val="28"/>
          <w:szCs w:val="28"/>
        </w:rPr>
        <w:t xml:space="preserve">Investigations are multifaceted and due to this essay’s </w:t>
      </w:r>
      <w:r w:rsidRPr="004F6EB2">
        <w:rPr>
          <w:rFonts w:asciiTheme="minorHAnsi" w:eastAsia="Calibri" w:hAnsiTheme="minorHAnsi" w:cstheme="minorHAnsi"/>
          <w:sz w:val="28"/>
          <w:szCs w:val="28"/>
        </w:rPr>
        <w:t>parameters;</w:t>
      </w:r>
      <w:r w:rsidRPr="00E34CA5">
        <w:rPr>
          <w:rFonts w:asciiTheme="minorHAnsi" w:eastAsia="Calibri" w:hAnsiTheme="minorHAnsi" w:cstheme="minorHAnsi"/>
          <w:sz w:val="28"/>
          <w:szCs w:val="28"/>
        </w:rPr>
        <w:t xml:space="preserve"> this work will be centred around suspect interviews to highlight the impact that personal bias (PB) can have on investigations and evaluate debiasing strategies. </w:t>
      </w:r>
    </w:p>
    <w:p w14:paraId="60FBB97A" w14:textId="77777777" w:rsidR="00E34CA5" w:rsidRPr="00E34CA5" w:rsidRDefault="00E34CA5" w:rsidP="0073143D">
      <w:pPr>
        <w:spacing w:line="276" w:lineRule="auto"/>
        <w:ind w:right="531"/>
        <w:jc w:val="both"/>
        <w:rPr>
          <w:rFonts w:asciiTheme="minorHAnsi" w:eastAsia="Calibri" w:hAnsiTheme="minorHAnsi" w:cstheme="minorHAnsi"/>
          <w:sz w:val="28"/>
          <w:szCs w:val="28"/>
        </w:rPr>
      </w:pPr>
    </w:p>
    <w:p w14:paraId="1447A8C8" w14:textId="1FF1EAD6" w:rsidR="00E34CA5" w:rsidRPr="004F6EB2" w:rsidRDefault="00E34CA5" w:rsidP="0073143D">
      <w:pPr>
        <w:spacing w:line="276" w:lineRule="auto"/>
        <w:ind w:right="533" w:firstLine="720"/>
        <w:jc w:val="both"/>
        <w:rPr>
          <w:rFonts w:asciiTheme="minorHAnsi" w:eastAsia="Calibri" w:hAnsiTheme="minorHAnsi" w:cstheme="minorHAnsi"/>
          <w:sz w:val="28"/>
          <w:szCs w:val="28"/>
        </w:rPr>
      </w:pPr>
      <w:r w:rsidRPr="00E34CA5">
        <w:rPr>
          <w:rFonts w:asciiTheme="minorHAnsi" w:eastAsia="Calibri" w:hAnsiTheme="minorHAnsi" w:cstheme="minorHAnsi"/>
          <w:sz w:val="28"/>
          <w:szCs w:val="28"/>
        </w:rPr>
        <w:t xml:space="preserve">Interviewing suspects plays </w:t>
      </w:r>
      <w:r w:rsidR="00454494" w:rsidRPr="00E34CA5">
        <w:rPr>
          <w:rFonts w:asciiTheme="minorHAnsi" w:eastAsia="Calibri" w:hAnsiTheme="minorHAnsi" w:cstheme="minorHAnsi"/>
          <w:sz w:val="28"/>
          <w:szCs w:val="28"/>
        </w:rPr>
        <w:t>a significant role</w:t>
      </w:r>
      <w:r w:rsidRPr="00E34CA5">
        <w:rPr>
          <w:rFonts w:asciiTheme="minorHAnsi" w:eastAsia="Calibri" w:hAnsiTheme="minorHAnsi" w:cstheme="minorHAnsi"/>
          <w:sz w:val="28"/>
          <w:szCs w:val="28"/>
        </w:rPr>
        <w:t xml:space="preserve"> within investigations and can form part of crucial enquiry lines. Suspect interviews, however, can be heavily problematised by the interviewer’s PB and their failure to approach the situation objectively with an open mind (College of Policing, 2020). Scholars suggest that these actions are innate due to the person’s basic application to “simplify” information processing for decision making and arriving at conclusions (Heuer, 1996). Subsequently, not all information is analysed fully, and generalisations are made to “avoid complexity and ambiguity” (Heuer, 1999). </w:t>
      </w:r>
    </w:p>
    <w:p w14:paraId="187F5361" w14:textId="77777777" w:rsidR="00E34CA5" w:rsidRPr="00E34CA5" w:rsidRDefault="00E34CA5" w:rsidP="0073143D">
      <w:pPr>
        <w:spacing w:line="276" w:lineRule="auto"/>
        <w:ind w:right="533" w:firstLine="720"/>
        <w:jc w:val="both"/>
        <w:rPr>
          <w:rFonts w:asciiTheme="minorHAnsi" w:eastAsia="Calibri" w:hAnsiTheme="minorHAnsi" w:cstheme="minorHAnsi"/>
          <w:sz w:val="28"/>
          <w:szCs w:val="28"/>
        </w:rPr>
      </w:pPr>
    </w:p>
    <w:p w14:paraId="1C22B3C3" w14:textId="1E453DF3" w:rsidR="00E34CA5" w:rsidRPr="00E34CA5" w:rsidRDefault="00E34CA5" w:rsidP="0073143D">
      <w:pPr>
        <w:spacing w:line="276" w:lineRule="auto"/>
        <w:ind w:right="533" w:firstLine="720"/>
        <w:jc w:val="both"/>
        <w:rPr>
          <w:rFonts w:asciiTheme="minorHAnsi" w:eastAsia="Calibri" w:hAnsiTheme="minorHAnsi" w:cstheme="minorHAnsi"/>
          <w:sz w:val="28"/>
          <w:szCs w:val="28"/>
        </w:rPr>
      </w:pPr>
      <w:r w:rsidRPr="00E34CA5">
        <w:rPr>
          <w:rFonts w:asciiTheme="minorHAnsi" w:eastAsia="Calibri" w:hAnsiTheme="minorHAnsi" w:cstheme="minorHAnsi"/>
          <w:sz w:val="28"/>
          <w:szCs w:val="28"/>
        </w:rPr>
        <w:t xml:space="preserve">A key PB that risks investigations is confirmation bias (CB). CB happens when a person looks for information or approaches a task in ways to ratify their preconceived ideas. This is problematic, especially if the arresting and interviewing officers is the same (Liden, 2018). Research indicates that interviewing officers are more likely to presume a person is guilty of an offence if they have been involved in apprehending and arresting the suspect and are more likely to </w:t>
      </w:r>
      <w:r w:rsidR="008C3072" w:rsidRPr="00E34CA5">
        <w:rPr>
          <w:rFonts w:asciiTheme="minorHAnsi" w:eastAsia="Calibri" w:hAnsiTheme="minorHAnsi" w:cstheme="minorHAnsi"/>
          <w:sz w:val="28"/>
          <w:szCs w:val="28"/>
        </w:rPr>
        <w:t>ask,</w:t>
      </w:r>
      <w:r w:rsidRPr="00E34CA5">
        <w:rPr>
          <w:rFonts w:asciiTheme="minorHAnsi" w:eastAsia="Calibri" w:hAnsiTheme="minorHAnsi" w:cstheme="minorHAnsi"/>
          <w:sz w:val="28"/>
          <w:szCs w:val="28"/>
        </w:rPr>
        <w:t xml:space="preserve"> “guilt presumptive questions” (Liden, 2018). Thus, if the interviewer becomes too focused on admissions, then elements of a non-guilty account may be overlooked and lines of enquiry </w:t>
      </w:r>
      <w:r w:rsidR="00394671">
        <w:rPr>
          <w:rFonts w:asciiTheme="minorHAnsi" w:eastAsia="Calibri" w:hAnsiTheme="minorHAnsi" w:cstheme="minorHAnsi"/>
          <w:sz w:val="28"/>
          <w:szCs w:val="28"/>
        </w:rPr>
        <w:t>may be missed</w:t>
      </w:r>
      <w:r w:rsidRPr="00E34CA5">
        <w:rPr>
          <w:rFonts w:asciiTheme="minorHAnsi" w:eastAsia="Calibri" w:hAnsiTheme="minorHAnsi" w:cstheme="minorHAnsi"/>
          <w:sz w:val="28"/>
          <w:szCs w:val="28"/>
        </w:rPr>
        <w:t xml:space="preserve"> (Shea, 2022). </w:t>
      </w:r>
    </w:p>
    <w:p w14:paraId="2B089490" w14:textId="77777777" w:rsidR="00E34CA5" w:rsidRPr="004F6EB2" w:rsidRDefault="00E34CA5" w:rsidP="0073143D">
      <w:pPr>
        <w:spacing w:line="276" w:lineRule="auto"/>
        <w:ind w:right="533" w:firstLine="720"/>
        <w:jc w:val="both"/>
        <w:rPr>
          <w:rFonts w:asciiTheme="minorHAnsi" w:eastAsia="Calibri" w:hAnsiTheme="minorHAnsi" w:cstheme="minorHAnsi"/>
          <w:sz w:val="28"/>
          <w:szCs w:val="28"/>
        </w:rPr>
      </w:pPr>
    </w:p>
    <w:p w14:paraId="7F1DBF3F" w14:textId="64A53974" w:rsidR="00E34CA5" w:rsidRPr="00E34CA5" w:rsidRDefault="00E34CA5" w:rsidP="0073143D">
      <w:pPr>
        <w:spacing w:line="276" w:lineRule="auto"/>
        <w:ind w:right="533" w:firstLine="720"/>
        <w:jc w:val="both"/>
        <w:rPr>
          <w:rFonts w:asciiTheme="minorHAnsi" w:eastAsia="Calibri" w:hAnsiTheme="minorHAnsi" w:cstheme="minorHAnsi"/>
          <w:sz w:val="28"/>
          <w:szCs w:val="28"/>
        </w:rPr>
      </w:pPr>
      <w:r w:rsidRPr="00E34CA5">
        <w:rPr>
          <w:rFonts w:asciiTheme="minorHAnsi" w:eastAsia="Calibri" w:hAnsiTheme="minorHAnsi" w:cstheme="minorHAnsi"/>
          <w:sz w:val="28"/>
          <w:szCs w:val="28"/>
        </w:rPr>
        <w:t xml:space="preserve">Further biases can be formed at this point such as </w:t>
      </w:r>
      <w:r w:rsidRPr="00E34CA5">
        <w:rPr>
          <w:rFonts w:asciiTheme="minorHAnsi" w:eastAsia="Calibri" w:hAnsiTheme="minorHAnsi" w:cstheme="minorHAnsi"/>
          <w:i/>
          <w:iCs/>
          <w:sz w:val="28"/>
          <w:szCs w:val="28"/>
        </w:rPr>
        <w:t>congruence bias,</w:t>
      </w:r>
      <w:r w:rsidRPr="00E34CA5">
        <w:rPr>
          <w:rFonts w:asciiTheme="minorHAnsi" w:eastAsia="Calibri" w:hAnsiTheme="minorHAnsi" w:cstheme="minorHAnsi"/>
          <w:sz w:val="28"/>
          <w:szCs w:val="28"/>
        </w:rPr>
        <w:t xml:space="preserve"> where investigators are more inclined to prove their presumptions through direct testing, instead of finding ways to undermine them with alternative points of view (College of Policing, 2022). Moreover, if the investigator is satisfied with the information and evidence before them; or, cannot see </w:t>
      </w:r>
      <w:r w:rsidRPr="00E34CA5">
        <w:rPr>
          <w:rFonts w:asciiTheme="minorHAnsi" w:eastAsia="Calibri" w:hAnsiTheme="minorHAnsi" w:cstheme="minorHAnsi"/>
          <w:sz w:val="28"/>
          <w:szCs w:val="28"/>
        </w:rPr>
        <w:lastRenderedPageBreak/>
        <w:t xml:space="preserve">merits in other enquiries, </w:t>
      </w:r>
      <w:r w:rsidR="008C3072" w:rsidRPr="00E34CA5">
        <w:rPr>
          <w:rFonts w:asciiTheme="minorHAnsi" w:eastAsia="Calibri" w:hAnsiTheme="minorHAnsi" w:cstheme="minorHAnsi"/>
          <w:sz w:val="28"/>
          <w:szCs w:val="28"/>
        </w:rPr>
        <w:t>and</w:t>
      </w:r>
      <w:r w:rsidRPr="00E34CA5">
        <w:rPr>
          <w:rFonts w:asciiTheme="minorHAnsi" w:eastAsia="Calibri" w:hAnsiTheme="minorHAnsi" w:cstheme="minorHAnsi"/>
          <w:sz w:val="28"/>
          <w:szCs w:val="28"/>
        </w:rPr>
        <w:t xml:space="preserve"> choses to ignore information that disproves a guilty hypothesis away from the suspect, they may experience another bias known as the </w:t>
      </w:r>
      <w:r w:rsidRPr="00E34CA5">
        <w:rPr>
          <w:rFonts w:asciiTheme="minorHAnsi" w:eastAsia="Calibri" w:hAnsiTheme="minorHAnsi" w:cstheme="minorHAnsi"/>
          <w:i/>
          <w:iCs/>
          <w:sz w:val="28"/>
          <w:szCs w:val="28"/>
        </w:rPr>
        <w:t>anchoring effect.</w:t>
      </w:r>
      <w:r w:rsidRPr="00E34CA5">
        <w:rPr>
          <w:rFonts w:asciiTheme="minorHAnsi" w:eastAsia="Calibri" w:hAnsiTheme="minorHAnsi" w:cstheme="minorHAnsi"/>
          <w:sz w:val="28"/>
          <w:szCs w:val="28"/>
        </w:rPr>
        <w:t xml:space="preserve"> This is where the investigator depends too highly upon a limited source of information and evidence, or suspect’s characteristics and history, to form the basis of their investigation (College of Policing, 2022). </w:t>
      </w:r>
    </w:p>
    <w:p w14:paraId="333ED7B0" w14:textId="77777777" w:rsidR="00E34CA5" w:rsidRPr="00E34CA5" w:rsidRDefault="00E34CA5" w:rsidP="0073143D">
      <w:pPr>
        <w:spacing w:line="276" w:lineRule="auto"/>
        <w:ind w:right="533" w:firstLine="720"/>
        <w:jc w:val="both"/>
        <w:rPr>
          <w:rFonts w:asciiTheme="minorHAnsi" w:eastAsia="Calibri" w:hAnsiTheme="minorHAnsi" w:cstheme="minorHAnsi"/>
          <w:sz w:val="28"/>
          <w:szCs w:val="28"/>
        </w:rPr>
      </w:pPr>
    </w:p>
    <w:p w14:paraId="0CE541E6" w14:textId="68BE2AA1" w:rsidR="00E34CA5" w:rsidRPr="00E34CA5" w:rsidRDefault="008B7ABD" w:rsidP="0073143D">
      <w:pPr>
        <w:spacing w:line="276" w:lineRule="auto"/>
        <w:ind w:right="533" w:firstLine="720"/>
        <w:jc w:val="both"/>
        <w:rPr>
          <w:rFonts w:asciiTheme="minorHAnsi" w:eastAsia="Calibri" w:hAnsiTheme="minorHAnsi" w:cstheme="minorHAnsi"/>
          <w:sz w:val="28"/>
          <w:szCs w:val="28"/>
        </w:rPr>
      </w:pPr>
      <w:r>
        <w:rPr>
          <w:rFonts w:asciiTheme="minorHAnsi" w:eastAsia="Calibri" w:hAnsiTheme="minorHAnsi" w:cstheme="minorHAnsi"/>
          <w:sz w:val="28"/>
          <w:szCs w:val="28"/>
        </w:rPr>
        <w:t>C</w:t>
      </w:r>
      <w:r w:rsidR="00E34CA5" w:rsidRPr="00E34CA5">
        <w:rPr>
          <w:rFonts w:asciiTheme="minorHAnsi" w:eastAsia="Calibri" w:hAnsiTheme="minorHAnsi" w:cstheme="minorHAnsi"/>
          <w:sz w:val="28"/>
          <w:szCs w:val="28"/>
        </w:rPr>
        <w:t xml:space="preserve">ognitive biases can have damaging consequences for investigators, as it inhibits their ability to adhere to the Criminal Investigations and Procedures Act (CPIA). The CPIA outlines legislation to protect those involved in investigations by ensuring that they are conducted fairly and ethically. Consequently, if future decision making by the investigator becomes blinded by a set of presumptions support only by data that confirms their hypothesis, key tenets of the CPIA will cease to be met, namely, the officer’s duty to conduct and record all lines of enquiry and store information, whether it leads too or away from the suspect(s) (Criminal Justice System, 2015). </w:t>
      </w:r>
    </w:p>
    <w:p w14:paraId="521DC88E" w14:textId="77777777" w:rsidR="00E34CA5" w:rsidRPr="00E34CA5" w:rsidRDefault="00E34CA5" w:rsidP="0073143D">
      <w:pPr>
        <w:spacing w:line="276" w:lineRule="auto"/>
        <w:ind w:right="533" w:firstLine="720"/>
        <w:jc w:val="both"/>
        <w:rPr>
          <w:rFonts w:asciiTheme="minorHAnsi" w:eastAsia="Calibri" w:hAnsiTheme="minorHAnsi" w:cstheme="minorHAnsi"/>
          <w:sz w:val="28"/>
          <w:szCs w:val="28"/>
        </w:rPr>
      </w:pPr>
    </w:p>
    <w:p w14:paraId="5BA3CBAC" w14:textId="4059582A" w:rsidR="00E34CA5" w:rsidRPr="00E34CA5" w:rsidRDefault="00E34CA5" w:rsidP="0073143D">
      <w:pPr>
        <w:spacing w:line="276" w:lineRule="auto"/>
        <w:ind w:right="533" w:firstLine="720"/>
        <w:jc w:val="both"/>
        <w:rPr>
          <w:rFonts w:asciiTheme="minorHAnsi" w:eastAsia="Calibri" w:hAnsiTheme="minorHAnsi" w:cstheme="minorHAnsi"/>
          <w:sz w:val="28"/>
          <w:szCs w:val="28"/>
        </w:rPr>
      </w:pPr>
      <w:r w:rsidRPr="00E34CA5">
        <w:rPr>
          <w:rFonts w:asciiTheme="minorHAnsi" w:eastAsia="Calibri" w:hAnsiTheme="minorHAnsi" w:cstheme="minorHAnsi"/>
          <w:sz w:val="28"/>
          <w:szCs w:val="28"/>
        </w:rPr>
        <w:t>Concerningly, scholars have found that when investigator biases are present during interrogative style interviews, suspects have falsely confessed (Davies, 2006; Liden, 2018</w:t>
      </w:r>
      <w:r w:rsidR="0002160A">
        <w:rPr>
          <w:rFonts w:asciiTheme="minorHAnsi" w:eastAsia="Calibri" w:hAnsiTheme="minorHAnsi" w:cstheme="minorHAnsi"/>
          <w:sz w:val="28"/>
          <w:szCs w:val="28"/>
        </w:rPr>
        <w:t>;</w:t>
      </w:r>
      <w:r w:rsidRPr="00E34CA5">
        <w:rPr>
          <w:rFonts w:asciiTheme="minorHAnsi" w:eastAsia="Calibri" w:hAnsiTheme="minorHAnsi" w:cstheme="minorHAnsi"/>
          <w:sz w:val="28"/>
          <w:szCs w:val="28"/>
        </w:rPr>
        <w:t xml:space="preserve"> Shea, 2022). Therefore, not only is CPIA legislation at risk to cognitive biases, but so too is an officer’s alignment to the Code of Ethics for impartial investigations and Human Rights Act, article 6 right to a fair trial (College of Policing, 2014; Human Rights Act, 1998). </w:t>
      </w:r>
    </w:p>
    <w:p w14:paraId="35C96864" w14:textId="77777777" w:rsidR="00E34CA5" w:rsidRPr="00E34CA5" w:rsidRDefault="00E34CA5" w:rsidP="0073143D">
      <w:pPr>
        <w:spacing w:line="276" w:lineRule="auto"/>
        <w:ind w:right="533" w:firstLine="720"/>
        <w:jc w:val="both"/>
        <w:rPr>
          <w:rFonts w:asciiTheme="minorHAnsi" w:eastAsia="Calibri" w:hAnsiTheme="minorHAnsi" w:cstheme="minorHAnsi"/>
          <w:sz w:val="28"/>
          <w:szCs w:val="28"/>
        </w:rPr>
      </w:pPr>
    </w:p>
    <w:p w14:paraId="0AB6952E" w14:textId="73A2B6BE" w:rsidR="00E34CA5" w:rsidRPr="00E34CA5" w:rsidRDefault="00E34CA5" w:rsidP="0073143D">
      <w:pPr>
        <w:spacing w:line="276" w:lineRule="auto"/>
        <w:ind w:right="533" w:firstLine="720"/>
        <w:jc w:val="both"/>
        <w:rPr>
          <w:rFonts w:asciiTheme="minorHAnsi" w:eastAsia="Calibri" w:hAnsiTheme="minorHAnsi" w:cstheme="minorHAnsi"/>
          <w:sz w:val="28"/>
          <w:szCs w:val="28"/>
        </w:rPr>
      </w:pPr>
      <w:r w:rsidRPr="00E34CA5">
        <w:rPr>
          <w:rFonts w:asciiTheme="minorHAnsi" w:eastAsia="Calibri" w:hAnsiTheme="minorHAnsi" w:cstheme="minorHAnsi"/>
          <w:sz w:val="28"/>
          <w:szCs w:val="28"/>
        </w:rPr>
        <w:t xml:space="preserve">To combat presumptions in guilt, psychologists have suggested that investigators should look to disproving their assumptions, instead of consolidating them (Heuer, 1999). However, in practice this may be challenging when in the receipt of further evidence and bad character information. Both Rassin (2010) and Sumampouw (2022) posited that when investigators receive bad character information on suspects or victims prior to interview, they are more likely to presume guilt or question the credibility of the interviewees. Therefore, the investigator may be unable to approach in a self-critical way to change their mind, leaving them </w:t>
      </w:r>
      <w:r w:rsidRPr="00E34CA5">
        <w:rPr>
          <w:rFonts w:asciiTheme="minorHAnsi" w:eastAsia="Calibri" w:hAnsiTheme="minorHAnsi" w:cstheme="minorHAnsi"/>
          <w:sz w:val="28"/>
          <w:szCs w:val="28"/>
        </w:rPr>
        <w:lastRenderedPageBreak/>
        <w:t xml:space="preserve">susceptible to ignoring or underplaying opposing and contrary evidence and suspect accounts during interview (Heur, </w:t>
      </w:r>
      <w:r w:rsidR="008E3DE4" w:rsidRPr="004F6EB2">
        <w:rPr>
          <w:rFonts w:asciiTheme="minorHAnsi" w:eastAsia="Calibri" w:hAnsiTheme="minorHAnsi" w:cstheme="minorHAnsi"/>
          <w:sz w:val="28"/>
          <w:szCs w:val="28"/>
        </w:rPr>
        <w:t>1999</w:t>
      </w:r>
      <w:r w:rsidRPr="00E34CA5">
        <w:rPr>
          <w:rFonts w:asciiTheme="minorHAnsi" w:eastAsia="Calibri" w:hAnsiTheme="minorHAnsi" w:cstheme="minorHAnsi"/>
          <w:sz w:val="28"/>
          <w:szCs w:val="28"/>
        </w:rPr>
        <w:t xml:space="preserve">). </w:t>
      </w:r>
    </w:p>
    <w:p w14:paraId="1985B8D1" w14:textId="77777777" w:rsidR="00E34CA5" w:rsidRPr="00E34CA5" w:rsidRDefault="00E34CA5" w:rsidP="0073143D">
      <w:pPr>
        <w:spacing w:line="276" w:lineRule="auto"/>
        <w:ind w:right="533" w:firstLine="720"/>
        <w:jc w:val="both"/>
        <w:rPr>
          <w:rFonts w:asciiTheme="minorHAnsi" w:eastAsia="Calibri" w:hAnsiTheme="minorHAnsi" w:cstheme="minorHAnsi"/>
          <w:sz w:val="28"/>
          <w:szCs w:val="28"/>
        </w:rPr>
      </w:pPr>
    </w:p>
    <w:p w14:paraId="3A0FD8C2" w14:textId="538CB95A" w:rsidR="00E34CA5" w:rsidRPr="00E34CA5" w:rsidRDefault="00E34CA5" w:rsidP="0073143D">
      <w:pPr>
        <w:spacing w:line="276" w:lineRule="auto"/>
        <w:ind w:right="533" w:firstLine="720"/>
        <w:jc w:val="both"/>
        <w:rPr>
          <w:rFonts w:asciiTheme="minorHAnsi" w:eastAsia="Calibri" w:hAnsiTheme="minorHAnsi" w:cstheme="minorHAnsi"/>
          <w:sz w:val="28"/>
          <w:szCs w:val="28"/>
        </w:rPr>
      </w:pPr>
      <w:r w:rsidRPr="00E34CA5">
        <w:rPr>
          <w:rFonts w:asciiTheme="minorHAnsi" w:eastAsia="Calibri" w:hAnsiTheme="minorHAnsi" w:cstheme="minorHAnsi"/>
          <w:sz w:val="28"/>
          <w:szCs w:val="28"/>
        </w:rPr>
        <w:t xml:space="preserve">Liden (2018) highlighted the correlation between confirmation bias likelihood when the interviewing officer </w:t>
      </w:r>
      <w:r w:rsidR="00057234" w:rsidRPr="00E34CA5">
        <w:rPr>
          <w:rFonts w:asciiTheme="minorHAnsi" w:eastAsia="Calibri" w:hAnsiTheme="minorHAnsi" w:cstheme="minorHAnsi"/>
          <w:sz w:val="28"/>
          <w:szCs w:val="28"/>
        </w:rPr>
        <w:t>engaged in</w:t>
      </w:r>
      <w:r w:rsidRPr="00E34CA5">
        <w:rPr>
          <w:rFonts w:asciiTheme="minorHAnsi" w:eastAsia="Calibri" w:hAnsiTheme="minorHAnsi" w:cstheme="minorHAnsi"/>
          <w:sz w:val="28"/>
          <w:szCs w:val="28"/>
        </w:rPr>
        <w:t xml:space="preserve"> the apprehension of the suspect. Due to that intimate involvement, the interviewer may find it difficult to detach themselves. Subsequently, guilt presumptions may outweigh the officer’s ability to approach the interview impartially and with an open mind. Liden’s solution was to “de-couple” the process and suggested that police services </w:t>
      </w:r>
      <w:r w:rsidR="00057234" w:rsidRPr="00E34CA5">
        <w:rPr>
          <w:rFonts w:asciiTheme="minorHAnsi" w:eastAsia="Calibri" w:hAnsiTheme="minorHAnsi" w:cstheme="minorHAnsi"/>
          <w:sz w:val="28"/>
          <w:szCs w:val="28"/>
        </w:rPr>
        <w:t>use</w:t>
      </w:r>
      <w:r w:rsidRPr="00E34CA5">
        <w:rPr>
          <w:rFonts w:asciiTheme="minorHAnsi" w:eastAsia="Calibri" w:hAnsiTheme="minorHAnsi" w:cstheme="minorHAnsi"/>
          <w:sz w:val="28"/>
          <w:szCs w:val="28"/>
        </w:rPr>
        <w:t xml:space="preserve"> resources in a way where a second officer, or investigatory staff member would be used for interview. Though, an interesting approach, which would </w:t>
      </w:r>
      <w:r w:rsidR="00991170" w:rsidRPr="00E34CA5">
        <w:rPr>
          <w:rFonts w:asciiTheme="minorHAnsi" w:eastAsia="Calibri" w:hAnsiTheme="minorHAnsi" w:cstheme="minorHAnsi"/>
          <w:sz w:val="28"/>
          <w:szCs w:val="28"/>
        </w:rPr>
        <w:t>aid</w:t>
      </w:r>
      <w:r w:rsidRPr="00E34CA5">
        <w:rPr>
          <w:rFonts w:asciiTheme="minorHAnsi" w:eastAsia="Calibri" w:hAnsiTheme="minorHAnsi" w:cstheme="minorHAnsi"/>
          <w:sz w:val="28"/>
          <w:szCs w:val="28"/>
        </w:rPr>
        <w:t xml:space="preserve"> in debiasing the investigatory process, it would incur significant cultural changes and rely heavily on additional resources or resource re-allocation (Liden, 2018). </w:t>
      </w:r>
    </w:p>
    <w:p w14:paraId="0CFB521D" w14:textId="77777777" w:rsidR="00E34CA5" w:rsidRPr="00E34CA5" w:rsidRDefault="00E34CA5" w:rsidP="0073143D">
      <w:pPr>
        <w:spacing w:line="276" w:lineRule="auto"/>
        <w:ind w:right="533" w:firstLine="720"/>
        <w:jc w:val="both"/>
        <w:rPr>
          <w:rFonts w:asciiTheme="minorHAnsi" w:eastAsia="Calibri" w:hAnsiTheme="minorHAnsi" w:cstheme="minorHAnsi"/>
          <w:sz w:val="28"/>
          <w:szCs w:val="28"/>
        </w:rPr>
      </w:pPr>
    </w:p>
    <w:p w14:paraId="2089C887" w14:textId="77777777" w:rsidR="00E34CA5" w:rsidRPr="00E34CA5" w:rsidRDefault="00E34CA5" w:rsidP="0073143D">
      <w:pPr>
        <w:spacing w:line="276" w:lineRule="auto"/>
        <w:ind w:right="533" w:firstLine="720"/>
        <w:jc w:val="both"/>
        <w:rPr>
          <w:rFonts w:asciiTheme="minorHAnsi" w:eastAsia="Calibri" w:hAnsiTheme="minorHAnsi" w:cstheme="minorHAnsi"/>
          <w:sz w:val="28"/>
          <w:szCs w:val="28"/>
        </w:rPr>
      </w:pPr>
      <w:r w:rsidRPr="00E34CA5">
        <w:rPr>
          <w:rFonts w:asciiTheme="minorHAnsi" w:eastAsia="Calibri" w:hAnsiTheme="minorHAnsi" w:cstheme="minorHAnsi"/>
          <w:sz w:val="28"/>
          <w:szCs w:val="28"/>
        </w:rPr>
        <w:t xml:space="preserve">Chin (2022) also offers scope into debiased interviews providing that the investigator sufficiently plans the interview. His study proposes that officers must accompany interview planning with a mindset towards goal setting and information gathering in an open-minded approach. This suggestion, Chin argues, presents officers with a greater awareness of investigatory gaps, weaknesses, and allows investigators to consider multiple hypotheses. Subsequently, this challenges problems with guilt presumption, as the investigator’s approach is to establish facts instead of culpability. </w:t>
      </w:r>
    </w:p>
    <w:p w14:paraId="60DE9A0A" w14:textId="77777777" w:rsidR="00E34CA5" w:rsidRPr="00E34CA5" w:rsidRDefault="00E34CA5" w:rsidP="0073143D">
      <w:pPr>
        <w:spacing w:line="276" w:lineRule="auto"/>
        <w:ind w:right="533" w:firstLine="720"/>
        <w:jc w:val="both"/>
        <w:rPr>
          <w:rFonts w:asciiTheme="minorHAnsi" w:eastAsia="Calibri" w:hAnsiTheme="minorHAnsi" w:cstheme="minorHAnsi"/>
          <w:sz w:val="28"/>
          <w:szCs w:val="28"/>
        </w:rPr>
      </w:pPr>
    </w:p>
    <w:p w14:paraId="58C97B4E" w14:textId="4363512A" w:rsidR="00B1615F" w:rsidRPr="004F6EB2" w:rsidRDefault="00E34CA5" w:rsidP="0073143D">
      <w:pPr>
        <w:spacing w:line="276" w:lineRule="auto"/>
        <w:ind w:right="533" w:firstLine="720"/>
        <w:jc w:val="both"/>
        <w:rPr>
          <w:rFonts w:asciiTheme="minorHAnsi" w:eastAsia="Calibri" w:hAnsiTheme="minorHAnsi" w:cstheme="minorHAnsi"/>
          <w:sz w:val="28"/>
          <w:szCs w:val="28"/>
        </w:rPr>
      </w:pPr>
      <w:r w:rsidRPr="00E34CA5">
        <w:rPr>
          <w:rFonts w:asciiTheme="minorHAnsi" w:eastAsia="Calibri" w:hAnsiTheme="minorHAnsi" w:cstheme="minorHAnsi"/>
          <w:sz w:val="28"/>
          <w:szCs w:val="28"/>
        </w:rPr>
        <w:t xml:space="preserve">This approach relies on the interviewer to generate a strong rapport with the suspect, which may be problematic for new or inexperienced officers, where more experienced </w:t>
      </w:r>
      <w:r w:rsidR="006B5F9D">
        <w:rPr>
          <w:rFonts w:asciiTheme="minorHAnsi" w:eastAsia="Calibri" w:hAnsiTheme="minorHAnsi" w:cstheme="minorHAnsi"/>
          <w:sz w:val="28"/>
          <w:szCs w:val="28"/>
        </w:rPr>
        <w:t xml:space="preserve">or </w:t>
      </w:r>
      <w:r w:rsidRPr="00E34CA5">
        <w:rPr>
          <w:rFonts w:asciiTheme="minorHAnsi" w:eastAsia="Calibri" w:hAnsiTheme="minorHAnsi" w:cstheme="minorHAnsi"/>
          <w:sz w:val="28"/>
          <w:szCs w:val="28"/>
        </w:rPr>
        <w:t>extraverted</w:t>
      </w:r>
      <w:r w:rsidR="006B5F9D">
        <w:rPr>
          <w:rFonts w:asciiTheme="minorHAnsi" w:eastAsia="Calibri" w:hAnsiTheme="minorHAnsi" w:cstheme="minorHAnsi"/>
          <w:sz w:val="28"/>
          <w:szCs w:val="28"/>
        </w:rPr>
        <w:t xml:space="preserve"> officers</w:t>
      </w:r>
      <w:r w:rsidRPr="00E34CA5">
        <w:rPr>
          <w:rFonts w:asciiTheme="minorHAnsi" w:eastAsia="Calibri" w:hAnsiTheme="minorHAnsi" w:cstheme="minorHAnsi"/>
          <w:sz w:val="28"/>
          <w:szCs w:val="28"/>
        </w:rPr>
        <w:t xml:space="preserve"> may flourish (Howes, 2020; Dando, 2009). Nonetheless, by moving away from guilt orientated questions and towards open-ended questions such as ‘</w:t>
      </w:r>
      <w:r w:rsidRPr="00E34CA5">
        <w:rPr>
          <w:rFonts w:asciiTheme="minorHAnsi" w:eastAsia="Calibri" w:hAnsiTheme="minorHAnsi" w:cstheme="minorHAnsi"/>
          <w:i/>
          <w:iCs/>
          <w:sz w:val="28"/>
          <w:szCs w:val="28"/>
        </w:rPr>
        <w:t>tell me; explain to me; describe to me</w:t>
      </w:r>
      <w:r w:rsidRPr="00E34CA5">
        <w:rPr>
          <w:rFonts w:asciiTheme="minorHAnsi" w:eastAsia="Calibri" w:hAnsiTheme="minorHAnsi" w:cstheme="minorHAnsi"/>
          <w:sz w:val="28"/>
          <w:szCs w:val="28"/>
        </w:rPr>
        <w:t xml:space="preserve">’, it </w:t>
      </w:r>
      <w:r w:rsidR="00EC2F2F">
        <w:rPr>
          <w:rFonts w:asciiTheme="minorHAnsi" w:eastAsia="Calibri" w:hAnsiTheme="minorHAnsi" w:cstheme="minorHAnsi"/>
          <w:sz w:val="28"/>
          <w:szCs w:val="28"/>
        </w:rPr>
        <w:t xml:space="preserve">reduces </w:t>
      </w:r>
      <w:r w:rsidRPr="00E34CA5">
        <w:rPr>
          <w:rFonts w:asciiTheme="minorHAnsi" w:eastAsia="Calibri" w:hAnsiTheme="minorHAnsi" w:cstheme="minorHAnsi"/>
          <w:sz w:val="28"/>
          <w:szCs w:val="28"/>
        </w:rPr>
        <w:t xml:space="preserve">‘cognitive load’ </w:t>
      </w:r>
      <w:proofErr w:type="gramStart"/>
      <w:r w:rsidRPr="00E34CA5">
        <w:rPr>
          <w:rFonts w:asciiTheme="minorHAnsi" w:eastAsia="Calibri" w:hAnsiTheme="minorHAnsi" w:cstheme="minorHAnsi"/>
          <w:sz w:val="28"/>
          <w:szCs w:val="28"/>
        </w:rPr>
        <w:t xml:space="preserve">off </w:t>
      </w:r>
      <w:r w:rsidR="00EC2F2F">
        <w:rPr>
          <w:rFonts w:asciiTheme="minorHAnsi" w:eastAsia="Calibri" w:hAnsiTheme="minorHAnsi" w:cstheme="minorHAnsi"/>
          <w:sz w:val="28"/>
          <w:szCs w:val="28"/>
        </w:rPr>
        <w:t>of</w:t>
      </w:r>
      <w:proofErr w:type="gramEnd"/>
      <w:r w:rsidR="00EC2F2F">
        <w:rPr>
          <w:rFonts w:asciiTheme="minorHAnsi" w:eastAsia="Calibri" w:hAnsiTheme="minorHAnsi" w:cstheme="minorHAnsi"/>
          <w:sz w:val="28"/>
          <w:szCs w:val="28"/>
        </w:rPr>
        <w:t xml:space="preserve"> </w:t>
      </w:r>
      <w:r w:rsidRPr="00E34CA5">
        <w:rPr>
          <w:rFonts w:asciiTheme="minorHAnsi" w:eastAsia="Calibri" w:hAnsiTheme="minorHAnsi" w:cstheme="minorHAnsi"/>
          <w:sz w:val="28"/>
          <w:szCs w:val="28"/>
        </w:rPr>
        <w:t xml:space="preserve">the investigator and instead </w:t>
      </w:r>
      <w:r w:rsidR="00EC2F2F">
        <w:rPr>
          <w:rFonts w:asciiTheme="minorHAnsi" w:eastAsia="Calibri" w:hAnsiTheme="minorHAnsi" w:cstheme="minorHAnsi"/>
          <w:sz w:val="28"/>
          <w:szCs w:val="28"/>
        </w:rPr>
        <w:t xml:space="preserve">the onus </w:t>
      </w:r>
      <w:r w:rsidRPr="00E34CA5">
        <w:rPr>
          <w:rFonts w:asciiTheme="minorHAnsi" w:eastAsia="Calibri" w:hAnsiTheme="minorHAnsi" w:cstheme="minorHAnsi"/>
          <w:sz w:val="28"/>
          <w:szCs w:val="28"/>
        </w:rPr>
        <w:t xml:space="preserve">onto the interviewee. </w:t>
      </w:r>
    </w:p>
    <w:p w14:paraId="55BBDF84" w14:textId="77777777" w:rsidR="00B1615F" w:rsidRPr="004F6EB2" w:rsidRDefault="00B1615F" w:rsidP="0073143D">
      <w:pPr>
        <w:spacing w:line="276" w:lineRule="auto"/>
        <w:ind w:right="533" w:firstLine="720"/>
        <w:jc w:val="both"/>
        <w:rPr>
          <w:rFonts w:asciiTheme="minorHAnsi" w:eastAsia="Calibri" w:hAnsiTheme="minorHAnsi" w:cstheme="minorHAnsi"/>
          <w:sz w:val="28"/>
          <w:szCs w:val="28"/>
        </w:rPr>
      </w:pPr>
    </w:p>
    <w:p w14:paraId="56C857E9" w14:textId="203BA665" w:rsidR="00E34CA5" w:rsidRPr="00E34CA5" w:rsidRDefault="00E34CA5" w:rsidP="0073143D">
      <w:pPr>
        <w:spacing w:line="276" w:lineRule="auto"/>
        <w:ind w:right="533" w:firstLine="720"/>
        <w:jc w:val="both"/>
        <w:rPr>
          <w:rFonts w:asciiTheme="minorHAnsi" w:eastAsia="Calibri" w:hAnsiTheme="minorHAnsi" w:cstheme="minorHAnsi"/>
          <w:sz w:val="28"/>
          <w:szCs w:val="28"/>
        </w:rPr>
      </w:pPr>
      <w:r w:rsidRPr="00E34CA5">
        <w:rPr>
          <w:rFonts w:asciiTheme="minorHAnsi" w:eastAsia="Calibri" w:hAnsiTheme="minorHAnsi" w:cstheme="minorHAnsi"/>
          <w:sz w:val="28"/>
          <w:szCs w:val="28"/>
        </w:rPr>
        <w:t xml:space="preserve">‘Cognitive load’, or the stress related to disseminating information and making policing decisions, contributes to our biases (Liden, 2018). By </w:t>
      </w:r>
      <w:r w:rsidRPr="00E34CA5">
        <w:rPr>
          <w:rFonts w:asciiTheme="minorHAnsi" w:eastAsia="Calibri" w:hAnsiTheme="minorHAnsi" w:cstheme="minorHAnsi"/>
          <w:sz w:val="28"/>
          <w:szCs w:val="28"/>
        </w:rPr>
        <w:lastRenderedPageBreak/>
        <w:t>reducing that factor, therefore, investigators can remove accusatory stances, where the suspect is likely to be resistant to police enquiries, and instead, obtain more reliable accounts that are produced ethically and fairly (Chin, 2022). Consequently, this aims to resolve issues with false confessions and works to build public trust and confidence towards policing</w:t>
      </w:r>
      <w:r w:rsidR="00AA605F" w:rsidRPr="00E34CA5">
        <w:rPr>
          <w:rFonts w:asciiTheme="minorHAnsi" w:eastAsia="Calibri" w:hAnsiTheme="minorHAnsi" w:cstheme="minorHAnsi"/>
          <w:sz w:val="28"/>
          <w:szCs w:val="28"/>
        </w:rPr>
        <w:t xml:space="preserve">. </w:t>
      </w:r>
      <w:r w:rsidRPr="00E34CA5">
        <w:rPr>
          <w:rFonts w:asciiTheme="minorHAnsi" w:eastAsia="Calibri" w:hAnsiTheme="minorHAnsi" w:cstheme="minorHAnsi"/>
          <w:sz w:val="28"/>
          <w:szCs w:val="28"/>
        </w:rPr>
        <w:t xml:space="preserve"> </w:t>
      </w:r>
    </w:p>
    <w:p w14:paraId="5EE15D29" w14:textId="77777777" w:rsidR="00E34CA5" w:rsidRPr="00E34CA5" w:rsidRDefault="00E34CA5" w:rsidP="0073143D">
      <w:pPr>
        <w:spacing w:line="276" w:lineRule="auto"/>
        <w:ind w:right="533" w:firstLine="720"/>
        <w:jc w:val="both"/>
        <w:rPr>
          <w:rFonts w:asciiTheme="minorHAnsi" w:eastAsia="Calibri" w:hAnsiTheme="minorHAnsi" w:cstheme="minorHAnsi"/>
          <w:sz w:val="28"/>
          <w:szCs w:val="28"/>
        </w:rPr>
      </w:pPr>
    </w:p>
    <w:p w14:paraId="06BFCDBB" w14:textId="2101FA19" w:rsidR="00E34CA5" w:rsidRPr="00E34CA5" w:rsidRDefault="008B7ABD" w:rsidP="0073143D">
      <w:pPr>
        <w:spacing w:line="276" w:lineRule="auto"/>
        <w:ind w:right="533" w:firstLine="720"/>
        <w:jc w:val="both"/>
        <w:rPr>
          <w:rFonts w:asciiTheme="minorHAnsi" w:eastAsia="Calibri" w:hAnsiTheme="minorHAnsi" w:cstheme="minorHAnsi"/>
          <w:sz w:val="28"/>
          <w:szCs w:val="28"/>
        </w:rPr>
      </w:pPr>
      <w:r>
        <w:rPr>
          <w:rFonts w:asciiTheme="minorHAnsi" w:eastAsia="Calibri" w:hAnsiTheme="minorHAnsi" w:cstheme="minorHAnsi"/>
          <w:sz w:val="28"/>
          <w:szCs w:val="28"/>
        </w:rPr>
        <w:t>The above model</w:t>
      </w:r>
      <w:r w:rsidR="00E34CA5" w:rsidRPr="00E34CA5">
        <w:rPr>
          <w:rFonts w:asciiTheme="minorHAnsi" w:eastAsia="Calibri" w:hAnsiTheme="minorHAnsi" w:cstheme="minorHAnsi"/>
          <w:sz w:val="28"/>
          <w:szCs w:val="28"/>
        </w:rPr>
        <w:t xml:space="preserve"> is </w:t>
      </w:r>
      <w:r w:rsidR="00E07BE1" w:rsidRPr="00E34CA5">
        <w:rPr>
          <w:rFonts w:asciiTheme="minorHAnsi" w:eastAsia="Calibri" w:hAnsiTheme="minorHAnsi" w:cstheme="minorHAnsi"/>
          <w:sz w:val="28"/>
          <w:szCs w:val="28"/>
        </w:rPr>
        <w:t>like</w:t>
      </w:r>
      <w:r w:rsidR="00E34CA5" w:rsidRPr="00E34CA5">
        <w:rPr>
          <w:rFonts w:asciiTheme="minorHAnsi" w:eastAsia="Calibri" w:hAnsiTheme="minorHAnsi" w:cstheme="minorHAnsi"/>
          <w:sz w:val="28"/>
          <w:szCs w:val="28"/>
        </w:rPr>
        <w:t xml:space="preserve"> the five-phase model known as PEACE (Planning and Preparation; Engage and Explain; Account, clarification, and a challenge; Closure; </w:t>
      </w:r>
      <w:r w:rsidR="008C3072" w:rsidRPr="00E34CA5">
        <w:rPr>
          <w:rFonts w:asciiTheme="minorHAnsi" w:eastAsia="Calibri" w:hAnsiTheme="minorHAnsi" w:cstheme="minorHAnsi"/>
          <w:sz w:val="28"/>
          <w:szCs w:val="28"/>
        </w:rPr>
        <w:t>and</w:t>
      </w:r>
      <w:r w:rsidR="00E34CA5" w:rsidRPr="00E34CA5">
        <w:rPr>
          <w:rFonts w:asciiTheme="minorHAnsi" w:eastAsia="Calibri" w:hAnsiTheme="minorHAnsi" w:cstheme="minorHAnsi"/>
          <w:sz w:val="28"/>
          <w:szCs w:val="28"/>
        </w:rPr>
        <w:t xml:space="preserve"> Evaluation) and Conversation Management models delivered in the UK by officers (Howes, 2020). The PEACE model was brought in as a response to “injustices associated with more coercive forms of interviewing”. Key to the PEACE model is </w:t>
      </w:r>
      <w:r w:rsidR="008C3072" w:rsidRPr="00E34CA5">
        <w:rPr>
          <w:rFonts w:asciiTheme="minorHAnsi" w:eastAsia="Calibri" w:hAnsiTheme="minorHAnsi" w:cstheme="minorHAnsi"/>
          <w:sz w:val="28"/>
          <w:szCs w:val="28"/>
        </w:rPr>
        <w:t>its</w:t>
      </w:r>
      <w:r w:rsidR="00E34CA5" w:rsidRPr="00E34CA5">
        <w:rPr>
          <w:rFonts w:asciiTheme="minorHAnsi" w:eastAsia="Calibri" w:hAnsiTheme="minorHAnsi" w:cstheme="minorHAnsi"/>
          <w:sz w:val="28"/>
          <w:szCs w:val="28"/>
        </w:rPr>
        <w:t xml:space="preserve"> focus on the cognitive errors addressed above, where the ‘cognitive load’ is placed on the interviewee for memory retrieval and recall. Due to </w:t>
      </w:r>
      <w:r w:rsidR="008C3072" w:rsidRPr="00E34CA5">
        <w:rPr>
          <w:rFonts w:asciiTheme="minorHAnsi" w:eastAsia="Calibri" w:hAnsiTheme="minorHAnsi" w:cstheme="minorHAnsi"/>
          <w:sz w:val="28"/>
          <w:szCs w:val="28"/>
        </w:rPr>
        <w:t>its</w:t>
      </w:r>
      <w:r w:rsidR="00E34CA5" w:rsidRPr="00E34CA5">
        <w:rPr>
          <w:rFonts w:asciiTheme="minorHAnsi" w:eastAsia="Calibri" w:hAnsiTheme="minorHAnsi" w:cstheme="minorHAnsi"/>
          <w:sz w:val="28"/>
          <w:szCs w:val="28"/>
        </w:rPr>
        <w:t xml:space="preserve"> success, this model </w:t>
      </w:r>
      <w:r w:rsidR="009B5710">
        <w:rPr>
          <w:rFonts w:asciiTheme="minorHAnsi" w:eastAsia="Calibri" w:hAnsiTheme="minorHAnsi" w:cstheme="minorHAnsi"/>
          <w:sz w:val="28"/>
          <w:szCs w:val="28"/>
        </w:rPr>
        <w:t>has</w:t>
      </w:r>
      <w:r w:rsidR="00E34CA5" w:rsidRPr="00E34CA5">
        <w:rPr>
          <w:rFonts w:asciiTheme="minorHAnsi" w:eastAsia="Calibri" w:hAnsiTheme="minorHAnsi" w:cstheme="minorHAnsi"/>
          <w:sz w:val="28"/>
          <w:szCs w:val="28"/>
        </w:rPr>
        <w:t xml:space="preserve"> been adopted to police forces around the world. </w:t>
      </w:r>
    </w:p>
    <w:p w14:paraId="07443EA0" w14:textId="77777777" w:rsidR="00E34CA5" w:rsidRPr="00E34CA5" w:rsidRDefault="00E34CA5" w:rsidP="0073143D">
      <w:pPr>
        <w:spacing w:line="276" w:lineRule="auto"/>
        <w:ind w:right="533" w:firstLine="720"/>
        <w:jc w:val="both"/>
        <w:rPr>
          <w:rFonts w:asciiTheme="minorHAnsi" w:eastAsia="Calibri" w:hAnsiTheme="minorHAnsi" w:cstheme="minorHAnsi"/>
          <w:sz w:val="28"/>
          <w:szCs w:val="28"/>
        </w:rPr>
      </w:pPr>
    </w:p>
    <w:p w14:paraId="621A1B44" w14:textId="0250E78C" w:rsidR="00007C7D" w:rsidRDefault="00007C7D" w:rsidP="00007C7D">
      <w:pPr>
        <w:spacing w:line="276" w:lineRule="auto"/>
        <w:ind w:right="533" w:firstLine="720"/>
        <w:jc w:val="both"/>
        <w:rPr>
          <w:rFonts w:asciiTheme="minorHAnsi" w:eastAsia="Calibri" w:hAnsiTheme="minorHAnsi" w:cstheme="minorHAnsi"/>
          <w:sz w:val="28"/>
          <w:szCs w:val="28"/>
        </w:rPr>
      </w:pPr>
      <w:r w:rsidRPr="00E34CA5">
        <w:rPr>
          <w:rFonts w:asciiTheme="minorHAnsi" w:eastAsia="Calibri" w:hAnsiTheme="minorHAnsi" w:cstheme="minorHAnsi"/>
          <w:sz w:val="28"/>
          <w:szCs w:val="28"/>
        </w:rPr>
        <w:t xml:space="preserve">In conclusion, this essay </w:t>
      </w:r>
      <w:r>
        <w:rPr>
          <w:rFonts w:asciiTheme="minorHAnsi" w:eastAsia="Calibri" w:hAnsiTheme="minorHAnsi" w:cstheme="minorHAnsi"/>
          <w:sz w:val="28"/>
          <w:szCs w:val="28"/>
        </w:rPr>
        <w:t xml:space="preserve">highlights how </w:t>
      </w:r>
      <w:r w:rsidRPr="00E34CA5">
        <w:rPr>
          <w:rFonts w:asciiTheme="minorHAnsi" w:eastAsia="Calibri" w:hAnsiTheme="minorHAnsi" w:cstheme="minorHAnsi"/>
          <w:sz w:val="28"/>
          <w:szCs w:val="28"/>
        </w:rPr>
        <w:t xml:space="preserve">officers </w:t>
      </w:r>
      <w:r>
        <w:rPr>
          <w:rFonts w:asciiTheme="minorHAnsi" w:eastAsia="Calibri" w:hAnsiTheme="minorHAnsi" w:cstheme="minorHAnsi"/>
          <w:sz w:val="28"/>
          <w:szCs w:val="28"/>
        </w:rPr>
        <w:t>can work towards debiased investigations. The work herein demonstrates the strict and concerted approaches required of investigators to achieve procedural fairness and improve the level of their investigations.</w:t>
      </w:r>
    </w:p>
    <w:p w14:paraId="540650B3" w14:textId="77777777" w:rsidR="00E34CA5" w:rsidRPr="00E34CA5" w:rsidRDefault="00E34CA5" w:rsidP="00E34CA5">
      <w:pPr>
        <w:spacing w:line="276" w:lineRule="auto"/>
        <w:ind w:right="531"/>
        <w:rPr>
          <w:rFonts w:asciiTheme="minorHAnsi" w:eastAsia="Calibri" w:hAnsiTheme="minorHAnsi" w:cstheme="minorHAnsi"/>
          <w:sz w:val="28"/>
          <w:szCs w:val="28"/>
        </w:rPr>
      </w:pPr>
    </w:p>
    <w:p w14:paraId="1152D692" w14:textId="48380756" w:rsidR="00E34CA5" w:rsidRPr="00E34CA5" w:rsidRDefault="00E34CA5" w:rsidP="00E34CA5">
      <w:pPr>
        <w:spacing w:line="276" w:lineRule="auto"/>
        <w:ind w:right="531"/>
        <w:jc w:val="right"/>
        <w:rPr>
          <w:rFonts w:asciiTheme="minorHAnsi" w:eastAsia="Calibri" w:hAnsiTheme="minorHAnsi" w:cstheme="minorHAnsi"/>
          <w:sz w:val="28"/>
          <w:szCs w:val="28"/>
        </w:rPr>
      </w:pPr>
      <w:r w:rsidRPr="00E34CA5">
        <w:rPr>
          <w:rFonts w:asciiTheme="minorHAnsi" w:eastAsia="Calibri" w:hAnsiTheme="minorHAnsi" w:cstheme="minorHAnsi"/>
          <w:sz w:val="28"/>
          <w:szCs w:val="28"/>
        </w:rPr>
        <w:t xml:space="preserve">Words: </w:t>
      </w:r>
      <w:r w:rsidR="00156850">
        <w:rPr>
          <w:rFonts w:asciiTheme="minorHAnsi" w:eastAsia="Calibri" w:hAnsiTheme="minorHAnsi" w:cstheme="minorHAnsi"/>
          <w:sz w:val="28"/>
          <w:szCs w:val="28"/>
        </w:rPr>
        <w:t>109</w:t>
      </w:r>
      <w:r w:rsidR="009B5710">
        <w:rPr>
          <w:rFonts w:asciiTheme="minorHAnsi" w:eastAsia="Calibri" w:hAnsiTheme="minorHAnsi" w:cstheme="minorHAnsi"/>
          <w:sz w:val="28"/>
          <w:szCs w:val="28"/>
        </w:rPr>
        <w:t>5</w:t>
      </w:r>
    </w:p>
    <w:p w14:paraId="62637367" w14:textId="327CC001" w:rsidR="00E34CA5" w:rsidRPr="004F6EB2" w:rsidRDefault="00E34CA5" w:rsidP="00E34CA5">
      <w:pPr>
        <w:spacing w:line="276" w:lineRule="auto"/>
        <w:ind w:right="531"/>
        <w:rPr>
          <w:rFonts w:asciiTheme="minorHAnsi" w:eastAsia="Calibri" w:hAnsiTheme="minorHAnsi" w:cstheme="minorHAnsi"/>
          <w:sz w:val="28"/>
          <w:szCs w:val="28"/>
        </w:rPr>
      </w:pPr>
    </w:p>
    <w:p w14:paraId="76DEC764" w14:textId="5B945025" w:rsidR="00E34CA5" w:rsidRPr="004F6EB2" w:rsidRDefault="00E34CA5" w:rsidP="00E34CA5">
      <w:pPr>
        <w:spacing w:line="276" w:lineRule="auto"/>
        <w:ind w:right="531"/>
        <w:rPr>
          <w:rFonts w:asciiTheme="minorHAnsi" w:eastAsia="Calibri" w:hAnsiTheme="minorHAnsi" w:cstheme="minorHAnsi"/>
          <w:sz w:val="28"/>
          <w:szCs w:val="28"/>
        </w:rPr>
      </w:pPr>
    </w:p>
    <w:p w14:paraId="63D38F5B" w14:textId="462F6FD3" w:rsidR="00E34CA5" w:rsidRPr="004F6EB2" w:rsidRDefault="00E34CA5" w:rsidP="00E34CA5">
      <w:pPr>
        <w:spacing w:line="276" w:lineRule="auto"/>
        <w:ind w:right="531"/>
        <w:rPr>
          <w:rFonts w:asciiTheme="minorHAnsi" w:eastAsia="Calibri" w:hAnsiTheme="minorHAnsi" w:cstheme="minorHAnsi"/>
          <w:sz w:val="28"/>
          <w:szCs w:val="28"/>
        </w:rPr>
      </w:pPr>
    </w:p>
    <w:p w14:paraId="24E1BC5C" w14:textId="0303CC93" w:rsidR="00E34CA5" w:rsidRPr="004F6EB2" w:rsidRDefault="00E34CA5" w:rsidP="00E34CA5">
      <w:pPr>
        <w:spacing w:line="276" w:lineRule="auto"/>
        <w:ind w:right="531"/>
        <w:rPr>
          <w:rFonts w:asciiTheme="minorHAnsi" w:eastAsia="Calibri" w:hAnsiTheme="minorHAnsi" w:cstheme="minorHAnsi"/>
          <w:sz w:val="28"/>
          <w:szCs w:val="28"/>
        </w:rPr>
      </w:pPr>
    </w:p>
    <w:p w14:paraId="43CBCAE4" w14:textId="7C335C1A" w:rsidR="00E34CA5" w:rsidRPr="004F6EB2" w:rsidRDefault="00E34CA5" w:rsidP="00E34CA5">
      <w:pPr>
        <w:spacing w:line="276" w:lineRule="auto"/>
        <w:ind w:right="531"/>
        <w:rPr>
          <w:rFonts w:asciiTheme="minorHAnsi" w:eastAsia="Calibri" w:hAnsiTheme="minorHAnsi" w:cstheme="minorHAnsi"/>
          <w:sz w:val="28"/>
          <w:szCs w:val="28"/>
        </w:rPr>
      </w:pPr>
    </w:p>
    <w:p w14:paraId="59614908" w14:textId="043B8DDA" w:rsidR="00E34CA5" w:rsidRPr="004F6EB2" w:rsidRDefault="00E34CA5" w:rsidP="00E34CA5">
      <w:pPr>
        <w:spacing w:line="276" w:lineRule="auto"/>
        <w:ind w:right="531"/>
        <w:rPr>
          <w:rFonts w:asciiTheme="minorHAnsi" w:eastAsia="Calibri" w:hAnsiTheme="minorHAnsi" w:cstheme="minorHAnsi"/>
          <w:sz w:val="28"/>
          <w:szCs w:val="28"/>
        </w:rPr>
      </w:pPr>
    </w:p>
    <w:p w14:paraId="7BBDA4C8" w14:textId="5CCFECEC" w:rsidR="00E34CA5" w:rsidRDefault="00E34CA5" w:rsidP="00E34CA5">
      <w:pPr>
        <w:spacing w:line="276" w:lineRule="auto"/>
        <w:ind w:right="531"/>
        <w:rPr>
          <w:rFonts w:asciiTheme="minorHAnsi" w:eastAsia="Calibri" w:hAnsiTheme="minorHAnsi" w:cstheme="minorHAnsi"/>
          <w:sz w:val="28"/>
          <w:szCs w:val="28"/>
        </w:rPr>
      </w:pPr>
    </w:p>
    <w:p w14:paraId="2FC0FD3E" w14:textId="19BFEF65" w:rsidR="00041C9D" w:rsidRDefault="00041C9D" w:rsidP="00E34CA5">
      <w:pPr>
        <w:spacing w:line="276" w:lineRule="auto"/>
        <w:ind w:right="531"/>
        <w:rPr>
          <w:rFonts w:asciiTheme="minorHAnsi" w:eastAsia="Calibri" w:hAnsiTheme="minorHAnsi" w:cstheme="minorHAnsi"/>
          <w:sz w:val="28"/>
          <w:szCs w:val="28"/>
        </w:rPr>
      </w:pPr>
    </w:p>
    <w:p w14:paraId="734FAE2F" w14:textId="52DA3FA1" w:rsidR="00041C9D" w:rsidRDefault="00041C9D" w:rsidP="00E34CA5">
      <w:pPr>
        <w:spacing w:line="276" w:lineRule="auto"/>
        <w:ind w:right="531"/>
        <w:rPr>
          <w:rFonts w:asciiTheme="minorHAnsi" w:eastAsia="Calibri" w:hAnsiTheme="minorHAnsi" w:cstheme="minorHAnsi"/>
          <w:sz w:val="28"/>
          <w:szCs w:val="28"/>
        </w:rPr>
      </w:pPr>
    </w:p>
    <w:p w14:paraId="19C7D563" w14:textId="77777777" w:rsidR="00041C9D" w:rsidRPr="004F6EB2" w:rsidRDefault="00041C9D" w:rsidP="00E34CA5">
      <w:pPr>
        <w:spacing w:line="276" w:lineRule="auto"/>
        <w:ind w:right="531"/>
        <w:rPr>
          <w:rFonts w:asciiTheme="minorHAnsi" w:eastAsia="Calibri" w:hAnsiTheme="minorHAnsi" w:cstheme="minorHAnsi"/>
          <w:sz w:val="28"/>
          <w:szCs w:val="28"/>
        </w:rPr>
      </w:pPr>
    </w:p>
    <w:p w14:paraId="790F60D8" w14:textId="77777777" w:rsidR="009E1D83" w:rsidRPr="004F6EB2" w:rsidRDefault="009E1D83" w:rsidP="00E34CA5">
      <w:pPr>
        <w:spacing w:line="276" w:lineRule="auto"/>
        <w:ind w:left="567" w:right="531"/>
        <w:rPr>
          <w:rFonts w:asciiTheme="minorHAnsi" w:hAnsiTheme="minorHAnsi" w:cstheme="minorHAnsi"/>
          <w:sz w:val="28"/>
          <w:szCs w:val="28"/>
        </w:rPr>
      </w:pPr>
    </w:p>
    <w:p w14:paraId="2786BABF" w14:textId="77777777" w:rsidR="00911989" w:rsidRPr="004F6EB2" w:rsidRDefault="00911989" w:rsidP="00911989">
      <w:pPr>
        <w:spacing w:line="276" w:lineRule="auto"/>
        <w:ind w:right="531"/>
        <w:jc w:val="both"/>
        <w:rPr>
          <w:rFonts w:asciiTheme="minorHAnsi" w:eastAsia="Calibri" w:hAnsiTheme="minorHAnsi" w:cstheme="minorHAnsi"/>
          <w:b/>
          <w:bCs/>
          <w:sz w:val="28"/>
          <w:szCs w:val="28"/>
        </w:rPr>
      </w:pPr>
      <w:r w:rsidRPr="004F6EB2">
        <w:rPr>
          <w:rFonts w:asciiTheme="minorHAnsi" w:eastAsia="Calibri" w:hAnsiTheme="minorHAnsi" w:cstheme="minorHAnsi"/>
          <w:b/>
          <w:bCs/>
          <w:sz w:val="28"/>
          <w:szCs w:val="28"/>
        </w:rPr>
        <w:lastRenderedPageBreak/>
        <w:t>What characteristics or factors increase the risk of exploitation by Serious or Organised Crime Gangs? Your answer should examine both the psychological and socio-economic characteristics of victims of exploitation.</w:t>
      </w:r>
    </w:p>
    <w:p w14:paraId="76B70621" w14:textId="77777777" w:rsidR="00911989" w:rsidRPr="004F6EB2" w:rsidRDefault="00911989" w:rsidP="00911989">
      <w:pPr>
        <w:spacing w:line="276" w:lineRule="auto"/>
        <w:ind w:firstLine="720"/>
        <w:jc w:val="both"/>
        <w:rPr>
          <w:rFonts w:asciiTheme="minorHAnsi" w:hAnsiTheme="minorHAnsi" w:cstheme="minorHAnsi"/>
          <w:sz w:val="28"/>
          <w:szCs w:val="28"/>
        </w:rPr>
      </w:pPr>
    </w:p>
    <w:p w14:paraId="66730A89" w14:textId="48670252" w:rsidR="00911989" w:rsidRPr="004F6EB2" w:rsidRDefault="00911989" w:rsidP="00911989">
      <w:pPr>
        <w:spacing w:line="276" w:lineRule="auto"/>
        <w:jc w:val="both"/>
        <w:rPr>
          <w:rFonts w:asciiTheme="minorHAnsi" w:hAnsiTheme="minorHAnsi" w:cstheme="minorHAnsi"/>
          <w:sz w:val="28"/>
          <w:szCs w:val="28"/>
        </w:rPr>
      </w:pPr>
      <w:r w:rsidRPr="004F6EB2">
        <w:rPr>
          <w:rFonts w:asciiTheme="minorHAnsi" w:hAnsiTheme="minorHAnsi" w:cstheme="minorHAnsi"/>
          <w:sz w:val="28"/>
          <w:szCs w:val="28"/>
        </w:rPr>
        <w:t>This essay will illustrate how victims are exploited by Organised Crime Gangs and will use County Lines as a thematic lens into exploring psychological and socio-economic factors which increase vulnerability</w:t>
      </w:r>
      <w:r w:rsidR="009B5710">
        <w:rPr>
          <w:rFonts w:asciiTheme="minorHAnsi" w:hAnsiTheme="minorHAnsi" w:cstheme="minorHAnsi"/>
          <w:sz w:val="28"/>
          <w:szCs w:val="28"/>
        </w:rPr>
        <w:t xml:space="preserve"> among children</w:t>
      </w:r>
      <w:r w:rsidRPr="004F6EB2">
        <w:rPr>
          <w:rFonts w:asciiTheme="minorHAnsi" w:hAnsiTheme="minorHAnsi" w:cstheme="minorHAnsi"/>
          <w:sz w:val="28"/>
          <w:szCs w:val="28"/>
        </w:rPr>
        <w:t>.</w:t>
      </w:r>
    </w:p>
    <w:p w14:paraId="66680EFF" w14:textId="77777777" w:rsidR="00911989" w:rsidRPr="004F6EB2" w:rsidRDefault="00911989" w:rsidP="00911989">
      <w:pPr>
        <w:spacing w:line="276" w:lineRule="auto"/>
        <w:ind w:firstLine="720"/>
        <w:jc w:val="both"/>
        <w:rPr>
          <w:rFonts w:asciiTheme="minorHAnsi" w:hAnsiTheme="minorHAnsi" w:cstheme="minorHAnsi"/>
          <w:sz w:val="28"/>
          <w:szCs w:val="28"/>
        </w:rPr>
      </w:pPr>
    </w:p>
    <w:p w14:paraId="411435B0" w14:textId="77777777" w:rsidR="00911989" w:rsidRPr="004F6EB2" w:rsidRDefault="00911989" w:rsidP="00911989">
      <w:pPr>
        <w:spacing w:line="276" w:lineRule="auto"/>
        <w:ind w:firstLine="720"/>
        <w:jc w:val="both"/>
        <w:rPr>
          <w:rFonts w:asciiTheme="minorHAnsi" w:hAnsiTheme="minorHAnsi" w:cstheme="minorHAnsi"/>
          <w:sz w:val="28"/>
          <w:szCs w:val="28"/>
          <w:shd w:val="clear" w:color="auto" w:fill="FFFFFF"/>
        </w:rPr>
      </w:pPr>
      <w:r>
        <w:rPr>
          <w:rFonts w:asciiTheme="minorHAnsi" w:hAnsiTheme="minorHAnsi" w:cstheme="minorHAnsi"/>
          <w:sz w:val="28"/>
          <w:szCs w:val="28"/>
        </w:rPr>
        <w:t>Legally</w:t>
      </w:r>
      <w:r w:rsidRPr="004F6EB2">
        <w:rPr>
          <w:rFonts w:asciiTheme="minorHAnsi" w:hAnsiTheme="minorHAnsi" w:cstheme="minorHAnsi"/>
          <w:sz w:val="28"/>
          <w:szCs w:val="28"/>
        </w:rPr>
        <w:t xml:space="preserve"> defin</w:t>
      </w:r>
      <w:r>
        <w:rPr>
          <w:rFonts w:asciiTheme="minorHAnsi" w:hAnsiTheme="minorHAnsi" w:cstheme="minorHAnsi"/>
          <w:sz w:val="28"/>
          <w:szCs w:val="28"/>
        </w:rPr>
        <w:t>ed:</w:t>
      </w:r>
      <w:r w:rsidRPr="004F6EB2">
        <w:rPr>
          <w:rFonts w:asciiTheme="minorHAnsi" w:hAnsiTheme="minorHAnsi" w:cstheme="minorHAnsi"/>
          <w:sz w:val="28"/>
          <w:szCs w:val="28"/>
        </w:rPr>
        <w:t xml:space="preserve"> Organised Crime Gangs (OCGs) as explained in s.45 of the Serious Crime Act, 2015, is a group of three or more persons who act </w:t>
      </w:r>
      <w:r w:rsidRPr="004F6EB2">
        <w:rPr>
          <w:rFonts w:asciiTheme="minorHAnsi" w:hAnsiTheme="minorHAnsi" w:cstheme="minorHAnsi"/>
          <w:color w:val="000000"/>
          <w:sz w:val="28"/>
          <w:szCs w:val="28"/>
          <w:shd w:val="clear" w:color="auto" w:fill="FFFFFF"/>
        </w:rPr>
        <w:t xml:space="preserve">or agree to act, </w:t>
      </w:r>
      <w:r w:rsidRPr="004F6EB2">
        <w:rPr>
          <w:rFonts w:asciiTheme="minorHAnsi" w:hAnsiTheme="minorHAnsi" w:cstheme="minorHAnsi"/>
          <w:sz w:val="28"/>
          <w:szCs w:val="28"/>
          <w:shd w:val="clear" w:color="auto" w:fill="FFFFFF"/>
        </w:rPr>
        <w:t xml:space="preserve">together, to pursue criminal activities. Due to not being the sole actions of one actor, OCGs have a more sophisticated approach to crime and their activities become imbedded to their operational areas as a result (Spicer, 2018). </w:t>
      </w:r>
    </w:p>
    <w:p w14:paraId="3F5C6DBD" w14:textId="77777777" w:rsidR="00911989" w:rsidRPr="004F6EB2" w:rsidRDefault="00911989" w:rsidP="00911989">
      <w:pPr>
        <w:spacing w:line="276" w:lineRule="auto"/>
        <w:ind w:firstLine="720"/>
        <w:jc w:val="both"/>
        <w:rPr>
          <w:rFonts w:asciiTheme="minorHAnsi" w:hAnsiTheme="minorHAnsi" w:cstheme="minorHAnsi"/>
          <w:sz w:val="28"/>
          <w:szCs w:val="28"/>
          <w:shd w:val="clear" w:color="auto" w:fill="FFFFFF"/>
        </w:rPr>
      </w:pPr>
    </w:p>
    <w:p w14:paraId="57EACC77" w14:textId="171EA2C2" w:rsidR="00911989" w:rsidRPr="004F6EB2" w:rsidRDefault="00911989" w:rsidP="00911989">
      <w:pPr>
        <w:spacing w:line="276" w:lineRule="auto"/>
        <w:ind w:firstLine="720"/>
        <w:jc w:val="both"/>
        <w:rPr>
          <w:rFonts w:asciiTheme="minorHAnsi" w:hAnsiTheme="minorHAnsi" w:cstheme="minorHAnsi"/>
          <w:sz w:val="28"/>
          <w:szCs w:val="28"/>
          <w:shd w:val="clear" w:color="auto" w:fill="FFFFFF"/>
        </w:rPr>
      </w:pPr>
      <w:r w:rsidRPr="004F6EB2">
        <w:rPr>
          <w:rFonts w:asciiTheme="minorHAnsi" w:hAnsiTheme="minorHAnsi" w:cstheme="minorHAnsi"/>
          <w:sz w:val="28"/>
          <w:szCs w:val="28"/>
          <w:shd w:val="clear" w:color="auto" w:fill="FFFFFF"/>
        </w:rPr>
        <w:t>This is due to the business-like structure within OCGs, where such sophistication is promoted to support sustainability and longevity (</w:t>
      </w:r>
      <w:r>
        <w:rPr>
          <w:rFonts w:asciiTheme="minorHAnsi" w:hAnsiTheme="minorHAnsi" w:cstheme="minorHAnsi"/>
          <w:sz w:val="28"/>
          <w:szCs w:val="28"/>
          <w:shd w:val="clear" w:color="auto" w:fill="FFFFFF"/>
        </w:rPr>
        <w:t xml:space="preserve">Leuprecht et al, 2016; </w:t>
      </w:r>
      <w:r w:rsidRPr="004F6EB2">
        <w:rPr>
          <w:rFonts w:asciiTheme="minorHAnsi" w:hAnsiTheme="minorHAnsi" w:cstheme="minorHAnsi"/>
          <w:sz w:val="28"/>
          <w:szCs w:val="28"/>
          <w:shd w:val="clear" w:color="auto" w:fill="FFFFFF"/>
        </w:rPr>
        <w:t>Spicer, 2018). Although the leaders within an OCG are no doubt criminally responsible for their actions, they are also to blame for exploiting those who ‘work’ for them or commit crimes on their behalf, turning them into victims</w:t>
      </w:r>
      <w:r w:rsidR="00580B7A">
        <w:rPr>
          <w:rFonts w:asciiTheme="minorHAnsi" w:hAnsiTheme="minorHAnsi" w:cstheme="minorHAnsi"/>
          <w:sz w:val="28"/>
          <w:szCs w:val="28"/>
          <w:shd w:val="clear" w:color="auto" w:fill="FFFFFF"/>
        </w:rPr>
        <w:t xml:space="preserve"> as a result</w:t>
      </w:r>
      <w:r>
        <w:rPr>
          <w:rFonts w:asciiTheme="minorHAnsi" w:hAnsiTheme="minorHAnsi" w:cstheme="minorHAnsi"/>
          <w:sz w:val="28"/>
          <w:szCs w:val="28"/>
          <w:shd w:val="clear" w:color="auto" w:fill="FFFFFF"/>
        </w:rPr>
        <w:t xml:space="preserve"> (Alexandrescu &amp; Spicer, 2023)</w:t>
      </w:r>
      <w:r w:rsidRPr="004F6EB2">
        <w:rPr>
          <w:rFonts w:asciiTheme="minorHAnsi" w:hAnsiTheme="minorHAnsi" w:cstheme="minorHAnsi"/>
          <w:sz w:val="28"/>
          <w:szCs w:val="28"/>
          <w:shd w:val="clear" w:color="auto" w:fill="FFFFFF"/>
        </w:rPr>
        <w:t xml:space="preserve">. </w:t>
      </w:r>
    </w:p>
    <w:p w14:paraId="1B0D9635" w14:textId="77777777" w:rsidR="00911989" w:rsidRPr="004F6EB2" w:rsidRDefault="00911989" w:rsidP="00911989">
      <w:pPr>
        <w:spacing w:line="276" w:lineRule="auto"/>
        <w:ind w:firstLine="720"/>
        <w:jc w:val="both"/>
        <w:rPr>
          <w:rFonts w:asciiTheme="minorHAnsi" w:hAnsiTheme="minorHAnsi" w:cstheme="minorHAnsi"/>
          <w:sz w:val="28"/>
          <w:szCs w:val="28"/>
          <w:shd w:val="clear" w:color="auto" w:fill="FFFFFF"/>
        </w:rPr>
      </w:pPr>
    </w:p>
    <w:p w14:paraId="734839F4" w14:textId="663B2709" w:rsidR="00911989" w:rsidRDefault="00911989" w:rsidP="00911989">
      <w:pPr>
        <w:spacing w:line="276" w:lineRule="auto"/>
        <w:ind w:firstLine="720"/>
        <w:jc w:val="both"/>
        <w:rPr>
          <w:rFonts w:asciiTheme="minorHAnsi" w:hAnsiTheme="minorHAnsi" w:cstheme="minorHAnsi"/>
          <w:sz w:val="28"/>
          <w:szCs w:val="28"/>
          <w:shd w:val="clear" w:color="auto" w:fill="FFFFFF"/>
        </w:rPr>
      </w:pPr>
      <w:r w:rsidRPr="004F6EB2">
        <w:rPr>
          <w:rFonts w:asciiTheme="minorHAnsi" w:hAnsiTheme="minorHAnsi" w:cstheme="minorHAnsi"/>
          <w:sz w:val="28"/>
          <w:szCs w:val="28"/>
          <w:shd w:val="clear" w:color="auto" w:fill="FFFFFF"/>
        </w:rPr>
        <w:t xml:space="preserve">County Lines (CL) is an expedient example to highlight how OCGs tap into the vulnerability of others and involve them within the </w:t>
      </w:r>
      <w:r w:rsidR="008E1155">
        <w:rPr>
          <w:rFonts w:asciiTheme="minorHAnsi" w:hAnsiTheme="minorHAnsi" w:cstheme="minorHAnsi"/>
          <w:sz w:val="28"/>
          <w:szCs w:val="28"/>
          <w:shd w:val="clear" w:color="auto" w:fill="FFFFFF"/>
        </w:rPr>
        <w:t>organisation</w:t>
      </w:r>
      <w:r w:rsidRPr="004F6EB2">
        <w:rPr>
          <w:rFonts w:asciiTheme="minorHAnsi" w:hAnsiTheme="minorHAnsi" w:cstheme="minorHAnsi"/>
          <w:sz w:val="28"/>
          <w:szCs w:val="28"/>
          <w:shd w:val="clear" w:color="auto" w:fill="FFFFFF"/>
        </w:rPr>
        <w:t xml:space="preserve"> to contribute to the criminal business (College of Policing, 2021). In its simplest form, CL is one of the latest mechanisms </w:t>
      </w:r>
      <w:r>
        <w:rPr>
          <w:rFonts w:asciiTheme="minorHAnsi" w:hAnsiTheme="minorHAnsi" w:cstheme="minorHAnsi"/>
          <w:sz w:val="28"/>
          <w:szCs w:val="28"/>
          <w:shd w:val="clear" w:color="auto" w:fill="FFFFFF"/>
        </w:rPr>
        <w:t>where</w:t>
      </w:r>
      <w:r w:rsidRPr="004F6EB2">
        <w:rPr>
          <w:rFonts w:asciiTheme="minorHAnsi" w:hAnsiTheme="minorHAnsi" w:cstheme="minorHAnsi"/>
          <w:sz w:val="28"/>
          <w:szCs w:val="28"/>
          <w:shd w:val="clear" w:color="auto" w:fill="FFFFFF"/>
        </w:rPr>
        <w:t xml:space="preserve"> drugs are transported from metropolitan areas to rural locales </w:t>
      </w:r>
      <w:r>
        <w:rPr>
          <w:rFonts w:asciiTheme="minorHAnsi" w:hAnsiTheme="minorHAnsi" w:cstheme="minorHAnsi"/>
          <w:sz w:val="28"/>
          <w:szCs w:val="28"/>
          <w:shd w:val="clear" w:color="auto" w:fill="FFFFFF"/>
        </w:rPr>
        <w:t>to</w:t>
      </w:r>
      <w:r w:rsidRPr="004F6EB2">
        <w:rPr>
          <w:rFonts w:asciiTheme="minorHAnsi" w:hAnsiTheme="minorHAnsi" w:cstheme="minorHAnsi"/>
          <w:sz w:val="28"/>
          <w:szCs w:val="28"/>
          <w:shd w:val="clear" w:color="auto" w:fill="FFFFFF"/>
        </w:rPr>
        <w:t xml:space="preserve"> new and pre-existing drug markets</w:t>
      </w:r>
      <w:r>
        <w:rPr>
          <w:rFonts w:asciiTheme="minorHAnsi" w:hAnsiTheme="minorHAnsi" w:cstheme="minorHAnsi"/>
          <w:sz w:val="28"/>
          <w:szCs w:val="28"/>
          <w:shd w:val="clear" w:color="auto" w:fill="FFFFFF"/>
        </w:rPr>
        <w:t xml:space="preserve"> </w:t>
      </w:r>
      <w:r w:rsidRPr="004F6EB2">
        <w:rPr>
          <w:rFonts w:asciiTheme="minorHAnsi" w:hAnsiTheme="minorHAnsi" w:cstheme="minorHAnsi"/>
          <w:sz w:val="28"/>
          <w:szCs w:val="28"/>
          <w:shd w:val="clear" w:color="auto" w:fill="FFFFFF"/>
        </w:rPr>
        <w:t xml:space="preserve">(Robinson, 2019; National Crime Agency, 2018). </w:t>
      </w:r>
    </w:p>
    <w:p w14:paraId="34E44984" w14:textId="77777777" w:rsidR="00911989" w:rsidRDefault="00911989" w:rsidP="00911989">
      <w:pPr>
        <w:spacing w:line="276" w:lineRule="auto"/>
        <w:ind w:firstLine="720"/>
        <w:jc w:val="both"/>
        <w:rPr>
          <w:rFonts w:asciiTheme="minorHAnsi" w:hAnsiTheme="minorHAnsi" w:cstheme="minorHAnsi"/>
          <w:sz w:val="28"/>
          <w:szCs w:val="28"/>
          <w:shd w:val="clear" w:color="auto" w:fill="FFFFFF"/>
        </w:rPr>
      </w:pPr>
    </w:p>
    <w:p w14:paraId="136BFF32" w14:textId="77777777" w:rsidR="00911989" w:rsidRDefault="00911989" w:rsidP="00911989">
      <w:pPr>
        <w:spacing w:line="276" w:lineRule="auto"/>
        <w:ind w:firstLine="720"/>
        <w:jc w:val="both"/>
        <w:rPr>
          <w:rFonts w:asciiTheme="minorHAnsi" w:hAnsiTheme="minorHAnsi" w:cstheme="minorHAnsi"/>
          <w:sz w:val="28"/>
          <w:szCs w:val="28"/>
          <w:shd w:val="clear" w:color="auto" w:fill="FFFFFF"/>
        </w:rPr>
      </w:pPr>
      <w:r w:rsidRPr="004F6EB2">
        <w:rPr>
          <w:rFonts w:asciiTheme="minorHAnsi" w:hAnsiTheme="minorHAnsi" w:cstheme="minorHAnsi"/>
          <w:sz w:val="28"/>
          <w:szCs w:val="28"/>
          <w:shd w:val="clear" w:color="auto" w:fill="FFFFFF"/>
        </w:rPr>
        <w:t>CL</w:t>
      </w:r>
      <w:r>
        <w:rPr>
          <w:rFonts w:asciiTheme="minorHAnsi" w:hAnsiTheme="minorHAnsi" w:cstheme="minorHAnsi"/>
          <w:sz w:val="28"/>
          <w:szCs w:val="28"/>
          <w:shd w:val="clear" w:color="auto" w:fill="FFFFFF"/>
        </w:rPr>
        <w:t xml:space="preserve"> relies largely on</w:t>
      </w:r>
      <w:r w:rsidRPr="004F6EB2">
        <w:rPr>
          <w:rFonts w:asciiTheme="minorHAnsi" w:hAnsiTheme="minorHAnsi" w:cstheme="minorHAnsi"/>
          <w:sz w:val="28"/>
          <w:szCs w:val="28"/>
          <w:shd w:val="clear" w:color="auto" w:fill="FFFFFF"/>
        </w:rPr>
        <w:t xml:space="preserve"> us</w:t>
      </w:r>
      <w:r>
        <w:rPr>
          <w:rFonts w:asciiTheme="minorHAnsi" w:hAnsiTheme="minorHAnsi" w:cstheme="minorHAnsi"/>
          <w:sz w:val="28"/>
          <w:szCs w:val="28"/>
          <w:shd w:val="clear" w:color="auto" w:fill="FFFFFF"/>
        </w:rPr>
        <w:t>ing</w:t>
      </w:r>
      <w:r w:rsidRPr="004F6EB2">
        <w:rPr>
          <w:rFonts w:asciiTheme="minorHAnsi" w:hAnsiTheme="minorHAnsi" w:cstheme="minorHAnsi"/>
          <w:sz w:val="28"/>
          <w:szCs w:val="28"/>
          <w:shd w:val="clear" w:color="auto" w:fill="FFFFFF"/>
        </w:rPr>
        <w:t xml:space="preserve"> children to transport drugs such as heroin, crack cocaine, and cannabis. Children as young as twelve who become involved in this process are forced to undertake the process of ‘plugging’, where drug wraps are placed into the child’s anus or vagina (Robinson, 2019; College of Policing, 2021). The child then travels to the specified location and delivers the drugs to an elder member within the OCG to dispute the product and monopolise the local area </w:t>
      </w:r>
      <w:r w:rsidRPr="004F6EB2">
        <w:rPr>
          <w:rFonts w:asciiTheme="minorHAnsi" w:hAnsiTheme="minorHAnsi" w:cstheme="minorHAnsi"/>
          <w:sz w:val="28"/>
          <w:szCs w:val="28"/>
          <w:shd w:val="clear" w:color="auto" w:fill="FFFFFF"/>
        </w:rPr>
        <w:lastRenderedPageBreak/>
        <w:t xml:space="preserve">from their base premises (Spicer, 2018). </w:t>
      </w:r>
      <w:r>
        <w:rPr>
          <w:rFonts w:asciiTheme="minorHAnsi" w:hAnsiTheme="minorHAnsi" w:cstheme="minorHAnsi"/>
          <w:sz w:val="28"/>
          <w:szCs w:val="28"/>
          <w:shd w:val="clear" w:color="auto" w:fill="FFFFFF"/>
        </w:rPr>
        <w:br/>
      </w:r>
    </w:p>
    <w:p w14:paraId="245E0C64" w14:textId="149F3C92" w:rsidR="00911989" w:rsidRPr="00911989" w:rsidRDefault="00B850B8" w:rsidP="00911989">
      <w:pPr>
        <w:spacing w:line="276" w:lineRule="auto"/>
        <w:ind w:firstLine="720"/>
        <w:jc w:val="both"/>
        <w:rPr>
          <w:rFonts w:asciiTheme="minorHAnsi" w:hAnsiTheme="minorHAnsi" w:cstheme="minorHAnsi"/>
          <w:sz w:val="28"/>
          <w:szCs w:val="28"/>
          <w:shd w:val="clear" w:color="auto" w:fill="FFFFFF"/>
        </w:rPr>
      </w:pPr>
      <w:r>
        <w:rPr>
          <w:rFonts w:asciiTheme="minorHAnsi" w:hAnsiTheme="minorHAnsi" w:cstheme="minorHAnsi"/>
          <w:sz w:val="28"/>
          <w:szCs w:val="28"/>
        </w:rPr>
        <w:t xml:space="preserve">Robinson </w:t>
      </w:r>
      <w:r>
        <w:rPr>
          <w:rFonts w:asciiTheme="minorHAnsi" w:hAnsiTheme="minorHAnsi" w:cstheme="minorHAnsi"/>
          <w:sz w:val="28"/>
          <w:szCs w:val="28"/>
        </w:rPr>
        <w:t xml:space="preserve">(2018) argues, </w:t>
      </w:r>
      <w:r w:rsidR="00DC2757">
        <w:rPr>
          <w:rFonts w:asciiTheme="minorHAnsi" w:hAnsiTheme="minorHAnsi" w:cstheme="minorHAnsi"/>
          <w:sz w:val="28"/>
          <w:szCs w:val="28"/>
        </w:rPr>
        <w:t xml:space="preserve">there is </w:t>
      </w:r>
      <w:r>
        <w:rPr>
          <w:rFonts w:asciiTheme="minorHAnsi" w:hAnsiTheme="minorHAnsi" w:cstheme="minorHAnsi"/>
          <w:sz w:val="28"/>
          <w:szCs w:val="28"/>
        </w:rPr>
        <w:t>reduce</w:t>
      </w:r>
      <w:r w:rsidR="00DC2757">
        <w:rPr>
          <w:rFonts w:asciiTheme="minorHAnsi" w:hAnsiTheme="minorHAnsi" w:cstheme="minorHAnsi"/>
          <w:sz w:val="28"/>
          <w:szCs w:val="28"/>
        </w:rPr>
        <w:t>d</w:t>
      </w:r>
      <w:r>
        <w:rPr>
          <w:rFonts w:asciiTheme="minorHAnsi" w:hAnsiTheme="minorHAnsi" w:cstheme="minorHAnsi"/>
          <w:sz w:val="28"/>
          <w:szCs w:val="28"/>
        </w:rPr>
        <w:t xml:space="preserve"> likelihood of children being caught or stopped by the police</w:t>
      </w:r>
      <w:r>
        <w:rPr>
          <w:rFonts w:asciiTheme="minorHAnsi" w:hAnsiTheme="minorHAnsi" w:cstheme="minorHAnsi"/>
          <w:sz w:val="28"/>
          <w:szCs w:val="28"/>
        </w:rPr>
        <w:t xml:space="preserve"> due to their innocent </w:t>
      </w:r>
      <w:r w:rsidR="00911989">
        <w:rPr>
          <w:rFonts w:asciiTheme="minorHAnsi" w:hAnsiTheme="minorHAnsi" w:cstheme="minorHAnsi"/>
          <w:sz w:val="28"/>
          <w:szCs w:val="28"/>
        </w:rPr>
        <w:t xml:space="preserve">appearance and ability to hide in plain sight, or move quickly,  </w:t>
      </w:r>
    </w:p>
    <w:p w14:paraId="470E21E8" w14:textId="77777777" w:rsidR="00911989" w:rsidRDefault="00911989" w:rsidP="00911989">
      <w:pPr>
        <w:spacing w:line="276" w:lineRule="auto"/>
        <w:ind w:firstLine="720"/>
        <w:jc w:val="both"/>
        <w:rPr>
          <w:rFonts w:asciiTheme="minorHAnsi" w:hAnsiTheme="minorHAnsi" w:cstheme="minorHAnsi"/>
          <w:sz w:val="28"/>
          <w:szCs w:val="28"/>
        </w:rPr>
      </w:pPr>
    </w:p>
    <w:p w14:paraId="0437A95C" w14:textId="3BE37B7D" w:rsidR="00911989" w:rsidRDefault="009748A0" w:rsidP="00911989">
      <w:pPr>
        <w:spacing w:line="276" w:lineRule="auto"/>
        <w:ind w:firstLine="720"/>
        <w:jc w:val="both"/>
        <w:rPr>
          <w:rFonts w:asciiTheme="minorHAnsi" w:hAnsiTheme="minorHAnsi" w:cstheme="minorHAnsi"/>
          <w:sz w:val="28"/>
          <w:szCs w:val="28"/>
        </w:rPr>
      </w:pPr>
      <w:r>
        <w:rPr>
          <w:rFonts w:asciiTheme="minorHAnsi" w:hAnsiTheme="minorHAnsi" w:cstheme="minorHAnsi"/>
          <w:sz w:val="28"/>
          <w:szCs w:val="28"/>
        </w:rPr>
        <w:t>Noneth</w:t>
      </w:r>
      <w:r w:rsidR="00DC2757">
        <w:rPr>
          <w:rFonts w:asciiTheme="minorHAnsi" w:hAnsiTheme="minorHAnsi" w:cstheme="minorHAnsi"/>
          <w:sz w:val="28"/>
          <w:szCs w:val="28"/>
        </w:rPr>
        <w:t>e</w:t>
      </w:r>
      <w:r>
        <w:rPr>
          <w:rFonts w:asciiTheme="minorHAnsi" w:hAnsiTheme="minorHAnsi" w:cstheme="minorHAnsi"/>
          <w:sz w:val="28"/>
          <w:szCs w:val="28"/>
        </w:rPr>
        <w:t>less</w:t>
      </w:r>
      <w:r w:rsidR="00911989">
        <w:rPr>
          <w:rFonts w:asciiTheme="minorHAnsi" w:hAnsiTheme="minorHAnsi" w:cstheme="minorHAnsi"/>
          <w:sz w:val="28"/>
          <w:szCs w:val="28"/>
        </w:rPr>
        <w:t>, c</w:t>
      </w:r>
      <w:r w:rsidR="00911989" w:rsidRPr="004F6EB2">
        <w:rPr>
          <w:rFonts w:asciiTheme="minorHAnsi" w:hAnsiTheme="minorHAnsi" w:cstheme="minorHAnsi"/>
          <w:sz w:val="28"/>
          <w:szCs w:val="28"/>
        </w:rPr>
        <w:t>hildren can become involved in CL processes in</w:t>
      </w:r>
      <w:r w:rsidR="00911989">
        <w:rPr>
          <w:rFonts w:asciiTheme="minorHAnsi" w:hAnsiTheme="minorHAnsi" w:cstheme="minorHAnsi"/>
          <w:sz w:val="28"/>
          <w:szCs w:val="28"/>
        </w:rPr>
        <w:t xml:space="preserve"> more complex ways. For many, a child’s criminal involvement is down to what makes them </w:t>
      </w:r>
      <w:r w:rsidR="00911989" w:rsidRPr="004F6EB2">
        <w:rPr>
          <w:rFonts w:asciiTheme="minorHAnsi" w:hAnsiTheme="minorHAnsi" w:cstheme="minorHAnsi"/>
          <w:sz w:val="28"/>
          <w:szCs w:val="28"/>
        </w:rPr>
        <w:t>vulnerab</w:t>
      </w:r>
      <w:r w:rsidR="00911989">
        <w:rPr>
          <w:rFonts w:asciiTheme="minorHAnsi" w:hAnsiTheme="minorHAnsi" w:cstheme="minorHAnsi"/>
          <w:sz w:val="28"/>
          <w:szCs w:val="28"/>
        </w:rPr>
        <w:t>le – perhaps before they are even born – and therefore,</w:t>
      </w:r>
      <w:r w:rsidR="00911989" w:rsidRPr="004F6EB2">
        <w:rPr>
          <w:rFonts w:asciiTheme="minorHAnsi" w:hAnsiTheme="minorHAnsi" w:cstheme="minorHAnsi"/>
          <w:sz w:val="28"/>
          <w:szCs w:val="28"/>
        </w:rPr>
        <w:t xml:space="preserve"> </w:t>
      </w:r>
      <w:r w:rsidR="00911989">
        <w:rPr>
          <w:rFonts w:asciiTheme="minorHAnsi" w:hAnsiTheme="minorHAnsi" w:cstheme="minorHAnsi"/>
          <w:sz w:val="28"/>
          <w:szCs w:val="28"/>
        </w:rPr>
        <w:t xml:space="preserve">are </w:t>
      </w:r>
      <w:r w:rsidR="00911989" w:rsidRPr="004F6EB2">
        <w:rPr>
          <w:rFonts w:asciiTheme="minorHAnsi" w:hAnsiTheme="minorHAnsi" w:cstheme="minorHAnsi"/>
          <w:sz w:val="28"/>
          <w:szCs w:val="28"/>
        </w:rPr>
        <w:t>more susceptib</w:t>
      </w:r>
      <w:r w:rsidR="00911989">
        <w:rPr>
          <w:rFonts w:asciiTheme="minorHAnsi" w:hAnsiTheme="minorHAnsi" w:cstheme="minorHAnsi"/>
          <w:sz w:val="28"/>
          <w:szCs w:val="28"/>
        </w:rPr>
        <w:t xml:space="preserve">le of being made a victim due to the following factors (Hirschi, 1983; Brown, 2014). </w:t>
      </w:r>
    </w:p>
    <w:p w14:paraId="6668ED5C" w14:textId="77777777" w:rsidR="00911989" w:rsidRDefault="00911989" w:rsidP="00911989">
      <w:pPr>
        <w:spacing w:line="276" w:lineRule="auto"/>
        <w:ind w:firstLine="720"/>
        <w:jc w:val="both"/>
        <w:rPr>
          <w:rFonts w:asciiTheme="minorHAnsi" w:hAnsiTheme="minorHAnsi" w:cstheme="minorHAnsi"/>
          <w:sz w:val="28"/>
          <w:szCs w:val="28"/>
        </w:rPr>
      </w:pPr>
    </w:p>
    <w:p w14:paraId="6266D270" w14:textId="09028F25" w:rsidR="00911989" w:rsidRDefault="00B850B8" w:rsidP="00911989">
      <w:pPr>
        <w:spacing w:line="276" w:lineRule="auto"/>
        <w:ind w:firstLine="720"/>
        <w:jc w:val="both"/>
        <w:rPr>
          <w:rFonts w:asciiTheme="minorHAnsi" w:hAnsiTheme="minorHAnsi" w:cstheme="minorHAnsi"/>
          <w:sz w:val="28"/>
          <w:szCs w:val="28"/>
        </w:rPr>
      </w:pPr>
      <w:r>
        <w:rPr>
          <w:rFonts w:asciiTheme="minorHAnsi" w:hAnsiTheme="minorHAnsi" w:cstheme="minorHAnsi"/>
          <w:sz w:val="28"/>
          <w:szCs w:val="28"/>
        </w:rPr>
        <w:t>In a</w:t>
      </w:r>
      <w:r w:rsidR="00911989">
        <w:rPr>
          <w:rFonts w:asciiTheme="minorHAnsi" w:hAnsiTheme="minorHAnsi" w:cstheme="minorHAnsi"/>
          <w:sz w:val="28"/>
          <w:szCs w:val="28"/>
        </w:rPr>
        <w:t xml:space="preserve">reas with lowered social welfare, economic and educational opportunities, and an anti-police stance – particularly city areas – a child’s mindset can function differently (Coomber, 2019). Irwin-Rogers (2019) argues that where the matrix of a consumer society and consumer culture has continued to rise amidst the backdrop of increased wealth divides between social classes, it has exacerbated the effects of material deprivation, fatalism, immediate gratification, and collectivism among young people (Thompson, 2014; Trueman, 2015; Robinson 2019). </w:t>
      </w:r>
    </w:p>
    <w:p w14:paraId="1DA401BC" w14:textId="77777777" w:rsidR="00911989" w:rsidRDefault="00911989" w:rsidP="00911989">
      <w:pPr>
        <w:spacing w:line="276" w:lineRule="auto"/>
        <w:ind w:firstLine="720"/>
        <w:jc w:val="both"/>
        <w:rPr>
          <w:rFonts w:asciiTheme="minorHAnsi" w:hAnsiTheme="minorHAnsi" w:cstheme="minorHAnsi"/>
          <w:sz w:val="28"/>
          <w:szCs w:val="28"/>
        </w:rPr>
      </w:pPr>
    </w:p>
    <w:p w14:paraId="37E3441E" w14:textId="37435587" w:rsidR="00911989" w:rsidRDefault="00911989" w:rsidP="00911989">
      <w:pPr>
        <w:spacing w:line="276" w:lineRule="auto"/>
        <w:ind w:firstLine="720"/>
        <w:jc w:val="both"/>
        <w:rPr>
          <w:rFonts w:asciiTheme="minorHAnsi" w:hAnsiTheme="minorHAnsi" w:cstheme="minorHAnsi"/>
          <w:sz w:val="28"/>
          <w:szCs w:val="28"/>
        </w:rPr>
      </w:pPr>
      <w:r>
        <w:rPr>
          <w:rFonts w:asciiTheme="minorHAnsi" w:hAnsiTheme="minorHAnsi" w:cstheme="minorHAnsi"/>
          <w:sz w:val="28"/>
          <w:szCs w:val="28"/>
        </w:rPr>
        <w:t xml:space="preserve">Fatalism is the mindset where a person accepts their situation instead of working to improve it, especially through educational or legitimate career paths. Combined with immediate gratification and present time orientation, where </w:t>
      </w:r>
      <w:r w:rsidR="00EE14D7">
        <w:rPr>
          <w:rFonts w:asciiTheme="minorHAnsi" w:hAnsiTheme="minorHAnsi" w:cstheme="minorHAnsi"/>
          <w:sz w:val="28"/>
          <w:szCs w:val="28"/>
        </w:rPr>
        <w:t>children</w:t>
      </w:r>
      <w:r>
        <w:rPr>
          <w:rFonts w:asciiTheme="minorHAnsi" w:hAnsiTheme="minorHAnsi" w:cstheme="minorHAnsi"/>
          <w:sz w:val="28"/>
          <w:szCs w:val="28"/>
        </w:rPr>
        <w:t xml:space="preserve"> prefer to enjoy ‘in the moment’ pleasures</w:t>
      </w:r>
      <w:r w:rsidR="0021057A">
        <w:rPr>
          <w:rFonts w:asciiTheme="minorHAnsi" w:hAnsiTheme="minorHAnsi" w:cstheme="minorHAnsi"/>
          <w:sz w:val="28"/>
          <w:szCs w:val="28"/>
        </w:rPr>
        <w:t>,</w:t>
      </w:r>
      <w:r>
        <w:rPr>
          <w:rFonts w:asciiTheme="minorHAnsi" w:hAnsiTheme="minorHAnsi" w:cstheme="minorHAnsi"/>
          <w:sz w:val="28"/>
          <w:szCs w:val="28"/>
        </w:rPr>
        <w:t xml:space="preserve"> over working towards a </w:t>
      </w:r>
      <w:proofErr w:type="gramStart"/>
      <w:r>
        <w:rPr>
          <w:rFonts w:asciiTheme="minorHAnsi" w:hAnsiTheme="minorHAnsi" w:cstheme="minorHAnsi"/>
          <w:sz w:val="28"/>
          <w:szCs w:val="28"/>
        </w:rPr>
        <w:t>longer term</w:t>
      </w:r>
      <w:proofErr w:type="gramEnd"/>
      <w:r>
        <w:rPr>
          <w:rFonts w:asciiTheme="minorHAnsi" w:hAnsiTheme="minorHAnsi" w:cstheme="minorHAnsi"/>
          <w:sz w:val="28"/>
          <w:szCs w:val="28"/>
        </w:rPr>
        <w:t xml:space="preserve"> goal, young people under this guise lean heavily towards quick fixes of financial gain. When this mixture is adjoined by other similar minded people, they form a collective value system, whereupon loyalty to the group matters more than the individual (Thompson, 2014; Trueman, 2015). </w:t>
      </w:r>
    </w:p>
    <w:p w14:paraId="24B8FCEE" w14:textId="77777777" w:rsidR="00911989" w:rsidRDefault="00911989" w:rsidP="00911989">
      <w:pPr>
        <w:spacing w:line="276" w:lineRule="auto"/>
        <w:ind w:firstLine="720"/>
        <w:jc w:val="both"/>
        <w:rPr>
          <w:rFonts w:asciiTheme="minorHAnsi" w:hAnsiTheme="minorHAnsi" w:cstheme="minorHAnsi"/>
          <w:sz w:val="28"/>
          <w:szCs w:val="28"/>
        </w:rPr>
      </w:pPr>
    </w:p>
    <w:p w14:paraId="67CBFB9E" w14:textId="77777777" w:rsidR="00911989" w:rsidRDefault="00911989" w:rsidP="00911989">
      <w:pPr>
        <w:spacing w:line="276" w:lineRule="auto"/>
        <w:ind w:firstLine="720"/>
        <w:jc w:val="both"/>
        <w:rPr>
          <w:rFonts w:asciiTheme="minorHAnsi" w:hAnsiTheme="minorHAnsi" w:cstheme="minorHAnsi"/>
          <w:sz w:val="28"/>
          <w:szCs w:val="28"/>
        </w:rPr>
      </w:pPr>
    </w:p>
    <w:p w14:paraId="1780CF57" w14:textId="435973B2" w:rsidR="00911989" w:rsidRDefault="00911989" w:rsidP="00911989">
      <w:pPr>
        <w:spacing w:line="276" w:lineRule="auto"/>
        <w:ind w:firstLine="720"/>
        <w:jc w:val="both"/>
        <w:rPr>
          <w:rFonts w:asciiTheme="minorHAnsi" w:hAnsiTheme="minorHAnsi" w:cstheme="minorHAnsi"/>
          <w:sz w:val="28"/>
          <w:szCs w:val="28"/>
        </w:rPr>
      </w:pPr>
      <w:r>
        <w:rPr>
          <w:rFonts w:asciiTheme="minorHAnsi" w:hAnsiTheme="minorHAnsi" w:cstheme="minorHAnsi"/>
          <w:sz w:val="28"/>
          <w:szCs w:val="28"/>
        </w:rPr>
        <w:t xml:space="preserve">Marxist sociologist, Barry Sugarman, outlined these concepts during the 1970s. </w:t>
      </w:r>
      <w:r w:rsidR="008F147A">
        <w:rPr>
          <w:rFonts w:asciiTheme="minorHAnsi" w:hAnsiTheme="minorHAnsi" w:cstheme="minorHAnsi"/>
          <w:sz w:val="28"/>
          <w:szCs w:val="28"/>
        </w:rPr>
        <w:t xml:space="preserve">likewise, </w:t>
      </w:r>
      <w:r>
        <w:rPr>
          <w:rFonts w:asciiTheme="minorHAnsi" w:hAnsiTheme="minorHAnsi" w:cstheme="minorHAnsi"/>
          <w:sz w:val="28"/>
          <w:szCs w:val="28"/>
        </w:rPr>
        <w:t>Irwin-Rogers conten</w:t>
      </w:r>
      <w:r w:rsidR="008F147A">
        <w:rPr>
          <w:rFonts w:asciiTheme="minorHAnsi" w:hAnsiTheme="minorHAnsi" w:cstheme="minorHAnsi"/>
          <w:sz w:val="28"/>
          <w:szCs w:val="28"/>
        </w:rPr>
        <w:t>ded that</w:t>
      </w:r>
      <w:r>
        <w:rPr>
          <w:rFonts w:asciiTheme="minorHAnsi" w:hAnsiTheme="minorHAnsi" w:cstheme="minorHAnsi"/>
          <w:sz w:val="28"/>
          <w:szCs w:val="28"/>
        </w:rPr>
        <w:t xml:space="preserve"> the shift and ‘value systems’ between different social classes present a springboard into understanding the </w:t>
      </w:r>
      <w:r>
        <w:rPr>
          <w:rFonts w:asciiTheme="minorHAnsi" w:hAnsiTheme="minorHAnsi" w:cstheme="minorHAnsi"/>
          <w:sz w:val="28"/>
          <w:szCs w:val="28"/>
        </w:rPr>
        <w:lastRenderedPageBreak/>
        <w:t xml:space="preserve">socio-economic and psychological factors that make children vulnerable to OCG involvement. </w:t>
      </w:r>
    </w:p>
    <w:p w14:paraId="439F0882" w14:textId="77777777" w:rsidR="00911989" w:rsidRDefault="00911989" w:rsidP="00911989">
      <w:pPr>
        <w:spacing w:line="276" w:lineRule="auto"/>
        <w:ind w:firstLine="720"/>
        <w:jc w:val="both"/>
        <w:rPr>
          <w:rFonts w:asciiTheme="minorHAnsi" w:hAnsiTheme="minorHAnsi" w:cstheme="minorHAnsi"/>
          <w:sz w:val="28"/>
          <w:szCs w:val="28"/>
        </w:rPr>
      </w:pPr>
    </w:p>
    <w:p w14:paraId="47163D24" w14:textId="77777777" w:rsidR="00911989" w:rsidRDefault="00911989" w:rsidP="00911989">
      <w:pPr>
        <w:spacing w:line="276" w:lineRule="auto"/>
        <w:ind w:firstLine="720"/>
        <w:jc w:val="both"/>
        <w:rPr>
          <w:rFonts w:asciiTheme="minorHAnsi" w:hAnsiTheme="minorHAnsi" w:cstheme="minorHAnsi"/>
          <w:sz w:val="28"/>
          <w:szCs w:val="28"/>
        </w:rPr>
      </w:pPr>
      <w:r>
        <w:rPr>
          <w:rFonts w:asciiTheme="minorHAnsi" w:hAnsiTheme="minorHAnsi" w:cstheme="minorHAnsi"/>
          <w:sz w:val="28"/>
          <w:szCs w:val="28"/>
        </w:rPr>
        <w:t xml:space="preserve">Economically, children in lower or ‘under </w:t>
      </w:r>
      <w:proofErr w:type="spellStart"/>
      <w:r>
        <w:rPr>
          <w:rFonts w:asciiTheme="minorHAnsi" w:hAnsiTheme="minorHAnsi" w:cstheme="minorHAnsi"/>
          <w:sz w:val="28"/>
          <w:szCs w:val="28"/>
        </w:rPr>
        <w:t>class’</w:t>
      </w:r>
      <w:proofErr w:type="spellEnd"/>
      <w:r>
        <w:rPr>
          <w:rFonts w:asciiTheme="minorHAnsi" w:hAnsiTheme="minorHAnsi" w:cstheme="minorHAnsi"/>
          <w:sz w:val="28"/>
          <w:szCs w:val="28"/>
        </w:rPr>
        <w:t xml:space="preserve"> areas, where educational attainment is scantly supported; positive role models are few; and youth and social work has been cut during austerity measures (Rogers, 2019; </w:t>
      </w:r>
      <w:r w:rsidRPr="00716D45">
        <w:rPr>
          <w:rFonts w:asciiTheme="minorHAnsi" w:hAnsiTheme="minorHAnsi" w:cstheme="minorHAnsi"/>
          <w:sz w:val="28"/>
          <w:szCs w:val="28"/>
        </w:rPr>
        <w:t>Alexandrescu</w:t>
      </w:r>
      <w:r>
        <w:rPr>
          <w:rFonts w:asciiTheme="minorHAnsi" w:hAnsiTheme="minorHAnsi" w:cstheme="minorHAnsi"/>
          <w:sz w:val="28"/>
          <w:szCs w:val="28"/>
        </w:rPr>
        <w:t xml:space="preserve"> &amp;</w:t>
      </w:r>
      <w:r w:rsidRPr="00716D45">
        <w:rPr>
          <w:rFonts w:asciiTheme="minorHAnsi" w:hAnsiTheme="minorHAnsi" w:cstheme="minorHAnsi"/>
          <w:sz w:val="28"/>
          <w:szCs w:val="28"/>
        </w:rPr>
        <w:t xml:space="preserve"> Spicer</w:t>
      </w:r>
      <w:r>
        <w:rPr>
          <w:rFonts w:asciiTheme="minorHAnsi" w:hAnsiTheme="minorHAnsi" w:cstheme="minorHAnsi"/>
          <w:sz w:val="28"/>
          <w:szCs w:val="28"/>
        </w:rPr>
        <w:t xml:space="preserve">, </w:t>
      </w:r>
      <w:r w:rsidRPr="00716D45">
        <w:rPr>
          <w:rFonts w:asciiTheme="minorHAnsi" w:hAnsiTheme="minorHAnsi" w:cstheme="minorHAnsi"/>
          <w:sz w:val="28"/>
          <w:szCs w:val="28"/>
        </w:rPr>
        <w:t>2022</w:t>
      </w:r>
      <w:r>
        <w:rPr>
          <w:rFonts w:asciiTheme="minorHAnsi" w:hAnsiTheme="minorHAnsi" w:cstheme="minorHAnsi"/>
          <w:sz w:val="28"/>
          <w:szCs w:val="28"/>
        </w:rPr>
        <w:t xml:space="preserve">) – the opportunity presented by elder CL members to make quick financial or material gains, creates a perfect push and pull scenario where children are allured by the benefits of gang culture (Storrod &amp; </w:t>
      </w:r>
      <w:proofErr w:type="spellStart"/>
      <w:r>
        <w:rPr>
          <w:rFonts w:asciiTheme="minorHAnsi" w:hAnsiTheme="minorHAnsi" w:cstheme="minorHAnsi"/>
          <w:sz w:val="28"/>
          <w:szCs w:val="28"/>
        </w:rPr>
        <w:t>Densley</w:t>
      </w:r>
      <w:proofErr w:type="spellEnd"/>
      <w:r>
        <w:rPr>
          <w:rFonts w:asciiTheme="minorHAnsi" w:hAnsiTheme="minorHAnsi" w:cstheme="minorHAnsi"/>
          <w:sz w:val="28"/>
          <w:szCs w:val="28"/>
        </w:rPr>
        <w:t xml:space="preserve">, 2016). </w:t>
      </w:r>
    </w:p>
    <w:p w14:paraId="3B3466B8" w14:textId="77777777" w:rsidR="00911989" w:rsidRDefault="00911989" w:rsidP="00911989">
      <w:pPr>
        <w:spacing w:line="276" w:lineRule="auto"/>
        <w:ind w:firstLine="720"/>
        <w:jc w:val="both"/>
        <w:rPr>
          <w:rFonts w:asciiTheme="minorHAnsi" w:hAnsiTheme="minorHAnsi" w:cstheme="minorHAnsi"/>
          <w:sz w:val="28"/>
          <w:szCs w:val="28"/>
        </w:rPr>
      </w:pPr>
    </w:p>
    <w:p w14:paraId="6455761C" w14:textId="77777777" w:rsidR="00911989" w:rsidRDefault="00911989" w:rsidP="00911989">
      <w:pPr>
        <w:spacing w:line="276" w:lineRule="auto"/>
        <w:ind w:firstLine="720"/>
        <w:jc w:val="both"/>
        <w:rPr>
          <w:rFonts w:asciiTheme="minorHAnsi" w:hAnsiTheme="minorHAnsi" w:cstheme="minorHAnsi"/>
          <w:sz w:val="28"/>
          <w:szCs w:val="28"/>
        </w:rPr>
      </w:pPr>
      <w:r>
        <w:rPr>
          <w:rFonts w:asciiTheme="minorHAnsi" w:hAnsiTheme="minorHAnsi" w:cstheme="minorHAnsi"/>
          <w:sz w:val="28"/>
          <w:szCs w:val="28"/>
        </w:rPr>
        <w:t xml:space="preserve">Gang culture and its ancillary junctures in music, Storrod and </w:t>
      </w:r>
      <w:proofErr w:type="spellStart"/>
      <w:r>
        <w:rPr>
          <w:rFonts w:asciiTheme="minorHAnsi" w:hAnsiTheme="minorHAnsi" w:cstheme="minorHAnsi"/>
          <w:sz w:val="28"/>
          <w:szCs w:val="28"/>
        </w:rPr>
        <w:t>Densley</w:t>
      </w:r>
      <w:proofErr w:type="spellEnd"/>
      <w:r>
        <w:rPr>
          <w:rFonts w:asciiTheme="minorHAnsi" w:hAnsiTheme="minorHAnsi" w:cstheme="minorHAnsi"/>
          <w:sz w:val="28"/>
          <w:szCs w:val="28"/>
        </w:rPr>
        <w:t xml:space="preserve"> (2016) argue, aids OCGs to consolidate the attachment young people may hold to CL operations. Trap rap, or ‘Drill’ use lyrics which depict and allude heavily towards the buying and selling of drugs, knife crime, violent territorial takeovers, and punishment towards those outside of the gang, as well as persons affiliated with the group. </w:t>
      </w:r>
    </w:p>
    <w:p w14:paraId="3DA10523" w14:textId="77777777" w:rsidR="00911989" w:rsidRDefault="00911989" w:rsidP="00911989">
      <w:pPr>
        <w:spacing w:line="276" w:lineRule="auto"/>
        <w:ind w:firstLine="720"/>
        <w:jc w:val="both"/>
        <w:rPr>
          <w:rFonts w:asciiTheme="minorHAnsi" w:hAnsiTheme="minorHAnsi" w:cstheme="minorHAnsi"/>
          <w:sz w:val="28"/>
          <w:szCs w:val="28"/>
        </w:rPr>
      </w:pPr>
    </w:p>
    <w:p w14:paraId="654ED7F2" w14:textId="203918AB" w:rsidR="00911989" w:rsidRDefault="00911989" w:rsidP="00911989">
      <w:pPr>
        <w:spacing w:line="276" w:lineRule="auto"/>
        <w:ind w:firstLine="720"/>
        <w:jc w:val="both"/>
        <w:rPr>
          <w:rFonts w:asciiTheme="minorHAnsi" w:hAnsiTheme="minorHAnsi" w:cstheme="minorHAnsi"/>
          <w:sz w:val="28"/>
          <w:szCs w:val="28"/>
        </w:rPr>
      </w:pPr>
      <w:r>
        <w:rPr>
          <w:rFonts w:asciiTheme="minorHAnsi" w:hAnsiTheme="minorHAnsi" w:cstheme="minorHAnsi"/>
          <w:sz w:val="28"/>
          <w:szCs w:val="28"/>
        </w:rPr>
        <w:t xml:space="preserve">Storrod and </w:t>
      </w:r>
      <w:proofErr w:type="spellStart"/>
      <w:r>
        <w:rPr>
          <w:rFonts w:asciiTheme="minorHAnsi" w:hAnsiTheme="minorHAnsi" w:cstheme="minorHAnsi"/>
          <w:sz w:val="28"/>
          <w:szCs w:val="28"/>
        </w:rPr>
        <w:t>Densely’s</w:t>
      </w:r>
      <w:proofErr w:type="spellEnd"/>
      <w:r>
        <w:rPr>
          <w:rFonts w:asciiTheme="minorHAnsi" w:hAnsiTheme="minorHAnsi" w:cstheme="minorHAnsi"/>
          <w:sz w:val="28"/>
          <w:szCs w:val="28"/>
        </w:rPr>
        <w:t xml:space="preserve"> work into social media and the use of </w:t>
      </w:r>
      <w:r w:rsidR="006E7BE3">
        <w:rPr>
          <w:rFonts w:asciiTheme="minorHAnsi" w:hAnsiTheme="minorHAnsi" w:cstheme="minorHAnsi"/>
          <w:sz w:val="28"/>
          <w:szCs w:val="28"/>
        </w:rPr>
        <w:t>‘Drill’</w:t>
      </w:r>
      <w:r>
        <w:rPr>
          <w:rFonts w:asciiTheme="minorHAnsi" w:hAnsiTheme="minorHAnsi" w:cstheme="minorHAnsi"/>
          <w:sz w:val="28"/>
          <w:szCs w:val="28"/>
        </w:rPr>
        <w:t xml:space="preserve"> further elucidate how CL has become fashionable. The rise of social media platforms such as </w:t>
      </w:r>
      <w:proofErr w:type="spellStart"/>
      <w:r>
        <w:rPr>
          <w:rFonts w:asciiTheme="minorHAnsi" w:hAnsiTheme="minorHAnsi" w:cstheme="minorHAnsi"/>
          <w:sz w:val="28"/>
          <w:szCs w:val="28"/>
        </w:rPr>
        <w:t>SnapChat</w:t>
      </w:r>
      <w:proofErr w:type="spellEnd"/>
      <w:r>
        <w:rPr>
          <w:rFonts w:asciiTheme="minorHAnsi" w:hAnsiTheme="minorHAnsi" w:cstheme="minorHAnsi"/>
          <w:sz w:val="28"/>
          <w:szCs w:val="28"/>
        </w:rPr>
        <w:t xml:space="preserve"> and TikTok have been</w:t>
      </w:r>
      <w:r w:rsidR="00FF624B">
        <w:rPr>
          <w:rFonts w:asciiTheme="minorHAnsi" w:hAnsiTheme="minorHAnsi" w:cstheme="minorHAnsi"/>
          <w:sz w:val="28"/>
          <w:szCs w:val="28"/>
        </w:rPr>
        <w:t xml:space="preserve"> used</w:t>
      </w:r>
      <w:r>
        <w:rPr>
          <w:rFonts w:asciiTheme="minorHAnsi" w:hAnsiTheme="minorHAnsi" w:cstheme="minorHAnsi"/>
          <w:sz w:val="28"/>
          <w:szCs w:val="28"/>
        </w:rPr>
        <w:t xml:space="preserve"> to film gang members’ exploits and violent actions towards others – usually with the backdrop of music. Subsequently, this continues to add to the allure for prospective and existing young people involved in CL, as it showcases a tangible sub-culture </w:t>
      </w:r>
      <w:r w:rsidR="00FF624B">
        <w:rPr>
          <w:rFonts w:asciiTheme="minorHAnsi" w:hAnsiTheme="minorHAnsi" w:cstheme="minorHAnsi"/>
          <w:sz w:val="28"/>
          <w:szCs w:val="28"/>
        </w:rPr>
        <w:t xml:space="preserve">which is </w:t>
      </w:r>
      <w:r>
        <w:rPr>
          <w:rFonts w:asciiTheme="minorHAnsi" w:hAnsiTheme="minorHAnsi" w:cstheme="minorHAnsi"/>
          <w:sz w:val="28"/>
          <w:szCs w:val="28"/>
        </w:rPr>
        <w:t xml:space="preserve">being revered and celebrated in receipt of monetary and material reward (Storrod and </w:t>
      </w:r>
      <w:proofErr w:type="spellStart"/>
      <w:r>
        <w:rPr>
          <w:rFonts w:asciiTheme="minorHAnsi" w:hAnsiTheme="minorHAnsi" w:cstheme="minorHAnsi"/>
          <w:sz w:val="28"/>
          <w:szCs w:val="28"/>
        </w:rPr>
        <w:t>Densley</w:t>
      </w:r>
      <w:proofErr w:type="spellEnd"/>
      <w:r>
        <w:rPr>
          <w:rFonts w:asciiTheme="minorHAnsi" w:hAnsiTheme="minorHAnsi" w:cstheme="minorHAnsi"/>
          <w:sz w:val="28"/>
          <w:szCs w:val="28"/>
        </w:rPr>
        <w:t xml:space="preserve"> 2016).</w:t>
      </w:r>
    </w:p>
    <w:p w14:paraId="1CBF3CA7" w14:textId="77777777" w:rsidR="00911989" w:rsidRDefault="00911989" w:rsidP="00911989">
      <w:pPr>
        <w:spacing w:line="276" w:lineRule="auto"/>
        <w:ind w:firstLine="720"/>
        <w:jc w:val="both"/>
        <w:rPr>
          <w:rFonts w:asciiTheme="minorHAnsi" w:hAnsiTheme="minorHAnsi" w:cstheme="minorHAnsi"/>
          <w:sz w:val="28"/>
          <w:szCs w:val="28"/>
        </w:rPr>
      </w:pPr>
    </w:p>
    <w:p w14:paraId="6F868F0F" w14:textId="363CA4AF" w:rsidR="00911989" w:rsidRDefault="00911989" w:rsidP="00911989">
      <w:pPr>
        <w:spacing w:line="276" w:lineRule="auto"/>
        <w:ind w:firstLine="720"/>
        <w:jc w:val="both"/>
        <w:rPr>
          <w:rFonts w:asciiTheme="minorHAnsi" w:hAnsiTheme="minorHAnsi" w:cstheme="minorHAnsi"/>
          <w:sz w:val="28"/>
          <w:szCs w:val="28"/>
        </w:rPr>
      </w:pPr>
      <w:r>
        <w:rPr>
          <w:rFonts w:asciiTheme="minorHAnsi" w:hAnsiTheme="minorHAnsi" w:cstheme="minorHAnsi"/>
          <w:sz w:val="28"/>
          <w:szCs w:val="28"/>
        </w:rPr>
        <w:t xml:space="preserve">Music alone cannot turn a child vulnerable by means of osmosis. Nonetheless it may reinforce the collective echo chamber of fatalistic mindsets and instant gratification among young people. Consequently, the sociological lens and understanding social media and music, can amplify the ways that children can become vulnerable because it is a form of persuasion (Storrod and </w:t>
      </w:r>
      <w:proofErr w:type="spellStart"/>
      <w:r>
        <w:rPr>
          <w:rFonts w:asciiTheme="minorHAnsi" w:hAnsiTheme="minorHAnsi" w:cstheme="minorHAnsi"/>
          <w:sz w:val="28"/>
          <w:szCs w:val="28"/>
        </w:rPr>
        <w:t>Densley</w:t>
      </w:r>
      <w:proofErr w:type="spellEnd"/>
      <w:r>
        <w:rPr>
          <w:rFonts w:asciiTheme="minorHAnsi" w:hAnsiTheme="minorHAnsi" w:cstheme="minorHAnsi"/>
          <w:sz w:val="28"/>
          <w:szCs w:val="28"/>
        </w:rPr>
        <w:t xml:space="preserve"> 2016).</w:t>
      </w:r>
    </w:p>
    <w:p w14:paraId="182B1BBA" w14:textId="77777777" w:rsidR="00911989" w:rsidRDefault="00911989" w:rsidP="00911989">
      <w:pPr>
        <w:spacing w:line="276" w:lineRule="auto"/>
        <w:ind w:firstLine="720"/>
        <w:jc w:val="both"/>
        <w:rPr>
          <w:rFonts w:asciiTheme="minorHAnsi" w:hAnsiTheme="minorHAnsi" w:cstheme="minorHAnsi"/>
          <w:sz w:val="28"/>
          <w:szCs w:val="28"/>
        </w:rPr>
      </w:pPr>
    </w:p>
    <w:p w14:paraId="48D369FD" w14:textId="77777777" w:rsidR="00911989" w:rsidRDefault="00911989" w:rsidP="00911989">
      <w:pPr>
        <w:spacing w:line="276" w:lineRule="auto"/>
        <w:ind w:firstLine="720"/>
        <w:jc w:val="both"/>
        <w:rPr>
          <w:rFonts w:asciiTheme="minorHAnsi" w:hAnsiTheme="minorHAnsi" w:cstheme="minorHAnsi"/>
          <w:sz w:val="28"/>
          <w:szCs w:val="28"/>
        </w:rPr>
      </w:pPr>
      <w:r>
        <w:rPr>
          <w:rFonts w:asciiTheme="minorHAnsi" w:hAnsiTheme="minorHAnsi" w:cstheme="minorHAnsi"/>
          <w:sz w:val="28"/>
          <w:szCs w:val="28"/>
        </w:rPr>
        <w:t xml:space="preserve">As discussed, children can be valuable assets within OCGs, their vulnerability is further affirmed through ‘debt bondage’. Robinson (2019) </w:t>
      </w:r>
      <w:r>
        <w:rPr>
          <w:rFonts w:asciiTheme="minorHAnsi" w:hAnsiTheme="minorHAnsi" w:cstheme="minorHAnsi"/>
          <w:sz w:val="28"/>
          <w:szCs w:val="28"/>
        </w:rPr>
        <w:lastRenderedPageBreak/>
        <w:t xml:space="preserve">highlighted how elder gang members would secretly steal or rob the drug product from child runners so that they would incur a debt. The child would then be coerced into making further ‘runs’ to pay off their </w:t>
      </w:r>
      <w:r>
        <w:rPr>
          <w:rFonts w:asciiTheme="minorHAnsi" w:hAnsiTheme="minorHAnsi" w:cstheme="minorHAnsi"/>
          <w:i/>
          <w:iCs/>
          <w:sz w:val="28"/>
          <w:szCs w:val="28"/>
        </w:rPr>
        <w:t>debt</w:t>
      </w:r>
      <w:r>
        <w:rPr>
          <w:rFonts w:asciiTheme="minorHAnsi" w:hAnsiTheme="minorHAnsi" w:cstheme="minorHAnsi"/>
          <w:sz w:val="28"/>
          <w:szCs w:val="28"/>
        </w:rPr>
        <w:t>. This, Robison, argued became “a form of indentured servitude”, where it created a “coerced recruitment into the [drug] trade”. Thus, being a child in an unknown county with little agency and fear of repercussions, the child is increasingly vulnerable, as “o</w:t>
      </w:r>
      <w:r w:rsidRPr="00461D40">
        <w:rPr>
          <w:rFonts w:asciiTheme="minorHAnsi" w:hAnsiTheme="minorHAnsi" w:cstheme="minorHAnsi"/>
          <w:sz w:val="28"/>
          <w:szCs w:val="28"/>
        </w:rPr>
        <w:t>nce caught up in county lines, exploited individuals are at risk of extreme physica</w:t>
      </w:r>
      <w:r>
        <w:rPr>
          <w:rFonts w:asciiTheme="minorHAnsi" w:hAnsiTheme="minorHAnsi" w:cstheme="minorHAnsi"/>
          <w:sz w:val="28"/>
          <w:szCs w:val="28"/>
        </w:rPr>
        <w:t xml:space="preserve">l </w:t>
      </w:r>
      <w:r w:rsidRPr="00461D40">
        <w:rPr>
          <w:rFonts w:asciiTheme="minorHAnsi" w:hAnsiTheme="minorHAnsi" w:cstheme="minorHAnsi"/>
          <w:sz w:val="28"/>
          <w:szCs w:val="28"/>
        </w:rPr>
        <w:t>and/or sexual violence, gang recriminations and trafficking”</w:t>
      </w:r>
      <w:r>
        <w:rPr>
          <w:rFonts w:asciiTheme="minorHAnsi" w:hAnsiTheme="minorHAnsi" w:cstheme="minorHAnsi"/>
          <w:sz w:val="28"/>
          <w:szCs w:val="28"/>
        </w:rPr>
        <w:t xml:space="preserve"> (HM Government, 2018)</w:t>
      </w:r>
    </w:p>
    <w:p w14:paraId="7195EA52" w14:textId="77777777" w:rsidR="00911989" w:rsidRDefault="00911989" w:rsidP="00911989">
      <w:pPr>
        <w:spacing w:line="276" w:lineRule="auto"/>
        <w:ind w:firstLine="720"/>
        <w:jc w:val="both"/>
        <w:rPr>
          <w:rFonts w:asciiTheme="minorHAnsi" w:hAnsiTheme="minorHAnsi" w:cstheme="minorHAnsi"/>
          <w:sz w:val="28"/>
          <w:szCs w:val="28"/>
        </w:rPr>
      </w:pPr>
    </w:p>
    <w:p w14:paraId="47763B7B" w14:textId="6678C662" w:rsidR="00911989" w:rsidRDefault="00911989" w:rsidP="00911989">
      <w:pPr>
        <w:spacing w:line="276" w:lineRule="auto"/>
        <w:ind w:firstLine="720"/>
        <w:jc w:val="both"/>
        <w:rPr>
          <w:rFonts w:asciiTheme="minorHAnsi" w:hAnsiTheme="minorHAnsi" w:cstheme="minorHAnsi"/>
          <w:sz w:val="28"/>
          <w:szCs w:val="28"/>
        </w:rPr>
      </w:pPr>
      <w:r>
        <w:rPr>
          <w:rFonts w:asciiTheme="minorHAnsi" w:hAnsiTheme="minorHAnsi" w:cstheme="minorHAnsi"/>
          <w:sz w:val="28"/>
          <w:szCs w:val="28"/>
        </w:rPr>
        <w:t>In conclusion, this essay has outlined how children can become vulnerable and victimised while being involved in Organised Crime Gangs</w:t>
      </w:r>
      <w:r w:rsidR="005D10D7">
        <w:rPr>
          <w:rFonts w:asciiTheme="minorHAnsi" w:hAnsiTheme="minorHAnsi" w:cstheme="minorHAnsi"/>
          <w:sz w:val="28"/>
          <w:szCs w:val="28"/>
        </w:rPr>
        <w:t>,</w:t>
      </w:r>
      <w:r>
        <w:rPr>
          <w:rFonts w:asciiTheme="minorHAnsi" w:hAnsiTheme="minorHAnsi" w:cstheme="minorHAnsi"/>
          <w:sz w:val="28"/>
          <w:szCs w:val="28"/>
        </w:rPr>
        <w:t xml:space="preserve"> County Lines in particular. This work has elucidated how macro-economic issues and micro-studies within music and social media, impact he mindset of young people that result in them being susceptible to the path of coercion and enslavement by OCGs.</w:t>
      </w:r>
    </w:p>
    <w:p w14:paraId="1DD4A817" w14:textId="77777777" w:rsidR="00911989" w:rsidRDefault="00911989" w:rsidP="00911989">
      <w:pPr>
        <w:spacing w:line="276" w:lineRule="auto"/>
        <w:ind w:firstLine="720"/>
        <w:jc w:val="both"/>
        <w:rPr>
          <w:rFonts w:asciiTheme="minorHAnsi" w:hAnsiTheme="minorHAnsi" w:cstheme="minorHAnsi"/>
          <w:sz w:val="28"/>
          <w:szCs w:val="28"/>
        </w:rPr>
      </w:pPr>
    </w:p>
    <w:p w14:paraId="7921D70B" w14:textId="7E4D9B96" w:rsidR="00911989" w:rsidRDefault="00911989" w:rsidP="007A446B">
      <w:pPr>
        <w:spacing w:line="276" w:lineRule="auto"/>
        <w:ind w:firstLine="720"/>
        <w:jc w:val="right"/>
        <w:rPr>
          <w:rFonts w:asciiTheme="minorHAnsi" w:hAnsiTheme="minorHAnsi" w:cstheme="minorHAnsi"/>
          <w:sz w:val="28"/>
          <w:szCs w:val="28"/>
        </w:rPr>
      </w:pPr>
      <w:r>
        <w:rPr>
          <w:rFonts w:asciiTheme="minorHAnsi" w:hAnsiTheme="minorHAnsi" w:cstheme="minorHAnsi"/>
          <w:sz w:val="28"/>
          <w:szCs w:val="28"/>
        </w:rPr>
        <w:t xml:space="preserve">Words: </w:t>
      </w:r>
      <w:r w:rsidR="005D10D7">
        <w:rPr>
          <w:rFonts w:asciiTheme="minorHAnsi" w:hAnsiTheme="minorHAnsi" w:cstheme="minorHAnsi"/>
          <w:sz w:val="28"/>
          <w:szCs w:val="28"/>
        </w:rPr>
        <w:t>1070</w:t>
      </w:r>
    </w:p>
    <w:p w14:paraId="2243B450" w14:textId="77777777" w:rsidR="00911989" w:rsidRPr="004F6EB2" w:rsidRDefault="00911989" w:rsidP="00911989">
      <w:pPr>
        <w:spacing w:line="276" w:lineRule="auto"/>
        <w:ind w:firstLine="720"/>
        <w:jc w:val="both"/>
        <w:rPr>
          <w:rFonts w:asciiTheme="minorHAnsi" w:hAnsiTheme="minorHAnsi" w:cstheme="minorHAnsi"/>
          <w:sz w:val="28"/>
          <w:szCs w:val="28"/>
        </w:rPr>
      </w:pPr>
    </w:p>
    <w:p w14:paraId="1A692985" w14:textId="77777777" w:rsidR="00911989" w:rsidRPr="004F6EB2" w:rsidRDefault="00911989" w:rsidP="00911989">
      <w:pPr>
        <w:spacing w:line="276" w:lineRule="auto"/>
        <w:ind w:firstLine="720"/>
        <w:jc w:val="both"/>
        <w:rPr>
          <w:rFonts w:asciiTheme="minorHAnsi" w:hAnsiTheme="minorHAnsi" w:cstheme="minorHAnsi"/>
          <w:sz w:val="28"/>
          <w:szCs w:val="28"/>
        </w:rPr>
      </w:pPr>
    </w:p>
    <w:p w14:paraId="4F6A9F98" w14:textId="77777777" w:rsidR="00911989" w:rsidRDefault="00911989" w:rsidP="00911989">
      <w:pPr>
        <w:ind w:firstLine="720"/>
        <w:jc w:val="both"/>
      </w:pPr>
    </w:p>
    <w:p w14:paraId="630EDB3B" w14:textId="35677C86" w:rsidR="000571EE" w:rsidRPr="004F6EB2" w:rsidRDefault="000571EE" w:rsidP="00E34CA5">
      <w:pPr>
        <w:spacing w:line="276" w:lineRule="auto"/>
        <w:rPr>
          <w:rFonts w:asciiTheme="minorHAnsi" w:hAnsiTheme="minorHAnsi" w:cstheme="minorHAnsi"/>
          <w:sz w:val="28"/>
          <w:szCs w:val="28"/>
        </w:rPr>
      </w:pPr>
    </w:p>
    <w:p w14:paraId="5E2101DC" w14:textId="58254CCA" w:rsidR="00E34CA5" w:rsidRPr="004F6EB2" w:rsidRDefault="00E34CA5" w:rsidP="00E34CA5">
      <w:pPr>
        <w:spacing w:line="276" w:lineRule="auto"/>
        <w:rPr>
          <w:rFonts w:asciiTheme="minorHAnsi" w:hAnsiTheme="minorHAnsi" w:cstheme="minorHAnsi"/>
          <w:sz w:val="28"/>
          <w:szCs w:val="28"/>
        </w:rPr>
      </w:pPr>
    </w:p>
    <w:p w14:paraId="29FFC7BD" w14:textId="549E55C8" w:rsidR="00BD776F" w:rsidRPr="004F6EB2" w:rsidRDefault="00BD776F" w:rsidP="00E34CA5">
      <w:pPr>
        <w:spacing w:line="276" w:lineRule="auto"/>
        <w:rPr>
          <w:rFonts w:asciiTheme="minorHAnsi" w:hAnsiTheme="minorHAnsi" w:cstheme="minorHAnsi"/>
          <w:sz w:val="28"/>
          <w:szCs w:val="28"/>
        </w:rPr>
      </w:pPr>
    </w:p>
    <w:p w14:paraId="594DB55E" w14:textId="1533BD94" w:rsidR="00BD776F" w:rsidRPr="004F6EB2" w:rsidRDefault="00BD776F" w:rsidP="00E34CA5">
      <w:pPr>
        <w:spacing w:line="276" w:lineRule="auto"/>
        <w:rPr>
          <w:rFonts w:asciiTheme="minorHAnsi" w:hAnsiTheme="minorHAnsi" w:cstheme="minorHAnsi"/>
          <w:sz w:val="28"/>
          <w:szCs w:val="28"/>
        </w:rPr>
      </w:pPr>
    </w:p>
    <w:p w14:paraId="7CFC95DA" w14:textId="010DCA27" w:rsidR="00BD776F" w:rsidRPr="004F6EB2" w:rsidRDefault="00BD776F" w:rsidP="00E34CA5">
      <w:pPr>
        <w:spacing w:line="276" w:lineRule="auto"/>
        <w:rPr>
          <w:rFonts w:asciiTheme="minorHAnsi" w:hAnsiTheme="minorHAnsi" w:cstheme="minorHAnsi"/>
          <w:sz w:val="28"/>
          <w:szCs w:val="28"/>
        </w:rPr>
      </w:pPr>
    </w:p>
    <w:p w14:paraId="0910FAAF" w14:textId="6B6DCE1C" w:rsidR="00BD776F" w:rsidRPr="004F6EB2" w:rsidRDefault="00BD776F" w:rsidP="00E34CA5">
      <w:pPr>
        <w:spacing w:line="276" w:lineRule="auto"/>
        <w:rPr>
          <w:rFonts w:asciiTheme="minorHAnsi" w:hAnsiTheme="minorHAnsi" w:cstheme="minorHAnsi"/>
          <w:sz w:val="28"/>
          <w:szCs w:val="28"/>
        </w:rPr>
      </w:pPr>
    </w:p>
    <w:p w14:paraId="6E88F8E6" w14:textId="17C1875E" w:rsidR="00BD776F" w:rsidRPr="004F6EB2" w:rsidRDefault="00BD776F" w:rsidP="00E34CA5">
      <w:pPr>
        <w:spacing w:line="276" w:lineRule="auto"/>
        <w:rPr>
          <w:rFonts w:asciiTheme="minorHAnsi" w:hAnsiTheme="minorHAnsi" w:cstheme="minorHAnsi"/>
          <w:sz w:val="28"/>
          <w:szCs w:val="28"/>
        </w:rPr>
      </w:pPr>
    </w:p>
    <w:p w14:paraId="7672E5B4" w14:textId="30E33250" w:rsidR="00BD776F" w:rsidRPr="004F6EB2" w:rsidRDefault="00BD776F" w:rsidP="00E34CA5">
      <w:pPr>
        <w:spacing w:line="276" w:lineRule="auto"/>
        <w:rPr>
          <w:rFonts w:asciiTheme="minorHAnsi" w:hAnsiTheme="minorHAnsi" w:cstheme="minorHAnsi"/>
          <w:sz w:val="28"/>
          <w:szCs w:val="28"/>
        </w:rPr>
      </w:pPr>
    </w:p>
    <w:p w14:paraId="170DEDB9" w14:textId="0C6590B3" w:rsidR="00BD776F" w:rsidRPr="004F6EB2" w:rsidRDefault="00BD776F" w:rsidP="00E34CA5">
      <w:pPr>
        <w:spacing w:line="276" w:lineRule="auto"/>
        <w:rPr>
          <w:rFonts w:asciiTheme="minorHAnsi" w:hAnsiTheme="minorHAnsi" w:cstheme="minorHAnsi"/>
          <w:sz w:val="28"/>
          <w:szCs w:val="28"/>
        </w:rPr>
      </w:pPr>
    </w:p>
    <w:p w14:paraId="2F6CE93D" w14:textId="003C8435" w:rsidR="00BD776F" w:rsidRPr="004F6EB2" w:rsidRDefault="00BD776F" w:rsidP="00E34CA5">
      <w:pPr>
        <w:spacing w:line="276" w:lineRule="auto"/>
        <w:rPr>
          <w:rFonts w:asciiTheme="minorHAnsi" w:hAnsiTheme="minorHAnsi" w:cstheme="minorHAnsi"/>
          <w:sz w:val="28"/>
          <w:szCs w:val="28"/>
        </w:rPr>
      </w:pPr>
    </w:p>
    <w:p w14:paraId="2CA89DD4" w14:textId="5BBB86D0" w:rsidR="00BD776F" w:rsidRPr="004F6EB2" w:rsidRDefault="00BD776F" w:rsidP="00E34CA5">
      <w:pPr>
        <w:spacing w:line="276" w:lineRule="auto"/>
        <w:rPr>
          <w:rFonts w:asciiTheme="minorHAnsi" w:hAnsiTheme="minorHAnsi" w:cstheme="minorHAnsi"/>
          <w:sz w:val="28"/>
          <w:szCs w:val="28"/>
        </w:rPr>
      </w:pPr>
    </w:p>
    <w:p w14:paraId="442FB5A6" w14:textId="75588435" w:rsidR="00BD776F" w:rsidRPr="004F6EB2" w:rsidRDefault="00BD776F" w:rsidP="00E34CA5">
      <w:pPr>
        <w:spacing w:line="276" w:lineRule="auto"/>
        <w:rPr>
          <w:rFonts w:asciiTheme="minorHAnsi" w:hAnsiTheme="minorHAnsi" w:cstheme="minorHAnsi"/>
          <w:sz w:val="28"/>
          <w:szCs w:val="28"/>
        </w:rPr>
      </w:pPr>
    </w:p>
    <w:p w14:paraId="5FD4DC77" w14:textId="041A9AC6" w:rsidR="00BD776F" w:rsidRPr="004F6EB2" w:rsidRDefault="00BD776F" w:rsidP="00E34CA5">
      <w:pPr>
        <w:spacing w:line="276" w:lineRule="auto"/>
        <w:rPr>
          <w:rFonts w:asciiTheme="minorHAnsi" w:hAnsiTheme="minorHAnsi" w:cstheme="minorHAnsi"/>
          <w:sz w:val="28"/>
          <w:szCs w:val="28"/>
        </w:rPr>
      </w:pPr>
    </w:p>
    <w:p w14:paraId="0BB053BB" w14:textId="0688F073" w:rsidR="00BD776F" w:rsidRPr="004F6EB2" w:rsidRDefault="00BD776F" w:rsidP="00E34CA5">
      <w:pPr>
        <w:spacing w:line="276" w:lineRule="auto"/>
        <w:rPr>
          <w:rFonts w:asciiTheme="minorHAnsi" w:hAnsiTheme="minorHAnsi" w:cstheme="minorHAnsi"/>
          <w:sz w:val="28"/>
          <w:szCs w:val="28"/>
        </w:rPr>
      </w:pPr>
    </w:p>
    <w:p w14:paraId="1E200835" w14:textId="77777777" w:rsidR="00BD776F" w:rsidRPr="004F6EB2" w:rsidRDefault="00BD776F" w:rsidP="00E34CA5">
      <w:pPr>
        <w:spacing w:line="276" w:lineRule="auto"/>
        <w:rPr>
          <w:rFonts w:asciiTheme="minorHAnsi" w:hAnsiTheme="minorHAnsi" w:cstheme="minorHAnsi"/>
          <w:sz w:val="28"/>
          <w:szCs w:val="28"/>
        </w:rPr>
      </w:pPr>
    </w:p>
    <w:p w14:paraId="4FDCF995" w14:textId="1849E1EF" w:rsidR="00E34CA5" w:rsidRPr="004F6EB2" w:rsidRDefault="00E34CA5" w:rsidP="00BD776F">
      <w:pPr>
        <w:spacing w:line="276" w:lineRule="auto"/>
        <w:jc w:val="center"/>
        <w:rPr>
          <w:rFonts w:asciiTheme="minorHAnsi" w:hAnsiTheme="minorHAnsi" w:cstheme="minorHAnsi"/>
          <w:sz w:val="52"/>
          <w:szCs w:val="52"/>
        </w:rPr>
      </w:pPr>
      <w:r w:rsidRPr="004F6EB2">
        <w:rPr>
          <w:rFonts w:asciiTheme="minorHAnsi" w:hAnsiTheme="minorHAnsi" w:cstheme="minorHAnsi"/>
          <w:sz w:val="52"/>
          <w:szCs w:val="52"/>
        </w:rPr>
        <w:lastRenderedPageBreak/>
        <w:t>Bibliography:</w:t>
      </w:r>
    </w:p>
    <w:p w14:paraId="656D53F5" w14:textId="68220AFE" w:rsidR="00AF3E7D" w:rsidRPr="004F6EB2" w:rsidRDefault="00AF3E7D" w:rsidP="00E34CA5">
      <w:pPr>
        <w:spacing w:line="276" w:lineRule="auto"/>
        <w:rPr>
          <w:rFonts w:asciiTheme="minorHAnsi" w:hAnsiTheme="minorHAnsi" w:cstheme="minorHAnsi"/>
          <w:sz w:val="52"/>
          <w:szCs w:val="52"/>
        </w:rPr>
      </w:pPr>
    </w:p>
    <w:p w14:paraId="7D0CA1EA" w14:textId="0EEA51FD" w:rsidR="00D56CDB" w:rsidRPr="004F6EB2" w:rsidRDefault="00D56CDB" w:rsidP="001F7CE2">
      <w:pPr>
        <w:spacing w:line="276" w:lineRule="auto"/>
        <w:jc w:val="both"/>
        <w:rPr>
          <w:rFonts w:asciiTheme="minorHAnsi" w:hAnsiTheme="minorHAnsi" w:cstheme="minorHAnsi"/>
          <w:b/>
          <w:bCs/>
          <w:sz w:val="36"/>
          <w:szCs w:val="36"/>
        </w:rPr>
      </w:pPr>
      <w:r w:rsidRPr="004F6EB2">
        <w:rPr>
          <w:rFonts w:asciiTheme="minorHAnsi" w:hAnsiTheme="minorHAnsi" w:cstheme="minorHAnsi"/>
          <w:b/>
          <w:bCs/>
          <w:sz w:val="36"/>
          <w:szCs w:val="36"/>
        </w:rPr>
        <w:t>Journals</w:t>
      </w:r>
    </w:p>
    <w:p w14:paraId="5004AC98" w14:textId="77777777" w:rsidR="00AF3E7D" w:rsidRPr="004F6EB2" w:rsidRDefault="00AF3E7D" w:rsidP="001F7CE2">
      <w:pPr>
        <w:jc w:val="both"/>
        <w:rPr>
          <w:sz w:val="22"/>
          <w:szCs w:val="22"/>
        </w:rPr>
      </w:pPr>
    </w:p>
    <w:p w14:paraId="5A4308FE" w14:textId="4DE7AADA" w:rsidR="00AF3E7D" w:rsidRPr="004F6EB2" w:rsidRDefault="00AF3E7D" w:rsidP="001F7CE2">
      <w:pPr>
        <w:pStyle w:val="NormalWeb"/>
        <w:spacing w:before="0" w:beforeAutospacing="0" w:after="0" w:afterAutospacing="0" w:line="360" w:lineRule="atLeast"/>
        <w:jc w:val="both"/>
        <w:rPr>
          <w:rFonts w:ascii="Calibri" w:hAnsi="Calibri" w:cs="Calibri"/>
          <w:color w:val="000000"/>
          <w:sz w:val="28"/>
          <w:szCs w:val="28"/>
        </w:rPr>
      </w:pPr>
      <w:r w:rsidRPr="004F6EB2">
        <w:rPr>
          <w:rFonts w:ascii="Calibri" w:hAnsi="Calibri" w:cs="Calibri"/>
          <w:color w:val="000000"/>
          <w:sz w:val="28"/>
          <w:szCs w:val="28"/>
        </w:rPr>
        <w:t>Alexandrescu, L. and Spicer, J. (2022). The stigma-vulnerability nexus and the framing of drug problems. </w:t>
      </w:r>
      <w:r w:rsidRPr="004F6EB2">
        <w:rPr>
          <w:rFonts w:ascii="Calibri" w:hAnsi="Calibri" w:cs="Calibri"/>
          <w:i/>
          <w:iCs/>
          <w:color w:val="000000"/>
          <w:sz w:val="28"/>
          <w:szCs w:val="28"/>
        </w:rPr>
        <w:t>Drugs: Education, Prevention and Policy</w:t>
      </w:r>
      <w:r w:rsidRPr="004F6EB2">
        <w:rPr>
          <w:rFonts w:ascii="Calibri" w:hAnsi="Calibri" w:cs="Calibri"/>
          <w:color w:val="000000"/>
          <w:sz w:val="28"/>
          <w:szCs w:val="28"/>
        </w:rPr>
        <w:t>, pp.1–11. ‌</w:t>
      </w:r>
    </w:p>
    <w:p w14:paraId="1DC2AA1C" w14:textId="565296AA" w:rsidR="00AF3E7D" w:rsidRPr="004F6EB2" w:rsidRDefault="00AF3E7D" w:rsidP="001F7CE2">
      <w:pPr>
        <w:spacing w:line="276" w:lineRule="auto"/>
        <w:jc w:val="both"/>
        <w:rPr>
          <w:rFonts w:asciiTheme="minorHAnsi" w:hAnsiTheme="minorHAnsi" w:cstheme="minorHAnsi"/>
          <w:sz w:val="28"/>
          <w:szCs w:val="28"/>
        </w:rPr>
      </w:pPr>
    </w:p>
    <w:p w14:paraId="3E82DA7B" w14:textId="1F8518E8" w:rsidR="003D26C7" w:rsidRPr="004F6EB2" w:rsidRDefault="003D26C7" w:rsidP="001F7CE2">
      <w:pPr>
        <w:pStyle w:val="NormalWeb"/>
        <w:spacing w:before="0" w:beforeAutospacing="0" w:after="0" w:afterAutospacing="0" w:line="360" w:lineRule="atLeast"/>
        <w:jc w:val="both"/>
        <w:rPr>
          <w:rFonts w:ascii="Calibri" w:hAnsi="Calibri" w:cs="Calibri"/>
          <w:color w:val="000000"/>
          <w:sz w:val="28"/>
          <w:szCs w:val="28"/>
        </w:rPr>
      </w:pPr>
      <w:r w:rsidRPr="004F6EB2">
        <w:rPr>
          <w:rFonts w:ascii="Calibri" w:hAnsi="Calibri" w:cs="Calibri"/>
          <w:color w:val="000000"/>
          <w:sz w:val="28"/>
          <w:szCs w:val="28"/>
        </w:rPr>
        <w:t>Bacon, M. (2021). Desistance from criminalisation: police culture and new directions in drugs policing. </w:t>
      </w:r>
      <w:r w:rsidRPr="004F6EB2">
        <w:rPr>
          <w:rFonts w:ascii="Calibri" w:hAnsi="Calibri" w:cs="Calibri"/>
          <w:i/>
          <w:iCs/>
          <w:color w:val="000000"/>
          <w:sz w:val="28"/>
          <w:szCs w:val="28"/>
        </w:rPr>
        <w:t>Policing and Society</w:t>
      </w:r>
      <w:r w:rsidRPr="004F6EB2">
        <w:rPr>
          <w:rFonts w:ascii="Calibri" w:hAnsi="Calibri" w:cs="Calibri"/>
          <w:color w:val="000000"/>
          <w:sz w:val="28"/>
          <w:szCs w:val="28"/>
        </w:rPr>
        <w:t xml:space="preserve">, 32(4), pp.1–18. </w:t>
      </w:r>
    </w:p>
    <w:p w14:paraId="2CF29E2D" w14:textId="451CDBEF" w:rsidR="00D56CDB" w:rsidRPr="004F6EB2" w:rsidRDefault="00D56CDB" w:rsidP="001F7CE2">
      <w:pPr>
        <w:spacing w:line="276" w:lineRule="auto"/>
        <w:jc w:val="both"/>
        <w:rPr>
          <w:rFonts w:asciiTheme="minorHAnsi" w:hAnsiTheme="minorHAnsi" w:cstheme="minorHAnsi"/>
          <w:sz w:val="28"/>
          <w:szCs w:val="28"/>
        </w:rPr>
      </w:pPr>
    </w:p>
    <w:p w14:paraId="7F2E4559" w14:textId="2790CA83" w:rsidR="00371EA4" w:rsidRPr="004F6EB2" w:rsidRDefault="00874A46" w:rsidP="001F7CE2">
      <w:pPr>
        <w:spacing w:line="276" w:lineRule="auto"/>
        <w:jc w:val="both"/>
        <w:rPr>
          <w:rFonts w:ascii="Calibri" w:hAnsi="Calibri" w:cs="Calibri"/>
          <w:color w:val="000000"/>
          <w:sz w:val="28"/>
          <w:szCs w:val="28"/>
        </w:rPr>
      </w:pPr>
      <w:r w:rsidRPr="004F6EB2">
        <w:rPr>
          <w:rFonts w:ascii="Calibri" w:hAnsi="Calibri" w:cs="Calibri"/>
          <w:color w:val="000000"/>
          <w:sz w:val="28"/>
          <w:szCs w:val="28"/>
        </w:rPr>
        <w:t xml:space="preserve">Bullock, K. (2013). Community, intelligence-led </w:t>
      </w:r>
      <w:proofErr w:type="gramStart"/>
      <w:r w:rsidRPr="004F6EB2">
        <w:rPr>
          <w:rFonts w:ascii="Calibri" w:hAnsi="Calibri" w:cs="Calibri"/>
          <w:color w:val="000000"/>
          <w:sz w:val="28"/>
          <w:szCs w:val="28"/>
        </w:rPr>
        <w:t>policing</w:t>
      </w:r>
      <w:proofErr w:type="gramEnd"/>
      <w:r w:rsidRPr="004F6EB2">
        <w:rPr>
          <w:rFonts w:ascii="Calibri" w:hAnsi="Calibri" w:cs="Calibri"/>
          <w:color w:val="000000"/>
          <w:sz w:val="28"/>
          <w:szCs w:val="28"/>
        </w:rPr>
        <w:t xml:space="preserve"> and crime control. </w:t>
      </w:r>
      <w:r w:rsidRPr="004F6EB2">
        <w:rPr>
          <w:rFonts w:ascii="Calibri" w:hAnsi="Calibri" w:cs="Calibri"/>
          <w:i/>
          <w:iCs/>
          <w:color w:val="000000"/>
          <w:sz w:val="28"/>
          <w:szCs w:val="28"/>
        </w:rPr>
        <w:t>Policing and Society</w:t>
      </w:r>
      <w:r w:rsidRPr="004F6EB2">
        <w:rPr>
          <w:rFonts w:ascii="Calibri" w:hAnsi="Calibri" w:cs="Calibri"/>
          <w:color w:val="000000"/>
          <w:sz w:val="28"/>
          <w:szCs w:val="28"/>
        </w:rPr>
        <w:t>, 23(2), pp.125–144.</w:t>
      </w:r>
    </w:p>
    <w:p w14:paraId="78B5D170" w14:textId="77777777" w:rsidR="00874A46" w:rsidRPr="004F6EB2" w:rsidRDefault="00874A46" w:rsidP="001F7CE2">
      <w:pPr>
        <w:spacing w:line="276" w:lineRule="auto"/>
        <w:jc w:val="both"/>
        <w:rPr>
          <w:rFonts w:ascii="Calibri" w:hAnsi="Calibri" w:cs="Calibri"/>
          <w:color w:val="000000"/>
          <w:sz w:val="28"/>
          <w:szCs w:val="28"/>
        </w:rPr>
      </w:pPr>
    </w:p>
    <w:p w14:paraId="2549DB3D" w14:textId="7230AB52" w:rsidR="00874A46" w:rsidRPr="004F6EB2" w:rsidRDefault="00874A46" w:rsidP="001F7CE2">
      <w:pPr>
        <w:spacing w:line="276" w:lineRule="auto"/>
        <w:jc w:val="both"/>
        <w:rPr>
          <w:rFonts w:ascii="Calibri" w:hAnsi="Calibri" w:cs="Calibri"/>
          <w:color w:val="000000"/>
          <w:sz w:val="28"/>
          <w:szCs w:val="28"/>
        </w:rPr>
      </w:pPr>
      <w:r w:rsidRPr="004F6EB2">
        <w:rPr>
          <w:rFonts w:ascii="Calibri" w:hAnsi="Calibri" w:cs="Calibri"/>
          <w:color w:val="000000"/>
          <w:sz w:val="28"/>
          <w:szCs w:val="28"/>
        </w:rPr>
        <w:t>Bullock, K., Sidebottom, A., Armitage, R., Ashby, M.P.J., Clemmow, C., Kirby, S., Laycock, G. and Tilley, N. (2022). Police perceptions of problem-oriented policing and evidence-based policing: evidence from England and Wales. </w:t>
      </w:r>
      <w:r w:rsidRPr="004F6EB2">
        <w:rPr>
          <w:rFonts w:ascii="Calibri" w:hAnsi="Calibri" w:cs="Calibri"/>
          <w:i/>
          <w:iCs/>
          <w:color w:val="000000"/>
          <w:sz w:val="28"/>
          <w:szCs w:val="28"/>
        </w:rPr>
        <w:t>Police Practice and Research</w:t>
      </w:r>
      <w:r w:rsidRPr="004F6EB2">
        <w:rPr>
          <w:rFonts w:ascii="Calibri" w:hAnsi="Calibri" w:cs="Calibri"/>
          <w:color w:val="000000"/>
          <w:sz w:val="28"/>
          <w:szCs w:val="28"/>
        </w:rPr>
        <w:t>, 23(6), pp.1–18.</w:t>
      </w:r>
    </w:p>
    <w:p w14:paraId="50296FE2" w14:textId="500FF51B" w:rsidR="00874A46" w:rsidRPr="004F6EB2" w:rsidRDefault="00874A46" w:rsidP="001F7CE2">
      <w:pPr>
        <w:spacing w:line="276" w:lineRule="auto"/>
        <w:jc w:val="both"/>
        <w:rPr>
          <w:rFonts w:asciiTheme="minorHAnsi" w:hAnsiTheme="minorHAnsi" w:cstheme="minorHAnsi"/>
          <w:sz w:val="28"/>
          <w:szCs w:val="28"/>
        </w:rPr>
      </w:pPr>
    </w:p>
    <w:p w14:paraId="0F3AEE38" w14:textId="3C35C9F3" w:rsidR="00874A46" w:rsidRPr="004F6EB2" w:rsidRDefault="00874A46" w:rsidP="001F7CE2">
      <w:pPr>
        <w:spacing w:line="276" w:lineRule="auto"/>
        <w:jc w:val="both"/>
        <w:rPr>
          <w:rFonts w:ascii="Calibri" w:hAnsi="Calibri" w:cs="Calibri"/>
          <w:color w:val="000000"/>
          <w:sz w:val="28"/>
          <w:szCs w:val="28"/>
        </w:rPr>
      </w:pPr>
      <w:r w:rsidRPr="004F6EB2">
        <w:rPr>
          <w:rFonts w:ascii="Calibri" w:hAnsi="Calibri" w:cs="Calibri"/>
          <w:color w:val="000000"/>
          <w:sz w:val="28"/>
          <w:szCs w:val="28"/>
        </w:rPr>
        <w:t>Boba, R. and Crank, J.P. (2008). Institutionalizing problem‐oriented policing: rethinking problem solving, analysis, and accountability. </w:t>
      </w:r>
      <w:r w:rsidRPr="004F6EB2">
        <w:rPr>
          <w:rFonts w:ascii="Calibri" w:hAnsi="Calibri" w:cs="Calibri"/>
          <w:i/>
          <w:iCs/>
          <w:color w:val="000000"/>
          <w:sz w:val="28"/>
          <w:szCs w:val="28"/>
        </w:rPr>
        <w:t>Police Practice and Research</w:t>
      </w:r>
      <w:r w:rsidRPr="004F6EB2">
        <w:rPr>
          <w:rFonts w:ascii="Calibri" w:hAnsi="Calibri" w:cs="Calibri"/>
          <w:color w:val="000000"/>
          <w:sz w:val="28"/>
          <w:szCs w:val="28"/>
        </w:rPr>
        <w:t xml:space="preserve">, 9(5), pp.379–393 </w:t>
      </w:r>
    </w:p>
    <w:p w14:paraId="76914A89" w14:textId="3EE5731D" w:rsidR="00874A46" w:rsidRPr="004F6EB2" w:rsidRDefault="00874A46" w:rsidP="001F7CE2">
      <w:pPr>
        <w:spacing w:line="276" w:lineRule="auto"/>
        <w:jc w:val="both"/>
        <w:rPr>
          <w:rFonts w:ascii="Calibri" w:hAnsi="Calibri" w:cs="Calibri"/>
          <w:color w:val="000000"/>
          <w:sz w:val="28"/>
          <w:szCs w:val="28"/>
        </w:rPr>
      </w:pPr>
    </w:p>
    <w:p w14:paraId="037DF76E" w14:textId="1289ECEA" w:rsidR="00874A46" w:rsidRPr="004F6EB2" w:rsidRDefault="00874A46" w:rsidP="001F7CE2">
      <w:pPr>
        <w:spacing w:line="276" w:lineRule="auto"/>
        <w:jc w:val="both"/>
        <w:rPr>
          <w:rFonts w:asciiTheme="minorHAnsi" w:hAnsiTheme="minorHAnsi" w:cstheme="minorHAnsi"/>
          <w:sz w:val="28"/>
          <w:szCs w:val="28"/>
        </w:rPr>
      </w:pPr>
      <w:r w:rsidRPr="004F6EB2">
        <w:rPr>
          <w:rFonts w:ascii="Calibri" w:hAnsi="Calibri" w:cs="Calibri"/>
          <w:color w:val="000000"/>
          <w:sz w:val="28"/>
          <w:szCs w:val="28"/>
        </w:rPr>
        <w:t>Brantingham, P.J., Valasik, M. and Mohler, G.O. (2018). Does Predictive Policing Lead to Biased Arrests? Results From a Randomized Controlled Trial. </w:t>
      </w:r>
      <w:r w:rsidRPr="004F6EB2">
        <w:rPr>
          <w:rFonts w:ascii="Calibri" w:hAnsi="Calibri" w:cs="Calibri"/>
          <w:i/>
          <w:iCs/>
          <w:color w:val="000000"/>
          <w:sz w:val="28"/>
          <w:szCs w:val="28"/>
        </w:rPr>
        <w:t>Statistics and Public Policy</w:t>
      </w:r>
      <w:r w:rsidRPr="004F6EB2">
        <w:rPr>
          <w:rFonts w:ascii="Calibri" w:hAnsi="Calibri" w:cs="Calibri"/>
          <w:color w:val="000000"/>
          <w:sz w:val="28"/>
          <w:szCs w:val="28"/>
        </w:rPr>
        <w:t>, 5(1), pp.1–6</w:t>
      </w:r>
    </w:p>
    <w:p w14:paraId="1CFDFA2B" w14:textId="6C69050D" w:rsidR="00874A46" w:rsidRPr="004F6EB2" w:rsidRDefault="00874A46" w:rsidP="001F7CE2">
      <w:pPr>
        <w:spacing w:line="276" w:lineRule="auto"/>
        <w:jc w:val="both"/>
        <w:rPr>
          <w:rFonts w:asciiTheme="minorHAnsi" w:hAnsiTheme="minorHAnsi" w:cstheme="minorHAnsi"/>
          <w:sz w:val="28"/>
          <w:szCs w:val="28"/>
        </w:rPr>
      </w:pPr>
    </w:p>
    <w:p w14:paraId="13F3BC83" w14:textId="5C3FF001" w:rsidR="00171B0E" w:rsidRPr="004F6EB2" w:rsidRDefault="00F07A6C" w:rsidP="001F7CE2">
      <w:pPr>
        <w:spacing w:line="276" w:lineRule="auto"/>
        <w:jc w:val="both"/>
        <w:rPr>
          <w:rFonts w:asciiTheme="minorHAnsi" w:hAnsiTheme="minorHAnsi" w:cstheme="minorHAnsi"/>
          <w:sz w:val="28"/>
          <w:szCs w:val="28"/>
        </w:rPr>
      </w:pPr>
      <w:r w:rsidRPr="004F6EB2">
        <w:rPr>
          <w:rFonts w:asciiTheme="minorHAnsi" w:hAnsiTheme="minorHAnsi" w:cstheme="minorHAnsi"/>
          <w:sz w:val="28"/>
          <w:szCs w:val="28"/>
        </w:rPr>
        <w:t xml:space="preserve">Chin, J., Milne, R. and Bull, R. (2022). Fuelling an investigative mindset: the importance of pre-interview planning in police interviews with suspects. </w:t>
      </w:r>
      <w:r w:rsidRPr="004F6EB2">
        <w:rPr>
          <w:rFonts w:asciiTheme="minorHAnsi" w:hAnsiTheme="minorHAnsi" w:cstheme="minorHAnsi"/>
          <w:i/>
          <w:iCs/>
          <w:sz w:val="28"/>
          <w:szCs w:val="28"/>
        </w:rPr>
        <w:t>Psychology, Crime &amp; Law</w:t>
      </w:r>
      <w:r w:rsidRPr="004F6EB2">
        <w:rPr>
          <w:rFonts w:asciiTheme="minorHAnsi" w:hAnsiTheme="minorHAnsi" w:cstheme="minorHAnsi"/>
          <w:sz w:val="28"/>
          <w:szCs w:val="28"/>
        </w:rPr>
        <w:t>, pp.1–25.</w:t>
      </w:r>
    </w:p>
    <w:p w14:paraId="217767C8" w14:textId="77777777" w:rsidR="00171B0E" w:rsidRPr="004F6EB2" w:rsidRDefault="00171B0E" w:rsidP="001F7CE2">
      <w:pPr>
        <w:spacing w:line="276" w:lineRule="auto"/>
        <w:jc w:val="both"/>
        <w:rPr>
          <w:rFonts w:asciiTheme="minorHAnsi" w:hAnsiTheme="minorHAnsi" w:cstheme="minorHAnsi"/>
          <w:sz w:val="28"/>
          <w:szCs w:val="28"/>
        </w:rPr>
      </w:pPr>
    </w:p>
    <w:p w14:paraId="6214BC07" w14:textId="77777777" w:rsidR="00D73908" w:rsidRPr="004F6EB2" w:rsidRDefault="00D73908" w:rsidP="001F7CE2">
      <w:pPr>
        <w:pStyle w:val="NormalWeb"/>
        <w:spacing w:before="0" w:beforeAutospacing="0" w:after="0" w:afterAutospacing="0" w:line="360" w:lineRule="atLeast"/>
        <w:jc w:val="both"/>
        <w:rPr>
          <w:rFonts w:ascii="Calibri" w:hAnsi="Calibri" w:cs="Calibri"/>
          <w:color w:val="000000"/>
          <w:sz w:val="28"/>
          <w:szCs w:val="28"/>
        </w:rPr>
      </w:pPr>
      <w:r w:rsidRPr="004F6EB2">
        <w:rPr>
          <w:rFonts w:ascii="Calibri" w:hAnsi="Calibri" w:cs="Calibri"/>
          <w:color w:val="000000"/>
          <w:sz w:val="28"/>
          <w:szCs w:val="28"/>
        </w:rPr>
        <w:t>Coomber, R. A Tale of Two Cities, (2015)., </w:t>
      </w:r>
      <w:r w:rsidRPr="004F6EB2">
        <w:rPr>
          <w:rFonts w:ascii="Calibri" w:hAnsi="Calibri" w:cs="Calibri"/>
          <w:i/>
          <w:iCs/>
          <w:color w:val="000000"/>
          <w:sz w:val="28"/>
          <w:szCs w:val="28"/>
        </w:rPr>
        <w:t>Criminal Justice Review</w:t>
      </w:r>
      <w:r w:rsidRPr="004F6EB2">
        <w:rPr>
          <w:rFonts w:ascii="Calibri" w:hAnsi="Calibri" w:cs="Calibri"/>
          <w:color w:val="000000"/>
          <w:sz w:val="28"/>
          <w:szCs w:val="28"/>
        </w:rPr>
        <w:t>, 40(1), pp.7–31.</w:t>
      </w:r>
    </w:p>
    <w:p w14:paraId="187C851E" w14:textId="7C0B8C5D" w:rsidR="00D73908" w:rsidRPr="004F6EB2" w:rsidRDefault="00D73908" w:rsidP="001F7CE2">
      <w:pPr>
        <w:pStyle w:val="NormalWeb"/>
        <w:spacing w:before="0" w:beforeAutospacing="0" w:after="0" w:afterAutospacing="0" w:line="360" w:lineRule="atLeast"/>
        <w:jc w:val="both"/>
        <w:rPr>
          <w:rFonts w:ascii="Calibri" w:hAnsi="Calibri" w:cs="Calibri"/>
          <w:color w:val="000000"/>
          <w:sz w:val="28"/>
          <w:szCs w:val="28"/>
        </w:rPr>
      </w:pPr>
      <w:r w:rsidRPr="004F6EB2">
        <w:rPr>
          <w:rFonts w:ascii="Calibri" w:hAnsi="Calibri" w:cs="Calibri"/>
          <w:color w:val="000000"/>
          <w:sz w:val="28"/>
          <w:szCs w:val="28"/>
        </w:rPr>
        <w:t xml:space="preserve"> </w:t>
      </w:r>
    </w:p>
    <w:p w14:paraId="70C5CB4A" w14:textId="1F1252A5" w:rsidR="00371EA4" w:rsidRPr="004F6EB2" w:rsidRDefault="00371EA4" w:rsidP="001F7CE2">
      <w:pPr>
        <w:pStyle w:val="NormalWeb"/>
        <w:spacing w:before="0" w:beforeAutospacing="0" w:after="0" w:afterAutospacing="0" w:line="360" w:lineRule="atLeast"/>
        <w:jc w:val="both"/>
        <w:rPr>
          <w:rFonts w:ascii="Calibri" w:hAnsi="Calibri" w:cs="Calibri"/>
          <w:color w:val="000000"/>
          <w:sz w:val="28"/>
          <w:szCs w:val="28"/>
        </w:rPr>
      </w:pPr>
      <w:r w:rsidRPr="004F6EB2">
        <w:rPr>
          <w:rFonts w:ascii="Calibri" w:hAnsi="Calibri" w:cs="Calibri"/>
          <w:color w:val="000000"/>
          <w:sz w:val="28"/>
          <w:szCs w:val="28"/>
        </w:rPr>
        <w:lastRenderedPageBreak/>
        <w:t xml:space="preserve">Coomber, R., Moyle, </w:t>
      </w:r>
      <w:proofErr w:type="gramStart"/>
      <w:r w:rsidRPr="004F6EB2">
        <w:rPr>
          <w:rFonts w:ascii="Calibri" w:hAnsi="Calibri" w:cs="Calibri"/>
          <w:color w:val="000000"/>
          <w:sz w:val="28"/>
          <w:szCs w:val="28"/>
        </w:rPr>
        <w:t>L.</w:t>
      </w:r>
      <w:proofErr w:type="gramEnd"/>
      <w:r w:rsidRPr="004F6EB2">
        <w:rPr>
          <w:rFonts w:ascii="Calibri" w:hAnsi="Calibri" w:cs="Calibri"/>
          <w:color w:val="000000"/>
          <w:sz w:val="28"/>
          <w:szCs w:val="28"/>
        </w:rPr>
        <w:t xml:space="preserve"> and Mahoney, M.K. (2017). Symbolic policing: situating targeted police operations</w:t>
      </w:r>
      <w:proofErr w:type="gramStart"/>
      <w:r w:rsidRPr="004F6EB2">
        <w:rPr>
          <w:rFonts w:ascii="Calibri" w:hAnsi="Calibri" w:cs="Calibri"/>
          <w:color w:val="000000"/>
          <w:sz w:val="28"/>
          <w:szCs w:val="28"/>
        </w:rPr>
        <w:t>/‘</w:t>
      </w:r>
      <w:proofErr w:type="gramEnd"/>
      <w:r w:rsidRPr="004F6EB2">
        <w:rPr>
          <w:rFonts w:ascii="Calibri" w:hAnsi="Calibri" w:cs="Calibri"/>
          <w:color w:val="000000"/>
          <w:sz w:val="28"/>
          <w:szCs w:val="28"/>
        </w:rPr>
        <w:t>crackdowns’ on street-level drug markets. </w:t>
      </w:r>
      <w:r w:rsidRPr="004F6EB2">
        <w:rPr>
          <w:rFonts w:ascii="Calibri" w:hAnsi="Calibri" w:cs="Calibri"/>
          <w:i/>
          <w:iCs/>
          <w:color w:val="000000"/>
          <w:sz w:val="28"/>
          <w:szCs w:val="28"/>
        </w:rPr>
        <w:t>Policing and Society</w:t>
      </w:r>
      <w:r w:rsidRPr="004F6EB2">
        <w:rPr>
          <w:rFonts w:ascii="Calibri" w:hAnsi="Calibri" w:cs="Calibri"/>
          <w:color w:val="000000"/>
          <w:sz w:val="28"/>
          <w:szCs w:val="28"/>
        </w:rPr>
        <w:t>, [online] 29(1), pp.1–</w:t>
      </w:r>
      <w:proofErr w:type="gramStart"/>
      <w:r w:rsidRPr="004F6EB2">
        <w:rPr>
          <w:rFonts w:ascii="Calibri" w:hAnsi="Calibri" w:cs="Calibri"/>
          <w:color w:val="000000"/>
          <w:sz w:val="28"/>
          <w:szCs w:val="28"/>
        </w:rPr>
        <w:t>17..</w:t>
      </w:r>
      <w:proofErr w:type="gramEnd"/>
    </w:p>
    <w:p w14:paraId="5C70DC71" w14:textId="43A9BA3D" w:rsidR="00371EA4" w:rsidRPr="004F6EB2" w:rsidRDefault="00371EA4" w:rsidP="001F7CE2">
      <w:pPr>
        <w:spacing w:line="276" w:lineRule="auto"/>
        <w:jc w:val="both"/>
        <w:rPr>
          <w:rFonts w:asciiTheme="minorHAnsi" w:hAnsiTheme="minorHAnsi" w:cstheme="minorHAnsi"/>
          <w:sz w:val="28"/>
          <w:szCs w:val="28"/>
        </w:rPr>
      </w:pPr>
    </w:p>
    <w:p w14:paraId="3D8ADB67" w14:textId="14F1DC8C" w:rsidR="00B01751" w:rsidRPr="004F6EB2" w:rsidRDefault="00B01751" w:rsidP="001F7CE2">
      <w:pPr>
        <w:pStyle w:val="NormalWeb"/>
        <w:spacing w:before="0" w:beforeAutospacing="0" w:after="0" w:afterAutospacing="0" w:line="360" w:lineRule="atLeast"/>
        <w:jc w:val="both"/>
        <w:rPr>
          <w:rFonts w:ascii="Calibri" w:hAnsi="Calibri" w:cs="Calibri"/>
          <w:color w:val="000000"/>
          <w:sz w:val="28"/>
          <w:szCs w:val="28"/>
        </w:rPr>
      </w:pPr>
      <w:r w:rsidRPr="004F6EB2">
        <w:rPr>
          <w:rFonts w:ascii="Calibri" w:hAnsi="Calibri" w:cs="Calibri"/>
          <w:color w:val="000000"/>
          <w:sz w:val="28"/>
          <w:szCs w:val="28"/>
        </w:rPr>
        <w:t>Crank, J., Irlbeck, D., Murray, R. and Sundermeier, M. (2012). Mission-based policing: rethinking the relationship of police to crime. </w:t>
      </w:r>
      <w:r w:rsidRPr="004F6EB2">
        <w:rPr>
          <w:rFonts w:ascii="Calibri" w:hAnsi="Calibri" w:cs="Calibri"/>
          <w:i/>
          <w:iCs/>
          <w:color w:val="000000"/>
          <w:sz w:val="28"/>
          <w:szCs w:val="28"/>
        </w:rPr>
        <w:t>Police Practice and Research</w:t>
      </w:r>
      <w:r w:rsidRPr="004F6EB2">
        <w:rPr>
          <w:rFonts w:ascii="Calibri" w:hAnsi="Calibri" w:cs="Calibri"/>
          <w:color w:val="000000"/>
          <w:sz w:val="28"/>
          <w:szCs w:val="28"/>
        </w:rPr>
        <w:t xml:space="preserve">, 13(2), pp.103–120. </w:t>
      </w:r>
    </w:p>
    <w:p w14:paraId="1DA695FE" w14:textId="1AD4EE6B" w:rsidR="00096C59" w:rsidRPr="004F6EB2" w:rsidRDefault="00096C59" w:rsidP="001F7CE2">
      <w:pPr>
        <w:pStyle w:val="NormalWeb"/>
        <w:spacing w:before="0" w:beforeAutospacing="0" w:after="0" w:afterAutospacing="0" w:line="360" w:lineRule="atLeast"/>
        <w:jc w:val="both"/>
        <w:rPr>
          <w:rFonts w:ascii="Calibri" w:hAnsi="Calibri" w:cs="Calibri"/>
          <w:color w:val="000000"/>
          <w:sz w:val="28"/>
          <w:szCs w:val="28"/>
        </w:rPr>
      </w:pPr>
    </w:p>
    <w:p w14:paraId="5F5BE044" w14:textId="16EA7B72" w:rsidR="00096C59" w:rsidRPr="004F6EB2" w:rsidRDefault="00096C59" w:rsidP="001F7CE2">
      <w:pPr>
        <w:pStyle w:val="NormalWeb"/>
        <w:spacing w:before="0" w:beforeAutospacing="0" w:after="0" w:afterAutospacing="0" w:line="360" w:lineRule="atLeast"/>
        <w:jc w:val="both"/>
        <w:rPr>
          <w:rFonts w:ascii="Calibri" w:hAnsi="Calibri" w:cs="Calibri"/>
          <w:color w:val="000000"/>
          <w:sz w:val="28"/>
          <w:szCs w:val="28"/>
        </w:rPr>
      </w:pPr>
      <w:r w:rsidRPr="004F6EB2">
        <w:rPr>
          <w:rFonts w:ascii="Calibri" w:hAnsi="Calibri" w:cs="Calibri"/>
          <w:color w:val="000000"/>
          <w:sz w:val="28"/>
          <w:szCs w:val="28"/>
        </w:rPr>
        <w:t>Crowl, J.N. (2017). The effect of community policing on fear and crime reduction, police legitimacy and job satisfaction: an empirical review of the evidence. </w:t>
      </w:r>
      <w:r w:rsidRPr="004F6EB2">
        <w:rPr>
          <w:rFonts w:ascii="Calibri" w:hAnsi="Calibri" w:cs="Calibri"/>
          <w:i/>
          <w:iCs/>
          <w:color w:val="000000"/>
          <w:sz w:val="28"/>
          <w:szCs w:val="28"/>
        </w:rPr>
        <w:t>Police Practice and Research</w:t>
      </w:r>
      <w:r w:rsidRPr="004F6EB2">
        <w:rPr>
          <w:rFonts w:ascii="Calibri" w:hAnsi="Calibri" w:cs="Calibri"/>
          <w:color w:val="000000"/>
          <w:sz w:val="28"/>
          <w:szCs w:val="28"/>
        </w:rPr>
        <w:t>, 18(5), pp.449–462. ‌</w:t>
      </w:r>
    </w:p>
    <w:p w14:paraId="75CB3ABC" w14:textId="765914F1" w:rsidR="00096C59" w:rsidRPr="004F6EB2" w:rsidRDefault="00096C59" w:rsidP="001F7CE2">
      <w:pPr>
        <w:pStyle w:val="NormalWeb"/>
        <w:spacing w:before="0" w:beforeAutospacing="0" w:after="0" w:afterAutospacing="0" w:line="360" w:lineRule="atLeast"/>
        <w:jc w:val="both"/>
        <w:rPr>
          <w:rFonts w:ascii="Calibri" w:hAnsi="Calibri" w:cs="Calibri"/>
          <w:color w:val="000000"/>
          <w:sz w:val="28"/>
          <w:szCs w:val="28"/>
        </w:rPr>
      </w:pPr>
    </w:p>
    <w:p w14:paraId="52854BCC" w14:textId="5E6B47FD" w:rsidR="00696FE9" w:rsidRPr="004F6EB2" w:rsidRDefault="00696FE9" w:rsidP="001F7CE2">
      <w:pPr>
        <w:pStyle w:val="NormalWeb"/>
        <w:spacing w:before="0" w:beforeAutospacing="0" w:after="0" w:afterAutospacing="0" w:line="360" w:lineRule="atLeast"/>
        <w:jc w:val="both"/>
        <w:rPr>
          <w:rFonts w:ascii="Calibri" w:hAnsi="Calibri" w:cs="Calibri"/>
          <w:color w:val="000000"/>
          <w:sz w:val="28"/>
          <w:szCs w:val="28"/>
        </w:rPr>
      </w:pPr>
      <w:r w:rsidRPr="004F6EB2">
        <w:rPr>
          <w:rFonts w:ascii="Calibri" w:hAnsi="Calibri" w:cs="Calibri"/>
          <w:color w:val="000000"/>
          <w:sz w:val="28"/>
          <w:szCs w:val="28"/>
        </w:rPr>
        <w:t>Dando, C., Wilcock, R. and Milne, R. (2009). The Cognitive Interview: novice police officers’ witness/victim interviewing practices. Psychology, Crime &amp; Law, 15(8), pp.679–696.</w:t>
      </w:r>
    </w:p>
    <w:p w14:paraId="54B59C76" w14:textId="564035C1" w:rsidR="00DD5467" w:rsidRPr="004F6EB2" w:rsidRDefault="00DD5467" w:rsidP="001F7CE2">
      <w:pPr>
        <w:pStyle w:val="NormalWeb"/>
        <w:spacing w:before="0" w:beforeAutospacing="0" w:after="0" w:afterAutospacing="0" w:line="360" w:lineRule="atLeast"/>
        <w:jc w:val="both"/>
        <w:rPr>
          <w:rFonts w:ascii="Calibri" w:hAnsi="Calibri" w:cs="Calibri"/>
          <w:color w:val="000000"/>
          <w:sz w:val="28"/>
          <w:szCs w:val="28"/>
        </w:rPr>
      </w:pPr>
    </w:p>
    <w:p w14:paraId="785B139D" w14:textId="56C04798" w:rsidR="00DD5467" w:rsidRPr="004F6EB2" w:rsidRDefault="00DD5467" w:rsidP="001F7CE2">
      <w:pPr>
        <w:pStyle w:val="NormalWeb"/>
        <w:spacing w:before="0" w:beforeAutospacing="0" w:after="0" w:afterAutospacing="0" w:line="360" w:lineRule="atLeast"/>
        <w:jc w:val="both"/>
        <w:rPr>
          <w:rFonts w:ascii="Calibri" w:hAnsi="Calibri" w:cs="Calibri"/>
          <w:color w:val="000000"/>
          <w:sz w:val="28"/>
          <w:szCs w:val="28"/>
        </w:rPr>
      </w:pPr>
      <w:r w:rsidRPr="004F6EB2">
        <w:rPr>
          <w:rFonts w:ascii="Calibri" w:hAnsi="Calibri" w:cs="Calibri"/>
          <w:color w:val="000000"/>
          <w:sz w:val="28"/>
          <w:szCs w:val="28"/>
        </w:rPr>
        <w:t xml:space="preserve">Davis, D., &amp; Leo, R. A. (2006). Strategies for preventing false confessions and their consequences. In M. Kebbell &amp; G. Davies Eds., </w:t>
      </w:r>
      <w:r w:rsidRPr="004F6EB2">
        <w:rPr>
          <w:rFonts w:ascii="Calibri" w:hAnsi="Calibri" w:cs="Calibri"/>
          <w:i/>
          <w:iCs/>
          <w:color w:val="000000"/>
          <w:sz w:val="28"/>
          <w:szCs w:val="28"/>
        </w:rPr>
        <w:t>Practical psychology for forensic investigations and prosecutions</w:t>
      </w:r>
      <w:r w:rsidRPr="004F6EB2">
        <w:rPr>
          <w:rFonts w:ascii="Calibri" w:hAnsi="Calibri" w:cs="Calibri"/>
          <w:color w:val="000000"/>
          <w:sz w:val="28"/>
          <w:szCs w:val="28"/>
        </w:rPr>
        <w:t>, pp. 121–149</w:t>
      </w:r>
    </w:p>
    <w:p w14:paraId="5904B910" w14:textId="77777777" w:rsidR="00162259" w:rsidRPr="004F6EB2" w:rsidRDefault="00162259" w:rsidP="001F7CE2">
      <w:pPr>
        <w:pStyle w:val="NormalWeb"/>
        <w:spacing w:before="0" w:beforeAutospacing="0" w:after="0" w:afterAutospacing="0" w:line="360" w:lineRule="atLeast"/>
        <w:jc w:val="both"/>
        <w:rPr>
          <w:rFonts w:ascii="Calibri" w:hAnsi="Calibri" w:cs="Calibri"/>
          <w:color w:val="000000"/>
          <w:sz w:val="28"/>
          <w:szCs w:val="28"/>
        </w:rPr>
      </w:pPr>
    </w:p>
    <w:p w14:paraId="5914B75D" w14:textId="253C7D92" w:rsidR="00162259" w:rsidRPr="004F6EB2" w:rsidRDefault="00B01751" w:rsidP="001F7CE2">
      <w:pPr>
        <w:pStyle w:val="NormalWeb"/>
        <w:spacing w:before="0" w:beforeAutospacing="0" w:after="0" w:afterAutospacing="0" w:line="360" w:lineRule="atLeast"/>
        <w:jc w:val="both"/>
        <w:rPr>
          <w:rFonts w:ascii="Calibri" w:hAnsi="Calibri" w:cs="Calibri"/>
          <w:color w:val="000000"/>
          <w:sz w:val="28"/>
          <w:szCs w:val="28"/>
        </w:rPr>
      </w:pPr>
      <w:r w:rsidRPr="004F6EB2">
        <w:rPr>
          <w:rFonts w:ascii="Calibri" w:hAnsi="Calibri" w:cs="Calibri"/>
          <w:color w:val="000000"/>
          <w:sz w:val="28"/>
          <w:szCs w:val="28"/>
        </w:rPr>
        <w:t>‌</w:t>
      </w:r>
      <w:r w:rsidR="00162259" w:rsidRPr="004F6EB2">
        <w:rPr>
          <w:rFonts w:ascii="Calibri" w:hAnsi="Calibri" w:cs="Calibri"/>
          <w:color w:val="000000"/>
          <w:sz w:val="28"/>
          <w:szCs w:val="28"/>
        </w:rPr>
        <w:t>Egbert, S. and Krasmann, S. (2019). Predictive policing: not yet, but soon preemptive? </w:t>
      </w:r>
      <w:r w:rsidR="00162259" w:rsidRPr="004F6EB2">
        <w:rPr>
          <w:rFonts w:ascii="Calibri" w:hAnsi="Calibri" w:cs="Calibri"/>
          <w:i/>
          <w:iCs/>
          <w:color w:val="000000"/>
          <w:sz w:val="28"/>
          <w:szCs w:val="28"/>
        </w:rPr>
        <w:t>Policing and Society</w:t>
      </w:r>
      <w:r w:rsidR="00162259" w:rsidRPr="004F6EB2">
        <w:rPr>
          <w:rFonts w:ascii="Calibri" w:hAnsi="Calibri" w:cs="Calibri"/>
          <w:color w:val="000000"/>
          <w:sz w:val="28"/>
          <w:szCs w:val="28"/>
        </w:rPr>
        <w:t xml:space="preserve">, 30(8), pp.1–15. </w:t>
      </w:r>
    </w:p>
    <w:p w14:paraId="58CE70A2" w14:textId="4D6C8B35" w:rsidR="004547C4" w:rsidRPr="004F6EB2" w:rsidRDefault="00162259" w:rsidP="001F7CE2">
      <w:pPr>
        <w:pStyle w:val="NormalWeb"/>
        <w:jc w:val="both"/>
        <w:rPr>
          <w:rFonts w:ascii="Calibri" w:hAnsi="Calibri" w:cs="Calibri"/>
          <w:color w:val="000000"/>
          <w:sz w:val="28"/>
          <w:szCs w:val="28"/>
        </w:rPr>
      </w:pPr>
      <w:r w:rsidRPr="004F6EB2">
        <w:rPr>
          <w:rFonts w:ascii="Calibri" w:hAnsi="Calibri" w:cs="Calibri"/>
          <w:color w:val="000000"/>
          <w:sz w:val="28"/>
          <w:szCs w:val="28"/>
        </w:rPr>
        <w:t>‌</w:t>
      </w:r>
      <w:r w:rsidR="00DE082C" w:rsidRPr="004F6EB2">
        <w:rPr>
          <w:rFonts w:ascii="Calibri" w:hAnsi="Calibri" w:cs="Calibri"/>
          <w:color w:val="000000"/>
          <w:sz w:val="28"/>
          <w:szCs w:val="28"/>
        </w:rPr>
        <w:t xml:space="preserve"> Elphick, C., Philpot, R., Zhang, M., Stuart, A., Walkington, Z., Frumkin, L.A., Pike, G., Gardner, K., Lacey, M., Levine, M., Price, B., Bandara, A. and Nuseibeh, B. (2021). Building trust in digital policing: a scoping review of community policing apps. </w:t>
      </w:r>
      <w:r w:rsidR="00DE082C" w:rsidRPr="004F6EB2">
        <w:rPr>
          <w:rFonts w:ascii="Calibri" w:hAnsi="Calibri" w:cs="Calibri"/>
          <w:i/>
          <w:iCs/>
          <w:color w:val="000000"/>
          <w:sz w:val="28"/>
          <w:szCs w:val="28"/>
        </w:rPr>
        <w:t>Police Practice and Research</w:t>
      </w:r>
      <w:r w:rsidR="00DE082C" w:rsidRPr="004F6EB2">
        <w:rPr>
          <w:rFonts w:ascii="Calibri" w:hAnsi="Calibri" w:cs="Calibri"/>
          <w:color w:val="000000"/>
          <w:sz w:val="28"/>
          <w:szCs w:val="28"/>
        </w:rPr>
        <w:t>, 22(5), pp.1–23.</w:t>
      </w:r>
    </w:p>
    <w:p w14:paraId="2CE7CAF3" w14:textId="5C2DC91B" w:rsidR="004547C4" w:rsidRDefault="004547C4" w:rsidP="002040B2">
      <w:pPr>
        <w:pStyle w:val="NormalWeb"/>
        <w:spacing w:before="0" w:beforeAutospacing="0" w:after="0" w:afterAutospacing="0" w:line="360" w:lineRule="atLeast"/>
        <w:jc w:val="both"/>
        <w:rPr>
          <w:rFonts w:ascii="Calibri" w:hAnsi="Calibri" w:cs="Calibri"/>
          <w:color w:val="000000"/>
          <w:sz w:val="28"/>
          <w:szCs w:val="28"/>
        </w:rPr>
      </w:pPr>
      <w:r w:rsidRPr="004F6EB2">
        <w:rPr>
          <w:rFonts w:ascii="Calibri" w:hAnsi="Calibri" w:cs="Calibri"/>
          <w:color w:val="000000"/>
          <w:sz w:val="28"/>
          <w:szCs w:val="28"/>
        </w:rPr>
        <w:t>Giwa, S. (2018). Community policing in racialized communities: A potential role for police social work. </w:t>
      </w:r>
      <w:r w:rsidRPr="004F6EB2">
        <w:rPr>
          <w:rFonts w:ascii="Calibri" w:hAnsi="Calibri" w:cs="Calibri"/>
          <w:i/>
          <w:iCs/>
          <w:color w:val="000000"/>
          <w:sz w:val="28"/>
          <w:szCs w:val="28"/>
        </w:rPr>
        <w:t>Journal of Human Behavior in the Social Environment</w:t>
      </w:r>
      <w:r w:rsidRPr="004F6EB2">
        <w:rPr>
          <w:rFonts w:ascii="Calibri" w:hAnsi="Calibri" w:cs="Calibri"/>
          <w:color w:val="000000"/>
          <w:sz w:val="28"/>
          <w:szCs w:val="28"/>
        </w:rPr>
        <w:t>, 28(6), pp.710–730.</w:t>
      </w:r>
    </w:p>
    <w:p w14:paraId="6388EE78" w14:textId="77777777" w:rsidR="002040B2" w:rsidRPr="004F6EB2" w:rsidRDefault="002040B2" w:rsidP="002040B2">
      <w:pPr>
        <w:pStyle w:val="NormalWeb"/>
        <w:spacing w:before="0" w:beforeAutospacing="0" w:after="0" w:afterAutospacing="0" w:line="360" w:lineRule="atLeast"/>
        <w:jc w:val="both"/>
        <w:rPr>
          <w:rFonts w:ascii="Calibri" w:hAnsi="Calibri" w:cs="Calibri"/>
          <w:color w:val="000000"/>
          <w:sz w:val="28"/>
          <w:szCs w:val="28"/>
        </w:rPr>
      </w:pPr>
    </w:p>
    <w:p w14:paraId="00C6B2B2" w14:textId="7E7D0436" w:rsidR="00050836" w:rsidRPr="004F6EB2" w:rsidRDefault="00162259" w:rsidP="001F7CE2">
      <w:pPr>
        <w:pStyle w:val="NormalWeb"/>
        <w:jc w:val="both"/>
        <w:rPr>
          <w:rFonts w:ascii="Calibri" w:hAnsi="Calibri" w:cs="Calibri"/>
          <w:color w:val="000000"/>
          <w:sz w:val="28"/>
          <w:szCs w:val="28"/>
        </w:rPr>
      </w:pPr>
      <w:r w:rsidRPr="004F6EB2">
        <w:rPr>
          <w:rFonts w:ascii="Calibri" w:hAnsi="Calibri" w:cs="Calibri"/>
          <w:color w:val="000000"/>
          <w:sz w:val="28"/>
          <w:szCs w:val="28"/>
        </w:rPr>
        <w:t>Guillaume, P., Sidebottom, A., Tilley, N., (2012) On police and university collaborations: a problem-oriented policing case study, Police Practice and Research, 13:4, pp.389-401</w:t>
      </w:r>
    </w:p>
    <w:p w14:paraId="0C856897" w14:textId="15D9C7AB" w:rsidR="00924CA6" w:rsidRDefault="005472F8" w:rsidP="002040B2">
      <w:pPr>
        <w:pStyle w:val="NormalWeb"/>
        <w:spacing w:before="0" w:beforeAutospacing="0" w:after="0" w:afterAutospacing="0" w:line="360" w:lineRule="atLeast"/>
        <w:jc w:val="both"/>
        <w:rPr>
          <w:rFonts w:ascii="Calibri" w:hAnsi="Calibri" w:cs="Calibri"/>
          <w:color w:val="000000"/>
          <w:sz w:val="28"/>
          <w:szCs w:val="28"/>
        </w:rPr>
      </w:pPr>
      <w:r w:rsidRPr="004F6EB2">
        <w:rPr>
          <w:rFonts w:ascii="Calibri" w:hAnsi="Calibri" w:cs="Calibri"/>
          <w:color w:val="000000"/>
          <w:sz w:val="28"/>
          <w:szCs w:val="28"/>
        </w:rPr>
        <w:t>Goldstein, H. (1979). Improving Policing: A Problem-Oriented Approach. </w:t>
      </w:r>
      <w:r w:rsidRPr="004F6EB2">
        <w:rPr>
          <w:rFonts w:ascii="Calibri" w:hAnsi="Calibri" w:cs="Calibri"/>
          <w:i/>
          <w:iCs/>
          <w:color w:val="000000"/>
          <w:sz w:val="28"/>
          <w:szCs w:val="28"/>
        </w:rPr>
        <w:t>Crime &amp; Delinquency</w:t>
      </w:r>
      <w:r w:rsidRPr="004F6EB2">
        <w:rPr>
          <w:rFonts w:ascii="Calibri" w:hAnsi="Calibri" w:cs="Calibri"/>
          <w:color w:val="000000"/>
          <w:sz w:val="28"/>
          <w:szCs w:val="28"/>
        </w:rPr>
        <w:t>, [online] 25(2), pp.236–258.</w:t>
      </w:r>
    </w:p>
    <w:p w14:paraId="5ECDB107" w14:textId="77777777" w:rsidR="002040B2" w:rsidRPr="004F6EB2" w:rsidRDefault="002040B2" w:rsidP="002040B2">
      <w:pPr>
        <w:pStyle w:val="NormalWeb"/>
        <w:spacing w:before="0" w:beforeAutospacing="0" w:after="0" w:afterAutospacing="0" w:line="360" w:lineRule="atLeast"/>
        <w:jc w:val="both"/>
        <w:rPr>
          <w:rFonts w:ascii="Calibri" w:hAnsi="Calibri" w:cs="Calibri"/>
          <w:color w:val="000000"/>
          <w:sz w:val="28"/>
          <w:szCs w:val="28"/>
        </w:rPr>
      </w:pPr>
    </w:p>
    <w:p w14:paraId="1D178048" w14:textId="2EBC0A39" w:rsidR="005472F8" w:rsidRPr="004F6EB2" w:rsidRDefault="00924CA6" w:rsidP="001F7CE2">
      <w:pPr>
        <w:pStyle w:val="NormalWeb"/>
        <w:jc w:val="both"/>
        <w:rPr>
          <w:rFonts w:ascii="Calibri" w:hAnsi="Calibri" w:cs="Calibri"/>
          <w:color w:val="000000"/>
          <w:sz w:val="28"/>
          <w:szCs w:val="28"/>
        </w:rPr>
      </w:pPr>
      <w:r w:rsidRPr="004F6EB2">
        <w:rPr>
          <w:rFonts w:ascii="Calibri" w:hAnsi="Calibri" w:cs="Calibri"/>
          <w:color w:val="000000"/>
          <w:sz w:val="28"/>
          <w:szCs w:val="28"/>
        </w:rPr>
        <w:t xml:space="preserve">Haselton, M. G., Nettle, D., &amp; Andrews, P. W. (2005). The Evolution of Cognitive Bias. In D. M. Buss (Ed.), The handbook of evolutionary psychology (pp. 724–746). </w:t>
      </w:r>
    </w:p>
    <w:p w14:paraId="6A0C2FC5" w14:textId="3098E02E" w:rsidR="00050836" w:rsidRPr="004F6EB2" w:rsidRDefault="00050836" w:rsidP="001F7CE2">
      <w:pPr>
        <w:pStyle w:val="NormalWeb"/>
        <w:spacing w:before="0" w:beforeAutospacing="0" w:after="0" w:afterAutospacing="0" w:line="360" w:lineRule="atLeast"/>
        <w:jc w:val="both"/>
        <w:rPr>
          <w:rFonts w:ascii="Calibri" w:hAnsi="Calibri" w:cs="Calibri"/>
          <w:color w:val="000000"/>
          <w:sz w:val="28"/>
          <w:szCs w:val="28"/>
        </w:rPr>
      </w:pPr>
      <w:r w:rsidRPr="004F6EB2">
        <w:rPr>
          <w:rFonts w:ascii="Calibri" w:hAnsi="Calibri" w:cs="Calibri"/>
          <w:color w:val="000000"/>
          <w:sz w:val="28"/>
          <w:szCs w:val="28"/>
        </w:rPr>
        <w:t>Hirschi</w:t>
      </w:r>
      <w:r w:rsidR="008E6AD2" w:rsidRPr="004F6EB2">
        <w:rPr>
          <w:rFonts w:ascii="Calibri" w:hAnsi="Calibri" w:cs="Calibri"/>
          <w:color w:val="000000"/>
          <w:sz w:val="28"/>
          <w:szCs w:val="28"/>
        </w:rPr>
        <w:t>, T.;</w:t>
      </w:r>
      <w:r w:rsidRPr="004F6EB2">
        <w:rPr>
          <w:rFonts w:ascii="Calibri" w:hAnsi="Calibri" w:cs="Calibri"/>
          <w:color w:val="000000"/>
          <w:sz w:val="28"/>
          <w:szCs w:val="28"/>
        </w:rPr>
        <w:t xml:space="preserve"> Gottfredson</w:t>
      </w:r>
      <w:r w:rsidR="008E6AD2" w:rsidRPr="004F6EB2">
        <w:rPr>
          <w:rFonts w:ascii="Calibri" w:hAnsi="Calibri" w:cs="Calibri"/>
          <w:color w:val="000000"/>
          <w:sz w:val="28"/>
          <w:szCs w:val="28"/>
        </w:rPr>
        <w:t>, M.,</w:t>
      </w:r>
      <w:r w:rsidR="00C65739" w:rsidRPr="004F6EB2">
        <w:rPr>
          <w:rFonts w:ascii="Calibri" w:hAnsi="Calibri" w:cs="Calibri"/>
          <w:color w:val="000000"/>
          <w:sz w:val="28"/>
          <w:szCs w:val="28"/>
        </w:rPr>
        <w:t xml:space="preserve"> (1983), </w:t>
      </w:r>
      <w:r w:rsidR="008E6AD2" w:rsidRPr="004F6EB2">
        <w:rPr>
          <w:rFonts w:ascii="Calibri" w:hAnsi="Calibri" w:cs="Calibri"/>
          <w:color w:val="000000"/>
          <w:sz w:val="28"/>
          <w:szCs w:val="28"/>
        </w:rPr>
        <w:t xml:space="preserve">Age and the Explanation of Crime, </w:t>
      </w:r>
      <w:r w:rsidRPr="004F6EB2">
        <w:rPr>
          <w:rFonts w:ascii="Calibri" w:hAnsi="Calibri" w:cs="Calibri"/>
          <w:i/>
          <w:iCs/>
          <w:color w:val="000000"/>
          <w:sz w:val="28"/>
          <w:szCs w:val="28"/>
        </w:rPr>
        <w:t>American Journal of Sociology,</w:t>
      </w:r>
      <w:r w:rsidRPr="004F6EB2">
        <w:rPr>
          <w:rFonts w:ascii="Calibri" w:hAnsi="Calibri" w:cs="Calibri"/>
          <w:color w:val="000000"/>
          <w:sz w:val="28"/>
          <w:szCs w:val="28"/>
        </w:rPr>
        <w:t xml:space="preserve"> Vol. 89, No. 3, pp. 552-584</w:t>
      </w:r>
    </w:p>
    <w:p w14:paraId="73DCFEED" w14:textId="53CC3C9F" w:rsidR="001D0BAE" w:rsidRPr="004F6EB2" w:rsidRDefault="001D0BAE" w:rsidP="001F7CE2">
      <w:pPr>
        <w:pStyle w:val="NormalWeb"/>
        <w:spacing w:before="0" w:beforeAutospacing="0" w:after="0" w:afterAutospacing="0" w:line="360" w:lineRule="atLeast"/>
        <w:jc w:val="both"/>
        <w:rPr>
          <w:rFonts w:ascii="Calibri" w:hAnsi="Calibri" w:cs="Calibri"/>
          <w:color w:val="000000"/>
          <w:sz w:val="28"/>
          <w:szCs w:val="28"/>
        </w:rPr>
      </w:pPr>
    </w:p>
    <w:p w14:paraId="5D3E84B0" w14:textId="7E6E70B9" w:rsidR="0094041F" w:rsidRPr="004F6EB2" w:rsidRDefault="0094041F" w:rsidP="001F7CE2">
      <w:pPr>
        <w:pStyle w:val="NormalWeb"/>
        <w:spacing w:before="0" w:beforeAutospacing="0" w:after="0" w:afterAutospacing="0" w:line="360" w:lineRule="atLeast"/>
        <w:jc w:val="both"/>
        <w:rPr>
          <w:rFonts w:ascii="Calibri" w:hAnsi="Calibri" w:cs="Calibri"/>
          <w:color w:val="000000"/>
          <w:sz w:val="28"/>
          <w:szCs w:val="28"/>
        </w:rPr>
      </w:pPr>
      <w:r w:rsidRPr="004F6EB2">
        <w:rPr>
          <w:rFonts w:ascii="Calibri" w:hAnsi="Calibri" w:cs="Calibri"/>
          <w:color w:val="000000"/>
          <w:sz w:val="28"/>
          <w:szCs w:val="28"/>
        </w:rPr>
        <w:t>Howes, L.M. (2019). Interpreted investigative interviews under the PEACE interview model: police interviewers’ perceptions of challenges and suggested solutions. Police Practice and Research, 21(4), pp.1–18.</w:t>
      </w:r>
    </w:p>
    <w:p w14:paraId="709A79EA" w14:textId="66683CD7" w:rsidR="0041152B" w:rsidRPr="004F6EB2" w:rsidRDefault="0041152B" w:rsidP="001F7CE2">
      <w:pPr>
        <w:pStyle w:val="NormalWeb"/>
        <w:spacing w:line="360" w:lineRule="atLeast"/>
        <w:jc w:val="both"/>
        <w:rPr>
          <w:rFonts w:ascii="Calibri" w:hAnsi="Calibri" w:cs="Calibri"/>
          <w:color w:val="000000"/>
          <w:sz w:val="28"/>
          <w:szCs w:val="28"/>
        </w:rPr>
      </w:pPr>
      <w:r w:rsidRPr="004F6EB2">
        <w:rPr>
          <w:rFonts w:ascii="Calibri" w:hAnsi="Calibri" w:cs="Calibri"/>
          <w:color w:val="000000"/>
          <w:sz w:val="28"/>
          <w:szCs w:val="28"/>
        </w:rPr>
        <w:t>Lamin, S.A. and Teboh, C. (2016). Police social work and community policing. Cogent Social Sciences, 2(1)</w:t>
      </w:r>
      <w:r w:rsidR="00887D37" w:rsidRPr="004F6EB2">
        <w:rPr>
          <w:rFonts w:ascii="Calibri" w:hAnsi="Calibri" w:cs="Calibri"/>
          <w:color w:val="000000"/>
          <w:sz w:val="28"/>
          <w:szCs w:val="28"/>
        </w:rPr>
        <w:t>, pp.1-13</w:t>
      </w:r>
    </w:p>
    <w:p w14:paraId="6F0715CD" w14:textId="07D91572" w:rsidR="0041152B" w:rsidRPr="004F6EB2" w:rsidRDefault="00887D37" w:rsidP="001F7CE2">
      <w:pPr>
        <w:pStyle w:val="NormalWeb"/>
        <w:spacing w:line="360" w:lineRule="atLeast"/>
        <w:jc w:val="both"/>
        <w:rPr>
          <w:rFonts w:ascii="Calibri" w:hAnsi="Calibri" w:cs="Calibri"/>
          <w:color w:val="000000"/>
          <w:sz w:val="28"/>
          <w:szCs w:val="28"/>
        </w:rPr>
      </w:pPr>
      <w:r w:rsidRPr="004F6EB2">
        <w:rPr>
          <w:rFonts w:ascii="Calibri" w:hAnsi="Calibri" w:cs="Calibri"/>
          <w:color w:val="000000"/>
          <w:sz w:val="28"/>
          <w:szCs w:val="28"/>
        </w:rPr>
        <w:t>Leese, M. (2023). Staying in control of technology: predictive policing, democracy, and digital sovereignty.</w:t>
      </w:r>
      <w:r w:rsidR="009C47D3" w:rsidRPr="004F6EB2">
        <w:rPr>
          <w:rFonts w:ascii="Calibri" w:hAnsi="Calibri" w:cs="Calibri"/>
          <w:color w:val="000000"/>
          <w:sz w:val="28"/>
          <w:szCs w:val="28"/>
        </w:rPr>
        <w:t xml:space="preserve"> </w:t>
      </w:r>
      <w:r w:rsidR="009C47D3" w:rsidRPr="004F6EB2">
        <w:rPr>
          <w:rFonts w:ascii="Calibri" w:hAnsi="Calibri" w:cs="Calibri"/>
          <w:i/>
          <w:iCs/>
          <w:color w:val="000000"/>
          <w:sz w:val="28"/>
          <w:szCs w:val="28"/>
        </w:rPr>
        <w:t>Cogent Social Sciences,</w:t>
      </w:r>
      <w:r w:rsidRPr="004F6EB2">
        <w:rPr>
          <w:rFonts w:ascii="Calibri" w:hAnsi="Calibri" w:cs="Calibri"/>
          <w:color w:val="000000"/>
          <w:sz w:val="28"/>
          <w:szCs w:val="28"/>
        </w:rPr>
        <w:t xml:space="preserve"> </w:t>
      </w:r>
      <w:r w:rsidR="009C47D3" w:rsidRPr="004F6EB2">
        <w:rPr>
          <w:rFonts w:ascii="Calibri" w:hAnsi="Calibri" w:cs="Calibri"/>
          <w:color w:val="000000"/>
          <w:sz w:val="28"/>
          <w:szCs w:val="28"/>
        </w:rPr>
        <w:t xml:space="preserve">2:1, </w:t>
      </w:r>
      <w:r w:rsidRPr="004F6EB2">
        <w:rPr>
          <w:rFonts w:ascii="Calibri" w:hAnsi="Calibri" w:cs="Calibri"/>
          <w:color w:val="000000"/>
          <w:sz w:val="28"/>
          <w:szCs w:val="28"/>
        </w:rPr>
        <w:t xml:space="preserve">pp.1–16. </w:t>
      </w:r>
    </w:p>
    <w:p w14:paraId="5BD96F41" w14:textId="2A0FE062" w:rsidR="00FE4774" w:rsidRPr="004F6EB2" w:rsidRDefault="00FE4774" w:rsidP="001F7CE2">
      <w:pPr>
        <w:pStyle w:val="NormalWeb"/>
        <w:spacing w:before="0" w:beforeAutospacing="0" w:after="0" w:afterAutospacing="0" w:line="360" w:lineRule="atLeast"/>
        <w:jc w:val="both"/>
        <w:rPr>
          <w:rFonts w:ascii="Calibri" w:hAnsi="Calibri" w:cs="Calibri"/>
          <w:color w:val="000000"/>
          <w:sz w:val="28"/>
          <w:szCs w:val="28"/>
        </w:rPr>
      </w:pPr>
      <w:r w:rsidRPr="004F6EB2">
        <w:rPr>
          <w:rFonts w:ascii="Calibri" w:hAnsi="Calibri" w:cs="Calibri"/>
          <w:color w:val="000000"/>
          <w:sz w:val="28"/>
          <w:szCs w:val="28"/>
        </w:rPr>
        <w:t xml:space="preserve">Irwin-Rogers, K. (2019). Illicit Drug Markets, Consumer Capitalism and the Rise of </w:t>
      </w:r>
      <w:proofErr w:type="gramStart"/>
      <w:r w:rsidRPr="004F6EB2">
        <w:rPr>
          <w:rFonts w:ascii="Calibri" w:hAnsi="Calibri" w:cs="Calibri"/>
          <w:color w:val="000000"/>
          <w:sz w:val="28"/>
          <w:szCs w:val="28"/>
        </w:rPr>
        <w:t>Social Media</w:t>
      </w:r>
      <w:proofErr w:type="gramEnd"/>
      <w:r w:rsidRPr="004F6EB2">
        <w:rPr>
          <w:rFonts w:ascii="Calibri" w:hAnsi="Calibri" w:cs="Calibri"/>
          <w:color w:val="000000"/>
          <w:sz w:val="28"/>
          <w:szCs w:val="28"/>
        </w:rPr>
        <w:t>: A Toxic Trap for Young People. </w:t>
      </w:r>
      <w:r w:rsidRPr="004F6EB2">
        <w:rPr>
          <w:rFonts w:ascii="Calibri" w:hAnsi="Calibri" w:cs="Calibri"/>
          <w:i/>
          <w:iCs/>
          <w:color w:val="000000"/>
          <w:sz w:val="28"/>
          <w:szCs w:val="28"/>
        </w:rPr>
        <w:t>Critical Criminology</w:t>
      </w:r>
      <w:r w:rsidRPr="004F6EB2">
        <w:rPr>
          <w:rFonts w:ascii="Calibri" w:hAnsi="Calibri" w:cs="Calibri"/>
          <w:color w:val="000000"/>
          <w:sz w:val="28"/>
          <w:szCs w:val="28"/>
        </w:rPr>
        <w:t>, 27(4), pp. 591-610</w:t>
      </w:r>
    </w:p>
    <w:p w14:paraId="3E1FE7B8" w14:textId="690948B2" w:rsidR="008F1BCC" w:rsidRPr="004F6EB2" w:rsidRDefault="008F1BCC" w:rsidP="001F7CE2">
      <w:pPr>
        <w:pStyle w:val="NormalWeb"/>
        <w:spacing w:before="0" w:beforeAutospacing="0" w:after="0" w:afterAutospacing="0" w:line="360" w:lineRule="atLeast"/>
        <w:jc w:val="both"/>
        <w:rPr>
          <w:rFonts w:ascii="Calibri" w:hAnsi="Calibri" w:cs="Calibri"/>
          <w:color w:val="000000"/>
          <w:sz w:val="28"/>
          <w:szCs w:val="28"/>
        </w:rPr>
      </w:pPr>
    </w:p>
    <w:p w14:paraId="522014B8" w14:textId="297754F2" w:rsidR="001D0BAE" w:rsidRPr="004F6EB2" w:rsidRDefault="001D0BAE" w:rsidP="001F7CE2">
      <w:pPr>
        <w:pStyle w:val="NormalWeb"/>
        <w:spacing w:before="0" w:beforeAutospacing="0" w:after="0" w:afterAutospacing="0" w:line="360" w:lineRule="atLeast"/>
        <w:jc w:val="both"/>
        <w:rPr>
          <w:rFonts w:ascii="Calibri" w:hAnsi="Calibri" w:cs="Calibri"/>
          <w:color w:val="000000"/>
          <w:sz w:val="28"/>
          <w:szCs w:val="28"/>
        </w:rPr>
      </w:pPr>
      <w:r w:rsidRPr="004F6EB2">
        <w:rPr>
          <w:rFonts w:ascii="Calibri" w:hAnsi="Calibri" w:cs="Calibri"/>
          <w:color w:val="000000"/>
          <w:sz w:val="28"/>
          <w:szCs w:val="28"/>
        </w:rPr>
        <w:t>Leuprecht, C., Aulthouse, A. and Walther, O. (2016). The puzzling resilience of transnational organized criminal networks. </w:t>
      </w:r>
      <w:r w:rsidRPr="004F6EB2">
        <w:rPr>
          <w:rFonts w:ascii="Calibri" w:hAnsi="Calibri" w:cs="Calibri"/>
          <w:i/>
          <w:iCs/>
          <w:color w:val="000000"/>
          <w:sz w:val="28"/>
          <w:szCs w:val="28"/>
        </w:rPr>
        <w:t>Police Practice and Research</w:t>
      </w:r>
      <w:r w:rsidRPr="004F6EB2">
        <w:rPr>
          <w:rFonts w:ascii="Calibri" w:hAnsi="Calibri" w:cs="Calibri"/>
          <w:color w:val="000000"/>
          <w:sz w:val="28"/>
          <w:szCs w:val="28"/>
        </w:rPr>
        <w:t>, 17(4), pp.376–387.</w:t>
      </w:r>
    </w:p>
    <w:p w14:paraId="62028C8C" w14:textId="0F3F3B6E" w:rsidR="000E41B6" w:rsidRPr="004F6EB2" w:rsidRDefault="000E41B6" w:rsidP="001F7CE2">
      <w:pPr>
        <w:pStyle w:val="NormalWeb"/>
        <w:spacing w:before="0" w:beforeAutospacing="0" w:after="0" w:afterAutospacing="0" w:line="360" w:lineRule="atLeast"/>
        <w:jc w:val="both"/>
        <w:rPr>
          <w:rFonts w:ascii="Calibri" w:hAnsi="Calibri" w:cs="Calibri"/>
          <w:color w:val="000000"/>
          <w:sz w:val="28"/>
          <w:szCs w:val="28"/>
        </w:rPr>
      </w:pPr>
    </w:p>
    <w:p w14:paraId="07D79E97" w14:textId="6F04CEBB" w:rsidR="005751EA" w:rsidRPr="004F6EB2" w:rsidRDefault="005751EA" w:rsidP="001F7CE2">
      <w:pPr>
        <w:pStyle w:val="NormalWeb"/>
        <w:spacing w:before="0" w:beforeAutospacing="0" w:after="0" w:afterAutospacing="0" w:line="360" w:lineRule="atLeast"/>
        <w:jc w:val="both"/>
        <w:rPr>
          <w:rFonts w:ascii="Calibri" w:hAnsi="Calibri" w:cs="Calibri"/>
          <w:color w:val="000000"/>
          <w:sz w:val="28"/>
          <w:szCs w:val="28"/>
        </w:rPr>
      </w:pPr>
      <w:r w:rsidRPr="004F6EB2">
        <w:rPr>
          <w:rFonts w:ascii="Calibri" w:hAnsi="Calibri" w:cs="Calibri"/>
          <w:color w:val="000000"/>
          <w:sz w:val="28"/>
          <w:szCs w:val="28"/>
        </w:rPr>
        <w:t xml:space="preserve">Liden, M; Grannas, M; Juslin, </w:t>
      </w:r>
      <w:proofErr w:type="gramStart"/>
      <w:r w:rsidRPr="004F6EB2">
        <w:rPr>
          <w:rFonts w:ascii="Calibri" w:hAnsi="Calibri" w:cs="Calibri"/>
          <w:color w:val="000000"/>
          <w:sz w:val="28"/>
          <w:szCs w:val="28"/>
        </w:rPr>
        <w:t>P;“</w:t>
      </w:r>
      <w:proofErr w:type="gramEnd"/>
      <w:r w:rsidRPr="004F6EB2">
        <w:rPr>
          <w:rFonts w:ascii="Calibri" w:hAnsi="Calibri" w:cs="Calibri"/>
          <w:color w:val="000000"/>
          <w:sz w:val="28"/>
          <w:szCs w:val="28"/>
        </w:rPr>
        <w:t>The Presumption of Guilt in Suspect Interrogations: Apprehension of Confirmation Bias and Debiasing Techniques” 2018, Vol 42, no.4, 336-354</w:t>
      </w:r>
    </w:p>
    <w:p w14:paraId="587B5A2C" w14:textId="77777777" w:rsidR="005751EA" w:rsidRPr="004F6EB2" w:rsidRDefault="005751EA" w:rsidP="001F7CE2">
      <w:pPr>
        <w:pStyle w:val="NormalWeb"/>
        <w:spacing w:before="0" w:beforeAutospacing="0" w:after="0" w:afterAutospacing="0" w:line="360" w:lineRule="atLeast"/>
        <w:jc w:val="both"/>
        <w:rPr>
          <w:rFonts w:ascii="Calibri" w:hAnsi="Calibri" w:cs="Calibri"/>
          <w:color w:val="000000"/>
          <w:sz w:val="28"/>
          <w:szCs w:val="28"/>
        </w:rPr>
      </w:pPr>
    </w:p>
    <w:p w14:paraId="4778FB5A" w14:textId="26532D43" w:rsidR="000E41B6" w:rsidRPr="004F6EB2" w:rsidRDefault="000E41B6" w:rsidP="001F7CE2">
      <w:pPr>
        <w:pStyle w:val="NormalWeb"/>
        <w:spacing w:before="0" w:beforeAutospacing="0" w:after="0" w:afterAutospacing="0" w:line="360" w:lineRule="atLeast"/>
        <w:jc w:val="both"/>
        <w:rPr>
          <w:rFonts w:ascii="Calibri" w:hAnsi="Calibri" w:cs="Calibri"/>
          <w:color w:val="000000"/>
          <w:sz w:val="28"/>
          <w:szCs w:val="28"/>
        </w:rPr>
      </w:pPr>
      <w:r w:rsidRPr="004F6EB2">
        <w:rPr>
          <w:rFonts w:ascii="Calibri" w:hAnsi="Calibri" w:cs="Calibri"/>
          <w:color w:val="000000"/>
          <w:sz w:val="28"/>
          <w:szCs w:val="28"/>
        </w:rPr>
        <w:t xml:space="preserve">Lobonţ, O.-R., </w:t>
      </w:r>
      <w:proofErr w:type="spellStart"/>
      <w:r w:rsidRPr="004F6EB2">
        <w:rPr>
          <w:rFonts w:ascii="Calibri" w:hAnsi="Calibri" w:cs="Calibri"/>
          <w:color w:val="000000"/>
          <w:sz w:val="28"/>
          <w:szCs w:val="28"/>
        </w:rPr>
        <w:t>Nicolescu</w:t>
      </w:r>
      <w:proofErr w:type="spellEnd"/>
      <w:r w:rsidRPr="004F6EB2">
        <w:rPr>
          <w:rFonts w:ascii="Calibri" w:hAnsi="Calibri" w:cs="Calibri"/>
          <w:color w:val="000000"/>
          <w:sz w:val="28"/>
          <w:szCs w:val="28"/>
        </w:rPr>
        <w:t xml:space="preserve">, A.-C., Moldovan, N.-C. and </w:t>
      </w:r>
      <w:proofErr w:type="spellStart"/>
      <w:r w:rsidRPr="004F6EB2">
        <w:rPr>
          <w:rFonts w:ascii="Calibri" w:hAnsi="Calibri" w:cs="Calibri"/>
          <w:color w:val="000000"/>
          <w:sz w:val="28"/>
          <w:szCs w:val="28"/>
        </w:rPr>
        <w:t>Kuloğlu</w:t>
      </w:r>
      <w:proofErr w:type="spellEnd"/>
      <w:r w:rsidRPr="004F6EB2">
        <w:rPr>
          <w:rFonts w:ascii="Calibri" w:hAnsi="Calibri" w:cs="Calibri"/>
          <w:color w:val="000000"/>
          <w:sz w:val="28"/>
          <w:szCs w:val="28"/>
        </w:rPr>
        <w:t>, A. (2017). The effect of socioeconomic factors on crime rates in Romania: a macro-level analysis. </w:t>
      </w:r>
      <w:r w:rsidRPr="004F6EB2">
        <w:rPr>
          <w:rFonts w:ascii="Calibri" w:hAnsi="Calibri" w:cs="Calibri"/>
          <w:i/>
          <w:iCs/>
          <w:color w:val="000000"/>
          <w:sz w:val="28"/>
          <w:szCs w:val="28"/>
        </w:rPr>
        <w:t>Economic Research-</w:t>
      </w:r>
      <w:proofErr w:type="spellStart"/>
      <w:r w:rsidRPr="004F6EB2">
        <w:rPr>
          <w:rFonts w:ascii="Calibri" w:hAnsi="Calibri" w:cs="Calibri"/>
          <w:i/>
          <w:iCs/>
          <w:color w:val="000000"/>
          <w:sz w:val="28"/>
          <w:szCs w:val="28"/>
        </w:rPr>
        <w:t>Ekonomska</w:t>
      </w:r>
      <w:proofErr w:type="spellEnd"/>
      <w:r w:rsidRPr="004F6EB2">
        <w:rPr>
          <w:rFonts w:ascii="Calibri" w:hAnsi="Calibri" w:cs="Calibri"/>
          <w:i/>
          <w:iCs/>
          <w:color w:val="000000"/>
          <w:sz w:val="28"/>
          <w:szCs w:val="28"/>
        </w:rPr>
        <w:t xml:space="preserve"> </w:t>
      </w:r>
      <w:proofErr w:type="spellStart"/>
      <w:r w:rsidRPr="004F6EB2">
        <w:rPr>
          <w:rFonts w:ascii="Calibri" w:hAnsi="Calibri" w:cs="Calibri"/>
          <w:i/>
          <w:iCs/>
          <w:color w:val="000000"/>
          <w:sz w:val="28"/>
          <w:szCs w:val="28"/>
        </w:rPr>
        <w:t>Istraživanja</w:t>
      </w:r>
      <w:proofErr w:type="spellEnd"/>
      <w:r w:rsidRPr="004F6EB2">
        <w:rPr>
          <w:rFonts w:ascii="Calibri" w:hAnsi="Calibri" w:cs="Calibri"/>
          <w:color w:val="000000"/>
          <w:sz w:val="28"/>
          <w:szCs w:val="28"/>
        </w:rPr>
        <w:t>, 30(1), pp.91–111.</w:t>
      </w:r>
    </w:p>
    <w:p w14:paraId="5FFC2760" w14:textId="677F6504" w:rsidR="00C0101D" w:rsidRPr="004F6EB2" w:rsidRDefault="00C0101D" w:rsidP="001F7CE2">
      <w:pPr>
        <w:pStyle w:val="NormalWeb"/>
        <w:spacing w:before="0" w:beforeAutospacing="0" w:after="0" w:afterAutospacing="0" w:line="360" w:lineRule="atLeast"/>
        <w:jc w:val="both"/>
        <w:rPr>
          <w:rFonts w:ascii="Calibri" w:hAnsi="Calibri" w:cs="Calibri"/>
          <w:color w:val="000000"/>
          <w:sz w:val="28"/>
          <w:szCs w:val="28"/>
        </w:rPr>
      </w:pPr>
    </w:p>
    <w:p w14:paraId="590A077D" w14:textId="70F35ED6" w:rsidR="00C0101D" w:rsidRPr="004F6EB2" w:rsidRDefault="00C0101D" w:rsidP="001F7CE2">
      <w:pPr>
        <w:pStyle w:val="NormalWeb"/>
        <w:spacing w:before="0" w:beforeAutospacing="0" w:after="0" w:afterAutospacing="0" w:line="360" w:lineRule="atLeast"/>
        <w:jc w:val="both"/>
        <w:rPr>
          <w:rFonts w:ascii="Calibri" w:hAnsi="Calibri" w:cs="Calibri"/>
          <w:color w:val="000000"/>
          <w:sz w:val="28"/>
          <w:szCs w:val="28"/>
        </w:rPr>
      </w:pPr>
      <w:r w:rsidRPr="004F6EB2">
        <w:rPr>
          <w:rFonts w:ascii="Calibri" w:hAnsi="Calibri" w:cs="Calibri"/>
          <w:color w:val="000000"/>
          <w:sz w:val="28"/>
          <w:szCs w:val="28"/>
        </w:rPr>
        <w:t>Lombardo, R.M. and Donner, C.M. (2017). Can community policing increase residents’ informal social control? Testing the impact of the Chicago Alternative Policing Strategy. </w:t>
      </w:r>
      <w:r w:rsidRPr="004F6EB2">
        <w:rPr>
          <w:rFonts w:ascii="Calibri" w:hAnsi="Calibri" w:cs="Calibri"/>
          <w:i/>
          <w:iCs/>
          <w:color w:val="000000"/>
          <w:sz w:val="28"/>
          <w:szCs w:val="28"/>
        </w:rPr>
        <w:t>Police Practice and Research</w:t>
      </w:r>
      <w:r w:rsidRPr="004F6EB2">
        <w:rPr>
          <w:rFonts w:ascii="Calibri" w:hAnsi="Calibri" w:cs="Calibri"/>
          <w:color w:val="000000"/>
          <w:sz w:val="28"/>
          <w:szCs w:val="28"/>
        </w:rPr>
        <w:t xml:space="preserve">, 19(5), pp.427–442. </w:t>
      </w:r>
    </w:p>
    <w:p w14:paraId="1D532DCF" w14:textId="221FD19B" w:rsidR="00C0101D" w:rsidRPr="004F6EB2" w:rsidRDefault="00C0101D" w:rsidP="001F7CE2">
      <w:pPr>
        <w:pStyle w:val="NormalWeb"/>
        <w:spacing w:before="0" w:beforeAutospacing="0" w:after="0" w:afterAutospacing="0" w:line="360" w:lineRule="atLeast"/>
        <w:jc w:val="both"/>
        <w:rPr>
          <w:rFonts w:ascii="Calibri" w:hAnsi="Calibri" w:cs="Calibri"/>
          <w:color w:val="000000"/>
          <w:sz w:val="28"/>
          <w:szCs w:val="28"/>
        </w:rPr>
      </w:pPr>
    </w:p>
    <w:p w14:paraId="0682821B" w14:textId="65C9FBBC" w:rsidR="00C0101D" w:rsidRPr="004F6EB2" w:rsidRDefault="00C0101D" w:rsidP="001F7CE2">
      <w:pPr>
        <w:pStyle w:val="NormalWeb"/>
        <w:spacing w:before="0" w:beforeAutospacing="0" w:after="0" w:afterAutospacing="0" w:line="360" w:lineRule="atLeast"/>
        <w:jc w:val="both"/>
        <w:rPr>
          <w:rFonts w:ascii="Calibri" w:hAnsi="Calibri" w:cs="Calibri"/>
          <w:color w:val="000000"/>
          <w:sz w:val="28"/>
          <w:szCs w:val="28"/>
        </w:rPr>
      </w:pPr>
      <w:r w:rsidRPr="004F6EB2">
        <w:rPr>
          <w:rFonts w:ascii="Calibri" w:hAnsi="Calibri" w:cs="Calibri"/>
          <w:color w:val="000000"/>
          <w:sz w:val="28"/>
          <w:szCs w:val="28"/>
        </w:rPr>
        <w:lastRenderedPageBreak/>
        <w:t>Lowe, T. and Innes, M. (2012). Can we speak in confidence? Community intelligence and neighbourhood policing v2.0. </w:t>
      </w:r>
      <w:r w:rsidRPr="004F6EB2">
        <w:rPr>
          <w:rFonts w:ascii="Calibri" w:hAnsi="Calibri" w:cs="Calibri"/>
          <w:i/>
          <w:iCs/>
          <w:color w:val="000000"/>
          <w:sz w:val="28"/>
          <w:szCs w:val="28"/>
        </w:rPr>
        <w:t>Policing and Society</w:t>
      </w:r>
      <w:r w:rsidRPr="004F6EB2">
        <w:rPr>
          <w:rFonts w:ascii="Calibri" w:hAnsi="Calibri" w:cs="Calibri"/>
          <w:color w:val="000000"/>
          <w:sz w:val="28"/>
          <w:szCs w:val="28"/>
        </w:rPr>
        <w:t xml:space="preserve">, 22(3), pp.295–316. </w:t>
      </w:r>
    </w:p>
    <w:p w14:paraId="10CB3E5B" w14:textId="6023E17A" w:rsidR="006F40F0" w:rsidRPr="004F6EB2" w:rsidRDefault="006F40F0" w:rsidP="001F7CE2">
      <w:pPr>
        <w:pStyle w:val="NormalWeb"/>
        <w:spacing w:before="0" w:beforeAutospacing="0" w:after="0" w:afterAutospacing="0" w:line="360" w:lineRule="atLeast"/>
        <w:jc w:val="both"/>
        <w:rPr>
          <w:rFonts w:ascii="Calibri" w:hAnsi="Calibri" w:cs="Calibri"/>
          <w:color w:val="000000"/>
          <w:sz w:val="28"/>
          <w:szCs w:val="28"/>
        </w:rPr>
      </w:pPr>
    </w:p>
    <w:p w14:paraId="712C2639" w14:textId="77777777" w:rsidR="006F40F0" w:rsidRPr="004F6EB2" w:rsidRDefault="006F40F0" w:rsidP="001F7CE2">
      <w:pPr>
        <w:pStyle w:val="NormalWeb"/>
        <w:spacing w:before="0" w:beforeAutospacing="0" w:after="0" w:afterAutospacing="0" w:line="360" w:lineRule="atLeast"/>
        <w:jc w:val="both"/>
        <w:rPr>
          <w:rFonts w:ascii="Calibri" w:hAnsi="Calibri" w:cs="Calibri"/>
          <w:color w:val="000000"/>
          <w:sz w:val="28"/>
          <w:szCs w:val="28"/>
        </w:rPr>
      </w:pPr>
      <w:r w:rsidRPr="004F6EB2">
        <w:rPr>
          <w:rFonts w:ascii="Calibri" w:hAnsi="Calibri" w:cs="Calibri"/>
          <w:color w:val="000000"/>
          <w:sz w:val="28"/>
          <w:szCs w:val="28"/>
        </w:rPr>
        <w:t>Merenda, F., Trent, J., Rinke, C.R. and Buchanan, M. (2020). Understanding citizen satisfaction with the police: results from a community survey. </w:t>
      </w:r>
      <w:r w:rsidRPr="004F6EB2">
        <w:rPr>
          <w:rFonts w:ascii="Calibri" w:hAnsi="Calibri" w:cs="Calibri"/>
          <w:i/>
          <w:iCs/>
          <w:color w:val="000000"/>
          <w:sz w:val="28"/>
          <w:szCs w:val="28"/>
        </w:rPr>
        <w:t>Police Practice and Research</w:t>
      </w:r>
      <w:r w:rsidRPr="004F6EB2">
        <w:rPr>
          <w:rFonts w:ascii="Calibri" w:hAnsi="Calibri" w:cs="Calibri"/>
          <w:color w:val="000000"/>
          <w:sz w:val="28"/>
          <w:szCs w:val="28"/>
        </w:rPr>
        <w:t>, pp.1–19</w:t>
      </w:r>
    </w:p>
    <w:p w14:paraId="3DA9542B" w14:textId="77777777" w:rsidR="006F40F0" w:rsidRPr="004F6EB2" w:rsidRDefault="006F40F0" w:rsidP="001F7CE2">
      <w:pPr>
        <w:pStyle w:val="NormalWeb"/>
        <w:spacing w:before="0" w:beforeAutospacing="0" w:after="0" w:afterAutospacing="0" w:line="360" w:lineRule="atLeast"/>
        <w:jc w:val="both"/>
        <w:rPr>
          <w:rFonts w:ascii="Calibri" w:hAnsi="Calibri" w:cs="Calibri"/>
          <w:color w:val="000000"/>
          <w:sz w:val="28"/>
          <w:szCs w:val="28"/>
        </w:rPr>
      </w:pPr>
    </w:p>
    <w:p w14:paraId="2CDAED0F" w14:textId="0DEBB785" w:rsidR="006F40F0" w:rsidRPr="004F6EB2" w:rsidRDefault="006F40F0" w:rsidP="001F7CE2">
      <w:pPr>
        <w:pStyle w:val="NormalWeb"/>
        <w:spacing w:before="0" w:beforeAutospacing="0" w:after="0" w:afterAutospacing="0" w:line="360" w:lineRule="atLeast"/>
        <w:jc w:val="both"/>
        <w:rPr>
          <w:rFonts w:ascii="Calibri" w:hAnsi="Calibri" w:cs="Calibri"/>
          <w:color w:val="000000"/>
          <w:sz w:val="28"/>
          <w:szCs w:val="28"/>
        </w:rPr>
      </w:pPr>
      <w:proofErr w:type="spellStart"/>
      <w:r w:rsidRPr="004F6EB2">
        <w:rPr>
          <w:rFonts w:ascii="Calibri" w:hAnsi="Calibri" w:cs="Calibri"/>
          <w:color w:val="000000"/>
          <w:sz w:val="28"/>
          <w:szCs w:val="28"/>
        </w:rPr>
        <w:t>Myhill</w:t>
      </w:r>
      <w:proofErr w:type="spellEnd"/>
      <w:r w:rsidRPr="004F6EB2">
        <w:rPr>
          <w:rFonts w:ascii="Calibri" w:hAnsi="Calibri" w:cs="Calibri"/>
          <w:color w:val="000000"/>
          <w:sz w:val="28"/>
          <w:szCs w:val="28"/>
        </w:rPr>
        <w:t>, A. and Bradford, B. (2012). Can police enhance public confidence by improving quality of service? Results from two surveys in England and Wales. </w:t>
      </w:r>
      <w:r w:rsidRPr="004F6EB2">
        <w:rPr>
          <w:rFonts w:ascii="Calibri" w:hAnsi="Calibri" w:cs="Calibri"/>
          <w:i/>
          <w:iCs/>
          <w:color w:val="000000"/>
          <w:sz w:val="28"/>
          <w:szCs w:val="28"/>
        </w:rPr>
        <w:t>Policing and Society</w:t>
      </w:r>
      <w:r w:rsidRPr="004F6EB2">
        <w:rPr>
          <w:rFonts w:ascii="Calibri" w:hAnsi="Calibri" w:cs="Calibri"/>
          <w:color w:val="000000"/>
          <w:sz w:val="28"/>
          <w:szCs w:val="28"/>
        </w:rPr>
        <w:t xml:space="preserve">, 22(4), pp.397–425. </w:t>
      </w:r>
    </w:p>
    <w:p w14:paraId="403692B4" w14:textId="683E07BF" w:rsidR="008F1BCC" w:rsidRPr="004F6EB2" w:rsidRDefault="005751EA" w:rsidP="002040B2">
      <w:pPr>
        <w:pStyle w:val="NormalWeb"/>
        <w:jc w:val="both"/>
        <w:rPr>
          <w:rFonts w:ascii="Calibri" w:hAnsi="Calibri" w:cs="Calibri"/>
          <w:color w:val="000000"/>
          <w:sz w:val="28"/>
          <w:szCs w:val="28"/>
        </w:rPr>
      </w:pPr>
      <w:r w:rsidRPr="004F6EB2">
        <w:rPr>
          <w:rFonts w:ascii="Calibri" w:hAnsi="Calibri" w:cs="Calibri"/>
          <w:color w:val="000000"/>
          <w:sz w:val="28"/>
          <w:szCs w:val="28"/>
        </w:rPr>
        <w:t xml:space="preserve">Powell, M.B., Hughes-Scholes, C.H., Smith, </w:t>
      </w:r>
      <w:proofErr w:type="gramStart"/>
      <w:r w:rsidRPr="004F6EB2">
        <w:rPr>
          <w:rFonts w:ascii="Calibri" w:hAnsi="Calibri" w:cs="Calibri"/>
          <w:color w:val="000000"/>
          <w:sz w:val="28"/>
          <w:szCs w:val="28"/>
        </w:rPr>
        <w:t>R.</w:t>
      </w:r>
      <w:proofErr w:type="gramEnd"/>
      <w:r w:rsidRPr="004F6EB2">
        <w:rPr>
          <w:rFonts w:ascii="Calibri" w:hAnsi="Calibri" w:cs="Calibri"/>
          <w:color w:val="000000"/>
          <w:sz w:val="28"/>
          <w:szCs w:val="28"/>
        </w:rPr>
        <w:t xml:space="preserve"> and Sharman, S.J. (2012). The relationship between investigative interviewing experience and open-ended question usage. </w:t>
      </w:r>
      <w:r w:rsidRPr="004F6EB2">
        <w:rPr>
          <w:rFonts w:ascii="Calibri" w:hAnsi="Calibri" w:cs="Calibri"/>
          <w:i/>
          <w:iCs/>
          <w:color w:val="000000"/>
          <w:sz w:val="28"/>
          <w:szCs w:val="28"/>
        </w:rPr>
        <w:t>Police Practice and Research</w:t>
      </w:r>
      <w:r w:rsidRPr="004F6EB2">
        <w:rPr>
          <w:rFonts w:ascii="Calibri" w:hAnsi="Calibri" w:cs="Calibri"/>
          <w:color w:val="000000"/>
          <w:sz w:val="28"/>
          <w:szCs w:val="28"/>
        </w:rPr>
        <w:t>, 15(4), pp.283–292</w:t>
      </w:r>
    </w:p>
    <w:p w14:paraId="72525F3C" w14:textId="569B1FEC" w:rsidR="008F1BCC" w:rsidRPr="004F6EB2" w:rsidRDefault="008F1BCC" w:rsidP="001F7CE2">
      <w:pPr>
        <w:pStyle w:val="NormalWeb"/>
        <w:spacing w:before="0" w:beforeAutospacing="0" w:after="0" w:afterAutospacing="0" w:line="360" w:lineRule="atLeast"/>
        <w:jc w:val="both"/>
        <w:rPr>
          <w:rFonts w:ascii="Calibri" w:hAnsi="Calibri" w:cs="Calibri"/>
          <w:color w:val="000000"/>
          <w:sz w:val="28"/>
          <w:szCs w:val="28"/>
        </w:rPr>
      </w:pPr>
      <w:r w:rsidRPr="004F6EB2">
        <w:rPr>
          <w:rFonts w:ascii="Calibri" w:hAnsi="Calibri" w:cs="Calibri"/>
          <w:color w:val="000000"/>
          <w:sz w:val="28"/>
          <w:szCs w:val="28"/>
        </w:rPr>
        <w:t xml:space="preserve">Robinson, G., McLean, R. and </w:t>
      </w:r>
      <w:proofErr w:type="spellStart"/>
      <w:r w:rsidRPr="004F6EB2">
        <w:rPr>
          <w:rFonts w:ascii="Calibri" w:hAnsi="Calibri" w:cs="Calibri"/>
          <w:color w:val="000000"/>
          <w:sz w:val="28"/>
          <w:szCs w:val="28"/>
        </w:rPr>
        <w:t>Densley</w:t>
      </w:r>
      <w:proofErr w:type="spellEnd"/>
      <w:r w:rsidRPr="004F6EB2">
        <w:rPr>
          <w:rFonts w:ascii="Calibri" w:hAnsi="Calibri" w:cs="Calibri"/>
          <w:color w:val="000000"/>
          <w:sz w:val="28"/>
          <w:szCs w:val="28"/>
        </w:rPr>
        <w:t>, J. (2018). Working County Lines: Child Criminal Exploitation and Illicit Drug Dealing in Glasgow and Merseyside. </w:t>
      </w:r>
      <w:r w:rsidRPr="004F6EB2">
        <w:rPr>
          <w:rFonts w:ascii="Calibri" w:hAnsi="Calibri" w:cs="Calibri"/>
          <w:i/>
          <w:iCs/>
          <w:color w:val="000000"/>
          <w:sz w:val="28"/>
          <w:szCs w:val="28"/>
        </w:rPr>
        <w:t>International Journal of Offender Therapy and Comparative Criminology</w:t>
      </w:r>
      <w:r w:rsidRPr="004F6EB2">
        <w:rPr>
          <w:rFonts w:ascii="Calibri" w:hAnsi="Calibri" w:cs="Calibri"/>
          <w:color w:val="000000"/>
          <w:sz w:val="28"/>
          <w:szCs w:val="28"/>
        </w:rPr>
        <w:t xml:space="preserve">, 63(5), pp.694–711. </w:t>
      </w:r>
    </w:p>
    <w:p w14:paraId="049EB0D1" w14:textId="77777777" w:rsidR="008F1BCC" w:rsidRPr="004F6EB2" w:rsidRDefault="008F1BCC" w:rsidP="001F7CE2">
      <w:pPr>
        <w:pStyle w:val="NormalWeb"/>
        <w:spacing w:before="0" w:beforeAutospacing="0" w:after="0" w:afterAutospacing="0" w:line="360" w:lineRule="atLeast"/>
        <w:jc w:val="both"/>
        <w:rPr>
          <w:rFonts w:ascii="Calibri" w:hAnsi="Calibri" w:cs="Calibri"/>
          <w:color w:val="000000"/>
          <w:sz w:val="28"/>
          <w:szCs w:val="28"/>
        </w:rPr>
      </w:pPr>
    </w:p>
    <w:p w14:paraId="04BAA9F1" w14:textId="3DB28B7D" w:rsidR="002735DA" w:rsidRPr="004F6EB2" w:rsidRDefault="006430E3" w:rsidP="001F7CE2">
      <w:pPr>
        <w:pStyle w:val="NormalWeb"/>
        <w:spacing w:before="0" w:beforeAutospacing="0" w:after="0" w:afterAutospacing="0" w:line="360" w:lineRule="atLeast"/>
        <w:jc w:val="both"/>
        <w:rPr>
          <w:rFonts w:ascii="Calibri" w:hAnsi="Calibri" w:cs="Calibri"/>
          <w:color w:val="000000"/>
          <w:sz w:val="28"/>
          <w:szCs w:val="28"/>
        </w:rPr>
      </w:pPr>
      <w:r w:rsidRPr="004F6EB2">
        <w:rPr>
          <w:rFonts w:ascii="Calibri" w:hAnsi="Calibri" w:cs="Calibri"/>
          <w:color w:val="000000"/>
          <w:sz w:val="28"/>
          <w:szCs w:val="28"/>
        </w:rPr>
        <w:t xml:space="preserve">Sandhu, A. and </w:t>
      </w:r>
      <w:proofErr w:type="spellStart"/>
      <w:r w:rsidRPr="004F6EB2">
        <w:rPr>
          <w:rFonts w:ascii="Calibri" w:hAnsi="Calibri" w:cs="Calibri"/>
          <w:color w:val="000000"/>
          <w:sz w:val="28"/>
          <w:szCs w:val="28"/>
        </w:rPr>
        <w:t>Fussey</w:t>
      </w:r>
      <w:proofErr w:type="spellEnd"/>
      <w:r w:rsidRPr="004F6EB2">
        <w:rPr>
          <w:rFonts w:ascii="Calibri" w:hAnsi="Calibri" w:cs="Calibri"/>
          <w:color w:val="000000"/>
          <w:sz w:val="28"/>
          <w:szCs w:val="28"/>
        </w:rPr>
        <w:t>, P. (2020). The ‘uberization of policing’? How police negotiate and operationalise predictive policing technology. </w:t>
      </w:r>
      <w:r w:rsidRPr="004F6EB2">
        <w:rPr>
          <w:rFonts w:ascii="Calibri" w:hAnsi="Calibri" w:cs="Calibri"/>
          <w:i/>
          <w:iCs/>
          <w:color w:val="000000"/>
          <w:sz w:val="28"/>
          <w:szCs w:val="28"/>
        </w:rPr>
        <w:t>Policing and Society</w:t>
      </w:r>
      <w:r w:rsidRPr="004F6EB2">
        <w:rPr>
          <w:rFonts w:ascii="Calibri" w:hAnsi="Calibri" w:cs="Calibri"/>
          <w:color w:val="000000"/>
          <w:sz w:val="28"/>
          <w:szCs w:val="28"/>
        </w:rPr>
        <w:t>, 31(1), pp.1–16</w:t>
      </w:r>
    </w:p>
    <w:p w14:paraId="059E1620" w14:textId="77777777" w:rsidR="006430E3" w:rsidRPr="004F6EB2" w:rsidRDefault="006430E3" w:rsidP="001F7CE2">
      <w:pPr>
        <w:pStyle w:val="NormalWeb"/>
        <w:spacing w:before="0" w:beforeAutospacing="0" w:after="0" w:afterAutospacing="0" w:line="360" w:lineRule="atLeast"/>
        <w:jc w:val="both"/>
        <w:rPr>
          <w:rFonts w:ascii="Calibri" w:hAnsi="Calibri" w:cs="Calibri"/>
          <w:color w:val="000000"/>
          <w:sz w:val="28"/>
          <w:szCs w:val="28"/>
        </w:rPr>
      </w:pPr>
    </w:p>
    <w:p w14:paraId="58EC9326" w14:textId="3BD3B971" w:rsidR="002735DA" w:rsidRPr="004F6EB2" w:rsidRDefault="002735DA" w:rsidP="001F7CE2">
      <w:pPr>
        <w:pStyle w:val="NormalWeb"/>
        <w:spacing w:before="0" w:beforeAutospacing="0" w:after="0" w:afterAutospacing="0" w:line="360" w:lineRule="atLeast"/>
        <w:jc w:val="both"/>
        <w:rPr>
          <w:rFonts w:ascii="Calibri" w:hAnsi="Calibri" w:cs="Calibri"/>
          <w:color w:val="000000"/>
          <w:sz w:val="28"/>
          <w:szCs w:val="28"/>
        </w:rPr>
      </w:pPr>
      <w:r w:rsidRPr="004F6EB2">
        <w:rPr>
          <w:rFonts w:ascii="Calibri" w:hAnsi="Calibri" w:cs="Calibri"/>
          <w:color w:val="000000"/>
          <w:sz w:val="28"/>
          <w:szCs w:val="28"/>
        </w:rPr>
        <w:t>Spicer, J. (2018). ‘That’s their brand, their business’: how police officers are interpreting County Lines. </w:t>
      </w:r>
      <w:r w:rsidRPr="004F6EB2">
        <w:rPr>
          <w:rFonts w:ascii="Calibri" w:hAnsi="Calibri" w:cs="Calibri"/>
          <w:i/>
          <w:iCs/>
          <w:color w:val="000000"/>
          <w:sz w:val="28"/>
          <w:szCs w:val="28"/>
        </w:rPr>
        <w:t>Policing and Society</w:t>
      </w:r>
      <w:r w:rsidRPr="004F6EB2">
        <w:rPr>
          <w:rFonts w:ascii="Calibri" w:hAnsi="Calibri" w:cs="Calibri"/>
          <w:color w:val="000000"/>
          <w:sz w:val="28"/>
          <w:szCs w:val="28"/>
        </w:rPr>
        <w:t>, [online] 29(8), pp.873–886.</w:t>
      </w:r>
    </w:p>
    <w:p w14:paraId="447DECE2" w14:textId="2DF562DC" w:rsidR="00B81327" w:rsidRPr="004F6EB2" w:rsidRDefault="00B81327" w:rsidP="001F7CE2">
      <w:pPr>
        <w:pStyle w:val="NormalWeb"/>
        <w:spacing w:before="0" w:beforeAutospacing="0" w:after="0" w:afterAutospacing="0" w:line="360" w:lineRule="atLeast"/>
        <w:jc w:val="both"/>
        <w:rPr>
          <w:rFonts w:ascii="Calibri" w:hAnsi="Calibri" w:cs="Calibri"/>
          <w:color w:val="000000"/>
          <w:sz w:val="28"/>
          <w:szCs w:val="28"/>
        </w:rPr>
      </w:pPr>
    </w:p>
    <w:p w14:paraId="0EBE1D53" w14:textId="282982F1" w:rsidR="00B81327" w:rsidRDefault="00B81327" w:rsidP="002040B2">
      <w:pPr>
        <w:pStyle w:val="NormalWeb"/>
        <w:spacing w:before="0" w:beforeAutospacing="0" w:after="0" w:afterAutospacing="0" w:line="360" w:lineRule="atLeast"/>
        <w:jc w:val="both"/>
        <w:rPr>
          <w:rFonts w:ascii="Calibri" w:hAnsi="Calibri" w:cs="Calibri"/>
          <w:color w:val="000000"/>
          <w:sz w:val="28"/>
          <w:szCs w:val="28"/>
        </w:rPr>
      </w:pPr>
      <w:r w:rsidRPr="004F6EB2">
        <w:rPr>
          <w:rFonts w:ascii="Calibri" w:hAnsi="Calibri" w:cs="Calibri"/>
          <w:color w:val="000000"/>
          <w:sz w:val="28"/>
          <w:szCs w:val="28"/>
        </w:rPr>
        <w:t>Spicer, J., Moyle, L. and Coomber, R. (2019). The variable and evolving nature of ‘cuckooing’ as a form of criminal exploitation in street level drug markets. </w:t>
      </w:r>
      <w:r w:rsidRPr="004F6EB2">
        <w:rPr>
          <w:rFonts w:ascii="Calibri" w:hAnsi="Calibri" w:cs="Calibri"/>
          <w:i/>
          <w:iCs/>
          <w:color w:val="000000"/>
          <w:sz w:val="28"/>
          <w:szCs w:val="28"/>
        </w:rPr>
        <w:t>Trends in Organized Crime</w:t>
      </w:r>
      <w:r w:rsidR="009039F3" w:rsidRPr="004F6EB2">
        <w:rPr>
          <w:rFonts w:ascii="Calibri" w:hAnsi="Calibri" w:cs="Calibri"/>
          <w:color w:val="000000"/>
          <w:sz w:val="28"/>
          <w:szCs w:val="28"/>
        </w:rPr>
        <w:t>, pp. 301-323</w:t>
      </w:r>
    </w:p>
    <w:p w14:paraId="5B911777" w14:textId="77777777" w:rsidR="002040B2" w:rsidRPr="002040B2" w:rsidRDefault="002040B2" w:rsidP="002040B2">
      <w:pPr>
        <w:pStyle w:val="NormalWeb"/>
        <w:spacing w:before="0" w:beforeAutospacing="0" w:after="0" w:afterAutospacing="0" w:line="360" w:lineRule="atLeast"/>
        <w:jc w:val="both"/>
        <w:rPr>
          <w:rFonts w:ascii="Calibri" w:hAnsi="Calibri" w:cs="Calibri"/>
          <w:color w:val="000000"/>
          <w:sz w:val="28"/>
          <w:szCs w:val="28"/>
        </w:rPr>
      </w:pPr>
    </w:p>
    <w:p w14:paraId="39DE53B6" w14:textId="3B76E8E1" w:rsidR="00B81327" w:rsidRPr="004F6EB2" w:rsidRDefault="00B81327" w:rsidP="001F7CE2">
      <w:pPr>
        <w:pStyle w:val="NormalWeb"/>
        <w:spacing w:before="0" w:beforeAutospacing="0" w:after="0" w:afterAutospacing="0" w:line="360" w:lineRule="atLeast"/>
        <w:jc w:val="both"/>
        <w:rPr>
          <w:rFonts w:ascii="Calibri" w:hAnsi="Calibri" w:cs="Calibri"/>
          <w:color w:val="000000"/>
          <w:sz w:val="28"/>
          <w:szCs w:val="28"/>
        </w:rPr>
      </w:pPr>
      <w:r w:rsidRPr="004F6EB2">
        <w:rPr>
          <w:rFonts w:ascii="Calibri" w:hAnsi="Calibri" w:cs="Calibri"/>
          <w:color w:val="000000"/>
          <w:sz w:val="28"/>
          <w:szCs w:val="28"/>
        </w:rPr>
        <w:t>Spicer, J. (2021). Between gang talk and prohibition: The transfer of blame for County Lines. </w:t>
      </w:r>
      <w:r w:rsidRPr="004F6EB2">
        <w:rPr>
          <w:rFonts w:ascii="Calibri" w:hAnsi="Calibri" w:cs="Calibri"/>
          <w:i/>
          <w:iCs/>
          <w:color w:val="000000"/>
          <w:sz w:val="28"/>
          <w:szCs w:val="28"/>
        </w:rPr>
        <w:t>International Journal of Drug Policy</w:t>
      </w:r>
      <w:r w:rsidRPr="004F6EB2">
        <w:rPr>
          <w:rFonts w:ascii="Calibri" w:hAnsi="Calibri" w:cs="Calibri"/>
          <w:color w:val="000000"/>
          <w:sz w:val="28"/>
          <w:szCs w:val="28"/>
        </w:rPr>
        <w:t>, 87, p</w:t>
      </w:r>
      <w:r w:rsidR="001E6194" w:rsidRPr="004F6EB2">
        <w:rPr>
          <w:rFonts w:ascii="Calibri" w:hAnsi="Calibri" w:cs="Calibri"/>
          <w:color w:val="000000"/>
          <w:sz w:val="28"/>
          <w:szCs w:val="28"/>
        </w:rPr>
        <w:t>p</w:t>
      </w:r>
      <w:r w:rsidRPr="004F6EB2">
        <w:rPr>
          <w:rFonts w:ascii="Calibri" w:hAnsi="Calibri" w:cs="Calibri"/>
          <w:color w:val="000000"/>
          <w:sz w:val="28"/>
          <w:szCs w:val="28"/>
        </w:rPr>
        <w:t>.</w:t>
      </w:r>
      <w:r w:rsidR="001E6194" w:rsidRPr="004F6EB2">
        <w:rPr>
          <w:rFonts w:ascii="Calibri" w:hAnsi="Calibri" w:cs="Calibri"/>
          <w:color w:val="000000"/>
          <w:sz w:val="28"/>
          <w:szCs w:val="28"/>
        </w:rPr>
        <w:t>1-8</w:t>
      </w:r>
      <w:r w:rsidRPr="004F6EB2">
        <w:rPr>
          <w:rFonts w:ascii="Calibri" w:hAnsi="Calibri" w:cs="Calibri"/>
          <w:color w:val="000000"/>
          <w:sz w:val="28"/>
          <w:szCs w:val="28"/>
        </w:rPr>
        <w:t>.</w:t>
      </w:r>
    </w:p>
    <w:p w14:paraId="457AED3F" w14:textId="17EC5950" w:rsidR="002735DA" w:rsidRPr="004F6EB2" w:rsidRDefault="002735DA" w:rsidP="001F7CE2">
      <w:pPr>
        <w:pStyle w:val="NormalWeb"/>
        <w:spacing w:before="0" w:beforeAutospacing="0" w:after="0" w:afterAutospacing="0" w:line="360" w:lineRule="atLeast"/>
        <w:jc w:val="both"/>
        <w:rPr>
          <w:rFonts w:ascii="Calibri" w:hAnsi="Calibri" w:cs="Calibri"/>
          <w:color w:val="000000"/>
          <w:sz w:val="28"/>
          <w:szCs w:val="28"/>
        </w:rPr>
      </w:pPr>
    </w:p>
    <w:p w14:paraId="612B1A37" w14:textId="4D99AD1C" w:rsidR="002735DA" w:rsidRPr="004F6EB2" w:rsidRDefault="002735DA" w:rsidP="001F7CE2">
      <w:pPr>
        <w:pStyle w:val="NormalWeb"/>
        <w:spacing w:before="0" w:beforeAutospacing="0" w:after="0" w:afterAutospacing="0" w:line="360" w:lineRule="atLeast"/>
        <w:jc w:val="both"/>
        <w:rPr>
          <w:rFonts w:ascii="Calibri" w:hAnsi="Calibri" w:cs="Calibri"/>
          <w:color w:val="000000"/>
          <w:sz w:val="28"/>
          <w:szCs w:val="28"/>
        </w:rPr>
      </w:pPr>
      <w:r w:rsidRPr="004F6EB2">
        <w:rPr>
          <w:rFonts w:ascii="Calibri" w:hAnsi="Calibri" w:cs="Calibri"/>
          <w:color w:val="000000"/>
          <w:sz w:val="28"/>
          <w:szCs w:val="28"/>
        </w:rPr>
        <w:t xml:space="preserve">Storrod, M.L. and </w:t>
      </w:r>
      <w:proofErr w:type="spellStart"/>
      <w:r w:rsidRPr="004F6EB2">
        <w:rPr>
          <w:rFonts w:ascii="Calibri" w:hAnsi="Calibri" w:cs="Calibri"/>
          <w:color w:val="000000"/>
          <w:sz w:val="28"/>
          <w:szCs w:val="28"/>
        </w:rPr>
        <w:t>Densley</w:t>
      </w:r>
      <w:proofErr w:type="spellEnd"/>
      <w:r w:rsidRPr="004F6EB2">
        <w:rPr>
          <w:rFonts w:ascii="Calibri" w:hAnsi="Calibri" w:cs="Calibri"/>
          <w:color w:val="000000"/>
          <w:sz w:val="28"/>
          <w:szCs w:val="28"/>
        </w:rPr>
        <w:t>, J.A. (2016). ‘Going viral’ and ‘Going country’: the expressive and instrumental activities of street gangs on social media. </w:t>
      </w:r>
      <w:r w:rsidRPr="004F6EB2">
        <w:rPr>
          <w:rFonts w:ascii="Calibri" w:hAnsi="Calibri" w:cs="Calibri"/>
          <w:i/>
          <w:iCs/>
          <w:color w:val="000000"/>
          <w:sz w:val="28"/>
          <w:szCs w:val="28"/>
        </w:rPr>
        <w:t>Journal of Youth Studies</w:t>
      </w:r>
      <w:r w:rsidRPr="004F6EB2">
        <w:rPr>
          <w:rFonts w:ascii="Calibri" w:hAnsi="Calibri" w:cs="Calibri"/>
          <w:color w:val="000000"/>
          <w:sz w:val="28"/>
          <w:szCs w:val="28"/>
        </w:rPr>
        <w:t>, [online] 20(6), pp.677–696</w:t>
      </w:r>
    </w:p>
    <w:p w14:paraId="647D4EF3" w14:textId="7DC5C4A2" w:rsidR="00371EA4" w:rsidRPr="004F6EB2" w:rsidRDefault="00371EA4" w:rsidP="001F7CE2">
      <w:pPr>
        <w:spacing w:line="276" w:lineRule="auto"/>
        <w:jc w:val="both"/>
        <w:rPr>
          <w:rFonts w:asciiTheme="minorHAnsi" w:hAnsiTheme="minorHAnsi" w:cstheme="minorHAnsi"/>
          <w:sz w:val="28"/>
          <w:szCs w:val="28"/>
        </w:rPr>
      </w:pPr>
    </w:p>
    <w:p w14:paraId="271581F3" w14:textId="75C270EF" w:rsidR="00371EA4" w:rsidRDefault="00371EA4" w:rsidP="001F7CE2">
      <w:pPr>
        <w:spacing w:line="276" w:lineRule="auto"/>
        <w:jc w:val="both"/>
        <w:rPr>
          <w:rFonts w:asciiTheme="minorHAnsi" w:hAnsiTheme="minorHAnsi" w:cstheme="minorHAnsi"/>
          <w:b/>
          <w:bCs/>
          <w:sz w:val="36"/>
          <w:szCs w:val="36"/>
        </w:rPr>
      </w:pPr>
      <w:r w:rsidRPr="004F6EB2">
        <w:rPr>
          <w:rFonts w:asciiTheme="minorHAnsi" w:hAnsiTheme="minorHAnsi" w:cstheme="minorHAnsi"/>
          <w:b/>
          <w:bCs/>
          <w:sz w:val="36"/>
          <w:szCs w:val="36"/>
        </w:rPr>
        <w:lastRenderedPageBreak/>
        <w:t>Books</w:t>
      </w:r>
    </w:p>
    <w:p w14:paraId="3F736ED2" w14:textId="77777777" w:rsidR="002040B2" w:rsidRPr="004F6EB2" w:rsidRDefault="002040B2" w:rsidP="001F7CE2">
      <w:pPr>
        <w:spacing w:line="276" w:lineRule="auto"/>
        <w:jc w:val="both"/>
        <w:rPr>
          <w:rFonts w:asciiTheme="minorHAnsi" w:hAnsiTheme="minorHAnsi" w:cstheme="minorHAnsi"/>
          <w:b/>
          <w:bCs/>
          <w:sz w:val="36"/>
          <w:szCs w:val="36"/>
        </w:rPr>
      </w:pPr>
    </w:p>
    <w:p w14:paraId="1854E013" w14:textId="573490F7" w:rsidR="00453C3B" w:rsidRPr="004F6EB2" w:rsidRDefault="00453C3B" w:rsidP="001F7CE2">
      <w:pPr>
        <w:pStyle w:val="NormalWeb"/>
        <w:spacing w:before="0" w:beforeAutospacing="0" w:after="0" w:afterAutospacing="0" w:line="360" w:lineRule="atLeast"/>
        <w:jc w:val="both"/>
        <w:rPr>
          <w:rFonts w:ascii="Calibri" w:hAnsi="Calibri" w:cs="Calibri"/>
          <w:color w:val="000000"/>
          <w:sz w:val="28"/>
          <w:szCs w:val="28"/>
        </w:rPr>
      </w:pPr>
      <w:r w:rsidRPr="004F6EB2">
        <w:rPr>
          <w:rFonts w:ascii="Calibri" w:hAnsi="Calibri" w:cs="Calibri"/>
          <w:color w:val="000000"/>
          <w:sz w:val="28"/>
          <w:szCs w:val="28"/>
        </w:rPr>
        <w:t>Cooper, V.L. and Whyte, D. (2017). Introduction: pp.1–32. [Accessed 17/05/2023]</w:t>
      </w:r>
    </w:p>
    <w:p w14:paraId="16AA275A" w14:textId="77777777" w:rsidR="00DE082C" w:rsidRPr="004F6EB2" w:rsidRDefault="00DE082C" w:rsidP="001F7CE2">
      <w:pPr>
        <w:pStyle w:val="NormalWeb"/>
        <w:spacing w:before="0" w:beforeAutospacing="0" w:after="0" w:afterAutospacing="0" w:line="360" w:lineRule="atLeast"/>
        <w:jc w:val="both"/>
        <w:rPr>
          <w:rFonts w:ascii="Calibri" w:hAnsi="Calibri" w:cs="Calibri"/>
          <w:color w:val="000000"/>
          <w:sz w:val="28"/>
          <w:szCs w:val="28"/>
        </w:rPr>
      </w:pPr>
    </w:p>
    <w:p w14:paraId="27C888CB" w14:textId="77777777" w:rsidR="00DE082C" w:rsidRPr="004F6EB2" w:rsidRDefault="00DE082C" w:rsidP="001F7CE2">
      <w:pPr>
        <w:pStyle w:val="NormalWeb"/>
        <w:spacing w:before="0" w:beforeAutospacing="0" w:after="0" w:afterAutospacing="0" w:line="360" w:lineRule="atLeast"/>
        <w:jc w:val="both"/>
        <w:rPr>
          <w:rFonts w:ascii="Calibri" w:hAnsi="Calibri" w:cs="Calibri"/>
          <w:color w:val="000000"/>
          <w:sz w:val="28"/>
          <w:szCs w:val="28"/>
        </w:rPr>
      </w:pPr>
      <w:r w:rsidRPr="004F6EB2">
        <w:rPr>
          <w:rFonts w:ascii="Calibri" w:hAnsi="Calibri" w:cs="Calibri"/>
          <w:color w:val="000000"/>
          <w:sz w:val="28"/>
          <w:szCs w:val="28"/>
        </w:rPr>
        <w:t>Émile Durkheim (1895). </w:t>
      </w:r>
      <w:r w:rsidRPr="004F6EB2">
        <w:rPr>
          <w:rFonts w:ascii="Calibri" w:hAnsi="Calibri" w:cs="Calibri"/>
          <w:i/>
          <w:iCs/>
          <w:color w:val="000000"/>
          <w:sz w:val="28"/>
          <w:szCs w:val="28"/>
        </w:rPr>
        <w:t>The Rules of Sociological Method</w:t>
      </w:r>
      <w:r w:rsidRPr="004F6EB2">
        <w:rPr>
          <w:rFonts w:ascii="Calibri" w:hAnsi="Calibri" w:cs="Calibri"/>
          <w:color w:val="000000"/>
          <w:sz w:val="28"/>
          <w:szCs w:val="28"/>
        </w:rPr>
        <w:t xml:space="preserve">. Free Press </w:t>
      </w:r>
      <w:proofErr w:type="gramStart"/>
      <w:r w:rsidRPr="004F6EB2">
        <w:rPr>
          <w:rFonts w:ascii="Calibri" w:hAnsi="Calibri" w:cs="Calibri"/>
          <w:color w:val="000000"/>
          <w:sz w:val="28"/>
          <w:szCs w:val="28"/>
        </w:rPr>
        <w:t>Of</w:t>
      </w:r>
      <w:proofErr w:type="gramEnd"/>
      <w:r w:rsidRPr="004F6EB2">
        <w:rPr>
          <w:rFonts w:ascii="Calibri" w:hAnsi="Calibri" w:cs="Calibri"/>
          <w:color w:val="000000"/>
          <w:sz w:val="28"/>
          <w:szCs w:val="28"/>
        </w:rPr>
        <w:t xml:space="preserve"> Glencoe: New York; Collier-Macmillan: London.</w:t>
      </w:r>
    </w:p>
    <w:p w14:paraId="53349CF3" w14:textId="472F79C9" w:rsidR="00DE082C" w:rsidRPr="004F6EB2" w:rsidRDefault="00DE082C" w:rsidP="001F7CE2">
      <w:pPr>
        <w:pStyle w:val="NormalWeb"/>
        <w:jc w:val="both"/>
        <w:rPr>
          <w:rFonts w:ascii="Calibri" w:hAnsi="Calibri" w:cs="Calibri"/>
          <w:color w:val="000000"/>
          <w:sz w:val="28"/>
          <w:szCs w:val="28"/>
        </w:rPr>
      </w:pPr>
      <w:r w:rsidRPr="004F6EB2">
        <w:rPr>
          <w:rFonts w:ascii="Calibri" w:hAnsi="Calibri" w:cs="Calibri"/>
          <w:color w:val="000000"/>
          <w:sz w:val="28"/>
          <w:szCs w:val="28"/>
        </w:rPr>
        <w:t>‌</w:t>
      </w:r>
      <w:r w:rsidR="00924CA6" w:rsidRPr="004F6EB2">
        <w:rPr>
          <w:rFonts w:ascii="Calibri" w:hAnsi="Calibri" w:cs="Calibri"/>
          <w:color w:val="000000"/>
          <w:sz w:val="28"/>
          <w:szCs w:val="28"/>
        </w:rPr>
        <w:t xml:space="preserve">Heuer, R.J. (1999). </w:t>
      </w:r>
      <w:r w:rsidR="00924CA6" w:rsidRPr="004F6EB2">
        <w:rPr>
          <w:rFonts w:ascii="Calibri" w:hAnsi="Calibri" w:cs="Calibri"/>
          <w:i/>
          <w:iCs/>
          <w:color w:val="000000"/>
          <w:sz w:val="28"/>
          <w:szCs w:val="28"/>
        </w:rPr>
        <w:t>Psychology of intelligence analysis</w:t>
      </w:r>
      <w:r w:rsidR="00924CA6" w:rsidRPr="004F6EB2">
        <w:rPr>
          <w:rFonts w:ascii="Calibri" w:hAnsi="Calibri" w:cs="Calibri"/>
          <w:color w:val="000000"/>
          <w:sz w:val="28"/>
          <w:szCs w:val="28"/>
        </w:rPr>
        <w:t xml:space="preserve">. Washington, D.C.: </w:t>
      </w:r>
      <w:proofErr w:type="spellStart"/>
      <w:r w:rsidR="00924CA6" w:rsidRPr="004F6EB2">
        <w:rPr>
          <w:rFonts w:ascii="Calibri" w:hAnsi="Calibri" w:cs="Calibri"/>
          <w:color w:val="000000"/>
          <w:sz w:val="28"/>
          <w:szCs w:val="28"/>
        </w:rPr>
        <w:t>Center</w:t>
      </w:r>
      <w:proofErr w:type="spellEnd"/>
      <w:r w:rsidR="00924CA6" w:rsidRPr="004F6EB2">
        <w:rPr>
          <w:rFonts w:ascii="Calibri" w:hAnsi="Calibri" w:cs="Calibri"/>
          <w:color w:val="000000"/>
          <w:sz w:val="28"/>
          <w:szCs w:val="28"/>
        </w:rPr>
        <w:t xml:space="preserve"> For The Study Of Intelligence, Central Intelligence Agency, , Reprinted (Accessed Online: </w:t>
      </w:r>
      <w:hyperlink r:id="rId5" w:history="1">
        <w:r w:rsidR="00924CA6" w:rsidRPr="004F6EB2">
          <w:rPr>
            <w:rStyle w:val="Hyperlink"/>
            <w:rFonts w:ascii="Calibri" w:hAnsi="Calibri" w:cs="Calibri"/>
            <w:sz w:val="28"/>
            <w:szCs w:val="28"/>
          </w:rPr>
          <w:t>http://all.net/journal/deception/ciabook2/www.cia.gov/csi/books/19104/index-2.html</w:t>
        </w:r>
      </w:hyperlink>
      <w:r w:rsidR="00924CA6" w:rsidRPr="004F6EB2">
        <w:rPr>
          <w:rFonts w:ascii="Calibri" w:hAnsi="Calibri" w:cs="Calibri"/>
          <w:color w:val="000000"/>
          <w:sz w:val="28"/>
          <w:szCs w:val="28"/>
        </w:rPr>
        <w:t xml:space="preserve"> </w:t>
      </w:r>
      <w:r w:rsidR="0094041F" w:rsidRPr="004F6EB2">
        <w:rPr>
          <w:rFonts w:ascii="Calibri" w:hAnsi="Calibri" w:cs="Calibri"/>
          <w:color w:val="000000"/>
          <w:sz w:val="28"/>
          <w:szCs w:val="28"/>
        </w:rPr>
        <w:t>[Accessed 17/05/2023]</w:t>
      </w:r>
    </w:p>
    <w:p w14:paraId="60C24DF2" w14:textId="77777777" w:rsidR="00453C3B" w:rsidRPr="004F6EB2" w:rsidRDefault="00453C3B" w:rsidP="001F7CE2">
      <w:pPr>
        <w:spacing w:line="276" w:lineRule="auto"/>
        <w:jc w:val="both"/>
        <w:rPr>
          <w:rFonts w:asciiTheme="minorHAnsi" w:hAnsiTheme="minorHAnsi" w:cstheme="minorHAnsi"/>
          <w:sz w:val="28"/>
          <w:szCs w:val="28"/>
        </w:rPr>
      </w:pPr>
    </w:p>
    <w:p w14:paraId="76A52B5F" w14:textId="397DC05E" w:rsidR="00371EA4" w:rsidRPr="004F6EB2" w:rsidRDefault="00371EA4" w:rsidP="001F7CE2">
      <w:pPr>
        <w:spacing w:line="276" w:lineRule="auto"/>
        <w:jc w:val="both"/>
        <w:rPr>
          <w:rFonts w:asciiTheme="minorHAnsi" w:hAnsiTheme="minorHAnsi" w:cstheme="minorHAnsi"/>
          <w:sz w:val="28"/>
          <w:szCs w:val="28"/>
        </w:rPr>
      </w:pPr>
    </w:p>
    <w:p w14:paraId="28499C82" w14:textId="77777777" w:rsidR="00371EA4" w:rsidRPr="004F6EB2" w:rsidRDefault="00371EA4" w:rsidP="001F7CE2">
      <w:pPr>
        <w:spacing w:line="276" w:lineRule="auto"/>
        <w:jc w:val="both"/>
        <w:rPr>
          <w:rFonts w:asciiTheme="minorHAnsi" w:hAnsiTheme="minorHAnsi" w:cstheme="minorHAnsi"/>
          <w:sz w:val="28"/>
          <w:szCs w:val="28"/>
        </w:rPr>
      </w:pPr>
    </w:p>
    <w:p w14:paraId="744C0DF4" w14:textId="1D16EAEC" w:rsidR="00D56CDB" w:rsidRDefault="00D56CDB" w:rsidP="001F7CE2">
      <w:pPr>
        <w:spacing w:line="276" w:lineRule="auto"/>
        <w:jc w:val="both"/>
        <w:rPr>
          <w:rFonts w:asciiTheme="minorHAnsi" w:hAnsiTheme="minorHAnsi" w:cstheme="minorHAnsi"/>
          <w:b/>
          <w:bCs/>
          <w:sz w:val="36"/>
          <w:szCs w:val="36"/>
        </w:rPr>
      </w:pPr>
      <w:r w:rsidRPr="004F6EB2">
        <w:rPr>
          <w:rFonts w:asciiTheme="minorHAnsi" w:hAnsiTheme="minorHAnsi" w:cstheme="minorHAnsi"/>
          <w:b/>
          <w:bCs/>
          <w:sz w:val="36"/>
          <w:szCs w:val="36"/>
        </w:rPr>
        <w:t xml:space="preserve">Websites </w:t>
      </w:r>
    </w:p>
    <w:p w14:paraId="133F12D7" w14:textId="77777777" w:rsidR="002040B2" w:rsidRPr="004F6EB2" w:rsidRDefault="002040B2" w:rsidP="001F7CE2">
      <w:pPr>
        <w:spacing w:line="276" w:lineRule="auto"/>
        <w:jc w:val="both"/>
        <w:rPr>
          <w:rFonts w:asciiTheme="minorHAnsi" w:hAnsiTheme="minorHAnsi" w:cstheme="minorHAnsi"/>
          <w:b/>
          <w:bCs/>
          <w:sz w:val="36"/>
          <w:szCs w:val="36"/>
        </w:rPr>
      </w:pPr>
    </w:p>
    <w:p w14:paraId="27802889" w14:textId="4F6970D2" w:rsidR="00D56CDB" w:rsidRPr="004F6EB2" w:rsidRDefault="00D56CDB" w:rsidP="001F7CE2">
      <w:pPr>
        <w:pStyle w:val="NormalWeb"/>
        <w:spacing w:before="0" w:beforeAutospacing="0" w:after="0" w:afterAutospacing="0" w:line="360" w:lineRule="atLeast"/>
        <w:jc w:val="both"/>
        <w:rPr>
          <w:rFonts w:ascii="Calibri" w:hAnsi="Calibri" w:cs="Calibri"/>
          <w:color w:val="000000"/>
          <w:sz w:val="28"/>
          <w:szCs w:val="28"/>
        </w:rPr>
      </w:pPr>
      <w:r w:rsidRPr="004F6EB2">
        <w:rPr>
          <w:rFonts w:ascii="Calibri" w:hAnsi="Calibri" w:cs="Calibri"/>
          <w:color w:val="000000"/>
          <w:sz w:val="28"/>
          <w:szCs w:val="28"/>
        </w:rPr>
        <w:t>Butera, J.-A. (2013). </w:t>
      </w:r>
      <w:r w:rsidRPr="004F6EB2">
        <w:rPr>
          <w:rFonts w:ascii="Calibri" w:hAnsi="Calibri" w:cs="Calibri"/>
          <w:i/>
          <w:iCs/>
          <w:color w:val="000000"/>
          <w:sz w:val="28"/>
          <w:szCs w:val="28"/>
        </w:rPr>
        <w:t>Cuckooing: Home Takeovers of Vulnerable Tenants</w:t>
      </w:r>
      <w:r w:rsidRPr="004F6EB2">
        <w:rPr>
          <w:rFonts w:ascii="Calibri" w:hAnsi="Calibri" w:cs="Calibri"/>
          <w:color w:val="000000"/>
          <w:sz w:val="28"/>
          <w:szCs w:val="28"/>
        </w:rPr>
        <w:t xml:space="preserve">. [online] Available at: </w:t>
      </w:r>
      <w:hyperlink r:id="rId6" w:history="1">
        <w:r w:rsidRPr="004F6EB2">
          <w:rPr>
            <w:rStyle w:val="Hyperlink"/>
            <w:rFonts w:ascii="Calibri" w:hAnsi="Calibri" w:cs="Calibri"/>
            <w:sz w:val="28"/>
            <w:szCs w:val="28"/>
          </w:rPr>
          <w:t>https://homelesshub.ca/sites/default/files/Cuckooing-Home%20takeovers%20of%20vulnerable%20tenants.pdf</w:t>
        </w:r>
      </w:hyperlink>
      <w:r w:rsidRPr="004F6EB2">
        <w:rPr>
          <w:rFonts w:ascii="Calibri" w:hAnsi="Calibri" w:cs="Calibri"/>
          <w:color w:val="000000"/>
          <w:sz w:val="28"/>
          <w:szCs w:val="28"/>
        </w:rPr>
        <w:t xml:space="preserve">. </w:t>
      </w:r>
      <w:r w:rsidR="00371EA4" w:rsidRPr="004F6EB2">
        <w:rPr>
          <w:rFonts w:ascii="Calibri" w:hAnsi="Calibri" w:cs="Calibri"/>
          <w:color w:val="000000"/>
          <w:sz w:val="28"/>
          <w:szCs w:val="28"/>
        </w:rPr>
        <w:t>[</w:t>
      </w:r>
      <w:r w:rsidRPr="004F6EB2">
        <w:rPr>
          <w:rFonts w:ascii="Calibri" w:hAnsi="Calibri" w:cs="Calibri"/>
          <w:color w:val="000000"/>
          <w:sz w:val="28"/>
          <w:szCs w:val="28"/>
        </w:rPr>
        <w:t>Accessed 17/05/2023</w:t>
      </w:r>
      <w:r w:rsidR="00371EA4" w:rsidRPr="004F6EB2">
        <w:rPr>
          <w:rFonts w:ascii="Calibri" w:hAnsi="Calibri" w:cs="Calibri"/>
          <w:color w:val="000000"/>
          <w:sz w:val="28"/>
          <w:szCs w:val="28"/>
        </w:rPr>
        <w:t>]</w:t>
      </w:r>
    </w:p>
    <w:p w14:paraId="1B19F7DE" w14:textId="36026744" w:rsidR="008B51B5" w:rsidRPr="004F6EB2" w:rsidRDefault="008B51B5" w:rsidP="001F7CE2">
      <w:pPr>
        <w:pStyle w:val="NormalWeb"/>
        <w:spacing w:before="0" w:beforeAutospacing="0" w:after="0" w:afterAutospacing="0" w:line="360" w:lineRule="atLeast"/>
        <w:jc w:val="both"/>
        <w:rPr>
          <w:rFonts w:ascii="Calibri" w:hAnsi="Calibri" w:cs="Calibri"/>
          <w:color w:val="000000"/>
          <w:sz w:val="28"/>
          <w:szCs w:val="28"/>
        </w:rPr>
      </w:pPr>
    </w:p>
    <w:p w14:paraId="0E7A8F93" w14:textId="77777777" w:rsidR="00BD776F" w:rsidRDefault="008B137B" w:rsidP="001F7CE2">
      <w:pPr>
        <w:pStyle w:val="NormalWeb"/>
        <w:spacing w:before="0" w:beforeAutospacing="0" w:after="0" w:afterAutospacing="0" w:line="360" w:lineRule="atLeast"/>
        <w:jc w:val="both"/>
        <w:rPr>
          <w:rFonts w:ascii="Calibri" w:hAnsi="Calibri" w:cs="Calibri"/>
          <w:color w:val="000000"/>
          <w:sz w:val="28"/>
          <w:szCs w:val="28"/>
        </w:rPr>
      </w:pPr>
      <w:r w:rsidRPr="004F6EB2">
        <w:rPr>
          <w:rFonts w:ascii="Calibri" w:hAnsi="Calibri" w:cs="Calibri"/>
          <w:color w:val="000000"/>
          <w:sz w:val="28"/>
          <w:szCs w:val="28"/>
        </w:rPr>
        <w:t>College of Policing (2014). </w:t>
      </w:r>
      <w:r w:rsidRPr="004F6EB2">
        <w:rPr>
          <w:rFonts w:ascii="Calibri" w:hAnsi="Calibri" w:cs="Calibri"/>
          <w:i/>
          <w:iCs/>
          <w:color w:val="000000"/>
          <w:sz w:val="28"/>
          <w:szCs w:val="28"/>
        </w:rPr>
        <w:t xml:space="preserve">Code of </w:t>
      </w:r>
      <w:proofErr w:type="gramStart"/>
      <w:r w:rsidRPr="004F6EB2">
        <w:rPr>
          <w:rFonts w:ascii="Calibri" w:hAnsi="Calibri" w:cs="Calibri"/>
          <w:i/>
          <w:iCs/>
          <w:color w:val="000000"/>
          <w:sz w:val="28"/>
          <w:szCs w:val="28"/>
        </w:rPr>
        <w:t>ethics :</w:t>
      </w:r>
      <w:proofErr w:type="gramEnd"/>
      <w:r w:rsidRPr="004F6EB2">
        <w:rPr>
          <w:rFonts w:ascii="Calibri" w:hAnsi="Calibri" w:cs="Calibri"/>
          <w:i/>
          <w:iCs/>
          <w:color w:val="000000"/>
          <w:sz w:val="28"/>
          <w:szCs w:val="28"/>
        </w:rPr>
        <w:t xml:space="preserve"> a code of practice for the principles and standards of professional behaviour for the policing profession of England and Wales.</w:t>
      </w:r>
      <w:r w:rsidRPr="004F6EB2">
        <w:rPr>
          <w:rFonts w:ascii="Calibri" w:hAnsi="Calibri" w:cs="Calibri"/>
          <w:color w:val="000000"/>
          <w:sz w:val="28"/>
          <w:szCs w:val="28"/>
        </w:rPr>
        <w:t xml:space="preserve"> [online] Coventry: College of Policing Limited. Available at: </w:t>
      </w:r>
      <w:hyperlink r:id="rId7" w:history="1">
        <w:r w:rsidRPr="004F6EB2">
          <w:rPr>
            <w:rStyle w:val="Hyperlink"/>
            <w:rFonts w:ascii="Calibri" w:hAnsi="Calibri" w:cs="Calibri"/>
            <w:sz w:val="28"/>
            <w:szCs w:val="28"/>
          </w:rPr>
          <w:t>https://assets.college.police.uk/s3fs-public/2021-02/code_of_ethics.pdf</w:t>
        </w:r>
      </w:hyperlink>
      <w:proofErr w:type="gramStart"/>
      <w:r w:rsidRPr="004F6EB2">
        <w:rPr>
          <w:rFonts w:ascii="Calibri" w:hAnsi="Calibri" w:cs="Calibri"/>
          <w:color w:val="000000"/>
          <w:sz w:val="28"/>
          <w:szCs w:val="28"/>
        </w:rPr>
        <w:t xml:space="preserve">. </w:t>
      </w:r>
      <w:r w:rsidR="00BD776F" w:rsidRPr="004F6EB2">
        <w:rPr>
          <w:rFonts w:ascii="Calibri" w:hAnsi="Calibri" w:cs="Calibri"/>
          <w:color w:val="000000"/>
          <w:sz w:val="28"/>
          <w:szCs w:val="28"/>
        </w:rPr>
        <w:t>.</w:t>
      </w:r>
      <w:proofErr w:type="gramEnd"/>
      <w:r w:rsidR="00BD776F" w:rsidRPr="004F6EB2">
        <w:rPr>
          <w:rFonts w:ascii="Calibri" w:hAnsi="Calibri" w:cs="Calibri"/>
          <w:color w:val="000000"/>
          <w:sz w:val="28"/>
          <w:szCs w:val="28"/>
        </w:rPr>
        <w:t xml:space="preserve"> [Accessed 17/05/2023]</w:t>
      </w:r>
    </w:p>
    <w:p w14:paraId="106107BA" w14:textId="77777777" w:rsidR="009879E4" w:rsidRDefault="009879E4" w:rsidP="001F7CE2">
      <w:pPr>
        <w:pStyle w:val="NormalWeb"/>
        <w:spacing w:before="0" w:beforeAutospacing="0" w:after="0" w:afterAutospacing="0" w:line="360" w:lineRule="atLeast"/>
        <w:jc w:val="both"/>
        <w:rPr>
          <w:rFonts w:ascii="Calibri" w:hAnsi="Calibri" w:cs="Calibri"/>
          <w:color w:val="000000"/>
          <w:sz w:val="28"/>
          <w:szCs w:val="28"/>
        </w:rPr>
      </w:pPr>
    </w:p>
    <w:p w14:paraId="2DD9BF9D" w14:textId="627F7B1B" w:rsidR="009879E4" w:rsidRPr="009879E4" w:rsidRDefault="009879E4" w:rsidP="009879E4">
      <w:pPr>
        <w:pStyle w:val="NormalWeb"/>
        <w:spacing w:line="360" w:lineRule="atLeast"/>
        <w:jc w:val="both"/>
        <w:rPr>
          <w:rFonts w:ascii="Calibri" w:hAnsi="Calibri" w:cs="Calibri"/>
          <w:color w:val="000000"/>
          <w:sz w:val="28"/>
          <w:szCs w:val="28"/>
        </w:rPr>
      </w:pPr>
      <w:r w:rsidRPr="009879E4">
        <w:rPr>
          <w:rFonts w:ascii="Calibri" w:hAnsi="Calibri" w:cs="Calibri"/>
          <w:color w:val="000000"/>
          <w:sz w:val="28"/>
          <w:szCs w:val="28"/>
        </w:rPr>
        <w:t xml:space="preserve">College of Policing. (2015). List of anti-slavery charities and non-governmental organisations. [online] Available at: </w:t>
      </w:r>
      <w:hyperlink r:id="rId8" w:anchor="black-association-of-women-step-out-bawso" w:history="1">
        <w:r w:rsidRPr="002F0E0B">
          <w:rPr>
            <w:rStyle w:val="Hyperlink"/>
            <w:rFonts w:ascii="Calibri" w:hAnsi="Calibri" w:cs="Calibri"/>
            <w:sz w:val="28"/>
            <w:szCs w:val="28"/>
          </w:rPr>
          <w:t>https://www.college.police.uk/app/major-investigation-and-public-protection/modern-slavery/list-anti-slavery-charities-and-non-governmental-organisations#black-association-of-women-step-out-bawso</w:t>
        </w:r>
      </w:hyperlink>
      <w:r>
        <w:rPr>
          <w:rFonts w:ascii="Calibri" w:hAnsi="Calibri" w:cs="Calibri"/>
          <w:color w:val="000000"/>
          <w:sz w:val="28"/>
          <w:szCs w:val="28"/>
        </w:rPr>
        <w:t xml:space="preserve"> </w:t>
      </w:r>
      <w:r w:rsidRPr="009879E4">
        <w:rPr>
          <w:rFonts w:ascii="Calibri" w:hAnsi="Calibri" w:cs="Calibri"/>
          <w:color w:val="000000"/>
          <w:sz w:val="28"/>
          <w:szCs w:val="28"/>
        </w:rPr>
        <w:t xml:space="preserve"> [Accessed </w:t>
      </w:r>
      <w:r>
        <w:rPr>
          <w:rFonts w:ascii="Calibri" w:hAnsi="Calibri" w:cs="Calibri"/>
          <w:color w:val="000000"/>
          <w:sz w:val="28"/>
          <w:szCs w:val="28"/>
        </w:rPr>
        <w:t>02/06/23</w:t>
      </w:r>
      <w:r w:rsidRPr="009879E4">
        <w:rPr>
          <w:rFonts w:ascii="Calibri" w:hAnsi="Calibri" w:cs="Calibri"/>
          <w:color w:val="000000"/>
          <w:sz w:val="28"/>
          <w:szCs w:val="28"/>
        </w:rPr>
        <w:t>].</w:t>
      </w:r>
    </w:p>
    <w:p w14:paraId="1598AB00" w14:textId="77777777" w:rsidR="009879E4" w:rsidRPr="009879E4" w:rsidRDefault="009879E4" w:rsidP="009879E4">
      <w:pPr>
        <w:pStyle w:val="NormalWeb"/>
        <w:spacing w:line="360" w:lineRule="atLeast"/>
        <w:jc w:val="both"/>
        <w:rPr>
          <w:rFonts w:ascii="Calibri" w:hAnsi="Calibri" w:cs="Calibri"/>
          <w:color w:val="000000"/>
          <w:sz w:val="28"/>
          <w:szCs w:val="28"/>
        </w:rPr>
      </w:pPr>
    </w:p>
    <w:p w14:paraId="38B2049B" w14:textId="1CE4E4FC" w:rsidR="009879E4" w:rsidRPr="004F6EB2" w:rsidRDefault="009879E4" w:rsidP="009879E4">
      <w:pPr>
        <w:pStyle w:val="NormalWeb"/>
        <w:spacing w:before="0" w:beforeAutospacing="0" w:after="0" w:afterAutospacing="0" w:line="360" w:lineRule="atLeast"/>
        <w:jc w:val="both"/>
        <w:rPr>
          <w:rFonts w:ascii="Calibri" w:hAnsi="Calibri" w:cs="Calibri"/>
          <w:color w:val="000000"/>
          <w:sz w:val="28"/>
          <w:szCs w:val="28"/>
        </w:rPr>
      </w:pPr>
      <w:r w:rsidRPr="009879E4">
        <w:rPr>
          <w:rFonts w:ascii="Calibri" w:hAnsi="Calibri" w:cs="Calibri"/>
          <w:color w:val="000000"/>
          <w:sz w:val="28"/>
          <w:szCs w:val="28"/>
        </w:rPr>
        <w:lastRenderedPageBreak/>
        <w:t>‌</w:t>
      </w:r>
    </w:p>
    <w:p w14:paraId="0EE2AC15" w14:textId="77777777" w:rsidR="00BD776F" w:rsidRPr="004F6EB2" w:rsidRDefault="00BD776F" w:rsidP="001F7CE2">
      <w:pPr>
        <w:pStyle w:val="NormalWeb"/>
        <w:spacing w:before="0" w:beforeAutospacing="0" w:after="0" w:afterAutospacing="0" w:line="360" w:lineRule="atLeast"/>
        <w:jc w:val="both"/>
        <w:rPr>
          <w:rFonts w:ascii="Calibri" w:hAnsi="Calibri" w:cs="Calibri"/>
          <w:color w:val="000000"/>
          <w:sz w:val="28"/>
          <w:szCs w:val="28"/>
        </w:rPr>
      </w:pPr>
    </w:p>
    <w:p w14:paraId="6CDEECDC" w14:textId="77777777" w:rsidR="00BD776F" w:rsidRPr="004F6EB2" w:rsidRDefault="008B51B5" w:rsidP="001F7CE2">
      <w:pPr>
        <w:pStyle w:val="NormalWeb"/>
        <w:spacing w:before="0" w:beforeAutospacing="0" w:after="0" w:afterAutospacing="0" w:line="360" w:lineRule="atLeast"/>
        <w:jc w:val="both"/>
        <w:rPr>
          <w:rFonts w:ascii="Calibri" w:hAnsi="Calibri" w:cs="Calibri"/>
          <w:color w:val="000000"/>
          <w:sz w:val="28"/>
          <w:szCs w:val="28"/>
        </w:rPr>
      </w:pPr>
      <w:r w:rsidRPr="004F6EB2">
        <w:rPr>
          <w:rFonts w:ascii="Calibri" w:hAnsi="Calibri" w:cs="Calibri"/>
          <w:color w:val="000000"/>
          <w:sz w:val="28"/>
          <w:szCs w:val="28"/>
        </w:rPr>
        <w:t>‌</w:t>
      </w:r>
      <w:r w:rsidRPr="004F6EB2">
        <w:rPr>
          <w:sz w:val="28"/>
          <w:szCs w:val="28"/>
        </w:rPr>
        <w:t xml:space="preserve"> </w:t>
      </w:r>
      <w:r w:rsidRPr="004F6EB2">
        <w:rPr>
          <w:rFonts w:ascii="Calibri" w:hAnsi="Calibri" w:cs="Calibri"/>
          <w:color w:val="000000"/>
          <w:sz w:val="28"/>
          <w:szCs w:val="28"/>
        </w:rPr>
        <w:t xml:space="preserve">College of Policing (2021). </w:t>
      </w:r>
      <w:r w:rsidRPr="004F6EB2">
        <w:rPr>
          <w:rFonts w:ascii="Calibri" w:hAnsi="Calibri" w:cs="Calibri"/>
          <w:i/>
          <w:iCs/>
          <w:color w:val="000000"/>
          <w:sz w:val="28"/>
          <w:szCs w:val="28"/>
        </w:rPr>
        <w:t>Macpherson report: 22 years on</w:t>
      </w:r>
      <w:r w:rsidRPr="004F6EB2">
        <w:rPr>
          <w:rFonts w:ascii="Calibri" w:hAnsi="Calibri" w:cs="Calibri"/>
          <w:color w:val="000000"/>
          <w:sz w:val="28"/>
          <w:szCs w:val="28"/>
        </w:rPr>
        <w:t xml:space="preserve">. [online] College of Policing. Available at: </w:t>
      </w:r>
      <w:hyperlink r:id="rId9" w:history="1">
        <w:r w:rsidRPr="004F6EB2">
          <w:rPr>
            <w:rStyle w:val="Hyperlink"/>
            <w:rFonts w:ascii="Calibri" w:hAnsi="Calibri" w:cs="Calibri"/>
            <w:sz w:val="28"/>
            <w:szCs w:val="28"/>
          </w:rPr>
          <w:t>https://www.college.police.uk/article/macpherson-report-22-years-on</w:t>
        </w:r>
      </w:hyperlink>
      <w:proofErr w:type="gramStart"/>
      <w:r w:rsidRPr="004F6EB2">
        <w:rPr>
          <w:rFonts w:ascii="Calibri" w:hAnsi="Calibri" w:cs="Calibri"/>
          <w:color w:val="000000"/>
          <w:sz w:val="28"/>
          <w:szCs w:val="28"/>
        </w:rPr>
        <w:t xml:space="preserve">. </w:t>
      </w:r>
      <w:r w:rsidR="00BD776F" w:rsidRPr="004F6EB2">
        <w:rPr>
          <w:rFonts w:ascii="Calibri" w:hAnsi="Calibri" w:cs="Calibri"/>
          <w:color w:val="000000"/>
          <w:sz w:val="28"/>
          <w:szCs w:val="28"/>
        </w:rPr>
        <w:t>.</w:t>
      </w:r>
      <w:proofErr w:type="gramEnd"/>
      <w:r w:rsidR="00BD776F" w:rsidRPr="004F6EB2">
        <w:rPr>
          <w:rFonts w:ascii="Calibri" w:hAnsi="Calibri" w:cs="Calibri"/>
          <w:color w:val="000000"/>
          <w:sz w:val="28"/>
          <w:szCs w:val="28"/>
        </w:rPr>
        <w:t xml:space="preserve"> [Accessed 17/05/2023]</w:t>
      </w:r>
    </w:p>
    <w:p w14:paraId="3F31A6B6" w14:textId="77777777" w:rsidR="00BD776F" w:rsidRPr="004F6EB2" w:rsidRDefault="00BD776F" w:rsidP="001F7CE2">
      <w:pPr>
        <w:pStyle w:val="NormalWeb"/>
        <w:spacing w:before="0" w:beforeAutospacing="0" w:after="0" w:afterAutospacing="0" w:line="360" w:lineRule="atLeast"/>
        <w:jc w:val="both"/>
        <w:rPr>
          <w:rFonts w:ascii="Calibri" w:hAnsi="Calibri" w:cs="Calibri"/>
          <w:color w:val="000000"/>
          <w:sz w:val="28"/>
          <w:szCs w:val="28"/>
        </w:rPr>
      </w:pPr>
    </w:p>
    <w:p w14:paraId="3B64669D" w14:textId="77777777" w:rsidR="00BD776F" w:rsidRPr="004F6EB2" w:rsidRDefault="00D56CDB" w:rsidP="001F7CE2">
      <w:pPr>
        <w:pStyle w:val="NormalWeb"/>
        <w:spacing w:before="0" w:beforeAutospacing="0" w:after="0" w:afterAutospacing="0" w:line="360" w:lineRule="atLeast"/>
        <w:jc w:val="both"/>
        <w:rPr>
          <w:rFonts w:ascii="Calibri" w:hAnsi="Calibri" w:cs="Calibri"/>
          <w:color w:val="000000"/>
          <w:sz w:val="28"/>
          <w:szCs w:val="28"/>
        </w:rPr>
      </w:pPr>
      <w:r w:rsidRPr="004F6EB2">
        <w:rPr>
          <w:rFonts w:ascii="Calibri" w:hAnsi="Calibri" w:cs="Calibri"/>
          <w:color w:val="000000"/>
          <w:sz w:val="28"/>
          <w:szCs w:val="28"/>
        </w:rPr>
        <w:t>‌</w:t>
      </w:r>
      <w:r w:rsidR="008B51B5" w:rsidRPr="004F6EB2">
        <w:rPr>
          <w:rFonts w:ascii="Calibri" w:hAnsi="Calibri" w:cs="Calibri"/>
          <w:color w:val="000000"/>
          <w:sz w:val="28"/>
          <w:szCs w:val="28"/>
        </w:rPr>
        <w:t>‌ College of Policing (2021). </w:t>
      </w:r>
      <w:r w:rsidR="008B51B5" w:rsidRPr="004F6EB2">
        <w:rPr>
          <w:rFonts w:ascii="Calibri" w:hAnsi="Calibri" w:cs="Calibri"/>
          <w:i/>
          <w:iCs/>
          <w:color w:val="000000"/>
          <w:sz w:val="28"/>
          <w:szCs w:val="28"/>
        </w:rPr>
        <w:t>Targeted approaches to crime and disorder reduction</w:t>
      </w:r>
      <w:r w:rsidR="008B51B5" w:rsidRPr="004F6EB2">
        <w:rPr>
          <w:rFonts w:ascii="Calibri" w:hAnsi="Calibri" w:cs="Calibri"/>
          <w:color w:val="000000"/>
          <w:sz w:val="28"/>
          <w:szCs w:val="28"/>
        </w:rPr>
        <w:t xml:space="preserve">. [online] College of Policing. Available at: </w:t>
      </w:r>
      <w:hyperlink r:id="rId10" w:history="1">
        <w:r w:rsidR="008B51B5" w:rsidRPr="004F6EB2">
          <w:rPr>
            <w:rStyle w:val="Hyperlink"/>
            <w:rFonts w:ascii="Calibri" w:hAnsi="Calibri" w:cs="Calibri"/>
            <w:sz w:val="28"/>
            <w:szCs w:val="28"/>
          </w:rPr>
          <w:t>https://www.college.police.uk/research/what-works-policing-reduce-crime/targeted-approaches</w:t>
        </w:r>
      </w:hyperlink>
      <w:proofErr w:type="gramStart"/>
      <w:r w:rsidR="008B51B5" w:rsidRPr="004F6EB2">
        <w:rPr>
          <w:rFonts w:ascii="Calibri" w:hAnsi="Calibri" w:cs="Calibri"/>
          <w:color w:val="000000"/>
          <w:sz w:val="28"/>
          <w:szCs w:val="28"/>
        </w:rPr>
        <w:t>.</w:t>
      </w:r>
      <w:r w:rsidR="00BD776F" w:rsidRPr="004F6EB2">
        <w:rPr>
          <w:rFonts w:ascii="Calibri" w:hAnsi="Calibri" w:cs="Calibri"/>
          <w:color w:val="000000"/>
          <w:sz w:val="28"/>
          <w:szCs w:val="28"/>
        </w:rPr>
        <w:t xml:space="preserve"> .</w:t>
      </w:r>
      <w:proofErr w:type="gramEnd"/>
      <w:r w:rsidR="00BD776F" w:rsidRPr="004F6EB2">
        <w:rPr>
          <w:rFonts w:ascii="Calibri" w:hAnsi="Calibri" w:cs="Calibri"/>
          <w:color w:val="000000"/>
          <w:sz w:val="28"/>
          <w:szCs w:val="28"/>
        </w:rPr>
        <w:t xml:space="preserve"> [Accessed 17/05/2023]</w:t>
      </w:r>
    </w:p>
    <w:p w14:paraId="15C15780" w14:textId="77777777" w:rsidR="00BD776F" w:rsidRPr="004F6EB2" w:rsidRDefault="00BD776F" w:rsidP="001F7CE2">
      <w:pPr>
        <w:pStyle w:val="NormalWeb"/>
        <w:spacing w:before="0" w:beforeAutospacing="0" w:after="0" w:afterAutospacing="0" w:line="360" w:lineRule="atLeast"/>
        <w:jc w:val="both"/>
        <w:rPr>
          <w:rFonts w:ascii="Calibri" w:hAnsi="Calibri" w:cs="Calibri"/>
          <w:color w:val="000000"/>
          <w:sz w:val="28"/>
          <w:szCs w:val="28"/>
        </w:rPr>
      </w:pPr>
    </w:p>
    <w:p w14:paraId="4635A84B" w14:textId="6EC2E5D3" w:rsidR="00371EA4" w:rsidRPr="004F6EB2" w:rsidRDefault="00CD48FF" w:rsidP="001F7CE2">
      <w:pPr>
        <w:pStyle w:val="NormalWeb"/>
        <w:spacing w:before="0" w:beforeAutospacing="0" w:after="0" w:afterAutospacing="0" w:line="360" w:lineRule="atLeast"/>
        <w:jc w:val="both"/>
        <w:rPr>
          <w:rFonts w:ascii="Calibri" w:hAnsi="Calibri" w:cs="Calibri"/>
          <w:color w:val="000000"/>
          <w:sz w:val="28"/>
          <w:szCs w:val="28"/>
        </w:rPr>
      </w:pPr>
      <w:r w:rsidRPr="004F6EB2">
        <w:rPr>
          <w:rFonts w:ascii="Calibri" w:hAnsi="Calibri" w:cs="Calibri"/>
          <w:color w:val="000000"/>
          <w:sz w:val="28"/>
          <w:szCs w:val="28"/>
        </w:rPr>
        <w:t xml:space="preserve"> College of Policing. (</w:t>
      </w:r>
      <w:r w:rsidR="00371EA4" w:rsidRPr="004F6EB2">
        <w:rPr>
          <w:rFonts w:ascii="Calibri" w:hAnsi="Calibri" w:cs="Calibri"/>
          <w:color w:val="000000"/>
          <w:sz w:val="28"/>
          <w:szCs w:val="28"/>
        </w:rPr>
        <w:t>2021</w:t>
      </w:r>
      <w:r w:rsidRPr="004F6EB2">
        <w:rPr>
          <w:rFonts w:ascii="Calibri" w:hAnsi="Calibri" w:cs="Calibri"/>
          <w:color w:val="000000"/>
          <w:sz w:val="28"/>
          <w:szCs w:val="28"/>
        </w:rPr>
        <w:t>). </w:t>
      </w:r>
      <w:r w:rsidRPr="004F6EB2">
        <w:rPr>
          <w:rFonts w:ascii="Calibri" w:hAnsi="Calibri" w:cs="Calibri"/>
          <w:i/>
          <w:iCs/>
          <w:color w:val="000000"/>
          <w:sz w:val="28"/>
          <w:szCs w:val="28"/>
        </w:rPr>
        <w:t>Risk and associated investigations</w:t>
      </w:r>
      <w:r w:rsidRPr="004F6EB2">
        <w:rPr>
          <w:rFonts w:ascii="Calibri" w:hAnsi="Calibri" w:cs="Calibri"/>
          <w:color w:val="000000"/>
          <w:sz w:val="28"/>
          <w:szCs w:val="28"/>
        </w:rPr>
        <w:t xml:space="preserve">. [online] Available at: </w:t>
      </w:r>
      <w:hyperlink r:id="rId11" w:anchor="county-lines-child-criminal-exploitation" w:history="1">
        <w:r w:rsidR="00371EA4" w:rsidRPr="004F6EB2">
          <w:rPr>
            <w:rStyle w:val="Hyperlink"/>
            <w:rFonts w:ascii="Calibri" w:hAnsi="Calibri" w:cs="Calibri"/>
            <w:sz w:val="28"/>
            <w:szCs w:val="28"/>
          </w:rPr>
          <w:t>https://www.college.police.uk/app/major-investigation-and-public-protection/investigating-child-abuse-and-safeguarding-children/police-response-investigating-child-abuse/risk-and-associated-investigations#county-lines-child-criminal-exploitation</w:t>
        </w:r>
      </w:hyperlink>
      <w:r w:rsidRPr="004F6EB2">
        <w:rPr>
          <w:rFonts w:ascii="Calibri" w:hAnsi="Calibri" w:cs="Calibri"/>
          <w:color w:val="000000"/>
          <w:sz w:val="28"/>
          <w:szCs w:val="28"/>
        </w:rPr>
        <w:t>.</w:t>
      </w:r>
      <w:r w:rsidR="00371EA4" w:rsidRPr="004F6EB2">
        <w:rPr>
          <w:rFonts w:ascii="Calibri" w:hAnsi="Calibri" w:cs="Calibri"/>
          <w:color w:val="000000"/>
          <w:sz w:val="28"/>
          <w:szCs w:val="28"/>
        </w:rPr>
        <w:t xml:space="preserve"> [Accessed 17/05/2023]</w:t>
      </w:r>
    </w:p>
    <w:p w14:paraId="4CA3B800" w14:textId="13860CBB" w:rsidR="00CD48FF" w:rsidRPr="004F6EB2" w:rsidRDefault="00CD48FF" w:rsidP="001F7CE2">
      <w:pPr>
        <w:pStyle w:val="NormalWeb"/>
        <w:spacing w:before="0" w:beforeAutospacing="0" w:after="0" w:afterAutospacing="0" w:line="360" w:lineRule="atLeast"/>
        <w:jc w:val="both"/>
        <w:rPr>
          <w:rFonts w:ascii="Calibri" w:hAnsi="Calibri" w:cs="Calibri"/>
          <w:color w:val="000000"/>
          <w:sz w:val="28"/>
          <w:szCs w:val="28"/>
        </w:rPr>
      </w:pPr>
    </w:p>
    <w:p w14:paraId="0FDBA129" w14:textId="77777777" w:rsidR="00BD776F" w:rsidRPr="004F6EB2" w:rsidRDefault="009C152D" w:rsidP="001F7CE2">
      <w:pPr>
        <w:pStyle w:val="NormalWeb"/>
        <w:spacing w:before="0" w:beforeAutospacing="0" w:after="0" w:afterAutospacing="0" w:line="360" w:lineRule="atLeast"/>
        <w:jc w:val="both"/>
        <w:rPr>
          <w:rFonts w:ascii="Calibri" w:hAnsi="Calibri" w:cs="Calibri"/>
          <w:color w:val="000000"/>
          <w:sz w:val="28"/>
          <w:szCs w:val="28"/>
        </w:rPr>
      </w:pPr>
      <w:r w:rsidRPr="004F6EB2">
        <w:rPr>
          <w:rFonts w:ascii="Calibri" w:hAnsi="Calibri" w:cs="Calibri"/>
          <w:color w:val="000000"/>
          <w:sz w:val="28"/>
          <w:szCs w:val="28"/>
        </w:rPr>
        <w:t xml:space="preserve">College of Policing. (2020). Getting started. [online] Available at: </w:t>
      </w:r>
      <w:hyperlink r:id="rId12" w:anchor="the-impact-of-bias" w:history="1">
        <w:r w:rsidRPr="004F6EB2">
          <w:rPr>
            <w:rStyle w:val="Hyperlink"/>
            <w:rFonts w:ascii="Calibri" w:hAnsi="Calibri" w:cs="Calibri"/>
            <w:sz w:val="28"/>
            <w:szCs w:val="28"/>
          </w:rPr>
          <w:t>https://www.college.police.uk/app/intelligence-management/analysis/getting-started#the-impact-of-bias</w:t>
        </w:r>
      </w:hyperlink>
      <w:r w:rsidRPr="004F6EB2">
        <w:rPr>
          <w:rFonts w:ascii="Calibri" w:hAnsi="Calibri" w:cs="Calibri"/>
          <w:color w:val="000000"/>
          <w:sz w:val="28"/>
          <w:szCs w:val="28"/>
        </w:rPr>
        <w:t>.</w:t>
      </w:r>
      <w:r w:rsidR="00BD776F" w:rsidRPr="004F6EB2">
        <w:rPr>
          <w:rFonts w:ascii="Calibri" w:hAnsi="Calibri" w:cs="Calibri"/>
          <w:color w:val="000000"/>
          <w:sz w:val="28"/>
          <w:szCs w:val="28"/>
        </w:rPr>
        <w:t xml:space="preserve"> . [Accessed 17/05/2023]</w:t>
      </w:r>
    </w:p>
    <w:p w14:paraId="77C261A8" w14:textId="77777777" w:rsidR="00BD776F" w:rsidRPr="004F6EB2" w:rsidRDefault="00BD776F" w:rsidP="001F7CE2">
      <w:pPr>
        <w:pStyle w:val="NormalWeb"/>
        <w:spacing w:before="0" w:beforeAutospacing="0" w:after="0" w:afterAutospacing="0" w:line="360" w:lineRule="atLeast"/>
        <w:jc w:val="both"/>
        <w:rPr>
          <w:rFonts w:ascii="Calibri" w:hAnsi="Calibri" w:cs="Calibri"/>
          <w:color w:val="000000"/>
          <w:sz w:val="28"/>
          <w:szCs w:val="28"/>
        </w:rPr>
      </w:pPr>
    </w:p>
    <w:p w14:paraId="29FEFB7B" w14:textId="77777777" w:rsidR="008B137B" w:rsidRPr="004F6EB2" w:rsidRDefault="008B137B" w:rsidP="001F7CE2">
      <w:pPr>
        <w:pStyle w:val="NormalWeb"/>
        <w:spacing w:before="0" w:beforeAutospacing="0" w:after="0" w:afterAutospacing="0" w:line="360" w:lineRule="atLeast"/>
        <w:jc w:val="both"/>
        <w:rPr>
          <w:rFonts w:ascii="Calibri" w:hAnsi="Calibri" w:cs="Calibri"/>
          <w:color w:val="000000"/>
          <w:sz w:val="28"/>
          <w:szCs w:val="28"/>
        </w:rPr>
      </w:pPr>
    </w:p>
    <w:p w14:paraId="086D8DB0" w14:textId="77777777" w:rsidR="00BD776F" w:rsidRPr="004F6EB2" w:rsidRDefault="00E46B65" w:rsidP="001F7CE2">
      <w:pPr>
        <w:pStyle w:val="NormalWeb"/>
        <w:spacing w:before="0" w:beforeAutospacing="0" w:after="0" w:afterAutospacing="0" w:line="360" w:lineRule="atLeast"/>
        <w:jc w:val="both"/>
        <w:rPr>
          <w:rFonts w:ascii="Calibri" w:hAnsi="Calibri" w:cs="Calibri"/>
          <w:color w:val="000000"/>
          <w:sz w:val="28"/>
          <w:szCs w:val="28"/>
        </w:rPr>
      </w:pPr>
      <w:r w:rsidRPr="004F6EB2">
        <w:rPr>
          <w:rFonts w:ascii="Calibri" w:hAnsi="Calibri" w:cs="Calibri"/>
          <w:color w:val="000000"/>
          <w:sz w:val="28"/>
          <w:szCs w:val="28"/>
        </w:rPr>
        <w:t>Criminal Procedure and Investigations Act 1996 (1996). </w:t>
      </w:r>
      <w:r w:rsidRPr="004F6EB2">
        <w:rPr>
          <w:rFonts w:ascii="Calibri" w:hAnsi="Calibri" w:cs="Calibri"/>
          <w:i/>
          <w:iCs/>
          <w:color w:val="000000"/>
          <w:sz w:val="28"/>
          <w:szCs w:val="28"/>
        </w:rPr>
        <w:t>Criminal Procedure and Investigations Act 1996</w:t>
      </w:r>
      <w:r w:rsidRPr="004F6EB2">
        <w:rPr>
          <w:rFonts w:ascii="Calibri" w:hAnsi="Calibri" w:cs="Calibri"/>
          <w:color w:val="000000"/>
          <w:sz w:val="28"/>
          <w:szCs w:val="28"/>
        </w:rPr>
        <w:t xml:space="preserve">. [online] www.legislation.gov.uk. Available at: </w:t>
      </w:r>
      <w:hyperlink r:id="rId13" w:history="1">
        <w:r w:rsidRPr="004F6EB2">
          <w:rPr>
            <w:rStyle w:val="Hyperlink"/>
            <w:rFonts w:ascii="Calibri" w:hAnsi="Calibri" w:cs="Calibri"/>
            <w:sz w:val="28"/>
            <w:szCs w:val="28"/>
          </w:rPr>
          <w:t>https://www.legislation.gov.uk/ukpga/1996/25/contents</w:t>
        </w:r>
      </w:hyperlink>
      <w:proofErr w:type="gramStart"/>
      <w:r w:rsidRPr="004F6EB2">
        <w:rPr>
          <w:rFonts w:ascii="Calibri" w:hAnsi="Calibri" w:cs="Calibri"/>
          <w:color w:val="000000"/>
          <w:sz w:val="28"/>
          <w:szCs w:val="28"/>
        </w:rPr>
        <w:t xml:space="preserve">. </w:t>
      </w:r>
      <w:r w:rsidR="00BD776F" w:rsidRPr="004F6EB2">
        <w:rPr>
          <w:rFonts w:ascii="Calibri" w:hAnsi="Calibri" w:cs="Calibri"/>
          <w:color w:val="000000"/>
          <w:sz w:val="28"/>
          <w:szCs w:val="28"/>
        </w:rPr>
        <w:t>.</w:t>
      </w:r>
      <w:proofErr w:type="gramEnd"/>
      <w:r w:rsidR="00BD776F" w:rsidRPr="004F6EB2">
        <w:rPr>
          <w:rFonts w:ascii="Calibri" w:hAnsi="Calibri" w:cs="Calibri"/>
          <w:color w:val="000000"/>
          <w:sz w:val="28"/>
          <w:szCs w:val="28"/>
        </w:rPr>
        <w:t xml:space="preserve"> [Accessed 17/05/2023]</w:t>
      </w:r>
    </w:p>
    <w:p w14:paraId="6DE13F86" w14:textId="77777777" w:rsidR="00BD776F" w:rsidRPr="004F6EB2" w:rsidRDefault="00BD776F" w:rsidP="001F7CE2">
      <w:pPr>
        <w:pStyle w:val="NormalWeb"/>
        <w:spacing w:before="0" w:beforeAutospacing="0" w:after="0" w:afterAutospacing="0" w:line="360" w:lineRule="atLeast"/>
        <w:jc w:val="both"/>
        <w:rPr>
          <w:rFonts w:ascii="Calibri" w:hAnsi="Calibri" w:cs="Calibri"/>
          <w:color w:val="000000"/>
          <w:sz w:val="28"/>
          <w:szCs w:val="28"/>
        </w:rPr>
      </w:pPr>
    </w:p>
    <w:p w14:paraId="7410BF9C" w14:textId="65DB4901" w:rsidR="00E46B65" w:rsidRDefault="00E46B65" w:rsidP="001F7CE2">
      <w:pPr>
        <w:pStyle w:val="NormalWeb"/>
        <w:spacing w:before="0" w:beforeAutospacing="0" w:after="0" w:afterAutospacing="0" w:line="360" w:lineRule="atLeast"/>
        <w:jc w:val="both"/>
        <w:rPr>
          <w:rFonts w:ascii="Calibri" w:hAnsi="Calibri" w:cs="Calibri"/>
          <w:color w:val="000000"/>
          <w:sz w:val="28"/>
          <w:szCs w:val="28"/>
        </w:rPr>
      </w:pPr>
      <w:r w:rsidRPr="004F6EB2">
        <w:rPr>
          <w:rFonts w:ascii="Calibri" w:hAnsi="Calibri" w:cs="Calibri"/>
          <w:color w:val="000000"/>
          <w:sz w:val="28"/>
          <w:szCs w:val="28"/>
        </w:rPr>
        <w:t>‌</w:t>
      </w:r>
      <w:r w:rsidR="00A515D0" w:rsidRPr="004F6EB2">
        <w:rPr>
          <w:rFonts w:ascii="Calibri" w:hAnsi="Calibri" w:cs="Calibri"/>
          <w:color w:val="000000"/>
          <w:sz w:val="28"/>
          <w:szCs w:val="28"/>
        </w:rPr>
        <w:t xml:space="preserve">getimpactly.com. (n.d.). What Are </w:t>
      </w:r>
      <w:proofErr w:type="gramStart"/>
      <w:r w:rsidR="00A515D0" w:rsidRPr="004F6EB2">
        <w:rPr>
          <w:rFonts w:ascii="Calibri" w:hAnsi="Calibri" w:cs="Calibri"/>
          <w:color w:val="000000"/>
          <w:sz w:val="28"/>
          <w:szCs w:val="28"/>
        </w:rPr>
        <w:t>The</w:t>
      </w:r>
      <w:proofErr w:type="gramEnd"/>
      <w:r w:rsidR="00A515D0" w:rsidRPr="004F6EB2">
        <w:rPr>
          <w:rFonts w:ascii="Calibri" w:hAnsi="Calibri" w:cs="Calibri"/>
          <w:color w:val="000000"/>
          <w:sz w:val="28"/>
          <w:szCs w:val="28"/>
        </w:rPr>
        <w:t xml:space="preserve"> Examples Of Personal Biases. [online] Available at: </w:t>
      </w:r>
      <w:hyperlink r:id="rId14" w:anchor=":~:text=Personal%20bias%20refers%20to%20learned%20beliefs%2C%20opinions%2C%20or" w:history="1">
        <w:r w:rsidR="00A515D0" w:rsidRPr="004F6EB2">
          <w:rPr>
            <w:rStyle w:val="Hyperlink"/>
            <w:rFonts w:ascii="Calibri" w:hAnsi="Calibri" w:cs="Calibri"/>
            <w:sz w:val="28"/>
            <w:szCs w:val="28"/>
          </w:rPr>
          <w:t>https://www.getimpactly.com/post/examples-of-personal-biases#:~:text=Personal%20bias%20refers%20to%20learned%20beliefs%2C%20opinions%2C%20or</w:t>
        </w:r>
      </w:hyperlink>
      <w:r w:rsidR="00A515D0" w:rsidRPr="004F6EB2">
        <w:rPr>
          <w:rFonts w:ascii="Calibri" w:hAnsi="Calibri" w:cs="Calibri"/>
          <w:color w:val="000000"/>
          <w:sz w:val="28"/>
          <w:szCs w:val="28"/>
        </w:rPr>
        <w:t xml:space="preserve">. </w:t>
      </w:r>
      <w:r w:rsidR="00E83F5B" w:rsidRPr="004F6EB2">
        <w:rPr>
          <w:rFonts w:ascii="Calibri" w:hAnsi="Calibri" w:cs="Calibri"/>
          <w:color w:val="000000"/>
          <w:sz w:val="28"/>
          <w:szCs w:val="28"/>
        </w:rPr>
        <w:t xml:space="preserve"> [Accessed 17/05/2023]</w:t>
      </w:r>
    </w:p>
    <w:p w14:paraId="00B0EA2A" w14:textId="77777777" w:rsidR="004362E6" w:rsidRDefault="004362E6" w:rsidP="001F7CE2">
      <w:pPr>
        <w:pStyle w:val="NormalWeb"/>
        <w:spacing w:before="0" w:beforeAutospacing="0" w:after="0" w:afterAutospacing="0" w:line="360" w:lineRule="atLeast"/>
        <w:jc w:val="both"/>
        <w:rPr>
          <w:rFonts w:ascii="Calibri" w:hAnsi="Calibri" w:cs="Calibri"/>
          <w:color w:val="000000"/>
          <w:sz w:val="28"/>
          <w:szCs w:val="28"/>
        </w:rPr>
      </w:pPr>
    </w:p>
    <w:p w14:paraId="24705F31" w14:textId="63BA6FD8" w:rsidR="004362E6" w:rsidRDefault="004362E6" w:rsidP="004362E6">
      <w:pPr>
        <w:pStyle w:val="NormalWeb"/>
        <w:spacing w:line="360" w:lineRule="atLeast"/>
        <w:jc w:val="both"/>
        <w:rPr>
          <w:rFonts w:ascii="Calibri" w:hAnsi="Calibri" w:cs="Calibri"/>
          <w:color w:val="000000"/>
          <w:sz w:val="28"/>
          <w:szCs w:val="28"/>
        </w:rPr>
      </w:pPr>
      <w:r w:rsidRPr="004362E6">
        <w:rPr>
          <w:rFonts w:ascii="Calibri" w:hAnsi="Calibri" w:cs="Calibri"/>
          <w:color w:val="000000"/>
          <w:sz w:val="28"/>
          <w:szCs w:val="28"/>
        </w:rPr>
        <w:t>GOV.WALES. (</w:t>
      </w:r>
      <w:r>
        <w:rPr>
          <w:rFonts w:ascii="Calibri" w:hAnsi="Calibri" w:cs="Calibri"/>
          <w:color w:val="000000"/>
          <w:sz w:val="28"/>
          <w:szCs w:val="28"/>
        </w:rPr>
        <w:t>2021</w:t>
      </w:r>
      <w:r w:rsidRPr="004362E6">
        <w:rPr>
          <w:rFonts w:ascii="Calibri" w:hAnsi="Calibri" w:cs="Calibri"/>
          <w:color w:val="000000"/>
          <w:sz w:val="28"/>
          <w:szCs w:val="28"/>
        </w:rPr>
        <w:t xml:space="preserve">). Violence against women, domestic </w:t>
      </w:r>
      <w:proofErr w:type="gramStart"/>
      <w:r w:rsidRPr="004362E6">
        <w:rPr>
          <w:rFonts w:ascii="Calibri" w:hAnsi="Calibri" w:cs="Calibri"/>
          <w:color w:val="000000"/>
          <w:sz w:val="28"/>
          <w:szCs w:val="28"/>
        </w:rPr>
        <w:t>abuse</w:t>
      </w:r>
      <w:proofErr w:type="gramEnd"/>
      <w:r w:rsidRPr="004362E6">
        <w:rPr>
          <w:rFonts w:ascii="Calibri" w:hAnsi="Calibri" w:cs="Calibri"/>
          <w:color w:val="000000"/>
          <w:sz w:val="28"/>
          <w:szCs w:val="28"/>
        </w:rPr>
        <w:t xml:space="preserve"> and sexual violence: annual progress report 2020 to 2021 [HTML]. [online] Available at: </w:t>
      </w:r>
      <w:hyperlink r:id="rId15" w:history="1">
        <w:r w:rsidRPr="002F0E0B">
          <w:rPr>
            <w:rStyle w:val="Hyperlink"/>
            <w:rFonts w:ascii="Calibri" w:hAnsi="Calibri" w:cs="Calibri"/>
            <w:sz w:val="28"/>
            <w:szCs w:val="28"/>
          </w:rPr>
          <w:t>https://www.gov.wales/violence-against-women-domestic-abuse-and-sexual-violence-annual-progress-report-2020-2021-html</w:t>
        </w:r>
      </w:hyperlink>
      <w:r w:rsidRPr="004362E6">
        <w:rPr>
          <w:rFonts w:ascii="Calibri" w:hAnsi="Calibri" w:cs="Calibri"/>
          <w:color w:val="000000"/>
          <w:sz w:val="28"/>
          <w:szCs w:val="28"/>
        </w:rPr>
        <w:t>.</w:t>
      </w:r>
      <w:r>
        <w:rPr>
          <w:rFonts w:ascii="Calibri" w:hAnsi="Calibri" w:cs="Calibri"/>
          <w:color w:val="000000"/>
          <w:sz w:val="28"/>
          <w:szCs w:val="28"/>
        </w:rPr>
        <w:t xml:space="preserve"> [Accessed 02/06/23]</w:t>
      </w:r>
    </w:p>
    <w:p w14:paraId="25C5E464" w14:textId="77777777" w:rsidR="004362E6" w:rsidRPr="004362E6" w:rsidRDefault="004362E6" w:rsidP="004362E6">
      <w:pPr>
        <w:pStyle w:val="NormalWeb"/>
        <w:spacing w:line="360" w:lineRule="atLeast"/>
        <w:jc w:val="both"/>
        <w:rPr>
          <w:rFonts w:ascii="Calibri" w:hAnsi="Calibri" w:cs="Calibri"/>
          <w:color w:val="000000"/>
          <w:sz w:val="28"/>
          <w:szCs w:val="28"/>
        </w:rPr>
      </w:pPr>
    </w:p>
    <w:p w14:paraId="0600A968" w14:textId="77777777" w:rsidR="004362E6" w:rsidRPr="004362E6" w:rsidRDefault="004362E6" w:rsidP="004362E6">
      <w:pPr>
        <w:pStyle w:val="NormalWeb"/>
        <w:spacing w:line="360" w:lineRule="atLeast"/>
        <w:jc w:val="both"/>
        <w:rPr>
          <w:rFonts w:ascii="Calibri" w:hAnsi="Calibri" w:cs="Calibri"/>
          <w:color w:val="000000"/>
          <w:sz w:val="28"/>
          <w:szCs w:val="28"/>
        </w:rPr>
      </w:pPr>
    </w:p>
    <w:p w14:paraId="7EC3911B" w14:textId="5E8485E1" w:rsidR="004362E6" w:rsidRPr="004F6EB2" w:rsidRDefault="004362E6" w:rsidP="00510C8A">
      <w:pPr>
        <w:pStyle w:val="NormalWeb"/>
        <w:spacing w:line="360" w:lineRule="atLeast"/>
        <w:rPr>
          <w:rFonts w:ascii="Calibri" w:hAnsi="Calibri" w:cs="Calibri"/>
          <w:color w:val="000000"/>
          <w:sz w:val="28"/>
          <w:szCs w:val="28"/>
        </w:rPr>
      </w:pPr>
      <w:r w:rsidRPr="004362E6">
        <w:rPr>
          <w:rFonts w:ascii="Calibri" w:hAnsi="Calibri" w:cs="Calibri"/>
          <w:color w:val="000000"/>
          <w:sz w:val="28"/>
          <w:szCs w:val="28"/>
        </w:rPr>
        <w:t>‌</w:t>
      </w:r>
      <w:r w:rsidR="00510C8A" w:rsidRPr="00510C8A">
        <w:rPr>
          <w:rFonts w:ascii="Calibri" w:hAnsi="Calibri" w:cs="Calibri"/>
          <w:color w:val="000000"/>
          <w:sz w:val="28"/>
          <w:szCs w:val="28"/>
        </w:rPr>
        <w:t xml:space="preserve">HM Government. (2018). Serious violence strategy. Retrieved from </w:t>
      </w:r>
      <w:hyperlink r:id="rId16" w:history="1">
        <w:r w:rsidR="00510C8A" w:rsidRPr="002F0E0B">
          <w:rPr>
            <w:rStyle w:val="Hyperlink"/>
            <w:rFonts w:ascii="Calibri" w:hAnsi="Calibri" w:cs="Calibri"/>
            <w:sz w:val="28"/>
            <w:szCs w:val="28"/>
          </w:rPr>
          <w:t>https://www.gov.uk/government/publications/serious-violence-strategy</w:t>
        </w:r>
      </w:hyperlink>
      <w:r w:rsidR="00510C8A">
        <w:rPr>
          <w:rFonts w:ascii="Calibri" w:hAnsi="Calibri" w:cs="Calibri"/>
          <w:color w:val="000000"/>
          <w:sz w:val="28"/>
          <w:szCs w:val="28"/>
        </w:rPr>
        <w:t xml:space="preserve">  [Accessed 02/06/23]</w:t>
      </w:r>
    </w:p>
    <w:p w14:paraId="58A6A9F9" w14:textId="77777777" w:rsidR="00E46B65" w:rsidRPr="004F6EB2" w:rsidRDefault="00E46B65" w:rsidP="001F7CE2">
      <w:pPr>
        <w:pStyle w:val="NormalWeb"/>
        <w:spacing w:before="0" w:beforeAutospacing="0" w:after="0" w:afterAutospacing="0" w:line="360" w:lineRule="atLeast"/>
        <w:jc w:val="both"/>
        <w:rPr>
          <w:rFonts w:ascii="Calibri" w:hAnsi="Calibri" w:cs="Calibri"/>
          <w:color w:val="000000"/>
          <w:sz w:val="28"/>
          <w:szCs w:val="28"/>
        </w:rPr>
      </w:pPr>
    </w:p>
    <w:p w14:paraId="37EC0D57" w14:textId="77777777" w:rsidR="007A446B" w:rsidRDefault="007A446B" w:rsidP="007A446B">
      <w:pPr>
        <w:pStyle w:val="NormalWeb"/>
        <w:spacing w:before="0" w:beforeAutospacing="0" w:after="0" w:afterAutospacing="0" w:line="360" w:lineRule="atLeast"/>
        <w:jc w:val="both"/>
        <w:rPr>
          <w:rFonts w:ascii="Calibri" w:hAnsi="Calibri" w:cs="Calibri"/>
          <w:color w:val="000000"/>
          <w:sz w:val="28"/>
          <w:szCs w:val="28"/>
        </w:rPr>
      </w:pPr>
      <w:r w:rsidRPr="004F6EB2">
        <w:rPr>
          <w:rFonts w:ascii="Calibri" w:hAnsi="Calibri" w:cs="Calibri"/>
          <w:color w:val="000000"/>
          <w:sz w:val="28"/>
          <w:szCs w:val="28"/>
        </w:rPr>
        <w:t>Hereford Times. (2016). </w:t>
      </w:r>
      <w:r w:rsidRPr="004F6EB2">
        <w:rPr>
          <w:rFonts w:ascii="Calibri" w:hAnsi="Calibri" w:cs="Calibri"/>
          <w:i/>
          <w:iCs/>
          <w:color w:val="000000"/>
          <w:sz w:val="28"/>
          <w:szCs w:val="28"/>
        </w:rPr>
        <w:t>Buying drugs on tick ended with user ‘having to sell for dealer’</w:t>
      </w:r>
      <w:r w:rsidRPr="004F6EB2">
        <w:rPr>
          <w:rFonts w:ascii="Calibri" w:hAnsi="Calibri" w:cs="Calibri"/>
          <w:color w:val="000000"/>
          <w:sz w:val="28"/>
          <w:szCs w:val="28"/>
        </w:rPr>
        <w:t xml:space="preserve">. [online] Available at: </w:t>
      </w:r>
      <w:hyperlink r:id="rId17" w:history="1">
        <w:r w:rsidRPr="004F6EB2">
          <w:rPr>
            <w:rStyle w:val="Hyperlink"/>
            <w:rFonts w:ascii="Calibri" w:hAnsi="Calibri" w:cs="Calibri"/>
            <w:sz w:val="28"/>
            <w:szCs w:val="28"/>
          </w:rPr>
          <w:t>https://www.herefordtimes.com/news/14803344.buying-drugs-on-tick-ended-with-user-having-to-sell-for-dealer/</w:t>
        </w:r>
      </w:hyperlink>
      <w:r w:rsidRPr="004F6EB2">
        <w:rPr>
          <w:rFonts w:ascii="Calibri" w:hAnsi="Calibri" w:cs="Calibri"/>
          <w:color w:val="000000"/>
          <w:sz w:val="28"/>
          <w:szCs w:val="28"/>
        </w:rPr>
        <w:t xml:space="preserve">  [Accessed 20/04/2023].</w:t>
      </w:r>
    </w:p>
    <w:p w14:paraId="2AC22320" w14:textId="77777777" w:rsidR="007A446B" w:rsidRPr="004F6EB2" w:rsidRDefault="007A446B" w:rsidP="007A446B">
      <w:pPr>
        <w:pStyle w:val="NormalWeb"/>
        <w:spacing w:before="0" w:beforeAutospacing="0" w:after="0" w:afterAutospacing="0" w:line="360" w:lineRule="atLeast"/>
        <w:jc w:val="both"/>
        <w:rPr>
          <w:rFonts w:ascii="Calibri" w:hAnsi="Calibri" w:cs="Calibri"/>
          <w:color w:val="000000"/>
          <w:sz w:val="28"/>
          <w:szCs w:val="28"/>
        </w:rPr>
      </w:pPr>
    </w:p>
    <w:p w14:paraId="7A9FC6D7" w14:textId="51847499" w:rsidR="00D56CDB" w:rsidRPr="004F6EB2" w:rsidRDefault="00152FE8" w:rsidP="00510C8A">
      <w:pPr>
        <w:pStyle w:val="NormalWeb"/>
        <w:spacing w:before="0" w:beforeAutospacing="0" w:after="0" w:afterAutospacing="0" w:line="360" w:lineRule="atLeast"/>
        <w:rPr>
          <w:rFonts w:ascii="Calibri" w:hAnsi="Calibri" w:cs="Calibri"/>
          <w:color w:val="000000"/>
          <w:sz w:val="28"/>
          <w:szCs w:val="28"/>
        </w:rPr>
      </w:pPr>
      <w:r w:rsidRPr="004F6EB2">
        <w:rPr>
          <w:rFonts w:ascii="Calibri" w:hAnsi="Calibri" w:cs="Calibri"/>
          <w:color w:val="000000"/>
          <w:sz w:val="28"/>
          <w:szCs w:val="28"/>
        </w:rPr>
        <w:t>Home Office (2012). </w:t>
      </w:r>
      <w:r w:rsidRPr="004F6EB2">
        <w:rPr>
          <w:rFonts w:ascii="Calibri" w:hAnsi="Calibri" w:cs="Calibri"/>
          <w:i/>
          <w:iCs/>
          <w:color w:val="000000"/>
          <w:sz w:val="28"/>
          <w:szCs w:val="28"/>
        </w:rPr>
        <w:t>Definition of Policing by Consent</w:t>
      </w:r>
      <w:r w:rsidRPr="004F6EB2">
        <w:rPr>
          <w:rFonts w:ascii="Calibri" w:hAnsi="Calibri" w:cs="Calibri"/>
          <w:color w:val="000000"/>
          <w:sz w:val="28"/>
          <w:szCs w:val="28"/>
        </w:rPr>
        <w:t xml:space="preserve">. [online] gov.uk. Available at: </w:t>
      </w:r>
      <w:hyperlink r:id="rId18" w:history="1">
        <w:r w:rsidRPr="004F6EB2">
          <w:rPr>
            <w:rStyle w:val="Hyperlink"/>
            <w:rFonts w:ascii="Calibri" w:hAnsi="Calibri" w:cs="Calibri"/>
            <w:sz w:val="28"/>
            <w:szCs w:val="28"/>
          </w:rPr>
          <w:t>https://www.gov.uk/government/publications/policing-by-consent/definition-of-policing-by-consent</w:t>
        </w:r>
      </w:hyperlink>
      <w:r w:rsidRPr="004F6EB2">
        <w:rPr>
          <w:rFonts w:ascii="Calibri" w:hAnsi="Calibri" w:cs="Calibri"/>
          <w:color w:val="000000"/>
          <w:sz w:val="28"/>
          <w:szCs w:val="28"/>
        </w:rPr>
        <w:t>. [Accessed 17/05/2023]</w:t>
      </w:r>
    </w:p>
    <w:p w14:paraId="6179F8D5" w14:textId="77777777" w:rsidR="00BD776F" w:rsidRPr="004F6EB2" w:rsidRDefault="00BD776F" w:rsidP="001F7CE2">
      <w:pPr>
        <w:pStyle w:val="NormalWeb"/>
        <w:spacing w:before="0" w:beforeAutospacing="0" w:after="0" w:afterAutospacing="0" w:line="360" w:lineRule="atLeast"/>
        <w:jc w:val="both"/>
        <w:rPr>
          <w:rFonts w:ascii="Calibri" w:hAnsi="Calibri" w:cs="Calibri"/>
          <w:color w:val="000000"/>
          <w:sz w:val="28"/>
          <w:szCs w:val="28"/>
        </w:rPr>
      </w:pPr>
    </w:p>
    <w:p w14:paraId="1929D9CB" w14:textId="77777777" w:rsidR="00A22DD3" w:rsidRPr="004F6EB2" w:rsidRDefault="00A22DD3" w:rsidP="001F7CE2">
      <w:pPr>
        <w:pStyle w:val="NormalWeb"/>
        <w:spacing w:before="0" w:beforeAutospacing="0" w:after="0" w:afterAutospacing="0" w:line="360" w:lineRule="atLeast"/>
        <w:jc w:val="both"/>
        <w:rPr>
          <w:rFonts w:ascii="Calibri" w:hAnsi="Calibri" w:cs="Calibri"/>
          <w:color w:val="000000"/>
          <w:sz w:val="28"/>
          <w:szCs w:val="28"/>
        </w:rPr>
      </w:pPr>
    </w:p>
    <w:p w14:paraId="1D0DD340" w14:textId="77777777" w:rsidR="00A22DD3" w:rsidRPr="004F6EB2" w:rsidRDefault="00A22DD3" w:rsidP="001F7CE2">
      <w:pPr>
        <w:pStyle w:val="NormalWeb"/>
        <w:spacing w:before="0" w:beforeAutospacing="0" w:after="0" w:afterAutospacing="0" w:line="360" w:lineRule="atLeast"/>
        <w:jc w:val="both"/>
        <w:rPr>
          <w:rFonts w:ascii="Calibri" w:hAnsi="Calibri" w:cs="Calibri"/>
          <w:color w:val="000000"/>
          <w:sz w:val="28"/>
          <w:szCs w:val="28"/>
        </w:rPr>
      </w:pPr>
      <w:r w:rsidRPr="004F6EB2">
        <w:rPr>
          <w:rFonts w:ascii="Calibri" w:hAnsi="Calibri" w:cs="Calibri"/>
          <w:color w:val="000000"/>
          <w:sz w:val="28"/>
          <w:szCs w:val="28"/>
        </w:rPr>
        <w:t>Legislation.gov.uk (2018). </w:t>
      </w:r>
      <w:r w:rsidRPr="004F6EB2">
        <w:rPr>
          <w:rFonts w:ascii="Calibri" w:hAnsi="Calibri" w:cs="Calibri"/>
          <w:i/>
          <w:iCs/>
          <w:color w:val="000000"/>
          <w:sz w:val="28"/>
          <w:szCs w:val="28"/>
        </w:rPr>
        <w:t>Human Rights Act 1998</w:t>
      </w:r>
      <w:r w:rsidRPr="004F6EB2">
        <w:rPr>
          <w:rFonts w:ascii="Calibri" w:hAnsi="Calibri" w:cs="Calibri"/>
          <w:color w:val="000000"/>
          <w:sz w:val="28"/>
          <w:szCs w:val="28"/>
        </w:rPr>
        <w:t xml:space="preserve">. [online] Legislation.gov.uk. Available at: </w:t>
      </w:r>
      <w:hyperlink r:id="rId19" w:history="1">
        <w:r w:rsidRPr="004F6EB2">
          <w:rPr>
            <w:rStyle w:val="Hyperlink"/>
            <w:rFonts w:ascii="Calibri" w:hAnsi="Calibri" w:cs="Calibri"/>
            <w:sz w:val="28"/>
            <w:szCs w:val="28"/>
          </w:rPr>
          <w:t>https://www.legislation.gov.uk/ukpga/1998/42/schedule/1/part/I/chapter/5</w:t>
        </w:r>
      </w:hyperlink>
      <w:r w:rsidRPr="004F6EB2">
        <w:rPr>
          <w:rFonts w:ascii="Calibri" w:hAnsi="Calibri" w:cs="Calibri"/>
          <w:color w:val="000000"/>
          <w:sz w:val="28"/>
          <w:szCs w:val="28"/>
        </w:rPr>
        <w:t>. [Accessed 17/05/2023].</w:t>
      </w:r>
    </w:p>
    <w:p w14:paraId="57775CA4" w14:textId="77777777" w:rsidR="00A22DD3" w:rsidRPr="004F6EB2" w:rsidRDefault="00A22DD3" w:rsidP="001F7CE2">
      <w:pPr>
        <w:pStyle w:val="NormalWeb"/>
        <w:spacing w:before="0" w:beforeAutospacing="0" w:after="0" w:afterAutospacing="0" w:line="360" w:lineRule="atLeast"/>
        <w:jc w:val="both"/>
        <w:rPr>
          <w:rFonts w:ascii="Calibri" w:hAnsi="Calibri" w:cs="Calibri"/>
          <w:color w:val="000000"/>
          <w:sz w:val="28"/>
          <w:szCs w:val="28"/>
        </w:rPr>
      </w:pPr>
    </w:p>
    <w:p w14:paraId="5911C07D" w14:textId="77777777" w:rsidR="000E41B6" w:rsidRPr="004F6EB2" w:rsidRDefault="000E41B6" w:rsidP="001F7CE2">
      <w:pPr>
        <w:pStyle w:val="NormalWeb"/>
        <w:spacing w:before="0" w:beforeAutospacing="0" w:after="0" w:afterAutospacing="0" w:line="360" w:lineRule="atLeast"/>
        <w:jc w:val="both"/>
        <w:rPr>
          <w:rFonts w:ascii="Calibri" w:hAnsi="Calibri" w:cs="Calibri"/>
          <w:color w:val="000000"/>
          <w:sz w:val="28"/>
          <w:szCs w:val="28"/>
        </w:rPr>
      </w:pPr>
    </w:p>
    <w:p w14:paraId="70B89937" w14:textId="2F051B42" w:rsidR="00C65739" w:rsidRPr="004F6EB2" w:rsidRDefault="00D56CDB" w:rsidP="001F7CE2">
      <w:pPr>
        <w:pStyle w:val="NormalWeb"/>
        <w:spacing w:before="0" w:beforeAutospacing="0" w:after="0" w:afterAutospacing="0" w:line="360" w:lineRule="atLeast"/>
        <w:jc w:val="both"/>
        <w:rPr>
          <w:rFonts w:ascii="Calibri" w:hAnsi="Calibri" w:cs="Calibri"/>
          <w:color w:val="000000"/>
          <w:sz w:val="28"/>
          <w:szCs w:val="28"/>
        </w:rPr>
      </w:pPr>
      <w:r w:rsidRPr="004F6EB2">
        <w:rPr>
          <w:rFonts w:ascii="Calibri" w:hAnsi="Calibri" w:cs="Calibri"/>
          <w:color w:val="000000"/>
          <w:sz w:val="28"/>
          <w:szCs w:val="28"/>
        </w:rPr>
        <w:t>‌</w:t>
      </w:r>
      <w:r w:rsidR="00C65739" w:rsidRPr="004F6EB2">
        <w:rPr>
          <w:rFonts w:ascii="Calibri" w:hAnsi="Calibri" w:cs="Calibri"/>
          <w:color w:val="000000"/>
          <w:sz w:val="28"/>
          <w:szCs w:val="28"/>
        </w:rPr>
        <w:t xml:space="preserve"> Legislation.gov.uk. (2015). </w:t>
      </w:r>
      <w:r w:rsidR="00C65739" w:rsidRPr="004F6EB2">
        <w:rPr>
          <w:rFonts w:ascii="Calibri" w:hAnsi="Calibri" w:cs="Calibri"/>
          <w:i/>
          <w:iCs/>
          <w:color w:val="000000"/>
          <w:sz w:val="28"/>
          <w:szCs w:val="28"/>
        </w:rPr>
        <w:t>Serious Crime Act 2015</w:t>
      </w:r>
      <w:r w:rsidR="00C65739" w:rsidRPr="004F6EB2">
        <w:rPr>
          <w:rFonts w:ascii="Calibri" w:hAnsi="Calibri" w:cs="Calibri"/>
          <w:color w:val="000000"/>
          <w:sz w:val="28"/>
          <w:szCs w:val="28"/>
        </w:rPr>
        <w:t xml:space="preserve">. [online] Available at: </w:t>
      </w:r>
      <w:hyperlink r:id="rId20" w:history="1">
        <w:r w:rsidR="00C65739" w:rsidRPr="004F6EB2">
          <w:rPr>
            <w:rStyle w:val="Hyperlink"/>
            <w:rFonts w:ascii="Calibri" w:hAnsi="Calibri" w:cs="Calibri"/>
            <w:sz w:val="28"/>
            <w:szCs w:val="28"/>
          </w:rPr>
          <w:t>https://www.legislation.gov.uk/ukpga/2015/9/section/45/enacted</w:t>
        </w:r>
      </w:hyperlink>
      <w:r w:rsidR="00C65739" w:rsidRPr="004F6EB2">
        <w:rPr>
          <w:rFonts w:ascii="Calibri" w:hAnsi="Calibri" w:cs="Calibri"/>
          <w:color w:val="000000"/>
          <w:sz w:val="28"/>
          <w:szCs w:val="28"/>
        </w:rPr>
        <w:t>. [Accessed 17/05/2023].</w:t>
      </w:r>
    </w:p>
    <w:p w14:paraId="48B5F5A5" w14:textId="079D9229" w:rsidR="00C0101D" w:rsidRPr="004F6EB2" w:rsidRDefault="00C0101D" w:rsidP="001F7CE2">
      <w:pPr>
        <w:pStyle w:val="NormalWeb"/>
        <w:spacing w:before="0" w:beforeAutospacing="0" w:after="0" w:afterAutospacing="0" w:line="360" w:lineRule="atLeast"/>
        <w:jc w:val="both"/>
        <w:rPr>
          <w:rFonts w:ascii="Calibri" w:hAnsi="Calibri" w:cs="Calibri"/>
          <w:color w:val="000000"/>
          <w:sz w:val="28"/>
          <w:szCs w:val="28"/>
        </w:rPr>
      </w:pPr>
    </w:p>
    <w:p w14:paraId="42FCF2DB" w14:textId="35D9BE6A" w:rsidR="00C0101D" w:rsidRPr="004F6EB2" w:rsidRDefault="00C0101D" w:rsidP="001F7CE2">
      <w:pPr>
        <w:pStyle w:val="NormalWeb"/>
        <w:spacing w:before="0" w:beforeAutospacing="0" w:after="0" w:afterAutospacing="0" w:line="360" w:lineRule="atLeast"/>
        <w:jc w:val="both"/>
        <w:rPr>
          <w:rFonts w:ascii="Calibri" w:hAnsi="Calibri" w:cs="Calibri"/>
          <w:color w:val="000000"/>
          <w:sz w:val="28"/>
          <w:szCs w:val="28"/>
        </w:rPr>
      </w:pPr>
      <w:r w:rsidRPr="004F6EB2">
        <w:rPr>
          <w:rFonts w:ascii="Calibri" w:hAnsi="Calibri" w:cs="Calibri"/>
          <w:color w:val="000000"/>
          <w:sz w:val="28"/>
          <w:szCs w:val="28"/>
        </w:rPr>
        <w:t xml:space="preserve">Macpherson, W. (1999). THE STEPHEN LAWRENCE INQUIRY. [online] Gov.Uk. Available at: </w:t>
      </w:r>
      <w:hyperlink r:id="rId21" w:history="1">
        <w:r w:rsidRPr="004F6EB2">
          <w:rPr>
            <w:rStyle w:val="Hyperlink"/>
            <w:rFonts w:ascii="Calibri" w:hAnsi="Calibri" w:cs="Calibri"/>
            <w:sz w:val="28"/>
            <w:szCs w:val="28"/>
          </w:rPr>
          <w:t>https://assets.publishing.service.gov.uk/government/uploads/system/uploads/attachment_data/file/277111/4262.pdf</w:t>
        </w:r>
      </w:hyperlink>
      <w:r w:rsidRPr="004F6EB2">
        <w:rPr>
          <w:rFonts w:ascii="Calibri" w:hAnsi="Calibri" w:cs="Calibri"/>
          <w:color w:val="000000"/>
          <w:sz w:val="28"/>
          <w:szCs w:val="28"/>
        </w:rPr>
        <w:t xml:space="preserve">. </w:t>
      </w:r>
    </w:p>
    <w:p w14:paraId="5E8D7C0E" w14:textId="37B4205A" w:rsidR="000E41B6" w:rsidRPr="004F6EB2" w:rsidRDefault="000E41B6" w:rsidP="001F7CE2">
      <w:pPr>
        <w:jc w:val="both"/>
        <w:rPr>
          <w:sz w:val="22"/>
          <w:szCs w:val="22"/>
        </w:rPr>
      </w:pPr>
    </w:p>
    <w:p w14:paraId="1449E29B" w14:textId="718719D7" w:rsidR="006F40F0" w:rsidRPr="004F6EB2" w:rsidRDefault="006F40F0" w:rsidP="001F7CE2">
      <w:pPr>
        <w:jc w:val="both"/>
        <w:rPr>
          <w:sz w:val="22"/>
          <w:szCs w:val="22"/>
        </w:rPr>
      </w:pPr>
    </w:p>
    <w:p w14:paraId="66F73C86" w14:textId="77777777" w:rsidR="006F40F0" w:rsidRPr="004F6EB2" w:rsidRDefault="006F40F0" w:rsidP="001F7CE2">
      <w:pPr>
        <w:jc w:val="both"/>
        <w:rPr>
          <w:sz w:val="22"/>
          <w:szCs w:val="22"/>
        </w:rPr>
      </w:pPr>
    </w:p>
    <w:p w14:paraId="74DD0D9C" w14:textId="5F04D776" w:rsidR="000E41B6" w:rsidRPr="004F6EB2" w:rsidRDefault="000E41B6" w:rsidP="001F7CE2">
      <w:pPr>
        <w:pStyle w:val="NormalWeb"/>
        <w:spacing w:before="0" w:beforeAutospacing="0" w:after="0" w:afterAutospacing="0" w:line="360" w:lineRule="atLeast"/>
        <w:jc w:val="both"/>
        <w:rPr>
          <w:rFonts w:ascii="Calibri" w:hAnsi="Calibri" w:cs="Calibri"/>
          <w:color w:val="000000"/>
          <w:sz w:val="28"/>
          <w:szCs w:val="28"/>
        </w:rPr>
      </w:pPr>
      <w:r w:rsidRPr="004F6EB2">
        <w:rPr>
          <w:rFonts w:ascii="Calibri" w:hAnsi="Calibri" w:cs="Calibri"/>
          <w:color w:val="000000"/>
          <w:sz w:val="28"/>
          <w:szCs w:val="28"/>
        </w:rPr>
        <w:t>National Crime Agency (2018). </w:t>
      </w:r>
      <w:r w:rsidRPr="004F6EB2">
        <w:rPr>
          <w:rFonts w:ascii="Calibri" w:hAnsi="Calibri" w:cs="Calibri"/>
          <w:i/>
          <w:iCs/>
          <w:color w:val="000000"/>
          <w:sz w:val="28"/>
          <w:szCs w:val="28"/>
        </w:rPr>
        <w:t xml:space="preserve">County </w:t>
      </w:r>
      <w:proofErr w:type="gramStart"/>
      <w:r w:rsidRPr="004F6EB2">
        <w:rPr>
          <w:rFonts w:ascii="Calibri" w:hAnsi="Calibri" w:cs="Calibri"/>
          <w:i/>
          <w:iCs/>
          <w:color w:val="000000"/>
          <w:sz w:val="28"/>
          <w:szCs w:val="28"/>
        </w:rPr>
        <w:t>Lines </w:t>
      </w:r>
      <w:r w:rsidRPr="004F6EB2">
        <w:rPr>
          <w:rFonts w:ascii="Calibri" w:hAnsi="Calibri" w:cs="Calibri"/>
          <w:color w:val="000000"/>
          <w:sz w:val="28"/>
          <w:szCs w:val="28"/>
        </w:rPr>
        <w:t>.</w:t>
      </w:r>
      <w:proofErr w:type="gramEnd"/>
      <w:r w:rsidRPr="004F6EB2">
        <w:rPr>
          <w:rFonts w:ascii="Calibri" w:hAnsi="Calibri" w:cs="Calibri"/>
          <w:color w:val="000000"/>
          <w:sz w:val="28"/>
          <w:szCs w:val="28"/>
        </w:rPr>
        <w:t xml:space="preserve"> [online] Nationalcrimeagency.gov.uk. Available at: </w:t>
      </w:r>
      <w:hyperlink r:id="rId22" w:history="1">
        <w:r w:rsidRPr="004F6EB2">
          <w:rPr>
            <w:rStyle w:val="Hyperlink"/>
            <w:rFonts w:ascii="Calibri" w:hAnsi="Calibri" w:cs="Calibri"/>
            <w:sz w:val="28"/>
            <w:szCs w:val="28"/>
          </w:rPr>
          <w:t>https://www.nationalcrimeagency.gov.uk/what-we-do/crime-threats/drug-trafficking/county-lines</w:t>
        </w:r>
      </w:hyperlink>
      <w:r w:rsidRPr="004F6EB2">
        <w:rPr>
          <w:rFonts w:ascii="Calibri" w:hAnsi="Calibri" w:cs="Calibri"/>
          <w:color w:val="000000"/>
          <w:sz w:val="28"/>
          <w:szCs w:val="28"/>
        </w:rPr>
        <w:t>. [Accessed 17/05/2023].</w:t>
      </w:r>
    </w:p>
    <w:p w14:paraId="4ECC7089" w14:textId="77777777" w:rsidR="00C0101D" w:rsidRPr="004F6EB2" w:rsidRDefault="00C0101D" w:rsidP="001F7CE2">
      <w:pPr>
        <w:pStyle w:val="NormalWeb"/>
        <w:spacing w:before="0" w:beforeAutospacing="0" w:after="0" w:afterAutospacing="0" w:line="360" w:lineRule="atLeast"/>
        <w:jc w:val="both"/>
        <w:rPr>
          <w:rFonts w:ascii="Calibri" w:hAnsi="Calibri" w:cs="Calibri"/>
          <w:color w:val="000000"/>
          <w:sz w:val="28"/>
          <w:szCs w:val="28"/>
        </w:rPr>
      </w:pPr>
    </w:p>
    <w:p w14:paraId="08928288" w14:textId="5565E90F" w:rsidR="008F1BCC" w:rsidRPr="004F6EB2" w:rsidRDefault="000E41B6" w:rsidP="001F7CE2">
      <w:pPr>
        <w:pStyle w:val="NormalWeb"/>
        <w:spacing w:before="0" w:beforeAutospacing="0" w:after="0" w:afterAutospacing="0" w:line="360" w:lineRule="atLeast"/>
        <w:jc w:val="both"/>
        <w:rPr>
          <w:rFonts w:ascii="Calibri" w:hAnsi="Calibri" w:cs="Calibri"/>
          <w:color w:val="000000"/>
          <w:sz w:val="28"/>
          <w:szCs w:val="28"/>
        </w:rPr>
      </w:pPr>
      <w:r w:rsidRPr="004F6EB2">
        <w:rPr>
          <w:rFonts w:ascii="Calibri" w:hAnsi="Calibri" w:cs="Calibri"/>
          <w:color w:val="000000"/>
          <w:sz w:val="28"/>
          <w:szCs w:val="28"/>
        </w:rPr>
        <w:lastRenderedPageBreak/>
        <w:t>‌</w:t>
      </w:r>
      <w:r w:rsidR="008F1BCC" w:rsidRPr="004F6EB2">
        <w:rPr>
          <w:rFonts w:ascii="Calibri" w:hAnsi="Calibri" w:cs="Calibri"/>
          <w:color w:val="000000"/>
          <w:sz w:val="28"/>
          <w:szCs w:val="28"/>
        </w:rPr>
        <w:t>Thompson, K. (2014). </w:t>
      </w:r>
      <w:r w:rsidR="008F1BCC" w:rsidRPr="004F6EB2">
        <w:rPr>
          <w:rFonts w:ascii="Calibri" w:hAnsi="Calibri" w:cs="Calibri"/>
          <w:i/>
          <w:iCs/>
          <w:color w:val="000000"/>
          <w:sz w:val="28"/>
          <w:szCs w:val="28"/>
        </w:rPr>
        <w:t>The effect of cultural deprivation on education</w:t>
      </w:r>
      <w:r w:rsidR="008F1BCC" w:rsidRPr="004F6EB2">
        <w:rPr>
          <w:rFonts w:ascii="Calibri" w:hAnsi="Calibri" w:cs="Calibri"/>
          <w:color w:val="000000"/>
          <w:sz w:val="28"/>
          <w:szCs w:val="28"/>
        </w:rPr>
        <w:t xml:space="preserve">. [online] </w:t>
      </w:r>
      <w:proofErr w:type="spellStart"/>
      <w:r w:rsidR="008F1BCC" w:rsidRPr="004F6EB2">
        <w:rPr>
          <w:rFonts w:ascii="Calibri" w:hAnsi="Calibri" w:cs="Calibri"/>
          <w:color w:val="000000"/>
          <w:sz w:val="28"/>
          <w:szCs w:val="28"/>
        </w:rPr>
        <w:t>ReviseSociology</w:t>
      </w:r>
      <w:proofErr w:type="spellEnd"/>
      <w:r w:rsidR="008F1BCC" w:rsidRPr="004F6EB2">
        <w:rPr>
          <w:rFonts w:ascii="Calibri" w:hAnsi="Calibri" w:cs="Calibri"/>
          <w:color w:val="000000"/>
          <w:sz w:val="28"/>
          <w:szCs w:val="28"/>
        </w:rPr>
        <w:t xml:space="preserve">. Available at: </w:t>
      </w:r>
      <w:hyperlink r:id="rId23" w:history="1">
        <w:r w:rsidR="008F1BCC" w:rsidRPr="004F6EB2">
          <w:rPr>
            <w:rStyle w:val="Hyperlink"/>
            <w:rFonts w:ascii="Calibri" w:hAnsi="Calibri" w:cs="Calibri"/>
            <w:sz w:val="28"/>
            <w:szCs w:val="28"/>
          </w:rPr>
          <w:t>https://revisesociology.com/2014/02/15/the-effect-of-cultural-deprivation-on-education/</w:t>
        </w:r>
      </w:hyperlink>
      <w:r w:rsidR="008F1BCC" w:rsidRPr="004F6EB2">
        <w:rPr>
          <w:rFonts w:ascii="Calibri" w:hAnsi="Calibri" w:cs="Calibri"/>
          <w:color w:val="000000"/>
          <w:sz w:val="28"/>
          <w:szCs w:val="28"/>
        </w:rPr>
        <w:t>. [Accessed 17/05/2023]</w:t>
      </w:r>
    </w:p>
    <w:p w14:paraId="115EEABB" w14:textId="2DEF7848" w:rsidR="00593BC4" w:rsidRDefault="008F1BCC" w:rsidP="00593BC4">
      <w:pPr>
        <w:pStyle w:val="NormalWeb"/>
        <w:jc w:val="both"/>
        <w:rPr>
          <w:rFonts w:ascii="Calibri" w:hAnsi="Calibri" w:cs="Calibri"/>
          <w:color w:val="000000"/>
          <w:sz w:val="28"/>
          <w:szCs w:val="28"/>
        </w:rPr>
      </w:pPr>
      <w:r w:rsidRPr="004F6EB2">
        <w:rPr>
          <w:rFonts w:ascii="Calibri" w:hAnsi="Calibri" w:cs="Calibri"/>
          <w:color w:val="000000"/>
          <w:sz w:val="28"/>
          <w:szCs w:val="28"/>
        </w:rPr>
        <w:t xml:space="preserve">‌ </w:t>
      </w:r>
      <w:r w:rsidR="00593BC4" w:rsidRPr="00593BC4">
        <w:rPr>
          <w:rFonts w:ascii="Calibri" w:hAnsi="Calibri" w:cs="Calibri"/>
          <w:color w:val="000000"/>
          <w:sz w:val="28"/>
          <w:szCs w:val="28"/>
        </w:rPr>
        <w:t xml:space="preserve">Trueman (2015). Class Subcultures and Education. [online] History Learning Site. Available at: </w:t>
      </w:r>
      <w:hyperlink r:id="rId24" w:history="1">
        <w:r w:rsidR="00593BC4" w:rsidRPr="002F0E0B">
          <w:rPr>
            <w:rStyle w:val="Hyperlink"/>
            <w:rFonts w:ascii="Calibri" w:hAnsi="Calibri" w:cs="Calibri"/>
            <w:sz w:val="28"/>
            <w:szCs w:val="28"/>
          </w:rPr>
          <w:t>https://www.historylearningsite.co.uk/sociology/education-and-sociology/class-subcultures-and-education/</w:t>
        </w:r>
      </w:hyperlink>
      <w:r w:rsidR="00593BC4" w:rsidRPr="00593BC4">
        <w:rPr>
          <w:rFonts w:ascii="Calibri" w:hAnsi="Calibri" w:cs="Calibri"/>
          <w:color w:val="000000"/>
          <w:sz w:val="28"/>
          <w:szCs w:val="28"/>
        </w:rPr>
        <w:t>.</w:t>
      </w:r>
      <w:r w:rsidR="00593BC4">
        <w:rPr>
          <w:rFonts w:ascii="Calibri" w:hAnsi="Calibri" w:cs="Calibri"/>
          <w:color w:val="000000"/>
          <w:sz w:val="28"/>
          <w:szCs w:val="28"/>
        </w:rPr>
        <w:t xml:space="preserve"> [02/06/23]</w:t>
      </w:r>
    </w:p>
    <w:p w14:paraId="77C3657A" w14:textId="2A0E6F0C" w:rsidR="00593BC4" w:rsidRDefault="00593BC4" w:rsidP="00593BC4">
      <w:pPr>
        <w:pStyle w:val="NormalWeb"/>
        <w:jc w:val="both"/>
        <w:rPr>
          <w:rFonts w:ascii="Calibri" w:hAnsi="Calibri" w:cs="Calibri"/>
          <w:color w:val="000000"/>
          <w:sz w:val="28"/>
          <w:szCs w:val="28"/>
        </w:rPr>
      </w:pPr>
      <w:r>
        <w:rPr>
          <w:rFonts w:ascii="Calibri" w:hAnsi="Calibri" w:cs="Calibri"/>
          <w:color w:val="000000"/>
          <w:sz w:val="28"/>
          <w:szCs w:val="28"/>
        </w:rPr>
        <w:t xml:space="preserve"> </w:t>
      </w:r>
    </w:p>
    <w:p w14:paraId="5B942576" w14:textId="77777777" w:rsidR="00593BC4" w:rsidRPr="00593BC4" w:rsidRDefault="00593BC4" w:rsidP="00593BC4">
      <w:pPr>
        <w:pStyle w:val="NormalWeb"/>
        <w:jc w:val="both"/>
        <w:rPr>
          <w:rFonts w:ascii="Calibri" w:hAnsi="Calibri" w:cs="Calibri"/>
          <w:color w:val="000000"/>
          <w:sz w:val="28"/>
          <w:szCs w:val="28"/>
        </w:rPr>
      </w:pPr>
    </w:p>
    <w:p w14:paraId="015FB485" w14:textId="77777777" w:rsidR="00593BC4" w:rsidRPr="00593BC4" w:rsidRDefault="00593BC4" w:rsidP="00593BC4">
      <w:pPr>
        <w:pStyle w:val="NormalWeb"/>
        <w:jc w:val="both"/>
        <w:rPr>
          <w:rFonts w:ascii="Calibri" w:hAnsi="Calibri" w:cs="Calibri"/>
          <w:color w:val="000000"/>
          <w:sz w:val="28"/>
          <w:szCs w:val="28"/>
        </w:rPr>
      </w:pPr>
    </w:p>
    <w:p w14:paraId="77A64284" w14:textId="4F9D08B7" w:rsidR="008F1BCC" w:rsidRPr="004F6EB2" w:rsidRDefault="00593BC4" w:rsidP="00593BC4">
      <w:pPr>
        <w:pStyle w:val="NormalWeb"/>
        <w:jc w:val="both"/>
        <w:rPr>
          <w:rFonts w:ascii="Calibri" w:hAnsi="Calibri" w:cs="Calibri"/>
          <w:color w:val="000000"/>
          <w:sz w:val="28"/>
          <w:szCs w:val="28"/>
        </w:rPr>
      </w:pPr>
      <w:r w:rsidRPr="00593BC4">
        <w:rPr>
          <w:rFonts w:ascii="Calibri" w:hAnsi="Calibri" w:cs="Calibri"/>
          <w:color w:val="000000"/>
          <w:sz w:val="28"/>
          <w:szCs w:val="28"/>
        </w:rPr>
        <w:t>‌</w:t>
      </w:r>
    </w:p>
    <w:p w14:paraId="5F60026C" w14:textId="4052BB1D" w:rsidR="000E41B6" w:rsidRPr="004F6EB2" w:rsidRDefault="000E41B6" w:rsidP="001F7CE2">
      <w:pPr>
        <w:pStyle w:val="NormalWeb"/>
        <w:jc w:val="both"/>
        <w:rPr>
          <w:rFonts w:ascii="Calibri" w:hAnsi="Calibri" w:cs="Calibri"/>
          <w:color w:val="000000"/>
          <w:sz w:val="28"/>
          <w:szCs w:val="28"/>
        </w:rPr>
      </w:pPr>
    </w:p>
    <w:p w14:paraId="7273C65B" w14:textId="77777777" w:rsidR="000E41B6" w:rsidRPr="004F6EB2" w:rsidRDefault="000E41B6" w:rsidP="001F7CE2">
      <w:pPr>
        <w:pStyle w:val="NormalWeb"/>
        <w:spacing w:before="0" w:beforeAutospacing="0" w:after="0" w:afterAutospacing="0" w:line="360" w:lineRule="atLeast"/>
        <w:jc w:val="both"/>
        <w:rPr>
          <w:rFonts w:ascii="Calibri" w:hAnsi="Calibri" w:cs="Calibri"/>
          <w:color w:val="000000"/>
          <w:sz w:val="28"/>
          <w:szCs w:val="28"/>
        </w:rPr>
      </w:pPr>
    </w:p>
    <w:p w14:paraId="335A49F4" w14:textId="77777777" w:rsidR="00C65739" w:rsidRPr="004F6EB2" w:rsidRDefault="00C65739" w:rsidP="001F7CE2">
      <w:pPr>
        <w:pStyle w:val="NormalWeb"/>
        <w:jc w:val="both"/>
        <w:rPr>
          <w:rFonts w:ascii="Calibri" w:hAnsi="Calibri" w:cs="Calibri"/>
          <w:color w:val="000000"/>
          <w:sz w:val="28"/>
          <w:szCs w:val="28"/>
        </w:rPr>
      </w:pPr>
      <w:r w:rsidRPr="004F6EB2">
        <w:rPr>
          <w:rFonts w:ascii="Calibri" w:hAnsi="Calibri" w:cs="Calibri"/>
          <w:color w:val="000000"/>
          <w:sz w:val="28"/>
          <w:szCs w:val="28"/>
        </w:rPr>
        <w:t>‌</w:t>
      </w:r>
    </w:p>
    <w:p w14:paraId="2AB53752" w14:textId="29D3F2C7" w:rsidR="00D56CDB" w:rsidRPr="004F6EB2" w:rsidRDefault="00D56CDB" w:rsidP="001F7CE2">
      <w:pPr>
        <w:pStyle w:val="NormalWeb"/>
        <w:jc w:val="both"/>
        <w:rPr>
          <w:rFonts w:ascii="Calibri" w:hAnsi="Calibri" w:cs="Calibri"/>
          <w:color w:val="000000"/>
          <w:sz w:val="28"/>
          <w:szCs w:val="28"/>
        </w:rPr>
      </w:pPr>
    </w:p>
    <w:p w14:paraId="5EE15A4C" w14:textId="77777777" w:rsidR="00D56CDB" w:rsidRPr="004F6EB2" w:rsidRDefault="00D56CDB" w:rsidP="001F7CE2">
      <w:pPr>
        <w:spacing w:line="276" w:lineRule="auto"/>
        <w:jc w:val="both"/>
        <w:rPr>
          <w:rFonts w:asciiTheme="minorHAnsi" w:hAnsiTheme="minorHAnsi" w:cstheme="minorHAnsi"/>
          <w:sz w:val="28"/>
          <w:szCs w:val="28"/>
        </w:rPr>
      </w:pPr>
    </w:p>
    <w:sectPr w:rsidR="00D56CDB" w:rsidRPr="004F6EB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872365"/>
    <w:multiLevelType w:val="hybridMultilevel"/>
    <w:tmpl w:val="335E2468"/>
    <w:lvl w:ilvl="0" w:tplc="08090001">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1" w15:restartNumberingAfterBreak="0">
    <w:nsid w:val="25835061"/>
    <w:multiLevelType w:val="hybridMultilevel"/>
    <w:tmpl w:val="7608A66A"/>
    <w:lvl w:ilvl="0" w:tplc="1D1E8EB0">
      <w:numFmt w:val="bullet"/>
      <w:lvlText w:val="-"/>
      <w:lvlJc w:val="left"/>
      <w:pPr>
        <w:ind w:left="72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96677C1"/>
    <w:multiLevelType w:val="hybridMultilevel"/>
    <w:tmpl w:val="28327888"/>
    <w:lvl w:ilvl="0" w:tplc="19CAE3A8">
      <w:numFmt w:val="bullet"/>
      <w:lvlText w:val="-"/>
      <w:lvlJc w:val="left"/>
      <w:pPr>
        <w:ind w:left="72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312301573">
    <w:abstractNumId w:val="0"/>
  </w:num>
  <w:num w:numId="2" w16cid:durableId="1181359340">
    <w:abstractNumId w:val="2"/>
  </w:num>
  <w:num w:numId="3" w16cid:durableId="131186598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E1D83"/>
    <w:rsid w:val="00007C7D"/>
    <w:rsid w:val="0002160A"/>
    <w:rsid w:val="00026CD9"/>
    <w:rsid w:val="000302A0"/>
    <w:rsid w:val="00041C9D"/>
    <w:rsid w:val="00050836"/>
    <w:rsid w:val="000571EE"/>
    <w:rsid w:val="00057234"/>
    <w:rsid w:val="000728C6"/>
    <w:rsid w:val="00096C59"/>
    <w:rsid w:val="000D1258"/>
    <w:rsid w:val="000E41B6"/>
    <w:rsid w:val="00152FE8"/>
    <w:rsid w:val="00156850"/>
    <w:rsid w:val="001574A8"/>
    <w:rsid w:val="00162259"/>
    <w:rsid w:val="00171B0E"/>
    <w:rsid w:val="001D0BAE"/>
    <w:rsid w:val="001E6194"/>
    <w:rsid w:val="001F7CE2"/>
    <w:rsid w:val="002040B2"/>
    <w:rsid w:val="00207DDB"/>
    <w:rsid w:val="0021057A"/>
    <w:rsid w:val="00246574"/>
    <w:rsid w:val="00252956"/>
    <w:rsid w:val="002735DA"/>
    <w:rsid w:val="002749E8"/>
    <w:rsid w:val="002766D5"/>
    <w:rsid w:val="00277BF4"/>
    <w:rsid w:val="002A3BFB"/>
    <w:rsid w:val="002F7637"/>
    <w:rsid w:val="0031034F"/>
    <w:rsid w:val="00371EA4"/>
    <w:rsid w:val="00394671"/>
    <w:rsid w:val="003C37A1"/>
    <w:rsid w:val="003D26C7"/>
    <w:rsid w:val="0041152B"/>
    <w:rsid w:val="00417B4E"/>
    <w:rsid w:val="004362E6"/>
    <w:rsid w:val="00453C3B"/>
    <w:rsid w:val="00454494"/>
    <w:rsid w:val="004547C4"/>
    <w:rsid w:val="00481E3D"/>
    <w:rsid w:val="004D4C9C"/>
    <w:rsid w:val="004F6EB2"/>
    <w:rsid w:val="00510C8A"/>
    <w:rsid w:val="00514C94"/>
    <w:rsid w:val="00543CC4"/>
    <w:rsid w:val="005472F8"/>
    <w:rsid w:val="00555968"/>
    <w:rsid w:val="0056129A"/>
    <w:rsid w:val="005751EA"/>
    <w:rsid w:val="00580B7A"/>
    <w:rsid w:val="005905B3"/>
    <w:rsid w:val="00593BC4"/>
    <w:rsid w:val="005D10D7"/>
    <w:rsid w:val="006072D5"/>
    <w:rsid w:val="0062632C"/>
    <w:rsid w:val="00627C76"/>
    <w:rsid w:val="006430E3"/>
    <w:rsid w:val="00696FE9"/>
    <w:rsid w:val="006B5F9D"/>
    <w:rsid w:val="006D3EEE"/>
    <w:rsid w:val="006E7BE3"/>
    <w:rsid w:val="006F40F0"/>
    <w:rsid w:val="00720053"/>
    <w:rsid w:val="0073143D"/>
    <w:rsid w:val="007A446B"/>
    <w:rsid w:val="0081186F"/>
    <w:rsid w:val="00874A46"/>
    <w:rsid w:val="00887D37"/>
    <w:rsid w:val="008B137B"/>
    <w:rsid w:val="008B51B5"/>
    <w:rsid w:val="008B7ABD"/>
    <w:rsid w:val="008C3072"/>
    <w:rsid w:val="008D485F"/>
    <w:rsid w:val="008E1155"/>
    <w:rsid w:val="008E3DE4"/>
    <w:rsid w:val="008E6AD2"/>
    <w:rsid w:val="008F147A"/>
    <w:rsid w:val="008F1BCC"/>
    <w:rsid w:val="008F2995"/>
    <w:rsid w:val="009039F3"/>
    <w:rsid w:val="00911989"/>
    <w:rsid w:val="00924CA6"/>
    <w:rsid w:val="0094041F"/>
    <w:rsid w:val="00942288"/>
    <w:rsid w:val="009748A0"/>
    <w:rsid w:val="00983ADA"/>
    <w:rsid w:val="009879E4"/>
    <w:rsid w:val="00991170"/>
    <w:rsid w:val="009B5710"/>
    <w:rsid w:val="009B67BB"/>
    <w:rsid w:val="009C078F"/>
    <w:rsid w:val="009C152D"/>
    <w:rsid w:val="009C47D3"/>
    <w:rsid w:val="009E1D83"/>
    <w:rsid w:val="00A137B8"/>
    <w:rsid w:val="00A22DD3"/>
    <w:rsid w:val="00A34A69"/>
    <w:rsid w:val="00A515D0"/>
    <w:rsid w:val="00A644C4"/>
    <w:rsid w:val="00A75A05"/>
    <w:rsid w:val="00AA605F"/>
    <w:rsid w:val="00AF3E7D"/>
    <w:rsid w:val="00B01751"/>
    <w:rsid w:val="00B1615F"/>
    <w:rsid w:val="00B81327"/>
    <w:rsid w:val="00B850B8"/>
    <w:rsid w:val="00BD776F"/>
    <w:rsid w:val="00BE1632"/>
    <w:rsid w:val="00C0101D"/>
    <w:rsid w:val="00C2366B"/>
    <w:rsid w:val="00C65739"/>
    <w:rsid w:val="00C65B63"/>
    <w:rsid w:val="00CD1965"/>
    <w:rsid w:val="00CD48FF"/>
    <w:rsid w:val="00CE4515"/>
    <w:rsid w:val="00CF0D0A"/>
    <w:rsid w:val="00CF6E58"/>
    <w:rsid w:val="00D56CDB"/>
    <w:rsid w:val="00D738AE"/>
    <w:rsid w:val="00D73908"/>
    <w:rsid w:val="00DC2757"/>
    <w:rsid w:val="00DD5467"/>
    <w:rsid w:val="00DE082C"/>
    <w:rsid w:val="00DE32EF"/>
    <w:rsid w:val="00E07BE1"/>
    <w:rsid w:val="00E34CA5"/>
    <w:rsid w:val="00E46B65"/>
    <w:rsid w:val="00E83F5B"/>
    <w:rsid w:val="00EC2F2F"/>
    <w:rsid w:val="00EE14D7"/>
    <w:rsid w:val="00F07A6C"/>
    <w:rsid w:val="00F11DA2"/>
    <w:rsid w:val="00FE4774"/>
    <w:rsid w:val="00FF624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4E6E74"/>
  <w15:chartTrackingRefBased/>
  <w15:docId w15:val="{58C588F1-98D7-4D80-BC96-3A03EB0219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E1D83"/>
    <w:pPr>
      <w:spacing w:after="0" w:line="240" w:lineRule="auto"/>
    </w:pPr>
    <w:rPr>
      <w:rFonts w:ascii="Times New Roman" w:eastAsia="Times New Roman" w:hAnsi="Times New Roman" w:cs="Times New Roman"/>
      <w:sz w:val="20"/>
      <w:szCs w:val="20"/>
      <w:lang w:eastAsia="en-GB"/>
    </w:rPr>
  </w:style>
  <w:style w:type="paragraph" w:styleId="Heading2">
    <w:name w:val="heading 2"/>
    <w:basedOn w:val="Normal"/>
    <w:next w:val="Normal"/>
    <w:link w:val="Heading2Char"/>
    <w:uiPriority w:val="9"/>
    <w:unhideWhenUsed/>
    <w:qFormat/>
    <w:rsid w:val="00B81327"/>
    <w:pPr>
      <w:keepNext/>
      <w:keepLines/>
      <w:spacing w:before="40" w:line="259" w:lineRule="auto"/>
      <w:outlineLvl w:val="1"/>
    </w:pPr>
    <w:rPr>
      <w:rFonts w:asciiTheme="majorHAnsi" w:eastAsiaTheme="majorEastAsia" w:hAnsiTheme="majorHAnsi" w:cstheme="majorBidi"/>
      <w:color w:val="2F5496" w:themeColor="accent1" w:themeShade="BF"/>
      <w:kern w:val="2"/>
      <w:sz w:val="26"/>
      <w:szCs w:val="26"/>
      <w:lang w:eastAsia="en-US"/>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E1D83"/>
    <w:pPr>
      <w:ind w:left="720"/>
      <w:contextualSpacing/>
    </w:pPr>
  </w:style>
  <w:style w:type="character" w:styleId="Hyperlink">
    <w:name w:val="Hyperlink"/>
    <w:basedOn w:val="DefaultParagraphFont"/>
    <w:uiPriority w:val="99"/>
    <w:unhideWhenUsed/>
    <w:rsid w:val="0056129A"/>
    <w:rPr>
      <w:color w:val="0563C1" w:themeColor="hyperlink"/>
      <w:u w:val="single"/>
    </w:rPr>
  </w:style>
  <w:style w:type="character" w:styleId="CommentReference">
    <w:name w:val="annotation reference"/>
    <w:basedOn w:val="DefaultParagraphFont"/>
    <w:uiPriority w:val="99"/>
    <w:semiHidden/>
    <w:unhideWhenUsed/>
    <w:rsid w:val="00E34CA5"/>
    <w:rPr>
      <w:sz w:val="16"/>
      <w:szCs w:val="16"/>
    </w:rPr>
  </w:style>
  <w:style w:type="paragraph" w:styleId="CommentText">
    <w:name w:val="annotation text"/>
    <w:basedOn w:val="Normal"/>
    <w:link w:val="CommentTextChar"/>
    <w:uiPriority w:val="99"/>
    <w:unhideWhenUsed/>
    <w:rsid w:val="00E34CA5"/>
    <w:pPr>
      <w:overflowPunct w:val="0"/>
      <w:autoSpaceDE w:val="0"/>
      <w:autoSpaceDN w:val="0"/>
      <w:adjustRightInd w:val="0"/>
      <w:textAlignment w:val="baseline"/>
    </w:pPr>
    <w:rPr>
      <w:rFonts w:ascii="Arial" w:hAnsi="Arial" w:cs="Arial"/>
      <w:color w:val="000000"/>
    </w:rPr>
  </w:style>
  <w:style w:type="character" w:customStyle="1" w:styleId="CommentTextChar">
    <w:name w:val="Comment Text Char"/>
    <w:basedOn w:val="DefaultParagraphFont"/>
    <w:link w:val="CommentText"/>
    <w:uiPriority w:val="99"/>
    <w:rsid w:val="00E34CA5"/>
    <w:rPr>
      <w:rFonts w:ascii="Arial" w:eastAsia="Times New Roman" w:hAnsi="Arial" w:cs="Arial"/>
      <w:color w:val="000000"/>
      <w:sz w:val="20"/>
      <w:szCs w:val="20"/>
      <w:lang w:eastAsia="en-GB"/>
    </w:rPr>
  </w:style>
  <w:style w:type="paragraph" w:styleId="NormalWeb">
    <w:name w:val="Normal (Web)"/>
    <w:basedOn w:val="Normal"/>
    <w:uiPriority w:val="99"/>
    <w:unhideWhenUsed/>
    <w:rsid w:val="00AF3E7D"/>
    <w:pPr>
      <w:spacing w:before="100" w:beforeAutospacing="1" w:after="100" w:afterAutospacing="1"/>
    </w:pPr>
    <w:rPr>
      <w:sz w:val="24"/>
      <w:szCs w:val="24"/>
    </w:rPr>
  </w:style>
  <w:style w:type="character" w:styleId="UnresolvedMention">
    <w:name w:val="Unresolved Mention"/>
    <w:basedOn w:val="DefaultParagraphFont"/>
    <w:uiPriority w:val="99"/>
    <w:semiHidden/>
    <w:unhideWhenUsed/>
    <w:rsid w:val="00D56CDB"/>
    <w:rPr>
      <w:color w:val="605E5C"/>
      <w:shd w:val="clear" w:color="auto" w:fill="E1DFDD"/>
    </w:rPr>
  </w:style>
  <w:style w:type="character" w:customStyle="1" w:styleId="Heading2Char">
    <w:name w:val="Heading 2 Char"/>
    <w:basedOn w:val="DefaultParagraphFont"/>
    <w:link w:val="Heading2"/>
    <w:uiPriority w:val="9"/>
    <w:rsid w:val="00B81327"/>
    <w:rPr>
      <w:rFonts w:asciiTheme="majorHAnsi" w:eastAsiaTheme="majorEastAsia" w:hAnsiTheme="majorHAnsi" w:cstheme="majorBidi"/>
      <w:color w:val="2F5496" w:themeColor="accent1" w:themeShade="BF"/>
      <w:kern w:val="2"/>
      <w:sz w:val="26"/>
      <w:szCs w:val="26"/>
      <w14:ligatures w14:val="standardContextual"/>
    </w:rPr>
  </w:style>
  <w:style w:type="character" w:styleId="Emphasis">
    <w:name w:val="Emphasis"/>
    <w:basedOn w:val="DefaultParagraphFont"/>
    <w:uiPriority w:val="20"/>
    <w:qFormat/>
    <w:rsid w:val="00096C59"/>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8468601">
      <w:bodyDiv w:val="1"/>
      <w:marLeft w:val="0"/>
      <w:marRight w:val="0"/>
      <w:marTop w:val="0"/>
      <w:marBottom w:val="0"/>
      <w:divBdr>
        <w:top w:val="none" w:sz="0" w:space="0" w:color="auto"/>
        <w:left w:val="none" w:sz="0" w:space="0" w:color="auto"/>
        <w:bottom w:val="none" w:sz="0" w:space="0" w:color="auto"/>
        <w:right w:val="none" w:sz="0" w:space="0" w:color="auto"/>
      </w:divBdr>
    </w:div>
    <w:div w:id="241525926">
      <w:bodyDiv w:val="1"/>
      <w:marLeft w:val="0"/>
      <w:marRight w:val="0"/>
      <w:marTop w:val="0"/>
      <w:marBottom w:val="0"/>
      <w:divBdr>
        <w:top w:val="none" w:sz="0" w:space="0" w:color="auto"/>
        <w:left w:val="none" w:sz="0" w:space="0" w:color="auto"/>
        <w:bottom w:val="none" w:sz="0" w:space="0" w:color="auto"/>
        <w:right w:val="none" w:sz="0" w:space="0" w:color="auto"/>
      </w:divBdr>
    </w:div>
    <w:div w:id="482820213">
      <w:bodyDiv w:val="1"/>
      <w:marLeft w:val="0"/>
      <w:marRight w:val="0"/>
      <w:marTop w:val="0"/>
      <w:marBottom w:val="0"/>
      <w:divBdr>
        <w:top w:val="none" w:sz="0" w:space="0" w:color="auto"/>
        <w:left w:val="none" w:sz="0" w:space="0" w:color="auto"/>
        <w:bottom w:val="none" w:sz="0" w:space="0" w:color="auto"/>
        <w:right w:val="none" w:sz="0" w:space="0" w:color="auto"/>
      </w:divBdr>
    </w:div>
    <w:div w:id="506752791">
      <w:bodyDiv w:val="1"/>
      <w:marLeft w:val="0"/>
      <w:marRight w:val="0"/>
      <w:marTop w:val="0"/>
      <w:marBottom w:val="0"/>
      <w:divBdr>
        <w:top w:val="none" w:sz="0" w:space="0" w:color="auto"/>
        <w:left w:val="none" w:sz="0" w:space="0" w:color="auto"/>
        <w:bottom w:val="none" w:sz="0" w:space="0" w:color="auto"/>
        <w:right w:val="none" w:sz="0" w:space="0" w:color="auto"/>
      </w:divBdr>
    </w:div>
    <w:div w:id="710804798">
      <w:bodyDiv w:val="1"/>
      <w:marLeft w:val="0"/>
      <w:marRight w:val="0"/>
      <w:marTop w:val="0"/>
      <w:marBottom w:val="0"/>
      <w:divBdr>
        <w:top w:val="none" w:sz="0" w:space="0" w:color="auto"/>
        <w:left w:val="none" w:sz="0" w:space="0" w:color="auto"/>
        <w:bottom w:val="none" w:sz="0" w:space="0" w:color="auto"/>
        <w:right w:val="none" w:sz="0" w:space="0" w:color="auto"/>
      </w:divBdr>
    </w:div>
    <w:div w:id="720596852">
      <w:bodyDiv w:val="1"/>
      <w:marLeft w:val="0"/>
      <w:marRight w:val="0"/>
      <w:marTop w:val="0"/>
      <w:marBottom w:val="0"/>
      <w:divBdr>
        <w:top w:val="none" w:sz="0" w:space="0" w:color="auto"/>
        <w:left w:val="none" w:sz="0" w:space="0" w:color="auto"/>
        <w:bottom w:val="none" w:sz="0" w:space="0" w:color="auto"/>
        <w:right w:val="none" w:sz="0" w:space="0" w:color="auto"/>
      </w:divBdr>
    </w:div>
    <w:div w:id="922497868">
      <w:bodyDiv w:val="1"/>
      <w:marLeft w:val="0"/>
      <w:marRight w:val="0"/>
      <w:marTop w:val="0"/>
      <w:marBottom w:val="0"/>
      <w:divBdr>
        <w:top w:val="none" w:sz="0" w:space="0" w:color="auto"/>
        <w:left w:val="none" w:sz="0" w:space="0" w:color="auto"/>
        <w:bottom w:val="none" w:sz="0" w:space="0" w:color="auto"/>
        <w:right w:val="none" w:sz="0" w:space="0" w:color="auto"/>
      </w:divBdr>
    </w:div>
    <w:div w:id="986319429">
      <w:bodyDiv w:val="1"/>
      <w:marLeft w:val="0"/>
      <w:marRight w:val="0"/>
      <w:marTop w:val="0"/>
      <w:marBottom w:val="0"/>
      <w:divBdr>
        <w:top w:val="none" w:sz="0" w:space="0" w:color="auto"/>
        <w:left w:val="none" w:sz="0" w:space="0" w:color="auto"/>
        <w:bottom w:val="none" w:sz="0" w:space="0" w:color="auto"/>
        <w:right w:val="none" w:sz="0" w:space="0" w:color="auto"/>
      </w:divBdr>
    </w:div>
    <w:div w:id="1010715307">
      <w:bodyDiv w:val="1"/>
      <w:marLeft w:val="0"/>
      <w:marRight w:val="0"/>
      <w:marTop w:val="0"/>
      <w:marBottom w:val="0"/>
      <w:divBdr>
        <w:top w:val="none" w:sz="0" w:space="0" w:color="auto"/>
        <w:left w:val="none" w:sz="0" w:space="0" w:color="auto"/>
        <w:bottom w:val="none" w:sz="0" w:space="0" w:color="auto"/>
        <w:right w:val="none" w:sz="0" w:space="0" w:color="auto"/>
      </w:divBdr>
    </w:div>
    <w:div w:id="1263877191">
      <w:bodyDiv w:val="1"/>
      <w:marLeft w:val="0"/>
      <w:marRight w:val="0"/>
      <w:marTop w:val="0"/>
      <w:marBottom w:val="0"/>
      <w:divBdr>
        <w:top w:val="none" w:sz="0" w:space="0" w:color="auto"/>
        <w:left w:val="none" w:sz="0" w:space="0" w:color="auto"/>
        <w:bottom w:val="none" w:sz="0" w:space="0" w:color="auto"/>
        <w:right w:val="none" w:sz="0" w:space="0" w:color="auto"/>
      </w:divBdr>
    </w:div>
    <w:div w:id="1656297319">
      <w:bodyDiv w:val="1"/>
      <w:marLeft w:val="0"/>
      <w:marRight w:val="0"/>
      <w:marTop w:val="0"/>
      <w:marBottom w:val="0"/>
      <w:divBdr>
        <w:top w:val="none" w:sz="0" w:space="0" w:color="auto"/>
        <w:left w:val="none" w:sz="0" w:space="0" w:color="auto"/>
        <w:bottom w:val="none" w:sz="0" w:space="0" w:color="auto"/>
        <w:right w:val="none" w:sz="0" w:space="0" w:color="auto"/>
      </w:divBdr>
    </w:div>
    <w:div w:id="1657103554">
      <w:bodyDiv w:val="1"/>
      <w:marLeft w:val="0"/>
      <w:marRight w:val="0"/>
      <w:marTop w:val="0"/>
      <w:marBottom w:val="0"/>
      <w:divBdr>
        <w:top w:val="none" w:sz="0" w:space="0" w:color="auto"/>
        <w:left w:val="none" w:sz="0" w:space="0" w:color="auto"/>
        <w:bottom w:val="none" w:sz="0" w:space="0" w:color="auto"/>
        <w:right w:val="none" w:sz="0" w:space="0" w:color="auto"/>
      </w:divBdr>
    </w:div>
    <w:div w:id="1842546042">
      <w:bodyDiv w:val="1"/>
      <w:marLeft w:val="0"/>
      <w:marRight w:val="0"/>
      <w:marTop w:val="0"/>
      <w:marBottom w:val="0"/>
      <w:divBdr>
        <w:top w:val="none" w:sz="0" w:space="0" w:color="auto"/>
        <w:left w:val="none" w:sz="0" w:space="0" w:color="auto"/>
        <w:bottom w:val="none" w:sz="0" w:space="0" w:color="auto"/>
        <w:right w:val="none" w:sz="0" w:space="0" w:color="auto"/>
      </w:divBdr>
    </w:div>
    <w:div w:id="2023390228">
      <w:bodyDiv w:val="1"/>
      <w:marLeft w:val="0"/>
      <w:marRight w:val="0"/>
      <w:marTop w:val="0"/>
      <w:marBottom w:val="0"/>
      <w:divBdr>
        <w:top w:val="none" w:sz="0" w:space="0" w:color="auto"/>
        <w:left w:val="none" w:sz="0" w:space="0" w:color="auto"/>
        <w:bottom w:val="none" w:sz="0" w:space="0" w:color="auto"/>
        <w:right w:val="none" w:sz="0" w:space="0" w:color="auto"/>
      </w:divBdr>
    </w:div>
    <w:div w:id="21347120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ollege.police.uk/app/major-investigation-and-public-protection/modern-slavery/list-anti-slavery-charities-and-non-governmental-organisations" TargetMode="External"/><Relationship Id="rId13" Type="http://schemas.openxmlformats.org/officeDocument/2006/relationships/hyperlink" Target="https://www.legislation.gov.uk/ukpga/1996/25/contents" TargetMode="External"/><Relationship Id="rId18" Type="http://schemas.openxmlformats.org/officeDocument/2006/relationships/hyperlink" Target="https://www.gov.uk/government/publications/policing-by-consent/definition-of-policing-by-consent" TargetMode="External"/><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hyperlink" Target="https://assets.publishing.service.gov.uk/government/uploads/system/uploads/attachment_data/file/277111/4262.pdf" TargetMode="External"/><Relationship Id="rId7" Type="http://schemas.openxmlformats.org/officeDocument/2006/relationships/hyperlink" Target="https://assets.college.police.uk/s3fs-public/2021-02/code_of_ethics.pdf" TargetMode="External"/><Relationship Id="rId12" Type="http://schemas.openxmlformats.org/officeDocument/2006/relationships/hyperlink" Target="https://www.college.police.uk/app/intelligence-management/analysis/getting-started" TargetMode="External"/><Relationship Id="rId17" Type="http://schemas.openxmlformats.org/officeDocument/2006/relationships/hyperlink" Target="https://www.herefordtimes.com/news/14803344.buying-drugs-on-tick-ended-with-user-having-to-sell-for-dealer/" TargetMode="External"/><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www.gov.uk/government/publications/serious-violence-strategy" TargetMode="External"/><Relationship Id="rId20" Type="http://schemas.openxmlformats.org/officeDocument/2006/relationships/hyperlink" Target="https://www.legislation.gov.uk/ukpga/2015/9/section/45/enacted" TargetMode="External"/><Relationship Id="rId1" Type="http://schemas.openxmlformats.org/officeDocument/2006/relationships/numbering" Target="numbering.xml"/><Relationship Id="rId6" Type="http://schemas.openxmlformats.org/officeDocument/2006/relationships/hyperlink" Target="https://homelesshub.ca/sites/default/files/Cuckooing-Home%20takeovers%20of%20vulnerable%20tenants.pdf" TargetMode="External"/><Relationship Id="rId11" Type="http://schemas.openxmlformats.org/officeDocument/2006/relationships/hyperlink" Target="https://www.college.police.uk/app/major-investigation-and-public-protection/investigating-child-abuse-and-safeguarding-children/police-response-investigating-child-abuse/risk-and-associated-investigations" TargetMode="External"/><Relationship Id="rId24" Type="http://schemas.openxmlformats.org/officeDocument/2006/relationships/hyperlink" Target="https://www.historylearningsite.co.uk/sociology/education-and-sociology/class-subcultures-and-education/" TargetMode="External"/><Relationship Id="rId5" Type="http://schemas.openxmlformats.org/officeDocument/2006/relationships/hyperlink" Target="http://all.net/journal/deception/ciabook2/www.cia.gov/csi/books/19104/index-2.html" TargetMode="External"/><Relationship Id="rId15" Type="http://schemas.openxmlformats.org/officeDocument/2006/relationships/hyperlink" Target="https://www.gov.wales/violence-against-women-domestic-abuse-and-sexual-violence-annual-progress-report-2020-2021-html" TargetMode="External"/><Relationship Id="rId23" Type="http://schemas.openxmlformats.org/officeDocument/2006/relationships/hyperlink" Target="https://revisesociology.com/2014/02/15/the-effect-of-cultural-deprivation-on-education/" TargetMode="External"/><Relationship Id="rId10" Type="http://schemas.openxmlformats.org/officeDocument/2006/relationships/hyperlink" Target="https://www.college.police.uk/research/what-works-policing-reduce-crime/targeted-approaches" TargetMode="External"/><Relationship Id="rId19" Type="http://schemas.openxmlformats.org/officeDocument/2006/relationships/hyperlink" Target="https://www.legislation.gov.uk/ukpga/1998/42/schedule/1/part/I/chapter/5" TargetMode="External"/><Relationship Id="rId4" Type="http://schemas.openxmlformats.org/officeDocument/2006/relationships/webSettings" Target="webSettings.xml"/><Relationship Id="rId9" Type="http://schemas.openxmlformats.org/officeDocument/2006/relationships/hyperlink" Target="https://www.college.police.uk/article/macpherson-report-22-years-on" TargetMode="External"/><Relationship Id="rId14" Type="http://schemas.openxmlformats.org/officeDocument/2006/relationships/hyperlink" Target="https://www.getimpactly.com/post/examples-of-personal-biases" TargetMode="External"/><Relationship Id="rId22" Type="http://schemas.openxmlformats.org/officeDocument/2006/relationships/hyperlink" Target="https://www.nationalcrimeagency.gov.uk/what-we-do/crime-threats/drug-trafficking/county-lin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89</TotalTime>
  <Pages>24</Pages>
  <Words>6517</Words>
  <Characters>37147</Characters>
  <Application>Microsoft Office Word</Application>
  <DocSecurity>0</DocSecurity>
  <Lines>309</Lines>
  <Paragraphs>87</Paragraphs>
  <ScaleCrop>false</ScaleCrop>
  <HeadingPairs>
    <vt:vector size="2" baseType="variant">
      <vt:variant>
        <vt:lpstr>Title</vt:lpstr>
      </vt:variant>
      <vt:variant>
        <vt:i4>1</vt:i4>
      </vt:variant>
    </vt:vector>
  </HeadingPairs>
  <TitlesOfParts>
    <vt:vector size="1" baseType="lpstr">
      <vt:lpstr/>
    </vt:vector>
  </TitlesOfParts>
  <Company>South Wales Police</Company>
  <LinksUpToDate>false</LinksUpToDate>
  <CharactersWithSpaces>43577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Rimes,Luke swp8077</dc:creator>
  <cp:keywords/>
  <dc:description/>
  <cp:lastModifiedBy>Rimes,Luke swp8077</cp:lastModifiedBy>
  <cp:revision>11</cp:revision>
  <dcterms:created xsi:type="dcterms:W3CDTF">2023-06-02T10:34:00Z</dcterms:created>
  <dcterms:modified xsi:type="dcterms:W3CDTF">2023-06-03T15:59:00Z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6cf8fe5-b7b7-4df7-b38d-1c61ac2f6639_Enabled">
    <vt:lpwstr>true</vt:lpwstr>
  </property>
  <property fmtid="{D5CDD505-2E9C-101B-9397-08002B2CF9AE}" pid="3" name="MSIP_Label_66cf8fe5-b7b7-4df7-b38d-1c61ac2f6639_SetDate">
    <vt:lpwstr>2023-05-17T14:50:36Z</vt:lpwstr>
  </property>
  <property fmtid="{D5CDD505-2E9C-101B-9397-08002B2CF9AE}" pid="4" name="MSIP_Label_66cf8fe5-b7b7-4df7-b38d-1c61ac2f6639_Method">
    <vt:lpwstr>Standard</vt:lpwstr>
  </property>
  <property fmtid="{D5CDD505-2E9C-101B-9397-08002B2CF9AE}" pid="5" name="MSIP_Label_66cf8fe5-b7b7-4df7-b38d-1c61ac2f6639_Name">
    <vt:lpwstr>66cf8fe5-b7b7-4df7-b38d-1c61ac2f6639</vt:lpwstr>
  </property>
  <property fmtid="{D5CDD505-2E9C-101B-9397-08002B2CF9AE}" pid="6" name="MSIP_Label_66cf8fe5-b7b7-4df7-b38d-1c61ac2f6639_SiteId">
    <vt:lpwstr>270c2f4d-fd0c-4f08-92a9-e5bdd8a87e09</vt:lpwstr>
  </property>
  <property fmtid="{D5CDD505-2E9C-101B-9397-08002B2CF9AE}" pid="7" name="MSIP_Label_66cf8fe5-b7b7-4df7-b38d-1c61ac2f6639_ActionId">
    <vt:lpwstr>78f20c53-7fe7-47f1-aa4c-fe90a703f0c6</vt:lpwstr>
  </property>
  <property fmtid="{D5CDD505-2E9C-101B-9397-08002B2CF9AE}" pid="8" name="MSIP_Label_66cf8fe5-b7b7-4df7-b38d-1c61ac2f6639_ContentBits">
    <vt:lpwstr>0</vt:lpwstr>
  </property>
</Properties>
</file>