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196D3" w14:textId="77777777" w:rsidR="009156FC" w:rsidRPr="000F280D" w:rsidRDefault="009156FC" w:rsidP="00B302AD">
      <w:pPr>
        <w:spacing w:line="360" w:lineRule="auto"/>
        <w:jc w:val="center"/>
        <w:rPr>
          <w:rFonts w:ascii="Arial" w:hAnsi="Arial" w:cs="Arial"/>
          <w:b/>
          <w:bCs/>
          <w:sz w:val="22"/>
          <w:szCs w:val="22"/>
        </w:rPr>
      </w:pPr>
      <w:r w:rsidRPr="000F280D">
        <w:rPr>
          <w:rFonts w:ascii="Arial" w:hAnsi="Arial" w:cs="Arial"/>
          <w:b/>
          <w:bCs/>
          <w:sz w:val="22"/>
          <w:szCs w:val="22"/>
        </w:rPr>
        <w:t>BMHP5019_BIRM – Introduction to Independent Research Skills</w:t>
      </w:r>
    </w:p>
    <w:p w14:paraId="2B33CC3C" w14:textId="77777777" w:rsidR="009156FC" w:rsidRPr="000F280D" w:rsidRDefault="009156FC" w:rsidP="00B302AD">
      <w:pPr>
        <w:spacing w:line="360" w:lineRule="auto"/>
        <w:jc w:val="center"/>
        <w:rPr>
          <w:rFonts w:ascii="Arial" w:hAnsi="Arial" w:cs="Arial"/>
          <w:b/>
          <w:bCs/>
          <w:sz w:val="22"/>
          <w:szCs w:val="22"/>
        </w:rPr>
      </w:pPr>
      <w:r w:rsidRPr="000F280D">
        <w:rPr>
          <w:rFonts w:ascii="Arial" w:hAnsi="Arial" w:cs="Arial"/>
          <w:b/>
          <w:bCs/>
          <w:sz w:val="22"/>
          <w:szCs w:val="22"/>
        </w:rPr>
        <w:t>Component 2</w:t>
      </w:r>
    </w:p>
    <w:p w14:paraId="7D2EDA62" w14:textId="77777777" w:rsidR="009156FC" w:rsidRPr="000F280D" w:rsidRDefault="009156FC" w:rsidP="00B302AD">
      <w:pPr>
        <w:spacing w:line="360" w:lineRule="auto"/>
        <w:jc w:val="center"/>
        <w:rPr>
          <w:rFonts w:ascii="Arial" w:hAnsi="Arial" w:cs="Arial"/>
          <w:b/>
          <w:bCs/>
          <w:sz w:val="22"/>
          <w:szCs w:val="22"/>
        </w:rPr>
      </w:pPr>
      <w:r w:rsidRPr="000F280D">
        <w:rPr>
          <w:rFonts w:ascii="Arial" w:hAnsi="Arial" w:cs="Arial"/>
          <w:b/>
          <w:bCs/>
          <w:sz w:val="22"/>
          <w:szCs w:val="22"/>
        </w:rPr>
        <w:t>Research Report</w:t>
      </w:r>
    </w:p>
    <w:p w14:paraId="097CD179" w14:textId="77777777" w:rsidR="009156FC" w:rsidRPr="000F280D" w:rsidRDefault="009156FC" w:rsidP="00B302AD">
      <w:pPr>
        <w:spacing w:line="360" w:lineRule="auto"/>
        <w:jc w:val="center"/>
        <w:rPr>
          <w:rFonts w:ascii="Arial" w:hAnsi="Arial" w:cs="Arial"/>
          <w:b/>
          <w:bCs/>
          <w:sz w:val="22"/>
          <w:szCs w:val="22"/>
        </w:rPr>
      </w:pPr>
    </w:p>
    <w:p w14:paraId="147CC9C7" w14:textId="77777777" w:rsidR="009156FC" w:rsidRPr="000F280D" w:rsidRDefault="009156FC" w:rsidP="00B302AD">
      <w:pPr>
        <w:spacing w:line="360" w:lineRule="auto"/>
        <w:jc w:val="center"/>
        <w:rPr>
          <w:rFonts w:ascii="Arial" w:hAnsi="Arial" w:cs="Arial"/>
          <w:b/>
          <w:bCs/>
          <w:sz w:val="22"/>
          <w:szCs w:val="22"/>
        </w:rPr>
      </w:pPr>
    </w:p>
    <w:p w14:paraId="1255A153" w14:textId="77777777" w:rsidR="009156FC" w:rsidRPr="000F280D" w:rsidRDefault="009156FC" w:rsidP="00B302AD">
      <w:pPr>
        <w:spacing w:line="360" w:lineRule="auto"/>
        <w:jc w:val="center"/>
        <w:rPr>
          <w:rFonts w:ascii="Arial" w:hAnsi="Arial" w:cs="Arial"/>
          <w:b/>
          <w:bCs/>
          <w:sz w:val="22"/>
          <w:szCs w:val="22"/>
        </w:rPr>
      </w:pPr>
      <w:r w:rsidRPr="000F280D">
        <w:rPr>
          <w:rFonts w:ascii="Arial" w:hAnsi="Arial" w:cs="Arial"/>
          <w:b/>
          <w:bCs/>
          <w:sz w:val="22"/>
          <w:szCs w:val="22"/>
        </w:rPr>
        <w:t>Student Name: Sherlle Mclean</w:t>
      </w:r>
    </w:p>
    <w:p w14:paraId="7A1AB24F" w14:textId="77777777" w:rsidR="009156FC" w:rsidRPr="000F280D" w:rsidRDefault="009156FC" w:rsidP="00B302AD">
      <w:pPr>
        <w:spacing w:line="360" w:lineRule="auto"/>
        <w:jc w:val="center"/>
        <w:rPr>
          <w:rFonts w:ascii="Arial" w:hAnsi="Arial" w:cs="Arial"/>
          <w:b/>
          <w:bCs/>
          <w:sz w:val="22"/>
          <w:szCs w:val="22"/>
        </w:rPr>
      </w:pPr>
      <w:r w:rsidRPr="000F280D">
        <w:rPr>
          <w:rFonts w:ascii="Arial" w:hAnsi="Arial" w:cs="Arial"/>
          <w:b/>
          <w:bCs/>
          <w:sz w:val="22"/>
          <w:szCs w:val="22"/>
        </w:rPr>
        <w:t>Student Number:2407059</w:t>
      </w:r>
    </w:p>
    <w:p w14:paraId="6D3773A3" w14:textId="77777777" w:rsidR="009156FC" w:rsidRPr="000F280D" w:rsidRDefault="009156FC" w:rsidP="00B302AD">
      <w:pPr>
        <w:spacing w:line="360" w:lineRule="auto"/>
        <w:jc w:val="center"/>
        <w:rPr>
          <w:rFonts w:ascii="Arial" w:hAnsi="Arial" w:cs="Arial"/>
          <w:sz w:val="22"/>
          <w:szCs w:val="22"/>
        </w:rPr>
      </w:pPr>
    </w:p>
    <w:p w14:paraId="035C26A2" w14:textId="77777777" w:rsidR="009156FC" w:rsidRPr="000F280D" w:rsidRDefault="009156FC" w:rsidP="00B302AD">
      <w:pPr>
        <w:spacing w:line="360" w:lineRule="auto"/>
        <w:jc w:val="center"/>
        <w:rPr>
          <w:rFonts w:ascii="Arial" w:hAnsi="Arial" w:cs="Arial"/>
          <w:sz w:val="22"/>
          <w:szCs w:val="22"/>
        </w:rPr>
      </w:pPr>
    </w:p>
    <w:p w14:paraId="0142D66B" w14:textId="77777777" w:rsidR="009156FC" w:rsidRPr="000F280D" w:rsidRDefault="009156FC" w:rsidP="00B302AD">
      <w:pPr>
        <w:spacing w:line="360" w:lineRule="auto"/>
        <w:jc w:val="center"/>
        <w:rPr>
          <w:rFonts w:ascii="Arial" w:hAnsi="Arial" w:cs="Arial"/>
          <w:sz w:val="22"/>
          <w:szCs w:val="22"/>
        </w:rPr>
      </w:pPr>
    </w:p>
    <w:p w14:paraId="7C2877DF" w14:textId="77777777" w:rsidR="009156FC" w:rsidRPr="000F280D" w:rsidRDefault="009156FC" w:rsidP="00B302AD">
      <w:pPr>
        <w:spacing w:line="360" w:lineRule="auto"/>
        <w:jc w:val="center"/>
        <w:rPr>
          <w:rFonts w:ascii="Arial" w:hAnsi="Arial" w:cs="Arial"/>
          <w:sz w:val="22"/>
          <w:szCs w:val="22"/>
        </w:rPr>
      </w:pPr>
    </w:p>
    <w:p w14:paraId="378B9E46" w14:textId="77777777" w:rsidR="009156FC" w:rsidRPr="000F280D" w:rsidRDefault="009156FC" w:rsidP="00B302AD">
      <w:pPr>
        <w:spacing w:line="360" w:lineRule="auto"/>
        <w:jc w:val="center"/>
        <w:rPr>
          <w:rFonts w:ascii="Arial" w:hAnsi="Arial" w:cs="Arial"/>
          <w:b/>
          <w:bCs/>
          <w:sz w:val="22"/>
          <w:szCs w:val="22"/>
          <w:u w:val="single"/>
        </w:rPr>
      </w:pPr>
      <w:r w:rsidRPr="000F280D">
        <w:rPr>
          <w:rFonts w:ascii="Arial" w:hAnsi="Arial" w:cs="Arial"/>
          <w:b/>
          <w:bCs/>
          <w:sz w:val="22"/>
          <w:szCs w:val="22"/>
          <w:u w:val="single"/>
        </w:rPr>
        <w:t>Title</w:t>
      </w:r>
    </w:p>
    <w:p w14:paraId="0243B6FB" w14:textId="77777777" w:rsidR="009156FC" w:rsidRPr="000F280D" w:rsidRDefault="009156FC" w:rsidP="00B302AD">
      <w:pPr>
        <w:spacing w:line="360" w:lineRule="auto"/>
        <w:jc w:val="center"/>
        <w:rPr>
          <w:rFonts w:ascii="Arial" w:hAnsi="Arial" w:cs="Arial"/>
          <w:sz w:val="22"/>
          <w:szCs w:val="22"/>
        </w:rPr>
      </w:pPr>
    </w:p>
    <w:p w14:paraId="7ACF5C99" w14:textId="77777777" w:rsidR="009156FC" w:rsidRPr="000F280D" w:rsidRDefault="009156FC" w:rsidP="00B302AD">
      <w:pPr>
        <w:spacing w:line="360" w:lineRule="auto"/>
        <w:jc w:val="center"/>
        <w:rPr>
          <w:rFonts w:ascii="Arial" w:hAnsi="Arial" w:cs="Arial"/>
          <w:sz w:val="22"/>
          <w:szCs w:val="22"/>
        </w:rPr>
      </w:pPr>
      <w:r w:rsidRPr="000F280D">
        <w:rPr>
          <w:rFonts w:ascii="Arial" w:hAnsi="Arial" w:cs="Arial"/>
          <w:sz w:val="22"/>
          <w:szCs w:val="22"/>
        </w:rPr>
        <w:t>A Scoping Review of the impact of Long-Term Staff Shortages in UK Care Homes: Identifying Themes Using Aveyard’s Simplified Thematic Analysis</w:t>
      </w:r>
    </w:p>
    <w:p w14:paraId="00205A3E" w14:textId="77777777" w:rsidR="009156FC" w:rsidRPr="000F280D" w:rsidRDefault="009156FC" w:rsidP="00B302AD">
      <w:pPr>
        <w:spacing w:line="360" w:lineRule="auto"/>
        <w:rPr>
          <w:rFonts w:ascii="Arial" w:hAnsi="Arial" w:cs="Arial"/>
          <w:sz w:val="22"/>
          <w:szCs w:val="22"/>
        </w:rPr>
      </w:pPr>
    </w:p>
    <w:p w14:paraId="74329BEA" w14:textId="77777777" w:rsidR="009156FC" w:rsidRPr="000F280D" w:rsidRDefault="009156FC" w:rsidP="00B302AD">
      <w:pPr>
        <w:spacing w:line="360" w:lineRule="auto"/>
        <w:rPr>
          <w:rFonts w:ascii="Arial" w:hAnsi="Arial" w:cs="Arial"/>
          <w:sz w:val="22"/>
          <w:szCs w:val="22"/>
        </w:rPr>
      </w:pPr>
    </w:p>
    <w:p w14:paraId="37970005" w14:textId="77777777" w:rsidR="006A1799" w:rsidRPr="000F280D" w:rsidRDefault="006A1799" w:rsidP="00B302AD">
      <w:pPr>
        <w:spacing w:line="360" w:lineRule="auto"/>
        <w:rPr>
          <w:rFonts w:ascii="Arial" w:hAnsi="Arial" w:cs="Arial"/>
          <w:sz w:val="22"/>
          <w:szCs w:val="22"/>
        </w:rPr>
      </w:pPr>
    </w:p>
    <w:p w14:paraId="44BDE022" w14:textId="77777777" w:rsidR="009156FC" w:rsidRPr="000F280D" w:rsidRDefault="009156FC" w:rsidP="00B302AD">
      <w:pPr>
        <w:spacing w:line="360" w:lineRule="auto"/>
        <w:rPr>
          <w:rFonts w:ascii="Arial" w:hAnsi="Arial" w:cs="Arial"/>
          <w:sz w:val="22"/>
          <w:szCs w:val="22"/>
        </w:rPr>
      </w:pPr>
    </w:p>
    <w:p w14:paraId="61B4F693" w14:textId="77777777" w:rsidR="009156FC" w:rsidRPr="000F280D" w:rsidRDefault="009156FC" w:rsidP="00B302AD">
      <w:pPr>
        <w:spacing w:line="360" w:lineRule="auto"/>
        <w:rPr>
          <w:rFonts w:ascii="Arial" w:hAnsi="Arial" w:cs="Arial"/>
          <w:sz w:val="22"/>
          <w:szCs w:val="22"/>
        </w:rPr>
      </w:pPr>
    </w:p>
    <w:p w14:paraId="021C99B2" w14:textId="77777777" w:rsidR="009156FC" w:rsidRPr="000F280D" w:rsidRDefault="009156FC" w:rsidP="00B302AD">
      <w:pPr>
        <w:spacing w:line="360" w:lineRule="auto"/>
        <w:rPr>
          <w:rFonts w:ascii="Arial" w:hAnsi="Arial" w:cs="Arial"/>
          <w:sz w:val="22"/>
          <w:szCs w:val="22"/>
        </w:rPr>
      </w:pPr>
    </w:p>
    <w:p w14:paraId="3C17C29E" w14:textId="77777777" w:rsidR="009156FC" w:rsidRPr="000F280D" w:rsidRDefault="009156FC" w:rsidP="00B302AD">
      <w:pPr>
        <w:spacing w:line="360" w:lineRule="auto"/>
        <w:rPr>
          <w:rFonts w:ascii="Arial" w:hAnsi="Arial" w:cs="Arial"/>
          <w:sz w:val="22"/>
          <w:szCs w:val="22"/>
        </w:rPr>
      </w:pPr>
    </w:p>
    <w:p w14:paraId="580A4C91" w14:textId="77777777" w:rsidR="009156FC" w:rsidRPr="000F280D" w:rsidRDefault="009156FC" w:rsidP="00B302AD">
      <w:pPr>
        <w:spacing w:line="360" w:lineRule="auto"/>
        <w:rPr>
          <w:rFonts w:ascii="Arial" w:hAnsi="Arial" w:cs="Arial"/>
          <w:sz w:val="22"/>
          <w:szCs w:val="22"/>
        </w:rPr>
      </w:pPr>
    </w:p>
    <w:p w14:paraId="08F67151" w14:textId="77777777" w:rsidR="009156FC" w:rsidRPr="000F280D" w:rsidRDefault="009156FC" w:rsidP="00B302AD">
      <w:pPr>
        <w:spacing w:line="360" w:lineRule="auto"/>
        <w:rPr>
          <w:rFonts w:ascii="Arial" w:hAnsi="Arial" w:cs="Arial"/>
          <w:sz w:val="22"/>
          <w:szCs w:val="22"/>
        </w:rPr>
      </w:pPr>
    </w:p>
    <w:p w14:paraId="6BB4344C" w14:textId="77777777" w:rsidR="009156FC" w:rsidRPr="000F280D" w:rsidRDefault="009156FC" w:rsidP="00B302AD">
      <w:pPr>
        <w:spacing w:line="360" w:lineRule="auto"/>
        <w:rPr>
          <w:rFonts w:ascii="Arial" w:hAnsi="Arial" w:cs="Arial"/>
          <w:sz w:val="22"/>
          <w:szCs w:val="22"/>
        </w:rPr>
      </w:pPr>
    </w:p>
    <w:p w14:paraId="4AFCA341" w14:textId="77777777" w:rsidR="00501BDE" w:rsidRPr="000F280D" w:rsidRDefault="00501BDE" w:rsidP="00B302AD">
      <w:pPr>
        <w:spacing w:line="360" w:lineRule="auto"/>
        <w:rPr>
          <w:rFonts w:ascii="Arial" w:hAnsi="Arial" w:cs="Arial"/>
          <w:b/>
          <w:bCs/>
          <w:sz w:val="22"/>
          <w:szCs w:val="22"/>
        </w:rPr>
      </w:pPr>
    </w:p>
    <w:p w14:paraId="17F3E4A1" w14:textId="49688D2C" w:rsidR="009156FC" w:rsidRPr="000F280D" w:rsidRDefault="009156FC" w:rsidP="00B302AD">
      <w:pPr>
        <w:spacing w:line="360" w:lineRule="auto"/>
        <w:rPr>
          <w:rFonts w:ascii="Arial" w:hAnsi="Arial" w:cs="Arial"/>
          <w:b/>
          <w:bCs/>
          <w:sz w:val="22"/>
          <w:szCs w:val="22"/>
        </w:rPr>
      </w:pPr>
      <w:r w:rsidRPr="000F280D">
        <w:rPr>
          <w:rFonts w:ascii="Arial" w:hAnsi="Arial" w:cs="Arial"/>
          <w:b/>
          <w:bCs/>
          <w:sz w:val="22"/>
          <w:szCs w:val="22"/>
        </w:rPr>
        <w:lastRenderedPageBreak/>
        <w:t>Table of Contents</w:t>
      </w:r>
    </w:p>
    <w:p w14:paraId="0296C2F1" w14:textId="77777777" w:rsidR="009156FC" w:rsidRPr="000F280D" w:rsidRDefault="009156FC" w:rsidP="00B302AD">
      <w:pPr>
        <w:pStyle w:val="ListParagraph"/>
        <w:numPr>
          <w:ilvl w:val="0"/>
          <w:numId w:val="1"/>
        </w:numPr>
        <w:spacing w:line="360" w:lineRule="auto"/>
        <w:rPr>
          <w:rFonts w:ascii="Arial" w:hAnsi="Arial" w:cs="Arial"/>
          <w:sz w:val="22"/>
          <w:szCs w:val="22"/>
        </w:rPr>
      </w:pPr>
      <w:r w:rsidRPr="000F280D">
        <w:rPr>
          <w:rFonts w:ascii="Arial" w:hAnsi="Arial" w:cs="Arial"/>
          <w:sz w:val="22"/>
          <w:szCs w:val="22"/>
        </w:rPr>
        <w:t>Introduction</w:t>
      </w:r>
    </w:p>
    <w:p w14:paraId="6CC151D8" w14:textId="77777777" w:rsidR="009156FC" w:rsidRPr="000F280D" w:rsidRDefault="009156FC" w:rsidP="00B302AD">
      <w:pPr>
        <w:pStyle w:val="ListParagraph"/>
        <w:numPr>
          <w:ilvl w:val="0"/>
          <w:numId w:val="1"/>
        </w:numPr>
        <w:spacing w:line="360" w:lineRule="auto"/>
        <w:rPr>
          <w:rFonts w:ascii="Arial" w:hAnsi="Arial" w:cs="Arial"/>
          <w:sz w:val="22"/>
          <w:szCs w:val="22"/>
        </w:rPr>
      </w:pPr>
      <w:r w:rsidRPr="000F280D">
        <w:rPr>
          <w:rFonts w:ascii="Arial" w:hAnsi="Arial" w:cs="Arial"/>
          <w:sz w:val="22"/>
          <w:szCs w:val="22"/>
        </w:rPr>
        <w:t>Background</w:t>
      </w:r>
    </w:p>
    <w:p w14:paraId="4F6DB173" w14:textId="77777777" w:rsidR="009156FC" w:rsidRPr="000F280D" w:rsidRDefault="009156FC" w:rsidP="00B302AD">
      <w:pPr>
        <w:pStyle w:val="ListParagraph"/>
        <w:numPr>
          <w:ilvl w:val="0"/>
          <w:numId w:val="1"/>
        </w:numPr>
        <w:spacing w:line="360" w:lineRule="auto"/>
        <w:rPr>
          <w:rFonts w:ascii="Arial" w:hAnsi="Arial" w:cs="Arial"/>
          <w:sz w:val="22"/>
          <w:szCs w:val="22"/>
        </w:rPr>
      </w:pPr>
      <w:r w:rsidRPr="000F280D">
        <w:rPr>
          <w:rFonts w:ascii="Arial" w:hAnsi="Arial" w:cs="Arial"/>
          <w:sz w:val="22"/>
          <w:szCs w:val="22"/>
        </w:rPr>
        <w:t>Methods</w:t>
      </w:r>
    </w:p>
    <w:p w14:paraId="3E3D5B6C" w14:textId="77777777" w:rsidR="009156FC" w:rsidRPr="000F280D" w:rsidRDefault="009156FC" w:rsidP="00B302AD">
      <w:pPr>
        <w:pStyle w:val="ListParagraph"/>
        <w:numPr>
          <w:ilvl w:val="0"/>
          <w:numId w:val="1"/>
        </w:numPr>
        <w:spacing w:line="360" w:lineRule="auto"/>
        <w:rPr>
          <w:rFonts w:ascii="Arial" w:hAnsi="Arial" w:cs="Arial"/>
          <w:sz w:val="22"/>
          <w:szCs w:val="22"/>
        </w:rPr>
      </w:pPr>
      <w:r w:rsidRPr="000F280D">
        <w:rPr>
          <w:rFonts w:ascii="Arial" w:hAnsi="Arial" w:cs="Arial"/>
          <w:sz w:val="22"/>
          <w:szCs w:val="22"/>
        </w:rPr>
        <w:t>Results</w:t>
      </w:r>
    </w:p>
    <w:p w14:paraId="52E9257C" w14:textId="77777777" w:rsidR="009156FC" w:rsidRPr="000F280D" w:rsidRDefault="009156FC" w:rsidP="00B302AD">
      <w:pPr>
        <w:pStyle w:val="ListParagraph"/>
        <w:numPr>
          <w:ilvl w:val="0"/>
          <w:numId w:val="1"/>
        </w:numPr>
        <w:spacing w:line="360" w:lineRule="auto"/>
        <w:rPr>
          <w:rFonts w:ascii="Arial" w:hAnsi="Arial" w:cs="Arial"/>
          <w:sz w:val="22"/>
          <w:szCs w:val="22"/>
        </w:rPr>
      </w:pPr>
      <w:r w:rsidRPr="000F280D">
        <w:rPr>
          <w:rFonts w:ascii="Arial" w:hAnsi="Arial" w:cs="Arial"/>
          <w:sz w:val="22"/>
          <w:szCs w:val="22"/>
        </w:rPr>
        <w:t>Discussion</w:t>
      </w:r>
    </w:p>
    <w:p w14:paraId="554FEB6D" w14:textId="77777777" w:rsidR="009156FC" w:rsidRPr="000F280D" w:rsidRDefault="009156FC" w:rsidP="00B302AD">
      <w:pPr>
        <w:pStyle w:val="ListParagraph"/>
        <w:numPr>
          <w:ilvl w:val="0"/>
          <w:numId w:val="1"/>
        </w:numPr>
        <w:spacing w:line="360" w:lineRule="auto"/>
        <w:rPr>
          <w:rFonts w:ascii="Arial" w:hAnsi="Arial" w:cs="Arial"/>
          <w:sz w:val="22"/>
          <w:szCs w:val="22"/>
        </w:rPr>
      </w:pPr>
      <w:r w:rsidRPr="000F280D">
        <w:rPr>
          <w:rFonts w:ascii="Arial" w:hAnsi="Arial" w:cs="Arial"/>
          <w:sz w:val="22"/>
          <w:szCs w:val="22"/>
        </w:rPr>
        <w:t>Conclusion</w:t>
      </w:r>
    </w:p>
    <w:p w14:paraId="76078538" w14:textId="77777777" w:rsidR="009156FC" w:rsidRPr="000F280D" w:rsidRDefault="009156FC" w:rsidP="00B302AD">
      <w:pPr>
        <w:pStyle w:val="ListParagraph"/>
        <w:numPr>
          <w:ilvl w:val="0"/>
          <w:numId w:val="1"/>
        </w:numPr>
        <w:spacing w:line="360" w:lineRule="auto"/>
        <w:rPr>
          <w:rFonts w:ascii="Arial" w:hAnsi="Arial" w:cs="Arial"/>
          <w:sz w:val="22"/>
          <w:szCs w:val="22"/>
        </w:rPr>
      </w:pPr>
      <w:r w:rsidRPr="000F280D">
        <w:rPr>
          <w:rFonts w:ascii="Arial" w:hAnsi="Arial" w:cs="Arial"/>
          <w:sz w:val="22"/>
          <w:szCs w:val="22"/>
        </w:rPr>
        <w:t>Recommendations</w:t>
      </w:r>
    </w:p>
    <w:p w14:paraId="198EA045" w14:textId="77777777" w:rsidR="009156FC" w:rsidRPr="000F280D" w:rsidRDefault="009156FC" w:rsidP="00B302AD">
      <w:pPr>
        <w:pStyle w:val="ListParagraph"/>
        <w:numPr>
          <w:ilvl w:val="0"/>
          <w:numId w:val="1"/>
        </w:numPr>
        <w:spacing w:line="360" w:lineRule="auto"/>
        <w:rPr>
          <w:rFonts w:ascii="Arial" w:hAnsi="Arial" w:cs="Arial"/>
          <w:sz w:val="22"/>
          <w:szCs w:val="22"/>
        </w:rPr>
      </w:pPr>
      <w:r w:rsidRPr="000F280D">
        <w:rPr>
          <w:rFonts w:ascii="Arial" w:hAnsi="Arial" w:cs="Arial"/>
          <w:sz w:val="22"/>
          <w:szCs w:val="22"/>
        </w:rPr>
        <w:t>References</w:t>
      </w:r>
    </w:p>
    <w:p w14:paraId="7460F01F" w14:textId="77777777" w:rsidR="009156FC" w:rsidRPr="000F280D" w:rsidRDefault="009156FC" w:rsidP="00B302AD">
      <w:pPr>
        <w:spacing w:line="360" w:lineRule="auto"/>
        <w:rPr>
          <w:rFonts w:ascii="Arial" w:hAnsi="Arial" w:cs="Arial"/>
          <w:sz w:val="22"/>
          <w:szCs w:val="22"/>
        </w:rPr>
      </w:pPr>
    </w:p>
    <w:p w14:paraId="3835C1B4" w14:textId="77777777" w:rsidR="009156FC" w:rsidRPr="000F280D" w:rsidRDefault="009156FC" w:rsidP="00B302AD">
      <w:pPr>
        <w:spacing w:line="360" w:lineRule="auto"/>
        <w:rPr>
          <w:rFonts w:ascii="Arial" w:hAnsi="Arial" w:cs="Arial"/>
          <w:sz w:val="22"/>
          <w:szCs w:val="22"/>
        </w:rPr>
      </w:pPr>
    </w:p>
    <w:p w14:paraId="3303D3EF" w14:textId="77777777" w:rsidR="009156FC" w:rsidRPr="000F280D" w:rsidRDefault="009156FC" w:rsidP="00B302AD">
      <w:pPr>
        <w:spacing w:line="360" w:lineRule="auto"/>
        <w:rPr>
          <w:rFonts w:ascii="Arial" w:hAnsi="Arial" w:cs="Arial"/>
          <w:sz w:val="22"/>
          <w:szCs w:val="22"/>
        </w:rPr>
      </w:pPr>
    </w:p>
    <w:p w14:paraId="0111985E" w14:textId="77777777" w:rsidR="009156FC" w:rsidRPr="000F280D" w:rsidRDefault="009156FC" w:rsidP="00B302AD">
      <w:pPr>
        <w:spacing w:line="360" w:lineRule="auto"/>
        <w:rPr>
          <w:rFonts w:ascii="Arial" w:hAnsi="Arial" w:cs="Arial"/>
          <w:sz w:val="22"/>
          <w:szCs w:val="22"/>
        </w:rPr>
      </w:pPr>
    </w:p>
    <w:p w14:paraId="2BB6A21A" w14:textId="77777777" w:rsidR="009156FC" w:rsidRPr="000F280D" w:rsidRDefault="009156FC" w:rsidP="00B302AD">
      <w:pPr>
        <w:spacing w:line="360" w:lineRule="auto"/>
        <w:rPr>
          <w:rFonts w:ascii="Arial" w:hAnsi="Arial" w:cs="Arial"/>
          <w:sz w:val="22"/>
          <w:szCs w:val="22"/>
        </w:rPr>
      </w:pPr>
    </w:p>
    <w:p w14:paraId="72277B75" w14:textId="77777777" w:rsidR="009156FC" w:rsidRPr="000F280D" w:rsidRDefault="009156FC" w:rsidP="00B302AD">
      <w:pPr>
        <w:spacing w:line="360" w:lineRule="auto"/>
        <w:rPr>
          <w:rFonts w:ascii="Arial" w:hAnsi="Arial" w:cs="Arial"/>
          <w:sz w:val="22"/>
          <w:szCs w:val="22"/>
        </w:rPr>
      </w:pPr>
    </w:p>
    <w:p w14:paraId="068EEB57" w14:textId="77777777" w:rsidR="009156FC" w:rsidRPr="000F280D" w:rsidRDefault="009156FC" w:rsidP="00B302AD">
      <w:pPr>
        <w:spacing w:line="360" w:lineRule="auto"/>
        <w:rPr>
          <w:rFonts w:ascii="Arial" w:hAnsi="Arial" w:cs="Arial"/>
          <w:sz w:val="22"/>
          <w:szCs w:val="22"/>
        </w:rPr>
      </w:pPr>
    </w:p>
    <w:p w14:paraId="423EB98C" w14:textId="77777777" w:rsidR="009156FC" w:rsidRPr="000F280D" w:rsidRDefault="009156FC" w:rsidP="00B302AD">
      <w:pPr>
        <w:spacing w:line="360" w:lineRule="auto"/>
        <w:rPr>
          <w:rFonts w:ascii="Arial" w:hAnsi="Arial" w:cs="Arial"/>
          <w:sz w:val="22"/>
          <w:szCs w:val="22"/>
        </w:rPr>
      </w:pPr>
    </w:p>
    <w:p w14:paraId="51AA4D22" w14:textId="77777777" w:rsidR="009156FC" w:rsidRPr="000F280D" w:rsidRDefault="009156FC" w:rsidP="00B302AD">
      <w:pPr>
        <w:spacing w:line="360" w:lineRule="auto"/>
        <w:rPr>
          <w:rFonts w:ascii="Arial" w:hAnsi="Arial" w:cs="Arial"/>
          <w:sz w:val="22"/>
          <w:szCs w:val="22"/>
        </w:rPr>
      </w:pPr>
    </w:p>
    <w:p w14:paraId="69816C89" w14:textId="77777777" w:rsidR="009156FC" w:rsidRPr="000F280D" w:rsidRDefault="009156FC" w:rsidP="00B302AD">
      <w:pPr>
        <w:spacing w:line="360" w:lineRule="auto"/>
        <w:rPr>
          <w:rFonts w:ascii="Arial" w:hAnsi="Arial" w:cs="Arial"/>
          <w:sz w:val="22"/>
          <w:szCs w:val="22"/>
        </w:rPr>
      </w:pPr>
    </w:p>
    <w:p w14:paraId="6687C75A" w14:textId="77777777" w:rsidR="009156FC" w:rsidRPr="000F280D" w:rsidRDefault="009156FC" w:rsidP="00B302AD">
      <w:pPr>
        <w:spacing w:line="360" w:lineRule="auto"/>
        <w:rPr>
          <w:rFonts w:ascii="Arial" w:hAnsi="Arial" w:cs="Arial"/>
          <w:sz w:val="22"/>
          <w:szCs w:val="22"/>
        </w:rPr>
      </w:pPr>
    </w:p>
    <w:p w14:paraId="189D2129" w14:textId="77777777" w:rsidR="009156FC" w:rsidRPr="000F280D" w:rsidRDefault="009156FC" w:rsidP="00B302AD">
      <w:pPr>
        <w:spacing w:line="360" w:lineRule="auto"/>
        <w:rPr>
          <w:rFonts w:ascii="Arial" w:hAnsi="Arial" w:cs="Arial"/>
          <w:sz w:val="22"/>
          <w:szCs w:val="22"/>
        </w:rPr>
      </w:pPr>
    </w:p>
    <w:p w14:paraId="34F295D2" w14:textId="77777777" w:rsidR="009156FC" w:rsidRPr="000F280D" w:rsidRDefault="009156FC" w:rsidP="00B302AD">
      <w:pPr>
        <w:spacing w:line="360" w:lineRule="auto"/>
        <w:rPr>
          <w:rFonts w:ascii="Arial" w:hAnsi="Arial" w:cs="Arial"/>
          <w:sz w:val="22"/>
          <w:szCs w:val="22"/>
        </w:rPr>
      </w:pPr>
    </w:p>
    <w:p w14:paraId="615FC6B9" w14:textId="77777777" w:rsidR="009156FC" w:rsidRPr="000F280D" w:rsidRDefault="009156FC" w:rsidP="00B302AD">
      <w:pPr>
        <w:spacing w:line="360" w:lineRule="auto"/>
        <w:rPr>
          <w:rFonts w:ascii="Arial" w:hAnsi="Arial" w:cs="Arial"/>
          <w:sz w:val="22"/>
          <w:szCs w:val="22"/>
        </w:rPr>
      </w:pPr>
    </w:p>
    <w:p w14:paraId="63B6473E" w14:textId="77777777" w:rsidR="009156FC" w:rsidRPr="000F280D" w:rsidRDefault="009156FC" w:rsidP="00B302AD">
      <w:pPr>
        <w:spacing w:line="360" w:lineRule="auto"/>
        <w:rPr>
          <w:rFonts w:ascii="Arial" w:hAnsi="Arial" w:cs="Arial"/>
          <w:sz w:val="22"/>
          <w:szCs w:val="22"/>
        </w:rPr>
      </w:pPr>
    </w:p>
    <w:p w14:paraId="14340FDC" w14:textId="77777777" w:rsidR="009156FC" w:rsidRPr="000F280D" w:rsidRDefault="009156FC" w:rsidP="00B302AD">
      <w:pPr>
        <w:spacing w:line="360" w:lineRule="auto"/>
        <w:rPr>
          <w:rFonts w:ascii="Arial" w:hAnsi="Arial" w:cs="Arial"/>
          <w:sz w:val="22"/>
          <w:szCs w:val="22"/>
        </w:rPr>
      </w:pPr>
    </w:p>
    <w:p w14:paraId="5545FF56" w14:textId="77777777" w:rsidR="00501BDE" w:rsidRPr="000F280D" w:rsidRDefault="00501BDE" w:rsidP="00B302AD">
      <w:pPr>
        <w:spacing w:line="360" w:lineRule="auto"/>
        <w:rPr>
          <w:rFonts w:ascii="Arial" w:hAnsi="Arial" w:cs="Arial"/>
          <w:sz w:val="22"/>
          <w:szCs w:val="22"/>
        </w:rPr>
      </w:pPr>
    </w:p>
    <w:p w14:paraId="50F9AC96" w14:textId="77777777" w:rsidR="00501BDE" w:rsidRPr="000F280D" w:rsidRDefault="00501BDE" w:rsidP="00B302AD">
      <w:pPr>
        <w:spacing w:line="360" w:lineRule="auto"/>
        <w:rPr>
          <w:rFonts w:ascii="Arial" w:hAnsi="Arial" w:cs="Arial"/>
          <w:b/>
          <w:bCs/>
          <w:sz w:val="22"/>
          <w:szCs w:val="22"/>
        </w:rPr>
      </w:pPr>
    </w:p>
    <w:p w14:paraId="6FC1B1B0" w14:textId="77777777" w:rsidR="00501BDE" w:rsidRPr="000F280D" w:rsidRDefault="00501BDE" w:rsidP="00B302AD">
      <w:pPr>
        <w:spacing w:line="360" w:lineRule="auto"/>
        <w:rPr>
          <w:rFonts w:ascii="Arial" w:hAnsi="Arial" w:cs="Arial"/>
          <w:b/>
          <w:bCs/>
          <w:sz w:val="22"/>
          <w:szCs w:val="22"/>
        </w:rPr>
      </w:pPr>
    </w:p>
    <w:p w14:paraId="2AFD6C8A" w14:textId="155EC53F" w:rsidR="009156FC" w:rsidRPr="000F280D" w:rsidRDefault="009156FC" w:rsidP="00B302AD">
      <w:pPr>
        <w:spacing w:line="360" w:lineRule="auto"/>
        <w:rPr>
          <w:rFonts w:ascii="Arial" w:hAnsi="Arial" w:cs="Arial"/>
          <w:b/>
          <w:bCs/>
          <w:sz w:val="22"/>
          <w:szCs w:val="22"/>
        </w:rPr>
      </w:pPr>
      <w:r w:rsidRPr="000F280D">
        <w:rPr>
          <w:rFonts w:ascii="Arial" w:hAnsi="Arial" w:cs="Arial"/>
          <w:b/>
          <w:bCs/>
          <w:sz w:val="22"/>
          <w:szCs w:val="22"/>
        </w:rPr>
        <w:lastRenderedPageBreak/>
        <w:t>Introduction</w:t>
      </w:r>
    </w:p>
    <w:p w14:paraId="50506966" w14:textId="77777777" w:rsidR="008D3BCC" w:rsidRPr="000F280D" w:rsidRDefault="008D3BCC" w:rsidP="00B302AD">
      <w:pPr>
        <w:pStyle w:val="pdq2pgselectionanchorcontainer"/>
        <w:spacing w:line="360" w:lineRule="auto"/>
        <w:rPr>
          <w:rFonts w:ascii="Arial" w:hAnsi="Arial" w:cs="Arial"/>
          <w:sz w:val="22"/>
          <w:szCs w:val="22"/>
        </w:rPr>
      </w:pPr>
      <w:r w:rsidRPr="000F280D">
        <w:rPr>
          <w:rFonts w:ascii="Arial" w:hAnsi="Arial" w:cs="Arial"/>
          <w:sz w:val="22"/>
          <w:szCs w:val="22"/>
        </w:rPr>
        <w:t>Long-term staff shortages within UK care homes continue to present a significant challenge for the adult social care sector. Care homes provide essential support for older adults and individuals with complex health and social care needs. However, many providers experience ongoing difficulties recruiting and retaining suitably qualified staff. Skills for Care (2025) reports persistent workforce vacancies and increasing pressure on existing employees, while NHS England (2023) highlights continuing recruitment and retention challenges across health and social care services. Maintaining a stable and skilled workforce is essential to delivering safe, effective and person-centred care.</w:t>
      </w:r>
    </w:p>
    <w:p w14:paraId="37E850BC" w14:textId="77777777" w:rsidR="008D3BCC" w:rsidRPr="000F280D" w:rsidRDefault="008D3BCC" w:rsidP="00B302AD">
      <w:pPr>
        <w:pStyle w:val="NormalWeb"/>
        <w:spacing w:line="360" w:lineRule="auto"/>
        <w:rPr>
          <w:rFonts w:ascii="Arial" w:hAnsi="Arial" w:cs="Arial"/>
          <w:sz w:val="22"/>
          <w:szCs w:val="22"/>
        </w:rPr>
      </w:pPr>
      <w:r w:rsidRPr="000F280D">
        <w:rPr>
          <w:rFonts w:ascii="Arial" w:hAnsi="Arial" w:cs="Arial"/>
          <w:sz w:val="22"/>
          <w:szCs w:val="22"/>
        </w:rPr>
        <w:t>A staff shortage occurs when the number of available workers is insufficient to meet service demands. Within care homes, inadequate staffing can reduce continuity of care, increase workloads for existing employees and affect the quality and safety of care provided to residents. The COVID-19 pandemic further exposed longstanding workforce challenges, demonstrating the importance of sustainable workforce planning and long-term investment in recruitment, retention and staff development (Department of Health and Social Care, 2021). These pressures continue to affect both staff wellbeing and resident outcomes.</w:t>
      </w:r>
    </w:p>
    <w:p w14:paraId="666E1E9A" w14:textId="77777777" w:rsidR="008D3BCC" w:rsidRPr="000F280D" w:rsidRDefault="008D3BCC" w:rsidP="00B302AD">
      <w:pPr>
        <w:pStyle w:val="NormalWeb"/>
        <w:spacing w:line="360" w:lineRule="auto"/>
        <w:rPr>
          <w:rFonts w:ascii="Arial" w:hAnsi="Arial" w:cs="Arial"/>
          <w:sz w:val="22"/>
          <w:szCs w:val="22"/>
        </w:rPr>
      </w:pPr>
      <w:r w:rsidRPr="000F280D">
        <w:rPr>
          <w:rFonts w:ascii="Arial" w:hAnsi="Arial" w:cs="Arial"/>
          <w:sz w:val="22"/>
          <w:szCs w:val="22"/>
        </w:rPr>
        <w:t>This topic is relevant to UK health and social care because staffing levels influence care quality, safeguarding and resident wellbeing. Understanding workforce shortages can help identify strategies to improve recruitment, retention and workforce stability.</w:t>
      </w:r>
    </w:p>
    <w:p w14:paraId="4F419961" w14:textId="77777777" w:rsidR="009156FC" w:rsidRPr="000F280D" w:rsidRDefault="009156FC"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b/>
          <w:bCs/>
          <w:kern w:val="0"/>
          <w:sz w:val="22"/>
          <w:szCs w:val="22"/>
          <w:lang w:eastAsia="en-GB"/>
          <w14:ligatures w14:val="none"/>
        </w:rPr>
        <w:t>Research Question</w:t>
      </w:r>
      <w:r w:rsidRPr="000F280D">
        <w:rPr>
          <w:rFonts w:ascii="Arial" w:eastAsia="Times New Roman" w:hAnsi="Arial" w:cs="Arial"/>
          <w:kern w:val="0"/>
          <w:sz w:val="22"/>
          <w:szCs w:val="22"/>
          <w:lang w:eastAsia="en-GB"/>
          <w14:ligatures w14:val="none"/>
        </w:rPr>
        <w:t xml:space="preserve"> What does current literature reveal about the impact of long</w:t>
      </w:r>
      <w:r w:rsidRPr="000F280D">
        <w:rPr>
          <w:rFonts w:ascii="Arial" w:eastAsia="Times New Roman" w:hAnsi="Arial" w:cs="Arial"/>
          <w:kern w:val="0"/>
          <w:sz w:val="22"/>
          <w:szCs w:val="22"/>
          <w:lang w:eastAsia="en-GB"/>
          <w14:ligatures w14:val="none"/>
        </w:rPr>
        <w:noBreakHyphen/>
        <w:t>term staff shortages in UK care homes, and what strategies improve recruitment and retention?</w:t>
      </w:r>
    </w:p>
    <w:p w14:paraId="22A60BDC" w14:textId="77777777" w:rsidR="009156FC" w:rsidRPr="000F280D" w:rsidRDefault="009156FC"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b/>
          <w:bCs/>
          <w:kern w:val="0"/>
          <w:sz w:val="22"/>
          <w:szCs w:val="22"/>
          <w:lang w:eastAsia="en-GB"/>
          <w14:ligatures w14:val="none"/>
        </w:rPr>
        <w:t>Aim</w:t>
      </w:r>
      <w:r w:rsidRPr="000F280D">
        <w:rPr>
          <w:rFonts w:ascii="Arial" w:eastAsia="Times New Roman" w:hAnsi="Arial" w:cs="Arial"/>
          <w:kern w:val="0"/>
          <w:sz w:val="22"/>
          <w:szCs w:val="22"/>
          <w:lang w:eastAsia="en-GB"/>
          <w14:ligatures w14:val="none"/>
        </w:rPr>
        <w:t xml:space="preserve"> To explore the impact of long</w:t>
      </w:r>
      <w:r w:rsidRPr="000F280D">
        <w:rPr>
          <w:rFonts w:ascii="Arial" w:eastAsia="Times New Roman" w:hAnsi="Arial" w:cs="Arial"/>
          <w:kern w:val="0"/>
          <w:sz w:val="22"/>
          <w:szCs w:val="22"/>
          <w:lang w:eastAsia="en-GB"/>
          <w14:ligatures w14:val="none"/>
        </w:rPr>
        <w:noBreakHyphen/>
        <w:t>term staff shortages in UK care homes using recent literature.</w:t>
      </w:r>
    </w:p>
    <w:p w14:paraId="5721C6CB" w14:textId="77777777" w:rsidR="009156FC" w:rsidRPr="000F280D" w:rsidRDefault="009156FC"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b/>
          <w:bCs/>
          <w:kern w:val="0"/>
          <w:sz w:val="22"/>
          <w:szCs w:val="22"/>
          <w:lang w:eastAsia="en-GB"/>
          <w14:ligatures w14:val="none"/>
        </w:rPr>
        <w:t>Objectives</w:t>
      </w:r>
    </w:p>
    <w:p w14:paraId="45D44BB6" w14:textId="77777777" w:rsidR="009156FC" w:rsidRPr="000F280D" w:rsidRDefault="009156FC" w:rsidP="00B302AD">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Identify causes of staff shortages.</w:t>
      </w:r>
    </w:p>
    <w:p w14:paraId="7C696985" w14:textId="77777777" w:rsidR="009156FC" w:rsidRPr="000F280D" w:rsidRDefault="009156FC" w:rsidP="00B302AD">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Explore impacts on residents, staff wellbeing and care quality.</w:t>
      </w:r>
    </w:p>
    <w:p w14:paraId="7301FC70" w14:textId="77777777" w:rsidR="009156FC" w:rsidRPr="000F280D" w:rsidRDefault="009156FC" w:rsidP="00B302AD">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Identify recruitment and retention strategies.</w:t>
      </w:r>
    </w:p>
    <w:p w14:paraId="2E3E4EE6" w14:textId="77777777" w:rsidR="009156FC" w:rsidRPr="000F280D" w:rsidRDefault="009156FC" w:rsidP="00B302AD">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Highlight gaps in current research.</w:t>
      </w:r>
    </w:p>
    <w:p w14:paraId="1A118C88" w14:textId="77777777" w:rsidR="00C730F6" w:rsidRPr="000F280D" w:rsidRDefault="00C730F6"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E56AAE5" w14:textId="77777777" w:rsidR="00C730F6" w:rsidRPr="000F280D" w:rsidRDefault="00C730F6"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4DD56A9E" w14:textId="2E48EA71" w:rsidR="009156FC" w:rsidRPr="000F280D" w:rsidRDefault="009156FC"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lastRenderedPageBreak/>
        <w:t>Background</w:t>
      </w:r>
    </w:p>
    <w:p w14:paraId="0C99630D" w14:textId="77777777" w:rsidR="00CF03DB" w:rsidRPr="000F280D" w:rsidRDefault="00CF03DB" w:rsidP="00B302AD">
      <w:pPr>
        <w:pStyle w:val="pdq2pgselectionanchorcontainer"/>
        <w:spacing w:line="360" w:lineRule="auto"/>
        <w:rPr>
          <w:rFonts w:ascii="Arial" w:hAnsi="Arial" w:cs="Arial"/>
          <w:sz w:val="22"/>
          <w:szCs w:val="22"/>
        </w:rPr>
      </w:pPr>
      <w:r w:rsidRPr="000F280D">
        <w:rPr>
          <w:rFonts w:ascii="Arial" w:hAnsi="Arial" w:cs="Arial"/>
          <w:sz w:val="22"/>
          <w:szCs w:val="22"/>
        </w:rPr>
        <w:t>The adult social care sector forms an essential part of the UK health and social care system by providing residential care and support for older adults, individuals living with disabilities and people with long-term health conditions. Care homes play a vital role in meeting residents' physical, emotional and cognitive needs; however, maintaining an adequately staffed workforce remains a persistent challenge (Skills for Care, 2025).</w:t>
      </w:r>
    </w:p>
    <w:p w14:paraId="73798EE3" w14:textId="219768E0" w:rsidR="00CF03DB" w:rsidRPr="000F280D" w:rsidRDefault="00CF03DB" w:rsidP="00B302AD">
      <w:pPr>
        <w:pStyle w:val="NormalWeb"/>
        <w:spacing w:line="360" w:lineRule="auto"/>
        <w:rPr>
          <w:rFonts w:ascii="Arial" w:hAnsi="Arial" w:cs="Arial"/>
          <w:sz w:val="22"/>
          <w:szCs w:val="22"/>
        </w:rPr>
      </w:pPr>
      <w:r w:rsidRPr="000F280D">
        <w:rPr>
          <w:rFonts w:ascii="Arial" w:hAnsi="Arial" w:cs="Arial"/>
          <w:sz w:val="22"/>
          <w:szCs w:val="22"/>
        </w:rPr>
        <w:t xml:space="preserve">Demand for care services continues to increase as the UK population ages. The World Health Organization (2020) reports that ageing populations are driving a global increase in demand for health and social care workers. Within the UK, more people are </w:t>
      </w:r>
      <w:r w:rsidR="00C730F6" w:rsidRPr="000F280D">
        <w:rPr>
          <w:rFonts w:ascii="Arial" w:hAnsi="Arial" w:cs="Arial"/>
          <w:sz w:val="22"/>
          <w:szCs w:val="22"/>
        </w:rPr>
        <w:t xml:space="preserve"> </w:t>
      </w:r>
      <w:r w:rsidRPr="000F280D">
        <w:rPr>
          <w:rFonts w:ascii="Arial" w:hAnsi="Arial" w:cs="Arial"/>
          <w:sz w:val="22"/>
          <w:szCs w:val="22"/>
        </w:rPr>
        <w:t xml:space="preserve"> with multiple long-term conditions and dementia, requiring increasingly complex care and placing additional pressure on residential and nursing homes (NHS England, 2023). The Office for National Statistics (2022) also highlights continuing workforce shortages across adult social care, with regional variation contributing to recruitment difficulties.</w:t>
      </w:r>
    </w:p>
    <w:p w14:paraId="60AD98C5" w14:textId="6CC8E5C5" w:rsidR="00D80274" w:rsidRPr="000F280D" w:rsidRDefault="00D80274" w:rsidP="00B302AD">
      <w:pPr>
        <w:pStyle w:val="NormalWeb"/>
        <w:spacing w:line="360" w:lineRule="auto"/>
        <w:rPr>
          <w:rFonts w:ascii="Arial" w:hAnsi="Arial" w:cs="Arial"/>
          <w:sz w:val="22"/>
          <w:szCs w:val="22"/>
        </w:rPr>
      </w:pPr>
      <w:r w:rsidRPr="000F280D">
        <w:rPr>
          <w:rFonts w:ascii="Arial" w:hAnsi="Arial" w:cs="Arial"/>
          <w:sz w:val="22"/>
          <w:szCs w:val="22"/>
        </w:rPr>
        <w:t>Despite increasing demand, recruitment and retention remain significant concerns throughout the sector. Skills for Care (2025)</w:t>
      </w:r>
      <w:r w:rsidR="00D904FD" w:rsidRPr="000F280D">
        <w:rPr>
          <w:rFonts w:ascii="Arial" w:hAnsi="Arial" w:cs="Arial"/>
          <w:sz w:val="22"/>
          <w:szCs w:val="22"/>
        </w:rPr>
        <w:t xml:space="preserve"> and The King</w:t>
      </w:r>
      <w:r w:rsidR="001B5593" w:rsidRPr="000F280D">
        <w:rPr>
          <w:rFonts w:ascii="Arial" w:hAnsi="Arial" w:cs="Arial"/>
          <w:sz w:val="22"/>
          <w:szCs w:val="22"/>
        </w:rPr>
        <w:t>’</w:t>
      </w:r>
      <w:r w:rsidR="00D904FD" w:rsidRPr="000F280D">
        <w:rPr>
          <w:rFonts w:ascii="Arial" w:hAnsi="Arial" w:cs="Arial"/>
          <w:sz w:val="22"/>
          <w:szCs w:val="22"/>
        </w:rPr>
        <w:t>s Fund</w:t>
      </w:r>
      <w:r w:rsidR="00532312" w:rsidRPr="000F280D">
        <w:rPr>
          <w:rFonts w:ascii="Arial" w:hAnsi="Arial" w:cs="Arial"/>
          <w:sz w:val="22"/>
          <w:szCs w:val="22"/>
        </w:rPr>
        <w:t xml:space="preserve"> (2026)</w:t>
      </w:r>
      <w:r w:rsidRPr="000F280D">
        <w:rPr>
          <w:rFonts w:ascii="Arial" w:hAnsi="Arial" w:cs="Arial"/>
          <w:sz w:val="22"/>
          <w:szCs w:val="22"/>
        </w:rPr>
        <w:t xml:space="preserve"> report persistently high vacancy and turnover rates within adult social care, reflecting continuing difficulties in maintaining workforce stability. Similarly, the House of Commons Library (2024) identifies vacancy rates in adult social care that remain considerably higher than those across the wider UK economy. These workforce pressures are particularly evident within residential and nursing care homes, where providers frequently struggle to recruit and retain appropriately qualified staff. </w:t>
      </w:r>
      <w:r w:rsidR="004F0204" w:rsidRPr="000F280D">
        <w:rPr>
          <w:rFonts w:ascii="Arial" w:hAnsi="Arial" w:cs="Arial"/>
          <w:sz w:val="22"/>
          <w:szCs w:val="22"/>
        </w:rPr>
        <w:t>Maintaining workforce stability remains essential for delivering safe and effective care within residential and nursing care homes.</w:t>
      </w:r>
    </w:p>
    <w:p w14:paraId="7ECAA6FD" w14:textId="77777777" w:rsidR="00D80274" w:rsidRPr="000F280D" w:rsidRDefault="00D80274" w:rsidP="00B302AD">
      <w:pPr>
        <w:pStyle w:val="NormalWeb"/>
        <w:spacing w:line="360" w:lineRule="auto"/>
        <w:rPr>
          <w:rFonts w:ascii="Arial" w:hAnsi="Arial" w:cs="Arial"/>
          <w:sz w:val="22"/>
          <w:szCs w:val="22"/>
        </w:rPr>
      </w:pPr>
      <w:r w:rsidRPr="000F280D">
        <w:rPr>
          <w:rFonts w:ascii="Arial" w:hAnsi="Arial" w:cs="Arial"/>
          <w:sz w:val="22"/>
          <w:szCs w:val="22"/>
        </w:rPr>
        <w:t>Several factors contribute to long-term staff shortages. Low pay is consistently identified as a major barrier to recruitment and retention (Allan and Vadean, 2023). Care home staff undertake physically demanding work, provide emotional support and manage complex care needs, yet salaries often remain lower than those offered in comparable healthcare roles. Devi et al. (2021) suggest that recruitment and retention difficulties are influenced not only by pay but also by limited career progression, demanding working conditions and insufficient organisational support.</w:t>
      </w:r>
    </w:p>
    <w:p w14:paraId="3F75278E" w14:textId="50B8038E" w:rsidR="00D80274" w:rsidRPr="000F280D" w:rsidRDefault="00D80274" w:rsidP="00B302AD">
      <w:pPr>
        <w:pStyle w:val="NormalWeb"/>
        <w:spacing w:line="360" w:lineRule="auto"/>
        <w:rPr>
          <w:rFonts w:ascii="Arial" w:hAnsi="Arial" w:cs="Arial"/>
          <w:sz w:val="22"/>
          <w:szCs w:val="22"/>
        </w:rPr>
      </w:pPr>
      <w:r w:rsidRPr="000F280D">
        <w:rPr>
          <w:rFonts w:ascii="Arial" w:hAnsi="Arial" w:cs="Arial"/>
          <w:sz w:val="22"/>
          <w:szCs w:val="22"/>
        </w:rPr>
        <w:t>Workload pressures further contribute to workforce instability. As staffing levels decline, remaining employees often experience increased workloads, emotional exhaustion and burnout.</w:t>
      </w:r>
      <w:r w:rsidR="007D1CBD" w:rsidRPr="000F280D">
        <w:rPr>
          <w:rFonts w:ascii="Arial" w:hAnsi="Arial" w:cs="Arial"/>
          <w:sz w:val="22"/>
          <w:szCs w:val="22"/>
        </w:rPr>
        <w:t xml:space="preserve"> </w:t>
      </w:r>
      <w:r w:rsidR="007D1CBD" w:rsidRPr="000F280D">
        <w:rPr>
          <w:rFonts w:ascii="Arial" w:hAnsi="Arial" w:cs="Arial"/>
          <w:sz w:val="22"/>
          <w:szCs w:val="22"/>
        </w:rPr>
        <w:t xml:space="preserve">These workforce pressures contribute to increased stress, emotional exhaustion and reduced job satisfaction, making staff more likely to leave the sector. This creates a </w:t>
      </w:r>
      <w:r w:rsidR="007D1CBD" w:rsidRPr="000F280D">
        <w:rPr>
          <w:rFonts w:ascii="Arial" w:hAnsi="Arial" w:cs="Arial"/>
          <w:sz w:val="22"/>
          <w:szCs w:val="22"/>
        </w:rPr>
        <w:lastRenderedPageBreak/>
        <w:t>continuing cycle in which recruitment and retention difficulties further undermine workforce stability (Devi et al., 2021).</w:t>
      </w:r>
      <w:r w:rsidRPr="000F280D">
        <w:rPr>
          <w:rFonts w:ascii="Arial" w:hAnsi="Arial" w:cs="Arial"/>
          <w:sz w:val="22"/>
          <w:szCs w:val="22"/>
        </w:rPr>
        <w:t xml:space="preserve"> The COVID-19 pandemic exacerbated these challenges by increasing infection control responsibilities, staff absences and emotional strain (Devi et al., 2020), highlighting the need for greater workforce resilience and long-term planning.</w:t>
      </w:r>
    </w:p>
    <w:p w14:paraId="0C7B3EF1" w14:textId="0F6C1AA8" w:rsidR="00D80274" w:rsidRPr="000F280D" w:rsidRDefault="000911EF" w:rsidP="00B302AD">
      <w:pPr>
        <w:pStyle w:val="NormalWeb"/>
        <w:spacing w:line="360" w:lineRule="auto"/>
        <w:rPr>
          <w:rFonts w:ascii="Arial" w:hAnsi="Arial" w:cs="Arial"/>
          <w:sz w:val="22"/>
          <w:szCs w:val="22"/>
        </w:rPr>
      </w:pPr>
      <w:r w:rsidRPr="000F280D">
        <w:rPr>
          <w:rFonts w:ascii="Arial" w:hAnsi="Arial" w:cs="Arial"/>
          <w:sz w:val="22"/>
          <w:szCs w:val="22"/>
        </w:rPr>
        <w:t>Workforce shortages have significant implications for care quality and resident outcomes. Inadequate staffing can reduce continuity of care, limit opportunities to build trusting relationships with residents and increase safeguarding risks. Maintaining a stable workforce is therefore essential for delivering safe, effective and person-centred care.</w:t>
      </w:r>
    </w:p>
    <w:p w14:paraId="77499390" w14:textId="77777777" w:rsidR="00975F66" w:rsidRPr="000F280D" w:rsidRDefault="00D80274" w:rsidP="00B302AD">
      <w:pPr>
        <w:pStyle w:val="NormalWeb"/>
        <w:spacing w:line="360" w:lineRule="auto"/>
        <w:rPr>
          <w:rFonts w:ascii="Arial" w:hAnsi="Arial" w:cs="Arial"/>
          <w:sz w:val="22"/>
          <w:szCs w:val="22"/>
        </w:rPr>
      </w:pPr>
      <w:r w:rsidRPr="000F280D">
        <w:rPr>
          <w:rFonts w:ascii="Arial" w:hAnsi="Arial" w:cs="Arial"/>
          <w:sz w:val="22"/>
          <w:szCs w:val="22"/>
        </w:rPr>
        <w:t>Several policies and regulatory frameworks seek to support workforce quality and service standards. The Care Act 2014 places wellbeing at the centre of adult social care, while the Care Quality Commission (2024) monitors the quality and safety of regulated services through its assessment framework. National workforce initiatives have also sought to strengthen recruitment and retention. NHS England (2023) identifies workforce growth and staff development as priorities across health and social care, while Skills for Care (2025) emphasises leadership, career development and workforce investment as essential to creating a sustainable adult social care workforce. Despite these initiatives, workforce shortages continue to affect care homes across the UK.</w:t>
      </w:r>
    </w:p>
    <w:p w14:paraId="2BAC407D" w14:textId="0D1B9C58" w:rsidR="00253FEC" w:rsidRPr="000F280D" w:rsidRDefault="00253FEC" w:rsidP="00B302AD">
      <w:pPr>
        <w:pStyle w:val="NormalWeb"/>
        <w:spacing w:line="360" w:lineRule="auto"/>
        <w:rPr>
          <w:rFonts w:ascii="Arial" w:hAnsi="Arial" w:cs="Arial"/>
          <w:sz w:val="22"/>
          <w:szCs w:val="22"/>
        </w:rPr>
      </w:pPr>
      <w:r w:rsidRPr="000F280D">
        <w:rPr>
          <w:rFonts w:ascii="Arial" w:hAnsi="Arial" w:cs="Arial"/>
          <w:sz w:val="22"/>
          <w:szCs w:val="22"/>
        </w:rPr>
        <w:t>Overall, the literature suggests that long-term staff shortages result from interconnected workforce and organisational factors. Understanding these challenges is important for improving recruitment, retention and care quality.</w:t>
      </w:r>
    </w:p>
    <w:p w14:paraId="36741F03" w14:textId="72796AF3" w:rsidR="009156FC" w:rsidRPr="000F280D" w:rsidRDefault="009156FC"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Methods</w:t>
      </w:r>
    </w:p>
    <w:p w14:paraId="0230A2EE" w14:textId="5F204C4F" w:rsidR="009156FC" w:rsidRPr="000F280D" w:rsidRDefault="009156FC"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This scoping review explored the impact of long</w:t>
      </w:r>
      <w:r w:rsidRPr="000F280D">
        <w:rPr>
          <w:rFonts w:ascii="Arial" w:eastAsia="Times New Roman" w:hAnsi="Arial" w:cs="Arial"/>
          <w:kern w:val="0"/>
          <w:sz w:val="22"/>
          <w:szCs w:val="22"/>
          <w:lang w:eastAsia="en-GB"/>
          <w14:ligatures w14:val="none"/>
        </w:rPr>
        <w:noBreakHyphen/>
        <w:t>term staff shortages in UK care homes and identified strategies to improve recruitment and retention. Scoping reviews are useful for examining the extent of existing evidence and identifying gaps. This review followed Arksey &amp; O’Malley’s (2005) framework, which is widely used in health and social care research because it supports broad exploration of complex topics.</w:t>
      </w:r>
      <w:r w:rsidR="009B0AD3" w:rsidRPr="000F280D">
        <w:rPr>
          <w:rFonts w:ascii="Arial" w:hAnsi="Arial" w:cs="Arial"/>
          <w:sz w:val="22"/>
          <w:szCs w:val="22"/>
        </w:rPr>
        <w:t xml:space="preserve"> </w:t>
      </w:r>
      <w:r w:rsidR="009B0AD3" w:rsidRPr="000F280D">
        <w:rPr>
          <w:rFonts w:ascii="Arial" w:hAnsi="Arial" w:cs="Arial"/>
          <w:sz w:val="22"/>
          <w:szCs w:val="22"/>
        </w:rPr>
        <w:t>Levac et al. (2010) further developed the Arksey and O’Malley framework by emphasising the importance of a transparent and iterative approach to study selection and evidence synthesis.</w:t>
      </w:r>
    </w:p>
    <w:p w14:paraId="1EE72415" w14:textId="77777777" w:rsidR="009156FC" w:rsidRPr="000F280D" w:rsidRDefault="009156FC"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A structured search was conducted using PubMed, CINAHL and Google Scholar, chosen for their coverage of health and social care research. Searches used combinations of keywords such as “care home staffing shortages,” “adult social care workforce UK,” “care worker retention,” “care home recruitment,” and “care home staff wellbeing,” with Boolean operators </w:t>
      </w:r>
      <w:r w:rsidRPr="000F280D">
        <w:rPr>
          <w:rFonts w:ascii="Arial" w:eastAsia="Times New Roman" w:hAnsi="Arial" w:cs="Arial"/>
          <w:kern w:val="0"/>
          <w:sz w:val="22"/>
          <w:szCs w:val="22"/>
          <w:lang w:eastAsia="en-GB"/>
          <w14:ligatures w14:val="none"/>
        </w:rPr>
        <w:lastRenderedPageBreak/>
        <w:t>to refine results. This approach ensured a comprehensive search strategy capable of capturing diverse evidence.</w:t>
      </w:r>
    </w:p>
    <w:p w14:paraId="49CFB466" w14:textId="77777777" w:rsidR="00D50597" w:rsidRPr="000F280D" w:rsidRDefault="009156FC"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Inclusion criteria:</w:t>
      </w:r>
    </w:p>
    <w:p w14:paraId="5AB7213C" w14:textId="0119F913" w:rsidR="00D50597" w:rsidRPr="000F280D" w:rsidRDefault="009156FC" w:rsidP="00B302AD">
      <w:pPr>
        <w:pStyle w:val="ListParagraph"/>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Peer</w:t>
      </w:r>
      <w:r w:rsidRPr="000F280D">
        <w:rPr>
          <w:rFonts w:ascii="Arial" w:eastAsia="Times New Roman" w:hAnsi="Arial" w:cs="Arial"/>
          <w:kern w:val="0"/>
          <w:sz w:val="22"/>
          <w:szCs w:val="22"/>
          <w:lang w:eastAsia="en-GB"/>
          <w14:ligatures w14:val="none"/>
        </w:rPr>
        <w:noBreakHyphen/>
        <w:t xml:space="preserve">reviewed journal articles </w:t>
      </w:r>
    </w:p>
    <w:p w14:paraId="3F435EEF" w14:textId="5CD95B85" w:rsidR="00D50597" w:rsidRPr="000F280D" w:rsidRDefault="009156FC" w:rsidP="00B302AD">
      <w:pPr>
        <w:pStyle w:val="ListParagraph"/>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Published 2020–2026 </w:t>
      </w:r>
    </w:p>
    <w:p w14:paraId="4012D327" w14:textId="176C8143" w:rsidR="00D50597" w:rsidRPr="000F280D" w:rsidRDefault="009156FC" w:rsidP="00B302AD">
      <w:pPr>
        <w:pStyle w:val="ListParagraph"/>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Focused on UK care homes or adult social care workforce </w:t>
      </w:r>
    </w:p>
    <w:p w14:paraId="59792BE5" w14:textId="1EE58880" w:rsidR="00D50597" w:rsidRPr="000F280D" w:rsidRDefault="009156FC" w:rsidP="00B302AD">
      <w:pPr>
        <w:pStyle w:val="ListParagraph"/>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Related to staff shortages, recruitment, retention or wellbeing</w:t>
      </w:r>
    </w:p>
    <w:p w14:paraId="24600623" w14:textId="0C4082CD" w:rsidR="009156FC" w:rsidRPr="000F280D" w:rsidRDefault="009156FC" w:rsidP="00B302AD">
      <w:pPr>
        <w:pStyle w:val="ListParagraph"/>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English language</w:t>
      </w:r>
    </w:p>
    <w:p w14:paraId="74B0A30A" w14:textId="77777777" w:rsidR="00D50597" w:rsidRPr="000F280D" w:rsidRDefault="009156FC"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Exclusion criteria:</w:t>
      </w:r>
    </w:p>
    <w:p w14:paraId="3B31FC6E" w14:textId="1AF8EA8C" w:rsidR="00D50597" w:rsidRPr="000F280D" w:rsidRDefault="009156FC" w:rsidP="00B302AD">
      <w:pPr>
        <w:pStyle w:val="ListParagraph"/>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Policy documents </w:t>
      </w:r>
    </w:p>
    <w:p w14:paraId="34D3461C" w14:textId="7BC5F115" w:rsidR="00D50597" w:rsidRPr="000F280D" w:rsidRDefault="009156FC" w:rsidP="00B302AD">
      <w:pPr>
        <w:pStyle w:val="ListParagraph"/>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Editorials and opinion papers</w:t>
      </w:r>
    </w:p>
    <w:p w14:paraId="27544E3A" w14:textId="35F5116E" w:rsidR="00D50597" w:rsidRPr="000F280D" w:rsidRDefault="009156FC" w:rsidP="00B302AD">
      <w:pPr>
        <w:pStyle w:val="ListParagraph"/>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Studies outside the UK </w:t>
      </w:r>
    </w:p>
    <w:p w14:paraId="12D8224B" w14:textId="22573628" w:rsidR="009156FC" w:rsidRPr="000F280D" w:rsidRDefault="009156FC" w:rsidP="00B302AD">
      <w:pPr>
        <w:pStyle w:val="ListParagraph"/>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Articles unrelated to workforce issues</w:t>
      </w:r>
    </w:p>
    <w:p w14:paraId="08A845DB" w14:textId="77777777" w:rsidR="009156FC" w:rsidRPr="000F280D" w:rsidRDefault="009156FC"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Five peer</w:t>
      </w:r>
      <w:r w:rsidRPr="000F280D">
        <w:rPr>
          <w:rFonts w:ascii="Arial" w:eastAsia="Times New Roman" w:hAnsi="Arial" w:cs="Arial"/>
          <w:kern w:val="0"/>
          <w:sz w:val="22"/>
          <w:szCs w:val="22"/>
          <w:lang w:eastAsia="en-GB"/>
          <w14:ligatures w14:val="none"/>
        </w:rPr>
        <w:noBreakHyphen/>
        <w:t>reviewed studies met the criteria. Data were analysed using Aveyard’s (2007) simplified thematic analysis, involving repeated reading, coding and grouping of recurring concepts into broader themes. This method allowed clear identification of patterns across studies and supported the development of meaningful analytical themes.</w:t>
      </w:r>
    </w:p>
    <w:p w14:paraId="3A8C9549" w14:textId="77777777" w:rsidR="009156FC" w:rsidRPr="000F280D" w:rsidRDefault="009156FC"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As this review used secondary data, ethical approval was not required. Ethical principles were maintained through accurate referencing and transparent reporting.</w:t>
      </w:r>
    </w:p>
    <w:p w14:paraId="650C0736" w14:textId="7BEF5737" w:rsidR="009156FC" w:rsidRPr="000F280D" w:rsidRDefault="009156FC"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Results</w:t>
      </w:r>
    </w:p>
    <w:p w14:paraId="7F39D076" w14:textId="77777777" w:rsidR="005520F0" w:rsidRPr="000F280D" w:rsidRDefault="005520F0"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Five peer-reviewed studies met the inclusion criteria and were included in this scoping review. Although the studies employed different research designs, they consistently identified long-term staff shortages as a major challenge affecting UK care homes. Common factors contributing to workforce shortages included low pay, increasing workloads, limited opportunities for career progression and the growing demand for complex care.</w:t>
      </w:r>
    </w:p>
    <w:p w14:paraId="67FF4284" w14:textId="77777777" w:rsidR="005520F0" w:rsidRPr="000F280D" w:rsidRDefault="005520F0"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Thematic analysis identified four overarching themes:</w:t>
      </w:r>
    </w:p>
    <w:p w14:paraId="46A7A156" w14:textId="77777777" w:rsidR="005520F0" w:rsidRPr="000F280D" w:rsidRDefault="005520F0" w:rsidP="00B302AD">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Causes of staff shortages </w:t>
      </w:r>
    </w:p>
    <w:p w14:paraId="27E542DA" w14:textId="77777777" w:rsidR="005520F0" w:rsidRPr="000F280D" w:rsidRDefault="005520F0" w:rsidP="00B302AD">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Recruitment, retention and staff wellbeing </w:t>
      </w:r>
    </w:p>
    <w:p w14:paraId="21425A2C" w14:textId="77777777" w:rsidR="005520F0" w:rsidRPr="000F280D" w:rsidRDefault="005520F0" w:rsidP="00B302AD">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Impact on care quality and resident outcomes </w:t>
      </w:r>
    </w:p>
    <w:p w14:paraId="098A0D93" w14:textId="77777777" w:rsidR="005520F0" w:rsidRPr="000F280D" w:rsidRDefault="005520F0" w:rsidP="00B302AD">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lastRenderedPageBreak/>
        <w:t xml:space="preserve">Strategies to improve recruitment and retention </w:t>
      </w:r>
    </w:p>
    <w:p w14:paraId="10376DBD" w14:textId="77777777" w:rsidR="005520F0" w:rsidRPr="000F280D" w:rsidRDefault="005520F0"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These themes reflected recurring patterns across the included studies and formed the framework for the discussion. The findings demonstrated that recruitment, retention and staff wellbeing are closely interconnected, collectively influencing workforce stability within UK care homes.</w:t>
      </w:r>
    </w:p>
    <w:p w14:paraId="39799B04" w14:textId="77777777" w:rsidR="005520F0" w:rsidRPr="000F280D" w:rsidRDefault="005520F0"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Across the studies, poor staff retention was consistently associated with reduced continuity of care and poorer resident outcomes. Allan and Vadean (2021) found that higher staff retention was linked to improved Care Quality Commission (CQC) ratings, while Towers et al. (2021) reported that workforce stability positively influenced residents' quality of life. Allan and Vadean (2023) identified pay as an important factor affecting staff retention and care quality, whereas Devi et al. (2021) and Teo et al. (2022) highlighted the importance of leadership, organisational culture, career development and employment conditions in improving recruitment and retention.</w:t>
      </w:r>
    </w:p>
    <w:p w14:paraId="62752358" w14:textId="77777777" w:rsidR="000C289E" w:rsidRPr="000F280D" w:rsidRDefault="000C289E" w:rsidP="000C289E">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hAnsi="Arial" w:cs="Arial"/>
          <w:sz w:val="22"/>
          <w:szCs w:val="22"/>
        </w:rPr>
        <w:t>Tables 1 and 2 summarise the included studies and the development of the analytical themes</w:t>
      </w:r>
      <w:r w:rsidRPr="000F280D">
        <w:rPr>
          <w:rFonts w:ascii="Arial" w:eastAsia="Times New Roman" w:hAnsi="Arial" w:cs="Arial"/>
          <w:kern w:val="0"/>
          <w:sz w:val="22"/>
          <w:szCs w:val="22"/>
          <w:lang w:eastAsia="en-GB"/>
          <w14:ligatures w14:val="none"/>
        </w:rPr>
        <w:t>. These tables provide a clear overview of the evidence that informed the discussion.</w:t>
      </w:r>
    </w:p>
    <w:p w14:paraId="4B409406" w14:textId="77777777" w:rsidR="000C289E" w:rsidRPr="000F280D" w:rsidRDefault="000C289E" w:rsidP="00B302AD">
      <w:pPr>
        <w:spacing w:before="100" w:beforeAutospacing="1" w:after="100" w:afterAutospacing="1" w:line="360" w:lineRule="auto"/>
        <w:rPr>
          <w:rFonts w:ascii="Arial" w:eastAsia="Times New Roman" w:hAnsi="Arial" w:cs="Arial"/>
          <w:kern w:val="0"/>
          <w:sz w:val="22"/>
          <w:szCs w:val="22"/>
          <w:lang w:eastAsia="en-GB"/>
          <w14:ligatures w14:val="none"/>
        </w:rPr>
      </w:pPr>
    </w:p>
    <w:tbl>
      <w:tblPr>
        <w:tblpPr w:leftFromText="180" w:rightFromText="180" w:vertAnchor="text" w:horzAnchor="margin" w:tblpY="396"/>
        <w:tblW w:w="10032" w:type="dxa"/>
        <w:tblCellSpacing w:w="15" w:type="dxa"/>
        <w:tblCellMar>
          <w:top w:w="15" w:type="dxa"/>
          <w:left w:w="15" w:type="dxa"/>
          <w:bottom w:w="15" w:type="dxa"/>
          <w:right w:w="15" w:type="dxa"/>
        </w:tblCellMar>
        <w:tblLook w:val="04A0" w:firstRow="1" w:lastRow="0" w:firstColumn="1" w:lastColumn="0" w:noHBand="0" w:noVBand="1"/>
      </w:tblPr>
      <w:tblGrid>
        <w:gridCol w:w="1081"/>
        <w:gridCol w:w="2219"/>
        <w:gridCol w:w="1801"/>
        <w:gridCol w:w="2664"/>
        <w:gridCol w:w="2267"/>
      </w:tblGrid>
      <w:tr w:rsidR="00D87F52" w:rsidRPr="000F280D" w14:paraId="7233E1F4" w14:textId="77777777" w:rsidTr="00D87F52">
        <w:trPr>
          <w:trHeight w:val="346"/>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35EB902" w14:textId="77777777" w:rsidR="00D87F52" w:rsidRPr="000F280D" w:rsidRDefault="00D87F52" w:rsidP="00D87F52">
            <w:pPr>
              <w:spacing w:after="0" w:line="360" w:lineRule="auto"/>
              <w:jc w:val="center"/>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Author</w:t>
            </w:r>
          </w:p>
        </w:tc>
        <w:tc>
          <w:tcPr>
            <w:tcW w:w="0" w:type="auto"/>
            <w:tcBorders>
              <w:top w:val="single" w:sz="4" w:space="0" w:color="auto"/>
              <w:left w:val="single" w:sz="4" w:space="0" w:color="auto"/>
              <w:bottom w:val="single" w:sz="4" w:space="0" w:color="auto"/>
              <w:right w:val="single" w:sz="4" w:space="0" w:color="auto"/>
            </w:tcBorders>
            <w:vAlign w:val="center"/>
            <w:hideMark/>
          </w:tcPr>
          <w:p w14:paraId="43EC6E39" w14:textId="77777777" w:rsidR="00D87F52" w:rsidRPr="000F280D" w:rsidRDefault="00D87F52" w:rsidP="00D87F52">
            <w:pPr>
              <w:spacing w:after="0" w:line="360" w:lineRule="auto"/>
              <w:jc w:val="center"/>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Research Objective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604D5B25" w14:textId="77777777" w:rsidR="00D87F52" w:rsidRPr="000F280D" w:rsidRDefault="00D87F52" w:rsidP="00D87F52">
            <w:pPr>
              <w:spacing w:after="0" w:line="360" w:lineRule="auto"/>
              <w:jc w:val="center"/>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Method</w:t>
            </w:r>
          </w:p>
        </w:tc>
        <w:tc>
          <w:tcPr>
            <w:tcW w:w="0" w:type="auto"/>
            <w:tcBorders>
              <w:top w:val="single" w:sz="4" w:space="0" w:color="auto"/>
              <w:left w:val="single" w:sz="4" w:space="0" w:color="auto"/>
              <w:bottom w:val="single" w:sz="4" w:space="0" w:color="auto"/>
              <w:right w:val="single" w:sz="4" w:space="0" w:color="auto"/>
            </w:tcBorders>
            <w:vAlign w:val="center"/>
            <w:hideMark/>
          </w:tcPr>
          <w:p w14:paraId="12AE7D80" w14:textId="77777777" w:rsidR="00D87F52" w:rsidRPr="000F280D" w:rsidRDefault="00D87F52" w:rsidP="00D87F52">
            <w:pPr>
              <w:spacing w:after="0" w:line="360" w:lineRule="auto"/>
              <w:jc w:val="center"/>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Key Findings</w:t>
            </w:r>
          </w:p>
        </w:tc>
        <w:tc>
          <w:tcPr>
            <w:tcW w:w="0" w:type="auto"/>
            <w:tcBorders>
              <w:top w:val="single" w:sz="4" w:space="0" w:color="auto"/>
              <w:left w:val="single" w:sz="4" w:space="0" w:color="auto"/>
              <w:bottom w:val="single" w:sz="4" w:space="0" w:color="auto"/>
              <w:right w:val="single" w:sz="4" w:space="0" w:color="auto"/>
            </w:tcBorders>
            <w:vAlign w:val="center"/>
            <w:hideMark/>
          </w:tcPr>
          <w:p w14:paraId="4B114FEC" w14:textId="77777777" w:rsidR="00D87F52" w:rsidRPr="000F280D" w:rsidRDefault="00D87F52" w:rsidP="00D87F52">
            <w:pPr>
              <w:spacing w:after="0" w:line="360" w:lineRule="auto"/>
              <w:jc w:val="center"/>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Relevance to Review Question</w:t>
            </w:r>
          </w:p>
        </w:tc>
      </w:tr>
      <w:tr w:rsidR="00D87F52" w:rsidRPr="000F280D" w14:paraId="4029E635" w14:textId="77777777" w:rsidTr="00D87F52">
        <w:trPr>
          <w:trHeight w:val="1048"/>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B7049F2" w14:textId="77777777" w:rsidR="00D87F52" w:rsidRPr="000F280D" w:rsidRDefault="00D87F52" w:rsidP="00D87F52">
            <w:pPr>
              <w:spacing w:after="0" w:line="360" w:lineRule="auto"/>
              <w:jc w:val="center"/>
              <w:rPr>
                <w:rFonts w:ascii="Arial" w:eastAsia="Times New Roman" w:hAnsi="Arial" w:cs="Arial"/>
                <w:b/>
                <w:bCs/>
                <w:color w:val="212121"/>
                <w:kern w:val="0"/>
                <w:sz w:val="22"/>
                <w:szCs w:val="22"/>
                <w:lang w:eastAsia="en-GB"/>
                <w14:ligatures w14:val="none"/>
              </w:rPr>
            </w:pPr>
            <w:hyperlink r:id="rId7" w:history="1">
              <w:r w:rsidRPr="000F280D">
                <w:rPr>
                  <w:rFonts w:ascii="Arial" w:eastAsia="Times New Roman" w:hAnsi="Arial" w:cs="Arial"/>
                  <w:b/>
                  <w:bCs/>
                  <w:color w:val="212121"/>
                  <w:kern w:val="0"/>
                  <w:sz w:val="22"/>
                  <w:szCs w:val="22"/>
                  <w:lang w:eastAsia="en-GB"/>
                  <w14:ligatures w14:val="none"/>
                </w:rPr>
                <w:t>Allan &amp; Vadean (2021)</w:t>
              </w:r>
            </w:hyperlink>
          </w:p>
        </w:tc>
        <w:tc>
          <w:tcPr>
            <w:tcW w:w="0" w:type="auto"/>
            <w:tcBorders>
              <w:top w:val="single" w:sz="4" w:space="0" w:color="auto"/>
              <w:left w:val="single" w:sz="4" w:space="0" w:color="auto"/>
              <w:bottom w:val="single" w:sz="4" w:space="0" w:color="auto"/>
              <w:right w:val="single" w:sz="4" w:space="0" w:color="auto"/>
            </w:tcBorders>
            <w:vAlign w:val="center"/>
            <w:hideMark/>
          </w:tcPr>
          <w:p w14:paraId="2DD1AFF1"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Investigate the relationship between staff retention and care home quality in England</w:t>
            </w:r>
          </w:p>
        </w:tc>
        <w:tc>
          <w:tcPr>
            <w:tcW w:w="0" w:type="auto"/>
            <w:tcBorders>
              <w:top w:val="single" w:sz="4" w:space="0" w:color="auto"/>
              <w:left w:val="single" w:sz="4" w:space="0" w:color="auto"/>
              <w:bottom w:val="single" w:sz="4" w:space="0" w:color="auto"/>
              <w:right w:val="single" w:sz="4" w:space="0" w:color="auto"/>
            </w:tcBorders>
            <w:vAlign w:val="center"/>
            <w:hideMark/>
          </w:tcPr>
          <w:p w14:paraId="60578106"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Quantitative observational study</w:t>
            </w:r>
          </w:p>
        </w:tc>
        <w:tc>
          <w:tcPr>
            <w:tcW w:w="0" w:type="auto"/>
            <w:tcBorders>
              <w:top w:val="single" w:sz="4" w:space="0" w:color="auto"/>
              <w:left w:val="single" w:sz="4" w:space="0" w:color="auto"/>
              <w:bottom w:val="single" w:sz="4" w:space="0" w:color="auto"/>
              <w:right w:val="single" w:sz="4" w:space="0" w:color="auto"/>
            </w:tcBorders>
            <w:vAlign w:val="center"/>
            <w:hideMark/>
          </w:tcPr>
          <w:p w14:paraId="17FDA02B"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Higher staff retention was associated with improved care quality ratings.</w:t>
            </w:r>
          </w:p>
        </w:tc>
        <w:tc>
          <w:tcPr>
            <w:tcW w:w="0" w:type="auto"/>
            <w:tcBorders>
              <w:top w:val="single" w:sz="4" w:space="0" w:color="auto"/>
              <w:left w:val="single" w:sz="4" w:space="0" w:color="auto"/>
              <w:bottom w:val="single" w:sz="4" w:space="0" w:color="auto"/>
              <w:right w:val="single" w:sz="4" w:space="0" w:color="auto"/>
            </w:tcBorders>
            <w:vAlign w:val="center"/>
            <w:hideMark/>
          </w:tcPr>
          <w:p w14:paraId="77F6550E"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Demonstrates how workforce stability influences quality of care.</w:t>
            </w:r>
          </w:p>
        </w:tc>
      </w:tr>
      <w:tr w:rsidR="00D87F52" w:rsidRPr="000F280D" w14:paraId="68AE1CDF" w14:textId="77777777" w:rsidTr="00D87F52">
        <w:trPr>
          <w:trHeight w:val="702"/>
          <w:tblCellSpacing w:w="15" w:type="dxa"/>
        </w:trPr>
        <w:tc>
          <w:tcPr>
            <w:tcW w:w="0" w:type="auto"/>
            <w:tcBorders>
              <w:top w:val="single" w:sz="4" w:space="0" w:color="auto"/>
              <w:left w:val="single" w:sz="4" w:space="0" w:color="auto"/>
              <w:bottom w:val="single" w:sz="4" w:space="0" w:color="auto"/>
            </w:tcBorders>
            <w:vAlign w:val="center"/>
            <w:hideMark/>
          </w:tcPr>
          <w:p w14:paraId="22715D4B" w14:textId="77777777" w:rsidR="00D87F52" w:rsidRPr="000F280D" w:rsidRDefault="00D87F52" w:rsidP="00D87F52">
            <w:pPr>
              <w:spacing w:after="0" w:line="360" w:lineRule="auto"/>
              <w:jc w:val="center"/>
              <w:rPr>
                <w:rFonts w:ascii="Arial" w:eastAsia="Times New Roman" w:hAnsi="Arial" w:cs="Arial"/>
                <w:b/>
                <w:bCs/>
                <w:color w:val="212121"/>
                <w:kern w:val="0"/>
                <w:sz w:val="22"/>
                <w:szCs w:val="22"/>
                <w:lang w:eastAsia="en-GB"/>
                <w14:ligatures w14:val="none"/>
              </w:rPr>
            </w:pPr>
            <w:hyperlink r:id="rId8" w:history="1">
              <w:r w:rsidRPr="000F280D">
                <w:rPr>
                  <w:rFonts w:ascii="Arial" w:eastAsia="Times New Roman" w:hAnsi="Arial" w:cs="Arial"/>
                  <w:b/>
                  <w:bCs/>
                  <w:color w:val="212121"/>
                  <w:kern w:val="0"/>
                  <w:sz w:val="22"/>
                  <w:szCs w:val="22"/>
                  <w:lang w:eastAsia="en-GB"/>
                  <w14:ligatures w14:val="none"/>
                </w:rPr>
                <w:t>Allan &amp; Vadean (2023)</w:t>
              </w:r>
            </w:hyperlink>
          </w:p>
        </w:tc>
        <w:tc>
          <w:tcPr>
            <w:tcW w:w="0" w:type="auto"/>
            <w:tcBorders>
              <w:top w:val="single" w:sz="4" w:space="0" w:color="auto"/>
              <w:left w:val="single" w:sz="4" w:space="0" w:color="auto"/>
              <w:bottom w:val="single" w:sz="4" w:space="0" w:color="auto"/>
              <w:right w:val="single" w:sz="4" w:space="0" w:color="auto"/>
            </w:tcBorders>
            <w:vAlign w:val="center"/>
            <w:hideMark/>
          </w:tcPr>
          <w:p w14:paraId="7214B825"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Examine the impact of wages on care home quality</w:t>
            </w:r>
          </w:p>
        </w:tc>
        <w:tc>
          <w:tcPr>
            <w:tcW w:w="0" w:type="auto"/>
            <w:tcBorders>
              <w:top w:val="single" w:sz="4" w:space="0" w:color="auto"/>
              <w:left w:val="single" w:sz="4" w:space="0" w:color="auto"/>
              <w:bottom w:val="single" w:sz="4" w:space="0" w:color="auto"/>
              <w:right w:val="single" w:sz="4" w:space="0" w:color="auto"/>
            </w:tcBorders>
            <w:vAlign w:val="center"/>
            <w:hideMark/>
          </w:tcPr>
          <w:p w14:paraId="1FE96299"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Quantitative observational study</w:t>
            </w:r>
          </w:p>
        </w:tc>
        <w:tc>
          <w:tcPr>
            <w:tcW w:w="0" w:type="auto"/>
            <w:tcBorders>
              <w:top w:val="single" w:sz="4" w:space="0" w:color="auto"/>
              <w:left w:val="single" w:sz="4" w:space="0" w:color="auto"/>
              <w:bottom w:val="single" w:sz="4" w:space="0" w:color="auto"/>
              <w:right w:val="single" w:sz="4" w:space="0" w:color="auto"/>
            </w:tcBorders>
            <w:vAlign w:val="center"/>
            <w:hideMark/>
          </w:tcPr>
          <w:p w14:paraId="5778447F"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Higher wages improved staff retention and care quality.</w:t>
            </w:r>
          </w:p>
        </w:tc>
        <w:tc>
          <w:tcPr>
            <w:tcW w:w="0" w:type="auto"/>
            <w:tcBorders>
              <w:top w:val="single" w:sz="4" w:space="0" w:color="auto"/>
              <w:left w:val="single" w:sz="4" w:space="0" w:color="auto"/>
              <w:bottom w:val="single" w:sz="4" w:space="0" w:color="auto"/>
              <w:right w:val="single" w:sz="4" w:space="0" w:color="auto"/>
            </w:tcBorders>
            <w:vAlign w:val="center"/>
            <w:hideMark/>
          </w:tcPr>
          <w:p w14:paraId="3BE8AFD4"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Highlights the importance of pay in recruitment and retention.</w:t>
            </w:r>
          </w:p>
        </w:tc>
      </w:tr>
      <w:tr w:rsidR="00D87F52" w:rsidRPr="000F280D" w14:paraId="2AFF657B" w14:textId="77777777" w:rsidTr="00D87F52">
        <w:trPr>
          <w:trHeight w:val="875"/>
          <w:tblCellSpacing w:w="15" w:type="dxa"/>
        </w:trPr>
        <w:tc>
          <w:tcPr>
            <w:tcW w:w="0" w:type="auto"/>
            <w:tcBorders>
              <w:left w:val="single" w:sz="4" w:space="0" w:color="auto"/>
              <w:bottom w:val="single" w:sz="4" w:space="0" w:color="auto"/>
            </w:tcBorders>
            <w:vAlign w:val="center"/>
            <w:hideMark/>
          </w:tcPr>
          <w:p w14:paraId="7A969470" w14:textId="77777777" w:rsidR="00D87F52" w:rsidRPr="000F280D" w:rsidRDefault="00D87F52" w:rsidP="00D87F52">
            <w:pPr>
              <w:spacing w:after="0" w:line="360" w:lineRule="auto"/>
              <w:jc w:val="center"/>
              <w:rPr>
                <w:rFonts w:ascii="Arial" w:eastAsia="Times New Roman" w:hAnsi="Arial" w:cs="Arial"/>
                <w:b/>
                <w:bCs/>
                <w:color w:val="212121"/>
                <w:kern w:val="0"/>
                <w:sz w:val="22"/>
                <w:szCs w:val="22"/>
                <w:lang w:eastAsia="en-GB"/>
                <w14:ligatures w14:val="none"/>
              </w:rPr>
            </w:pPr>
            <w:hyperlink r:id="rId9" w:history="1">
              <w:r w:rsidRPr="000F280D">
                <w:rPr>
                  <w:rFonts w:ascii="Arial" w:eastAsia="Times New Roman" w:hAnsi="Arial" w:cs="Arial"/>
                  <w:b/>
                  <w:bCs/>
                  <w:color w:val="212121"/>
                  <w:kern w:val="0"/>
                  <w:sz w:val="22"/>
                  <w:szCs w:val="22"/>
                  <w:lang w:eastAsia="en-GB"/>
                  <w14:ligatures w14:val="none"/>
                </w:rPr>
                <w:t>Teo et al. (2022)</w:t>
              </w:r>
            </w:hyperlink>
          </w:p>
        </w:tc>
        <w:tc>
          <w:tcPr>
            <w:tcW w:w="0" w:type="auto"/>
            <w:tcBorders>
              <w:top w:val="single" w:sz="4" w:space="0" w:color="auto"/>
              <w:left w:val="single" w:sz="4" w:space="0" w:color="auto"/>
              <w:bottom w:val="single" w:sz="4" w:space="0" w:color="auto"/>
              <w:right w:val="single" w:sz="4" w:space="0" w:color="auto"/>
            </w:tcBorders>
            <w:vAlign w:val="center"/>
            <w:hideMark/>
          </w:tcPr>
          <w:p w14:paraId="7DC98F6F"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Explore recruitment, retention and employment growth</w:t>
            </w:r>
          </w:p>
        </w:tc>
        <w:tc>
          <w:tcPr>
            <w:tcW w:w="0" w:type="auto"/>
            <w:tcBorders>
              <w:top w:val="single" w:sz="4" w:space="0" w:color="auto"/>
              <w:left w:val="single" w:sz="4" w:space="0" w:color="auto"/>
              <w:bottom w:val="single" w:sz="4" w:space="0" w:color="auto"/>
              <w:right w:val="single" w:sz="4" w:space="0" w:color="auto"/>
            </w:tcBorders>
            <w:vAlign w:val="center"/>
            <w:hideMark/>
          </w:tcPr>
          <w:p w14:paraId="3890942E"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Longitudinal quantitative study</w:t>
            </w:r>
          </w:p>
        </w:tc>
        <w:tc>
          <w:tcPr>
            <w:tcW w:w="0" w:type="auto"/>
            <w:tcBorders>
              <w:top w:val="single" w:sz="4" w:space="0" w:color="auto"/>
              <w:right w:val="single" w:sz="4" w:space="0" w:color="auto"/>
            </w:tcBorders>
            <w:vAlign w:val="center"/>
            <w:hideMark/>
          </w:tcPr>
          <w:p w14:paraId="1D91701F"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Employment conditions influenced recruitment and workforce growth.</w:t>
            </w:r>
          </w:p>
        </w:tc>
        <w:tc>
          <w:tcPr>
            <w:tcW w:w="0" w:type="auto"/>
            <w:tcBorders>
              <w:top w:val="single" w:sz="4" w:space="0" w:color="auto"/>
              <w:left w:val="single" w:sz="4" w:space="0" w:color="auto"/>
              <w:right w:val="single" w:sz="4" w:space="0" w:color="auto"/>
            </w:tcBorders>
            <w:vAlign w:val="center"/>
            <w:hideMark/>
          </w:tcPr>
          <w:p w14:paraId="6F870CB5"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Identifies organisational factors affecting workforce shortages.</w:t>
            </w:r>
          </w:p>
        </w:tc>
      </w:tr>
      <w:tr w:rsidR="00D87F52" w:rsidRPr="000F280D" w14:paraId="21DB47BE" w14:textId="77777777" w:rsidTr="00D87F52">
        <w:trPr>
          <w:trHeight w:val="693"/>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2E4DE8D" w14:textId="77777777" w:rsidR="00D87F52" w:rsidRPr="000F280D" w:rsidRDefault="00D87F52" w:rsidP="00D87F52">
            <w:pPr>
              <w:spacing w:after="0" w:line="360" w:lineRule="auto"/>
              <w:jc w:val="center"/>
              <w:rPr>
                <w:rFonts w:ascii="Arial" w:eastAsia="Times New Roman" w:hAnsi="Arial" w:cs="Arial"/>
                <w:b/>
                <w:bCs/>
                <w:color w:val="212121"/>
                <w:kern w:val="0"/>
                <w:sz w:val="22"/>
                <w:szCs w:val="22"/>
                <w:lang w:eastAsia="en-GB"/>
                <w14:ligatures w14:val="none"/>
              </w:rPr>
            </w:pPr>
            <w:hyperlink r:id="rId10" w:history="1">
              <w:r w:rsidRPr="000F280D">
                <w:rPr>
                  <w:rFonts w:ascii="Arial" w:eastAsia="Times New Roman" w:hAnsi="Arial" w:cs="Arial"/>
                  <w:b/>
                  <w:bCs/>
                  <w:color w:val="212121"/>
                  <w:kern w:val="0"/>
                  <w:sz w:val="22"/>
                  <w:szCs w:val="22"/>
                  <w:lang w:eastAsia="en-GB"/>
                  <w14:ligatures w14:val="none"/>
                </w:rPr>
                <w:t>Towers et al. (2021)</w:t>
              </w:r>
            </w:hyperlink>
          </w:p>
        </w:tc>
        <w:tc>
          <w:tcPr>
            <w:tcW w:w="0" w:type="auto"/>
            <w:tcBorders>
              <w:top w:val="single" w:sz="4" w:space="0" w:color="auto"/>
              <w:left w:val="single" w:sz="4" w:space="0" w:color="auto"/>
              <w:bottom w:val="single" w:sz="4" w:space="0" w:color="auto"/>
            </w:tcBorders>
            <w:vAlign w:val="center"/>
            <w:hideMark/>
          </w:tcPr>
          <w:p w14:paraId="413A89E9"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Investigate workforce factors and residents’ quality of life</w:t>
            </w:r>
          </w:p>
        </w:tc>
        <w:tc>
          <w:tcPr>
            <w:tcW w:w="0" w:type="auto"/>
            <w:tcBorders>
              <w:top w:val="single" w:sz="4" w:space="0" w:color="auto"/>
              <w:left w:val="single" w:sz="4" w:space="0" w:color="auto"/>
              <w:bottom w:val="single" w:sz="4" w:space="0" w:color="auto"/>
              <w:right w:val="single" w:sz="4" w:space="0" w:color="auto"/>
            </w:tcBorders>
            <w:vAlign w:val="center"/>
            <w:hideMark/>
          </w:tcPr>
          <w:p w14:paraId="7DC97C71"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Mixed</w:t>
            </w:r>
            <w:r w:rsidRPr="000F280D">
              <w:rPr>
                <w:rFonts w:ascii="Arial" w:eastAsia="Times New Roman" w:hAnsi="Arial" w:cs="Arial"/>
                <w:kern w:val="0"/>
                <w:sz w:val="22"/>
                <w:szCs w:val="22"/>
                <w:lang w:eastAsia="en-GB"/>
                <w14:ligatures w14:val="none"/>
              </w:rPr>
              <w:noBreakHyphen/>
              <w:t>methods study</w:t>
            </w:r>
          </w:p>
        </w:tc>
        <w:tc>
          <w:tcPr>
            <w:tcW w:w="0" w:type="auto"/>
            <w:tcBorders>
              <w:bottom w:val="single" w:sz="4" w:space="0" w:color="auto"/>
              <w:right w:val="single" w:sz="4" w:space="0" w:color="auto"/>
            </w:tcBorders>
            <w:vAlign w:val="center"/>
            <w:hideMark/>
          </w:tcPr>
          <w:p w14:paraId="35B80239"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Staffing levels influenced residents’ quality of life and care quality.</w:t>
            </w:r>
          </w:p>
        </w:tc>
        <w:tc>
          <w:tcPr>
            <w:tcW w:w="0" w:type="auto"/>
            <w:tcBorders>
              <w:left w:val="single" w:sz="4" w:space="0" w:color="auto"/>
              <w:bottom w:val="single" w:sz="4" w:space="0" w:color="auto"/>
              <w:right w:val="single" w:sz="4" w:space="0" w:color="auto"/>
            </w:tcBorders>
            <w:vAlign w:val="center"/>
            <w:hideMark/>
          </w:tcPr>
          <w:p w14:paraId="6F3A1241"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Demonstrates the impact of staffing on resident outcomes.</w:t>
            </w:r>
          </w:p>
        </w:tc>
      </w:tr>
      <w:tr w:rsidR="00D87F52" w:rsidRPr="000F280D" w14:paraId="65F4F28B" w14:textId="77777777" w:rsidTr="00D87F52">
        <w:trPr>
          <w:trHeight w:val="1222"/>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45C0EE0" w14:textId="77777777" w:rsidR="00D87F52" w:rsidRPr="000F280D" w:rsidRDefault="00D87F52" w:rsidP="00D87F52">
            <w:pPr>
              <w:spacing w:after="0" w:line="360" w:lineRule="auto"/>
              <w:jc w:val="center"/>
              <w:rPr>
                <w:rFonts w:ascii="Arial" w:eastAsia="Times New Roman" w:hAnsi="Arial" w:cs="Arial"/>
                <w:b/>
                <w:bCs/>
                <w:color w:val="212121"/>
                <w:kern w:val="0"/>
                <w:sz w:val="22"/>
                <w:szCs w:val="22"/>
                <w:lang w:eastAsia="en-GB"/>
                <w14:ligatures w14:val="none"/>
              </w:rPr>
            </w:pPr>
          </w:p>
          <w:p w14:paraId="0AB392D3" w14:textId="77777777" w:rsidR="00D87F52" w:rsidRPr="000F280D" w:rsidRDefault="00D87F52" w:rsidP="00D87F52">
            <w:pPr>
              <w:spacing w:after="0" w:line="360" w:lineRule="auto"/>
              <w:jc w:val="center"/>
              <w:rPr>
                <w:rFonts w:ascii="Arial" w:eastAsia="Times New Roman" w:hAnsi="Arial" w:cs="Arial"/>
                <w:b/>
                <w:bCs/>
                <w:color w:val="212121"/>
                <w:kern w:val="0"/>
                <w:sz w:val="22"/>
                <w:szCs w:val="22"/>
                <w:lang w:eastAsia="en-GB"/>
                <w14:ligatures w14:val="none"/>
              </w:rPr>
            </w:pPr>
            <w:hyperlink r:id="rId11" w:history="1">
              <w:r w:rsidRPr="000F280D">
                <w:rPr>
                  <w:rFonts w:ascii="Arial" w:eastAsia="Times New Roman" w:hAnsi="Arial" w:cs="Arial"/>
                  <w:b/>
                  <w:bCs/>
                  <w:color w:val="212121"/>
                  <w:kern w:val="0"/>
                  <w:sz w:val="22"/>
                  <w:szCs w:val="22"/>
                  <w:lang w:eastAsia="en-GB"/>
                  <w14:ligatures w14:val="none"/>
                </w:rPr>
                <w:t>Devi et al. (2021)</w:t>
              </w:r>
            </w:hyperlink>
          </w:p>
        </w:tc>
        <w:tc>
          <w:tcPr>
            <w:tcW w:w="0" w:type="auto"/>
            <w:tcBorders>
              <w:top w:val="single" w:sz="4" w:space="0" w:color="auto"/>
              <w:left w:val="single" w:sz="4" w:space="0" w:color="auto"/>
              <w:bottom w:val="single" w:sz="4" w:space="0" w:color="auto"/>
            </w:tcBorders>
            <w:vAlign w:val="center"/>
            <w:hideMark/>
          </w:tcPr>
          <w:p w14:paraId="26146E6A"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Review evidence relating to recruitment and retention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78DC901A"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Secondary evidence review</w:t>
            </w:r>
          </w:p>
        </w:tc>
        <w:tc>
          <w:tcPr>
            <w:tcW w:w="0" w:type="auto"/>
            <w:tcBorders>
              <w:top w:val="single" w:sz="4" w:space="0" w:color="auto"/>
              <w:bottom w:val="single" w:sz="4" w:space="0" w:color="auto"/>
              <w:right w:val="single" w:sz="4" w:space="0" w:color="auto"/>
            </w:tcBorders>
            <w:vAlign w:val="center"/>
            <w:hideMark/>
          </w:tcPr>
          <w:p w14:paraId="40912D1B"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Recruitment and retention are influenced by leadership, pay, organisational culture and career development.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1C7C41CC" w14:textId="77777777" w:rsidR="00D87F52" w:rsidRPr="000F280D" w:rsidRDefault="00D87F52" w:rsidP="00D87F52">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Identifies factors contributing to workforce shortages and possible solutions.</w:t>
            </w:r>
          </w:p>
        </w:tc>
      </w:tr>
    </w:tbl>
    <w:p w14:paraId="6D453257" w14:textId="77777777" w:rsidR="009156FC" w:rsidRPr="000F280D" w:rsidRDefault="009156FC"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tbl>
      <w:tblPr>
        <w:tblpPr w:leftFromText="180" w:rightFromText="180" w:vertAnchor="text" w:horzAnchor="margin" w:tblpXSpec="center" w:tblpY="637"/>
        <w:tblW w:w="10118" w:type="dxa"/>
        <w:tblCellSpacing w:w="15" w:type="dxa"/>
        <w:tblCellMar>
          <w:top w:w="15" w:type="dxa"/>
          <w:left w:w="15" w:type="dxa"/>
          <w:bottom w:w="15" w:type="dxa"/>
          <w:right w:w="15" w:type="dxa"/>
        </w:tblCellMar>
        <w:tblLook w:val="04A0" w:firstRow="1" w:lastRow="0" w:firstColumn="1" w:lastColumn="0" w:noHBand="0" w:noVBand="1"/>
      </w:tblPr>
      <w:tblGrid>
        <w:gridCol w:w="1229"/>
        <w:gridCol w:w="3167"/>
        <w:gridCol w:w="2133"/>
        <w:gridCol w:w="1458"/>
        <w:gridCol w:w="2131"/>
      </w:tblGrid>
      <w:tr w:rsidR="00F45547" w:rsidRPr="000F280D" w14:paraId="00ED310B" w14:textId="77777777" w:rsidTr="00F45547">
        <w:trPr>
          <w:trHeight w:val="263"/>
          <w:tblHeader/>
          <w:tblCellSpacing w:w="15" w:type="dxa"/>
        </w:trPr>
        <w:tc>
          <w:tcPr>
            <w:tcW w:w="0" w:type="auto"/>
            <w:tcBorders>
              <w:left w:val="single" w:sz="4" w:space="0" w:color="auto"/>
            </w:tcBorders>
            <w:vAlign w:val="center"/>
            <w:hideMark/>
          </w:tcPr>
          <w:p w14:paraId="3C429622" w14:textId="77777777" w:rsidR="00F45547" w:rsidRPr="000F280D" w:rsidRDefault="00F45547" w:rsidP="00B302AD">
            <w:pPr>
              <w:spacing w:after="0" w:line="360" w:lineRule="auto"/>
              <w:jc w:val="center"/>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Study</w:t>
            </w:r>
          </w:p>
        </w:tc>
        <w:tc>
          <w:tcPr>
            <w:tcW w:w="0" w:type="auto"/>
            <w:tcBorders>
              <w:left w:val="single" w:sz="4" w:space="0" w:color="auto"/>
              <w:right w:val="single" w:sz="4" w:space="0" w:color="auto"/>
            </w:tcBorders>
            <w:vAlign w:val="center"/>
            <w:hideMark/>
          </w:tcPr>
          <w:p w14:paraId="61867D14" w14:textId="77777777" w:rsidR="00F45547" w:rsidRPr="000F280D" w:rsidRDefault="00F45547" w:rsidP="00B302AD">
            <w:pPr>
              <w:spacing w:after="0" w:line="360" w:lineRule="auto"/>
              <w:jc w:val="center"/>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Key Findings Identified</w:t>
            </w:r>
          </w:p>
        </w:tc>
        <w:tc>
          <w:tcPr>
            <w:tcW w:w="0" w:type="auto"/>
            <w:vAlign w:val="center"/>
            <w:hideMark/>
          </w:tcPr>
          <w:p w14:paraId="7F79433A" w14:textId="77777777" w:rsidR="00F45547" w:rsidRPr="000F280D" w:rsidRDefault="00F45547" w:rsidP="00B302AD">
            <w:pPr>
              <w:spacing w:after="0" w:line="360" w:lineRule="auto"/>
              <w:jc w:val="center"/>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Initial Codes</w:t>
            </w:r>
          </w:p>
        </w:tc>
        <w:tc>
          <w:tcPr>
            <w:tcW w:w="0" w:type="auto"/>
            <w:tcBorders>
              <w:left w:val="single" w:sz="4" w:space="0" w:color="auto"/>
              <w:right w:val="single" w:sz="4" w:space="0" w:color="auto"/>
            </w:tcBorders>
            <w:vAlign w:val="center"/>
            <w:hideMark/>
          </w:tcPr>
          <w:p w14:paraId="6A14F58A" w14:textId="77777777" w:rsidR="00F45547" w:rsidRPr="000F280D" w:rsidRDefault="00F45547" w:rsidP="00B302AD">
            <w:pPr>
              <w:spacing w:after="0" w:line="360" w:lineRule="auto"/>
              <w:jc w:val="center"/>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Category</w:t>
            </w:r>
          </w:p>
        </w:tc>
        <w:tc>
          <w:tcPr>
            <w:tcW w:w="0" w:type="auto"/>
            <w:tcBorders>
              <w:right w:val="single" w:sz="4" w:space="0" w:color="auto"/>
            </w:tcBorders>
            <w:vAlign w:val="center"/>
            <w:hideMark/>
          </w:tcPr>
          <w:p w14:paraId="411C9782" w14:textId="77777777" w:rsidR="00F45547" w:rsidRPr="000F280D" w:rsidRDefault="00F45547" w:rsidP="00B302AD">
            <w:pPr>
              <w:spacing w:after="0" w:line="360" w:lineRule="auto"/>
              <w:jc w:val="center"/>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Final Theme</w:t>
            </w:r>
          </w:p>
        </w:tc>
      </w:tr>
      <w:tr w:rsidR="00F45547" w:rsidRPr="000F280D" w14:paraId="1E9901E0" w14:textId="77777777" w:rsidTr="00F45547">
        <w:trPr>
          <w:trHeight w:val="1105"/>
          <w:tblCellSpacing w:w="15" w:type="dxa"/>
        </w:trPr>
        <w:tc>
          <w:tcPr>
            <w:tcW w:w="0" w:type="auto"/>
            <w:tcBorders>
              <w:left w:val="single" w:sz="4" w:space="0" w:color="auto"/>
            </w:tcBorders>
            <w:vAlign w:val="center"/>
            <w:hideMark/>
          </w:tcPr>
          <w:p w14:paraId="267F2C2B" w14:textId="77777777" w:rsidR="00F45547" w:rsidRPr="000F280D" w:rsidRDefault="00F45547" w:rsidP="00B302AD">
            <w:pPr>
              <w:spacing w:after="0" w:line="360" w:lineRule="auto"/>
              <w:jc w:val="center"/>
              <w:rPr>
                <w:rFonts w:ascii="Arial" w:eastAsia="Times New Roman" w:hAnsi="Arial" w:cs="Arial"/>
                <w:b/>
                <w:bCs/>
                <w:color w:val="212121"/>
                <w:kern w:val="0"/>
                <w:sz w:val="22"/>
                <w:szCs w:val="22"/>
                <w:lang w:eastAsia="en-GB"/>
                <w14:ligatures w14:val="none"/>
              </w:rPr>
            </w:pPr>
            <w:hyperlink r:id="rId12" w:history="1">
              <w:r w:rsidRPr="000F280D">
                <w:rPr>
                  <w:rFonts w:ascii="Arial" w:eastAsia="Times New Roman" w:hAnsi="Arial" w:cs="Arial"/>
                  <w:b/>
                  <w:bCs/>
                  <w:color w:val="212121"/>
                  <w:kern w:val="0"/>
                  <w:sz w:val="22"/>
                  <w:szCs w:val="22"/>
                  <w:lang w:eastAsia="en-GB"/>
                  <w14:ligatures w14:val="none"/>
                </w:rPr>
                <w:t>Allan &amp; Vadean (2021)</w:t>
              </w:r>
            </w:hyperlink>
          </w:p>
        </w:tc>
        <w:tc>
          <w:tcPr>
            <w:tcW w:w="0" w:type="auto"/>
            <w:tcBorders>
              <w:left w:val="single" w:sz="4" w:space="0" w:color="auto"/>
              <w:right w:val="single" w:sz="4" w:space="0" w:color="auto"/>
            </w:tcBorders>
            <w:vAlign w:val="center"/>
            <w:hideMark/>
          </w:tcPr>
          <w:p w14:paraId="77CE37CC"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Higher staff retention improves care quality and CQC ratings</w:t>
            </w:r>
          </w:p>
        </w:tc>
        <w:tc>
          <w:tcPr>
            <w:tcW w:w="0" w:type="auto"/>
            <w:vAlign w:val="center"/>
            <w:hideMark/>
          </w:tcPr>
          <w:p w14:paraId="3D3F9212"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Staff retention, continuity of care, quality ratings</w:t>
            </w:r>
          </w:p>
        </w:tc>
        <w:tc>
          <w:tcPr>
            <w:tcW w:w="0" w:type="auto"/>
            <w:tcBorders>
              <w:left w:val="single" w:sz="4" w:space="0" w:color="auto"/>
              <w:right w:val="single" w:sz="4" w:space="0" w:color="auto"/>
            </w:tcBorders>
            <w:vAlign w:val="center"/>
            <w:hideMark/>
          </w:tcPr>
          <w:p w14:paraId="4AD38FA2" w14:textId="4CAA7151"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Workforce </w:t>
            </w:r>
            <w:r w:rsidR="00811EA9" w:rsidRPr="000F280D">
              <w:rPr>
                <w:rFonts w:ascii="Arial" w:eastAsia="Times New Roman" w:hAnsi="Arial" w:cs="Arial"/>
                <w:kern w:val="0"/>
                <w:sz w:val="22"/>
                <w:szCs w:val="22"/>
                <w:lang w:eastAsia="en-GB"/>
                <w14:ligatures w14:val="none"/>
              </w:rPr>
              <w:t>S</w:t>
            </w:r>
            <w:r w:rsidRPr="000F280D">
              <w:rPr>
                <w:rFonts w:ascii="Arial" w:eastAsia="Times New Roman" w:hAnsi="Arial" w:cs="Arial"/>
                <w:kern w:val="0"/>
                <w:sz w:val="22"/>
                <w:szCs w:val="22"/>
                <w:lang w:eastAsia="en-GB"/>
                <w14:ligatures w14:val="none"/>
              </w:rPr>
              <w:t>tability</w:t>
            </w:r>
          </w:p>
        </w:tc>
        <w:tc>
          <w:tcPr>
            <w:tcW w:w="0" w:type="auto"/>
            <w:tcBorders>
              <w:right w:val="single" w:sz="4" w:space="0" w:color="auto"/>
            </w:tcBorders>
            <w:vAlign w:val="center"/>
            <w:hideMark/>
          </w:tcPr>
          <w:p w14:paraId="313A248D"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Impact on care quality and resident outcomes</w:t>
            </w:r>
          </w:p>
        </w:tc>
      </w:tr>
      <w:tr w:rsidR="00F45547" w:rsidRPr="000F280D" w14:paraId="7D5AB5D3" w14:textId="77777777" w:rsidTr="003975A1">
        <w:trPr>
          <w:trHeight w:val="1118"/>
          <w:tblCellSpacing w:w="15" w:type="dxa"/>
        </w:trPr>
        <w:tc>
          <w:tcPr>
            <w:tcW w:w="0" w:type="auto"/>
            <w:tcBorders>
              <w:left w:val="single" w:sz="4" w:space="0" w:color="auto"/>
            </w:tcBorders>
            <w:vAlign w:val="center"/>
            <w:hideMark/>
          </w:tcPr>
          <w:p w14:paraId="6EE9C13E" w14:textId="77777777" w:rsidR="00F45547" w:rsidRPr="000F280D" w:rsidRDefault="00F45547" w:rsidP="00B302AD">
            <w:pPr>
              <w:spacing w:after="0" w:line="360" w:lineRule="auto"/>
              <w:jc w:val="center"/>
              <w:rPr>
                <w:rFonts w:ascii="Arial" w:eastAsia="Times New Roman" w:hAnsi="Arial" w:cs="Arial"/>
                <w:b/>
                <w:bCs/>
                <w:color w:val="212121"/>
                <w:kern w:val="0"/>
                <w:sz w:val="22"/>
                <w:szCs w:val="22"/>
                <w:lang w:eastAsia="en-GB"/>
                <w14:ligatures w14:val="none"/>
              </w:rPr>
            </w:pPr>
            <w:hyperlink r:id="rId13" w:history="1">
              <w:r w:rsidRPr="000F280D">
                <w:rPr>
                  <w:rFonts w:ascii="Arial" w:eastAsia="Times New Roman" w:hAnsi="Arial" w:cs="Arial"/>
                  <w:b/>
                  <w:bCs/>
                  <w:color w:val="212121"/>
                  <w:kern w:val="0"/>
                  <w:sz w:val="22"/>
                  <w:szCs w:val="22"/>
                  <w:lang w:eastAsia="en-GB"/>
                  <w14:ligatures w14:val="none"/>
                </w:rPr>
                <w:t>Allan &amp; Vadean (2023)</w:t>
              </w:r>
            </w:hyperlink>
          </w:p>
        </w:tc>
        <w:tc>
          <w:tcPr>
            <w:tcW w:w="0" w:type="auto"/>
            <w:tcBorders>
              <w:top w:val="single" w:sz="4" w:space="0" w:color="auto"/>
              <w:left w:val="single" w:sz="4" w:space="0" w:color="auto"/>
              <w:right w:val="single" w:sz="4" w:space="0" w:color="auto"/>
            </w:tcBorders>
            <w:vAlign w:val="center"/>
            <w:hideMark/>
          </w:tcPr>
          <w:p w14:paraId="18A763AF"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Higher wages improve staff retention and quality</w:t>
            </w:r>
          </w:p>
        </w:tc>
        <w:tc>
          <w:tcPr>
            <w:tcW w:w="0" w:type="auto"/>
            <w:vAlign w:val="center"/>
            <w:hideMark/>
          </w:tcPr>
          <w:p w14:paraId="68A7E34C"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Pay, motivation, recruitment</w:t>
            </w:r>
          </w:p>
        </w:tc>
        <w:tc>
          <w:tcPr>
            <w:tcW w:w="0" w:type="auto"/>
            <w:tcBorders>
              <w:left w:val="single" w:sz="4" w:space="0" w:color="auto"/>
              <w:bottom w:val="single" w:sz="4" w:space="0" w:color="auto"/>
              <w:right w:val="single" w:sz="4" w:space="0" w:color="auto"/>
            </w:tcBorders>
            <w:vAlign w:val="center"/>
            <w:hideMark/>
          </w:tcPr>
          <w:p w14:paraId="0BC7D9B1"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Financial incentives</w:t>
            </w:r>
          </w:p>
        </w:tc>
        <w:tc>
          <w:tcPr>
            <w:tcW w:w="0" w:type="auto"/>
            <w:tcBorders>
              <w:bottom w:val="single" w:sz="4" w:space="0" w:color="auto"/>
              <w:right w:val="single" w:sz="4" w:space="0" w:color="auto"/>
            </w:tcBorders>
            <w:vAlign w:val="center"/>
            <w:hideMark/>
          </w:tcPr>
          <w:p w14:paraId="0CF7112D"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Strategies to improve recruitment and retention</w:t>
            </w:r>
          </w:p>
        </w:tc>
      </w:tr>
      <w:tr w:rsidR="00F45547" w:rsidRPr="000F280D" w14:paraId="52DA41A3" w14:textId="77777777" w:rsidTr="003975A1">
        <w:trPr>
          <w:trHeight w:val="815"/>
          <w:tblCellSpacing w:w="15" w:type="dxa"/>
        </w:trPr>
        <w:tc>
          <w:tcPr>
            <w:tcW w:w="0" w:type="auto"/>
            <w:tcBorders>
              <w:left w:val="single" w:sz="4" w:space="0" w:color="auto"/>
              <w:right w:val="single" w:sz="4" w:space="0" w:color="auto"/>
            </w:tcBorders>
            <w:vAlign w:val="center"/>
            <w:hideMark/>
          </w:tcPr>
          <w:p w14:paraId="1BFE4EA0" w14:textId="77777777" w:rsidR="00F45547" w:rsidRPr="000F280D" w:rsidRDefault="00F45547" w:rsidP="00B302AD">
            <w:pPr>
              <w:spacing w:after="0" w:line="360" w:lineRule="auto"/>
              <w:jc w:val="center"/>
              <w:rPr>
                <w:rFonts w:ascii="Arial" w:eastAsia="Times New Roman" w:hAnsi="Arial" w:cs="Arial"/>
                <w:b/>
                <w:bCs/>
                <w:color w:val="212121"/>
                <w:kern w:val="0"/>
                <w:sz w:val="22"/>
                <w:szCs w:val="22"/>
                <w:lang w:eastAsia="en-GB"/>
                <w14:ligatures w14:val="none"/>
              </w:rPr>
            </w:pPr>
            <w:hyperlink r:id="rId14" w:history="1">
              <w:r w:rsidRPr="000F280D">
                <w:rPr>
                  <w:rFonts w:ascii="Arial" w:eastAsia="Times New Roman" w:hAnsi="Arial" w:cs="Arial"/>
                  <w:b/>
                  <w:bCs/>
                  <w:color w:val="212121"/>
                  <w:kern w:val="0"/>
                  <w:sz w:val="22"/>
                  <w:szCs w:val="22"/>
                  <w:lang w:eastAsia="en-GB"/>
                  <w14:ligatures w14:val="none"/>
                </w:rPr>
                <w:t>Teo et al. (2022)</w:t>
              </w:r>
            </w:hyperlink>
          </w:p>
        </w:tc>
        <w:tc>
          <w:tcPr>
            <w:tcW w:w="0" w:type="auto"/>
            <w:tcBorders>
              <w:right w:val="single" w:sz="4" w:space="0" w:color="auto"/>
            </w:tcBorders>
            <w:vAlign w:val="center"/>
            <w:hideMark/>
          </w:tcPr>
          <w:p w14:paraId="061B040E"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Recruitment and retention vary according to employment conditions</w:t>
            </w:r>
          </w:p>
        </w:tc>
        <w:tc>
          <w:tcPr>
            <w:tcW w:w="0" w:type="auto"/>
            <w:tcBorders>
              <w:left w:val="single" w:sz="4" w:space="0" w:color="auto"/>
              <w:right w:val="single" w:sz="4" w:space="0" w:color="auto"/>
            </w:tcBorders>
            <w:vAlign w:val="center"/>
            <w:hideMark/>
          </w:tcPr>
          <w:p w14:paraId="55773BD7"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Recruitment, turnover, vacancies</w:t>
            </w:r>
          </w:p>
        </w:tc>
        <w:tc>
          <w:tcPr>
            <w:tcW w:w="0" w:type="auto"/>
            <w:tcBorders>
              <w:right w:val="single" w:sz="4" w:space="0" w:color="auto"/>
            </w:tcBorders>
            <w:vAlign w:val="center"/>
            <w:hideMark/>
          </w:tcPr>
          <w:p w14:paraId="5A3F8E21"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Workforce pressures</w:t>
            </w:r>
          </w:p>
        </w:tc>
        <w:tc>
          <w:tcPr>
            <w:tcW w:w="0" w:type="auto"/>
            <w:tcBorders>
              <w:right w:val="single" w:sz="4" w:space="0" w:color="auto"/>
            </w:tcBorders>
            <w:vAlign w:val="center"/>
            <w:hideMark/>
          </w:tcPr>
          <w:p w14:paraId="533C7ED3" w14:textId="58532947" w:rsidR="00F45547" w:rsidRPr="000F280D" w:rsidRDefault="00B02DE0" w:rsidP="00B302AD">
            <w:pPr>
              <w:spacing w:after="0" w:line="360" w:lineRule="auto"/>
              <w:rPr>
                <w:rFonts w:ascii="Arial" w:eastAsia="Times New Roman" w:hAnsi="Arial" w:cs="Arial"/>
                <w:kern w:val="0"/>
                <w:sz w:val="22"/>
                <w:szCs w:val="22"/>
                <w:lang w:eastAsia="en-GB"/>
                <w14:ligatures w14:val="none"/>
              </w:rPr>
            </w:pPr>
            <w:r w:rsidRPr="000F280D">
              <w:rPr>
                <w:rFonts w:ascii="Arial" w:hAnsi="Arial" w:cs="Arial"/>
                <w:sz w:val="22"/>
                <w:szCs w:val="22"/>
              </w:rPr>
              <w:t>Recruitment, retention and staff wellbeing</w:t>
            </w:r>
          </w:p>
        </w:tc>
      </w:tr>
      <w:tr w:rsidR="00F45547" w:rsidRPr="000F280D" w14:paraId="26C7090A" w14:textId="77777777" w:rsidTr="003975A1">
        <w:trPr>
          <w:trHeight w:val="1092"/>
          <w:tblCellSpacing w:w="15" w:type="dxa"/>
        </w:trPr>
        <w:tc>
          <w:tcPr>
            <w:tcW w:w="0" w:type="auto"/>
            <w:tcBorders>
              <w:left w:val="single" w:sz="4" w:space="0" w:color="auto"/>
              <w:right w:val="single" w:sz="4" w:space="0" w:color="auto"/>
            </w:tcBorders>
            <w:vAlign w:val="center"/>
            <w:hideMark/>
          </w:tcPr>
          <w:p w14:paraId="1A14F404" w14:textId="77777777" w:rsidR="00F45547" w:rsidRPr="000F280D" w:rsidRDefault="00F45547" w:rsidP="00B302AD">
            <w:pPr>
              <w:spacing w:after="0" w:line="360" w:lineRule="auto"/>
              <w:jc w:val="center"/>
              <w:rPr>
                <w:rFonts w:ascii="Arial" w:eastAsia="Times New Roman" w:hAnsi="Arial" w:cs="Arial"/>
                <w:b/>
                <w:bCs/>
                <w:color w:val="212121"/>
                <w:kern w:val="0"/>
                <w:sz w:val="22"/>
                <w:szCs w:val="22"/>
                <w:lang w:eastAsia="en-GB"/>
                <w14:ligatures w14:val="none"/>
              </w:rPr>
            </w:pPr>
            <w:hyperlink r:id="rId15" w:history="1">
              <w:r w:rsidRPr="000F280D">
                <w:rPr>
                  <w:rFonts w:ascii="Arial" w:eastAsia="Times New Roman" w:hAnsi="Arial" w:cs="Arial"/>
                  <w:b/>
                  <w:bCs/>
                  <w:color w:val="212121"/>
                  <w:kern w:val="0"/>
                  <w:sz w:val="22"/>
                  <w:szCs w:val="22"/>
                  <w:lang w:eastAsia="en-GB"/>
                  <w14:ligatures w14:val="none"/>
                </w:rPr>
                <w:t>Towers et al. (2021)</w:t>
              </w:r>
            </w:hyperlink>
          </w:p>
        </w:tc>
        <w:tc>
          <w:tcPr>
            <w:tcW w:w="0" w:type="auto"/>
            <w:vAlign w:val="center"/>
            <w:hideMark/>
          </w:tcPr>
          <w:p w14:paraId="30E20336"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Staffing influences residents’ quality of life</w:t>
            </w:r>
          </w:p>
        </w:tc>
        <w:tc>
          <w:tcPr>
            <w:tcW w:w="0" w:type="auto"/>
            <w:tcBorders>
              <w:left w:val="single" w:sz="4" w:space="0" w:color="auto"/>
            </w:tcBorders>
            <w:vAlign w:val="center"/>
            <w:hideMark/>
          </w:tcPr>
          <w:p w14:paraId="69A20C93"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Staffing levels, resident wellbeing</w:t>
            </w:r>
          </w:p>
        </w:tc>
        <w:tc>
          <w:tcPr>
            <w:tcW w:w="0" w:type="auto"/>
            <w:vAlign w:val="center"/>
            <w:hideMark/>
          </w:tcPr>
          <w:p w14:paraId="08C95B11"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Care outcomes</w:t>
            </w:r>
          </w:p>
        </w:tc>
        <w:tc>
          <w:tcPr>
            <w:tcW w:w="0" w:type="auto"/>
            <w:tcBorders>
              <w:right w:val="single" w:sz="4" w:space="0" w:color="auto"/>
            </w:tcBorders>
            <w:vAlign w:val="center"/>
            <w:hideMark/>
          </w:tcPr>
          <w:p w14:paraId="2FB751BA"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Impact on care quality and resident outcomes</w:t>
            </w:r>
          </w:p>
        </w:tc>
      </w:tr>
      <w:tr w:rsidR="00F45547" w:rsidRPr="000F280D" w14:paraId="6D41DBF3" w14:textId="77777777" w:rsidTr="003975A1">
        <w:trPr>
          <w:trHeight w:val="1105"/>
          <w:tblCellSpacing w:w="15" w:type="dxa"/>
        </w:trPr>
        <w:tc>
          <w:tcPr>
            <w:tcW w:w="0" w:type="auto"/>
            <w:tcBorders>
              <w:left w:val="single" w:sz="4" w:space="0" w:color="auto"/>
              <w:right w:val="single" w:sz="4" w:space="0" w:color="auto"/>
            </w:tcBorders>
            <w:vAlign w:val="center"/>
            <w:hideMark/>
          </w:tcPr>
          <w:p w14:paraId="3CB28E83" w14:textId="77777777" w:rsidR="00F45547" w:rsidRPr="000F280D" w:rsidRDefault="00F45547" w:rsidP="00B302AD">
            <w:pPr>
              <w:spacing w:after="0" w:line="360" w:lineRule="auto"/>
              <w:jc w:val="center"/>
              <w:rPr>
                <w:rFonts w:ascii="Arial" w:eastAsia="Times New Roman" w:hAnsi="Arial" w:cs="Arial"/>
                <w:b/>
                <w:bCs/>
                <w:color w:val="212121"/>
                <w:kern w:val="0"/>
                <w:sz w:val="22"/>
                <w:szCs w:val="22"/>
                <w:lang w:eastAsia="en-GB"/>
                <w14:ligatures w14:val="none"/>
              </w:rPr>
            </w:pPr>
            <w:hyperlink r:id="rId16" w:history="1">
              <w:r w:rsidRPr="000F280D">
                <w:rPr>
                  <w:rFonts w:ascii="Arial" w:eastAsia="Times New Roman" w:hAnsi="Arial" w:cs="Arial"/>
                  <w:b/>
                  <w:bCs/>
                  <w:color w:val="212121"/>
                  <w:kern w:val="0"/>
                  <w:sz w:val="22"/>
                  <w:szCs w:val="22"/>
                  <w:lang w:eastAsia="en-GB"/>
                  <w14:ligatures w14:val="none"/>
                </w:rPr>
                <w:t>Devi et al. (2021)</w:t>
              </w:r>
            </w:hyperlink>
          </w:p>
        </w:tc>
        <w:tc>
          <w:tcPr>
            <w:tcW w:w="0" w:type="auto"/>
            <w:tcBorders>
              <w:right w:val="single" w:sz="4" w:space="0" w:color="auto"/>
            </w:tcBorders>
            <w:vAlign w:val="center"/>
            <w:hideMark/>
          </w:tcPr>
          <w:p w14:paraId="2912152D"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Recruitment depends on leadership, organisational culture, pay and career opportunities</w:t>
            </w:r>
          </w:p>
        </w:tc>
        <w:tc>
          <w:tcPr>
            <w:tcW w:w="0" w:type="auto"/>
            <w:tcBorders>
              <w:right w:val="single" w:sz="4" w:space="0" w:color="auto"/>
            </w:tcBorders>
            <w:vAlign w:val="center"/>
            <w:hideMark/>
          </w:tcPr>
          <w:p w14:paraId="35C3342B"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Leadership, workload, career progression</w:t>
            </w:r>
          </w:p>
        </w:tc>
        <w:tc>
          <w:tcPr>
            <w:tcW w:w="0" w:type="auto"/>
            <w:tcBorders>
              <w:right w:val="single" w:sz="4" w:space="0" w:color="auto"/>
            </w:tcBorders>
            <w:vAlign w:val="center"/>
            <w:hideMark/>
          </w:tcPr>
          <w:p w14:paraId="1CB520C7"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Recruitment barriers</w:t>
            </w:r>
          </w:p>
        </w:tc>
        <w:tc>
          <w:tcPr>
            <w:tcW w:w="0" w:type="auto"/>
            <w:tcBorders>
              <w:right w:val="single" w:sz="4" w:space="0" w:color="auto"/>
            </w:tcBorders>
            <w:vAlign w:val="center"/>
            <w:hideMark/>
          </w:tcPr>
          <w:p w14:paraId="6BB72CE2" w14:textId="77777777" w:rsidR="00F45547" w:rsidRPr="000F280D" w:rsidRDefault="00F45547" w:rsidP="00B302AD">
            <w:pPr>
              <w:spacing w:after="0"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Causes of staff shortages</w:t>
            </w:r>
          </w:p>
        </w:tc>
      </w:tr>
    </w:tbl>
    <w:p w14:paraId="75DEF9A5" w14:textId="77777777" w:rsidR="0025208F" w:rsidRPr="000F280D" w:rsidRDefault="0025208F"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72D5973D" w14:textId="77777777" w:rsidR="000E12F6" w:rsidRPr="000F280D" w:rsidRDefault="000E12F6" w:rsidP="00B302AD">
      <w:pPr>
        <w:spacing w:line="360" w:lineRule="auto"/>
        <w:rPr>
          <w:rFonts w:ascii="Arial" w:hAnsi="Arial" w:cs="Arial"/>
          <w:b/>
          <w:bCs/>
          <w:sz w:val="22"/>
          <w:szCs w:val="22"/>
        </w:rPr>
      </w:pPr>
    </w:p>
    <w:p w14:paraId="3EB22446" w14:textId="77777777" w:rsidR="000E12F6" w:rsidRPr="000F280D" w:rsidRDefault="000E12F6" w:rsidP="00B302AD">
      <w:pPr>
        <w:spacing w:line="360" w:lineRule="auto"/>
        <w:rPr>
          <w:rFonts w:ascii="Arial" w:hAnsi="Arial" w:cs="Arial"/>
          <w:b/>
          <w:bCs/>
          <w:sz w:val="22"/>
          <w:szCs w:val="22"/>
        </w:rPr>
      </w:pPr>
    </w:p>
    <w:p w14:paraId="03ABEAB7" w14:textId="77777777" w:rsidR="000E12F6" w:rsidRPr="000F280D" w:rsidRDefault="000E12F6" w:rsidP="00B302AD">
      <w:pPr>
        <w:spacing w:line="360" w:lineRule="auto"/>
        <w:rPr>
          <w:rFonts w:ascii="Arial" w:hAnsi="Arial" w:cs="Arial"/>
          <w:b/>
          <w:bCs/>
          <w:sz w:val="22"/>
          <w:szCs w:val="22"/>
        </w:rPr>
      </w:pPr>
    </w:p>
    <w:p w14:paraId="23FC7A82" w14:textId="5326698B" w:rsidR="0025208F" w:rsidRPr="000F280D" w:rsidRDefault="0025208F" w:rsidP="00B302AD">
      <w:pPr>
        <w:spacing w:line="360" w:lineRule="auto"/>
        <w:rPr>
          <w:rFonts w:ascii="Arial" w:hAnsi="Arial" w:cs="Arial"/>
          <w:b/>
          <w:bCs/>
          <w:sz w:val="22"/>
          <w:szCs w:val="22"/>
        </w:rPr>
      </w:pPr>
      <w:r w:rsidRPr="000F280D">
        <w:rPr>
          <w:rFonts w:ascii="Arial" w:hAnsi="Arial" w:cs="Arial"/>
          <w:b/>
          <w:bCs/>
          <w:sz w:val="22"/>
          <w:szCs w:val="22"/>
        </w:rPr>
        <w:lastRenderedPageBreak/>
        <w:t>Discussion</w:t>
      </w:r>
    </w:p>
    <w:p w14:paraId="7B32C80B" w14:textId="1CF3D055" w:rsidR="0025208F" w:rsidRPr="000F280D" w:rsidRDefault="0025208F"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This discussion builds on the findings presented in the Results section and explores what they reveal about long-term staff shortages in UK care homes. The themes developed through Aveyard’s (2007) simplified thematic analysis</w:t>
      </w:r>
      <w:r w:rsidR="008923B5" w:rsidRPr="000F280D">
        <w:rPr>
          <w:rFonts w:ascii="Arial" w:eastAsia="Times New Roman" w:hAnsi="Arial" w:cs="Arial"/>
          <w:kern w:val="0"/>
          <w:sz w:val="22"/>
          <w:szCs w:val="22"/>
          <w:lang w:eastAsia="en-GB"/>
          <w14:ligatures w14:val="none"/>
        </w:rPr>
        <w:t xml:space="preserve"> </w:t>
      </w:r>
      <w:r w:rsidRPr="000F280D">
        <w:rPr>
          <w:rFonts w:ascii="Arial" w:eastAsia="Times New Roman" w:hAnsi="Arial" w:cs="Arial"/>
          <w:kern w:val="0"/>
          <w:sz w:val="22"/>
          <w:szCs w:val="22"/>
          <w:lang w:eastAsia="en-GB"/>
          <w14:ligatures w14:val="none"/>
        </w:rPr>
        <w:t xml:space="preserve">Causes of Staff Shortages, Recruitment, Retention and Staff Wellbeing, Impact on Care Quality and Resident Outcomes, and Strategies to Improve Recruitment and </w:t>
      </w:r>
      <w:r w:rsidR="00D87F52" w:rsidRPr="000F280D">
        <w:rPr>
          <w:rFonts w:ascii="Arial" w:eastAsia="Times New Roman" w:hAnsi="Arial" w:cs="Arial"/>
          <w:kern w:val="0"/>
          <w:sz w:val="22"/>
          <w:szCs w:val="22"/>
          <w:lang w:eastAsia="en-GB"/>
          <w14:ligatures w14:val="none"/>
        </w:rPr>
        <w:t>Retention provide</w:t>
      </w:r>
      <w:r w:rsidRPr="000F280D">
        <w:rPr>
          <w:rFonts w:ascii="Arial" w:eastAsia="Times New Roman" w:hAnsi="Arial" w:cs="Arial"/>
          <w:kern w:val="0"/>
          <w:sz w:val="22"/>
          <w:szCs w:val="22"/>
          <w:lang w:eastAsia="en-GB"/>
          <w14:ligatures w14:val="none"/>
        </w:rPr>
        <w:t xml:space="preserve"> a framework for interpreting the evidence. By comparing the findings across the five included studies, this discussion addresses the review question while considering how workforce pressures influence the everyday experiences of both care home staff and residents. The aim is to move beyond describing workforce shortages as statistical trends and instead highlight their wider impact on staff, residents and the delivery of person-centred care within UK care homes.</w:t>
      </w:r>
    </w:p>
    <w:p w14:paraId="372D50E7" w14:textId="2F97786F" w:rsidR="0025208F" w:rsidRPr="000F280D" w:rsidRDefault="00B82702"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Causes of Staff Shortages</w:t>
      </w:r>
    </w:p>
    <w:p w14:paraId="5AA74FEC" w14:textId="77777777" w:rsidR="00D479CA" w:rsidRPr="000F280D" w:rsidRDefault="00D479CA" w:rsidP="00B302AD">
      <w:pPr>
        <w:pStyle w:val="pdq2pgselectionanchorcontainer"/>
        <w:spacing w:line="360" w:lineRule="auto"/>
        <w:rPr>
          <w:rFonts w:ascii="Arial" w:hAnsi="Arial" w:cs="Arial"/>
          <w:sz w:val="22"/>
          <w:szCs w:val="22"/>
        </w:rPr>
      </w:pPr>
      <w:r w:rsidRPr="000F280D">
        <w:rPr>
          <w:rFonts w:ascii="Arial" w:hAnsi="Arial" w:cs="Arial"/>
          <w:sz w:val="22"/>
          <w:szCs w:val="22"/>
        </w:rPr>
        <w:t>The findings from the included studies demonstrate that long-term staff shortages in UK care homes result from a combination of economic, organisational and demographic factors rather than a single cause. Although each study focuses on different aspects of workforce instability, together they suggest that recruitment and retention difficulties are shaped by interconnected challenges affecting both employers and employees.</w:t>
      </w:r>
    </w:p>
    <w:p w14:paraId="5FB208C5" w14:textId="77777777" w:rsidR="00D479CA" w:rsidRPr="000F280D" w:rsidRDefault="00D479CA" w:rsidP="00B302AD">
      <w:pPr>
        <w:pStyle w:val="NormalWeb"/>
        <w:spacing w:line="360" w:lineRule="auto"/>
        <w:rPr>
          <w:rFonts w:ascii="Arial" w:hAnsi="Arial" w:cs="Arial"/>
          <w:sz w:val="22"/>
          <w:szCs w:val="22"/>
        </w:rPr>
      </w:pPr>
      <w:r w:rsidRPr="000F280D">
        <w:rPr>
          <w:rFonts w:ascii="Arial" w:hAnsi="Arial" w:cs="Arial"/>
          <w:sz w:val="22"/>
          <w:szCs w:val="22"/>
        </w:rPr>
        <w:t>Low pay emerged as one of the most consistent factors influencing workforce shortages. Allan and Vadean (2023) found that higher wages were associated with improved staff retention and better Care Quality Commission (CQC) ratings, suggesting that financial reward plays an important role in both retaining staff and maintaining service quality. Similarly, Devi et al. (2021) argue that although care workers undertake physically and emotionally demanding roles, salaries often fail to reflect the complexity and responsibility associated with their work. Consequently, care providers may struggle to attract and retain experienced employees, particularly when alternative employment offers better pay and working conditions.</w:t>
      </w:r>
    </w:p>
    <w:p w14:paraId="4C0746F5" w14:textId="77777777" w:rsidR="00D479CA" w:rsidRPr="000F280D" w:rsidRDefault="00D479CA" w:rsidP="00B302AD">
      <w:pPr>
        <w:pStyle w:val="NormalWeb"/>
        <w:spacing w:line="360" w:lineRule="auto"/>
        <w:rPr>
          <w:rFonts w:ascii="Arial" w:hAnsi="Arial" w:cs="Arial"/>
          <w:sz w:val="22"/>
          <w:szCs w:val="22"/>
        </w:rPr>
      </w:pPr>
      <w:r w:rsidRPr="000F280D">
        <w:rPr>
          <w:rFonts w:ascii="Arial" w:hAnsi="Arial" w:cs="Arial"/>
          <w:sz w:val="22"/>
          <w:szCs w:val="22"/>
        </w:rPr>
        <w:t xml:space="preserve">However, the evidence indicates that pay alone does not explain workforce instability. Devi et al. (2021) highlight the importance of leadership, organisational culture and career progression, suggesting that employees are more likely to remain within organisations where they feel valued, supported and able to develop professionally. Poor management, limited opportunities for advancement and inadequate support may reduce job satisfaction and </w:t>
      </w:r>
      <w:r w:rsidRPr="000F280D">
        <w:rPr>
          <w:rFonts w:ascii="Arial" w:hAnsi="Arial" w:cs="Arial"/>
          <w:sz w:val="22"/>
          <w:szCs w:val="22"/>
        </w:rPr>
        <w:lastRenderedPageBreak/>
        <w:t>increase staff turnover. This suggests that improving salaries without addressing wider organisational issues is unlikely to resolve workforce shortages.</w:t>
      </w:r>
    </w:p>
    <w:p w14:paraId="4E39F33A" w14:textId="77777777" w:rsidR="00D479CA" w:rsidRPr="000F280D" w:rsidRDefault="00D479CA" w:rsidP="00B302AD">
      <w:pPr>
        <w:pStyle w:val="NormalWeb"/>
        <w:spacing w:line="360" w:lineRule="auto"/>
        <w:rPr>
          <w:rFonts w:ascii="Arial" w:hAnsi="Arial" w:cs="Arial"/>
          <w:sz w:val="22"/>
          <w:szCs w:val="22"/>
        </w:rPr>
      </w:pPr>
      <w:r w:rsidRPr="000F280D">
        <w:rPr>
          <w:rFonts w:ascii="Arial" w:hAnsi="Arial" w:cs="Arial"/>
          <w:sz w:val="22"/>
          <w:szCs w:val="22"/>
        </w:rPr>
        <w:t>Teo et al. (2022) further demonstrate that employment conditions and regional labour market differences influence recruitment and retention. Care homes located in areas with limited workforce availability or greater competition from NHS employers experienced greater recruitment difficulties. Unlike Allan and Vadean (2023), who primarily emphasise financial incentives, Teo et al. (2022) suggest that workforce planning and local employment conditions also play an important role in maintaining workforce stability. This comparison illustrates that workforce shortages cannot be explained by one factor alone but instead reflect a complex interaction between financial, organisational and demographic influences.</w:t>
      </w:r>
    </w:p>
    <w:p w14:paraId="2034EA30" w14:textId="77777777" w:rsidR="00D479CA" w:rsidRPr="000F280D" w:rsidRDefault="00D479CA" w:rsidP="00B302AD">
      <w:pPr>
        <w:pStyle w:val="NormalWeb"/>
        <w:spacing w:line="360" w:lineRule="auto"/>
        <w:rPr>
          <w:rFonts w:ascii="Arial" w:hAnsi="Arial" w:cs="Arial"/>
          <w:sz w:val="22"/>
          <w:szCs w:val="22"/>
        </w:rPr>
      </w:pPr>
      <w:r w:rsidRPr="000F280D">
        <w:rPr>
          <w:rFonts w:ascii="Arial" w:hAnsi="Arial" w:cs="Arial"/>
          <w:sz w:val="22"/>
          <w:szCs w:val="22"/>
        </w:rPr>
        <w:t>Although Allan and Vadean (2023) provide robust quantitative evidence linking higher wages with improved staff retention, their observational study identifies associations rather than direct cause-and-effect relationships. Other organisational factors, including leadership quality, staffing levels and care home resources, may also influence both staff retention and care quality. Likewise, Devi et al. (2021) synthesise evidence from a range of studies, providing a comprehensive overview of recruitment and retention challenges; however, the conclusions are dependent on the quality of the studies included in the review. Nevertheless, the consistency of findings across the included studies strengthens confidence that workforce shortages are driven by multiple interconnected factors requiring equally multifaceted solutions.</w:t>
      </w:r>
    </w:p>
    <w:p w14:paraId="73C23E87" w14:textId="3CBD28AC" w:rsidR="00B82702" w:rsidRPr="000F280D" w:rsidRDefault="00B82702"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Recruitment, Retention and Staff Wellbeing</w:t>
      </w:r>
    </w:p>
    <w:p w14:paraId="498E87C4" w14:textId="77777777" w:rsidR="00562B5B" w:rsidRPr="000F280D" w:rsidRDefault="00562B5B" w:rsidP="00B302AD">
      <w:pPr>
        <w:pStyle w:val="pdq2pgselectionanchorcontainer"/>
        <w:spacing w:line="360" w:lineRule="auto"/>
        <w:rPr>
          <w:rFonts w:ascii="Arial" w:hAnsi="Arial" w:cs="Arial"/>
          <w:sz w:val="22"/>
          <w:szCs w:val="22"/>
        </w:rPr>
      </w:pPr>
      <w:r w:rsidRPr="000F280D">
        <w:rPr>
          <w:rFonts w:ascii="Arial" w:hAnsi="Arial" w:cs="Arial"/>
          <w:sz w:val="22"/>
          <w:szCs w:val="22"/>
        </w:rPr>
        <w:t>The reviewed studies demonstrate that recruitment, retention and staff wellbeing are closely interconnected. Rather than existing as separate issues, workforce shortages contribute to increased workload pressures, emotional exhaustion and burnout, all of which influence staff members' decisions to remain within the care sector. Consequently, shortages and poor staff wellbeing reinforce one another, creating a cycle that becomes increasingly difficult to break.</w:t>
      </w:r>
    </w:p>
    <w:p w14:paraId="7BFB4516" w14:textId="77777777" w:rsidR="00562B5B" w:rsidRPr="000F280D" w:rsidRDefault="00562B5B" w:rsidP="00B302AD">
      <w:pPr>
        <w:pStyle w:val="NormalWeb"/>
        <w:spacing w:line="360" w:lineRule="auto"/>
        <w:rPr>
          <w:rFonts w:ascii="Arial" w:hAnsi="Arial" w:cs="Arial"/>
          <w:sz w:val="22"/>
          <w:szCs w:val="22"/>
        </w:rPr>
      </w:pPr>
      <w:r w:rsidRPr="000F280D">
        <w:rPr>
          <w:rFonts w:ascii="Arial" w:hAnsi="Arial" w:cs="Arial"/>
          <w:sz w:val="22"/>
          <w:szCs w:val="22"/>
        </w:rPr>
        <w:t>Devi et al. (2021) describe how emotionally demanding work, high workloads and limited organisational support contribute to stress and reduced job satisfaction among care home staff. Excessive workloads limit opportunities for meaningful interactions with residents, increasing emotional strain while reducing professional satisfaction. Similarly, Teo et al. (2022) found that care homes offering supportive employment conditions experienced greater workforce stability, suggesting that organisational culture and leadership are important determinants of staff wellbeing.</w:t>
      </w:r>
    </w:p>
    <w:p w14:paraId="719669DB" w14:textId="77777777" w:rsidR="00562B5B" w:rsidRPr="000F280D" w:rsidRDefault="00562B5B" w:rsidP="00B302AD">
      <w:pPr>
        <w:pStyle w:val="NormalWeb"/>
        <w:spacing w:line="360" w:lineRule="auto"/>
        <w:rPr>
          <w:rFonts w:ascii="Arial" w:hAnsi="Arial" w:cs="Arial"/>
          <w:sz w:val="22"/>
          <w:szCs w:val="22"/>
        </w:rPr>
      </w:pPr>
      <w:r w:rsidRPr="000F280D">
        <w:rPr>
          <w:rFonts w:ascii="Arial" w:hAnsi="Arial" w:cs="Arial"/>
          <w:sz w:val="22"/>
          <w:szCs w:val="22"/>
        </w:rPr>
        <w:lastRenderedPageBreak/>
        <w:t>Although Allan and Vadean (2021) focused primarily on organisational outcomes, their findings also suggest that higher staff retention contributes to stronger team relationships, lower workloads and improved continuity of care. Stable staffing reduces the pressure placed on remaining employees, whereas frequent staff turnover increases workload demands and contributes to emotional exhaustion.</w:t>
      </w:r>
    </w:p>
    <w:p w14:paraId="3267E2FB" w14:textId="77777777" w:rsidR="00562B5B" w:rsidRPr="000F280D" w:rsidRDefault="00562B5B" w:rsidP="00B302AD">
      <w:pPr>
        <w:pStyle w:val="NormalWeb"/>
        <w:spacing w:line="360" w:lineRule="auto"/>
        <w:rPr>
          <w:rFonts w:ascii="Arial" w:hAnsi="Arial" w:cs="Arial"/>
          <w:sz w:val="22"/>
          <w:szCs w:val="22"/>
        </w:rPr>
      </w:pPr>
      <w:r w:rsidRPr="000F280D">
        <w:rPr>
          <w:rFonts w:ascii="Arial" w:hAnsi="Arial" w:cs="Arial"/>
          <w:sz w:val="22"/>
          <w:szCs w:val="22"/>
        </w:rPr>
        <w:t>The findings from Devi et al. (2021), Teo et al. (2022) and Allan and Vadean (2021) collectively demonstrate that burnout is both a cause and a consequence of workforce shortages. As staffing levels decline, remaining employees are required to manage increasing workloads, reducing job satisfaction and encouraging experienced staff to leave the profession. This further intensifies recruitment difficulties, creating a continuous cycle of workforce instability.</w:t>
      </w:r>
    </w:p>
    <w:p w14:paraId="52E26E18" w14:textId="52ED663F" w:rsidR="003F505D" w:rsidRPr="000F280D" w:rsidRDefault="003F505D" w:rsidP="00B302AD">
      <w:pPr>
        <w:pStyle w:val="NormalWeb"/>
        <w:spacing w:line="360" w:lineRule="auto"/>
        <w:rPr>
          <w:rFonts w:ascii="Arial" w:hAnsi="Arial" w:cs="Arial"/>
          <w:sz w:val="22"/>
          <w:szCs w:val="22"/>
        </w:rPr>
      </w:pPr>
      <w:r w:rsidRPr="000F280D">
        <w:rPr>
          <w:rFonts w:ascii="Arial" w:hAnsi="Arial" w:cs="Arial"/>
          <w:sz w:val="22"/>
          <w:szCs w:val="22"/>
        </w:rPr>
        <w:t>Despite using different research designs, the studies reached similar conclusions regarding the importance of supportive leadership, positive organisational cultures and staff wellbeing in improving workforce stability. This consistency strengthens confidence in the overall findings.</w:t>
      </w:r>
    </w:p>
    <w:p w14:paraId="5C85EFB7" w14:textId="77777777" w:rsidR="00562B5B" w:rsidRPr="000F280D" w:rsidRDefault="00562B5B" w:rsidP="00B302AD">
      <w:pPr>
        <w:pStyle w:val="NormalWeb"/>
        <w:spacing w:line="360" w:lineRule="auto"/>
        <w:rPr>
          <w:rFonts w:ascii="Arial" w:hAnsi="Arial" w:cs="Arial"/>
          <w:sz w:val="22"/>
          <w:szCs w:val="22"/>
        </w:rPr>
      </w:pPr>
      <w:r w:rsidRPr="000F280D">
        <w:rPr>
          <w:rFonts w:ascii="Arial" w:hAnsi="Arial" w:cs="Arial"/>
          <w:sz w:val="22"/>
          <w:szCs w:val="22"/>
        </w:rPr>
        <w:t>Overall, recruitment and retention cannot be improved without addressing staff wellbeing. Organisations should therefore prioritise supportive leadership, manageable workloads, professional development opportunities and positive workplace cultures alongside recruitment initiatives to achieve sustainable improvements in workforce stability.</w:t>
      </w:r>
    </w:p>
    <w:p w14:paraId="60EE20D8" w14:textId="61B72BB4" w:rsidR="00B82702" w:rsidRPr="000F280D" w:rsidRDefault="00B82702"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Impact on Care Quality and Resid</w:t>
      </w:r>
      <w:r w:rsidR="00D04CE5" w:rsidRPr="000F280D">
        <w:rPr>
          <w:rFonts w:ascii="Arial" w:eastAsia="Times New Roman" w:hAnsi="Arial" w:cs="Arial"/>
          <w:b/>
          <w:bCs/>
          <w:kern w:val="0"/>
          <w:sz w:val="22"/>
          <w:szCs w:val="22"/>
          <w:lang w:eastAsia="en-GB"/>
          <w14:ligatures w14:val="none"/>
        </w:rPr>
        <w:t>ent Outcomes</w:t>
      </w:r>
    </w:p>
    <w:p w14:paraId="23B5AB3B" w14:textId="77777777" w:rsidR="00904225" w:rsidRPr="000F280D" w:rsidRDefault="00904225" w:rsidP="00B302AD">
      <w:pPr>
        <w:pStyle w:val="NormalWeb"/>
        <w:spacing w:line="360" w:lineRule="auto"/>
        <w:rPr>
          <w:rFonts w:ascii="Arial" w:hAnsi="Arial" w:cs="Arial"/>
          <w:sz w:val="22"/>
          <w:szCs w:val="22"/>
        </w:rPr>
      </w:pPr>
      <w:r w:rsidRPr="000F280D">
        <w:rPr>
          <w:rFonts w:ascii="Arial" w:hAnsi="Arial" w:cs="Arial"/>
          <w:sz w:val="22"/>
          <w:szCs w:val="22"/>
        </w:rPr>
        <w:t>The reviewed studies consistently demonstrate that workforce stability is fundamental to delivering high-quality, person-centred care within UK care homes. Rather than affecting organisational performance alone, long-term staff shortages directly influence the quality, safety and continuity of care provided to residents. The evidence suggests that maintaining a stable workforce is essential for promoting positive resident outcomes and ensuring compliance with regulatory standards.</w:t>
      </w:r>
    </w:p>
    <w:p w14:paraId="0B76BC0C" w14:textId="0372FCAC" w:rsidR="00904225" w:rsidRPr="000F280D" w:rsidRDefault="00904225" w:rsidP="00B302AD">
      <w:pPr>
        <w:pStyle w:val="NormalWeb"/>
        <w:spacing w:line="360" w:lineRule="auto"/>
        <w:rPr>
          <w:rFonts w:ascii="Arial" w:hAnsi="Arial" w:cs="Arial"/>
          <w:sz w:val="22"/>
          <w:szCs w:val="22"/>
        </w:rPr>
      </w:pPr>
      <w:r w:rsidRPr="000F280D">
        <w:rPr>
          <w:rFonts w:ascii="Arial" w:hAnsi="Arial" w:cs="Arial"/>
          <w:sz w:val="22"/>
          <w:szCs w:val="22"/>
        </w:rPr>
        <w:t xml:space="preserve">Allan and Vadean (2021) found that care homes with higher staff retention achieved better Care Quality Commission (CQC) ratings, indicating that workforce stability contributes to improved service quality. Stable staffing allows care workers to build trusting relationships with residents, recognise changes in their physical and emotional wellbeing and respond more effectively to individual care needs. </w:t>
      </w:r>
    </w:p>
    <w:p w14:paraId="6518C204" w14:textId="77777777" w:rsidR="00904225" w:rsidRPr="000F280D" w:rsidRDefault="00904225" w:rsidP="00B302AD">
      <w:pPr>
        <w:pStyle w:val="NormalWeb"/>
        <w:spacing w:line="360" w:lineRule="auto"/>
        <w:rPr>
          <w:rFonts w:ascii="Arial" w:hAnsi="Arial" w:cs="Arial"/>
          <w:sz w:val="22"/>
          <w:szCs w:val="22"/>
        </w:rPr>
      </w:pPr>
      <w:r w:rsidRPr="000F280D">
        <w:rPr>
          <w:rFonts w:ascii="Arial" w:hAnsi="Arial" w:cs="Arial"/>
          <w:sz w:val="22"/>
          <w:szCs w:val="22"/>
        </w:rPr>
        <w:lastRenderedPageBreak/>
        <w:t>Similarly, Towers et al. (2021) demonstrate the wider impact of workforce stability on residents' quality of life. Their mixed-methods study found that residents benefited from familiar staff, consistent routines and carers who understood their individual preferences, personal histories and care requirements. These findings were particularly evident among residents living with dementia, where familiarity and consistency reduced anxiety, confusion and emotional distress. Compared with Allan and Vadean (2021), who primarily focused on CQC ratings, Towers et al. (2021) provide a broader understanding of how staffing stability influences residents' everyday experiences and overall wellbeing.</w:t>
      </w:r>
    </w:p>
    <w:p w14:paraId="01D8135C" w14:textId="77777777" w:rsidR="00904225" w:rsidRPr="000F280D" w:rsidRDefault="00904225" w:rsidP="00B302AD">
      <w:pPr>
        <w:pStyle w:val="NormalWeb"/>
        <w:spacing w:line="360" w:lineRule="auto"/>
        <w:rPr>
          <w:rFonts w:ascii="Arial" w:hAnsi="Arial" w:cs="Arial"/>
          <w:sz w:val="22"/>
          <w:szCs w:val="22"/>
        </w:rPr>
      </w:pPr>
      <w:r w:rsidRPr="000F280D">
        <w:rPr>
          <w:rFonts w:ascii="Arial" w:hAnsi="Arial" w:cs="Arial"/>
          <w:sz w:val="22"/>
          <w:szCs w:val="22"/>
        </w:rPr>
        <w:t>Allan and Vadean (2023) further support these findings by demonstrating that higher wages improve staff retention, which in turn contributes to better care quality. Competitive pay may therefore strengthen workforce stability by reducing turnover and encouraging experienced staff to remain within the sector. However, Towers et al. (2021) suggest that continuity of care itself, rather than pay alone, has the greatest influence on residents' quality of life. This comparison indicates that although financial investment is important, improvements in care quality are more likely to be achieved when competitive pay is combined with supportive leadership, positive workplace cultures and effective workforce planning.</w:t>
      </w:r>
    </w:p>
    <w:p w14:paraId="596B6638" w14:textId="77777777" w:rsidR="00904225" w:rsidRPr="000F280D" w:rsidRDefault="00904225" w:rsidP="00B302AD">
      <w:pPr>
        <w:pStyle w:val="NormalWeb"/>
        <w:spacing w:line="360" w:lineRule="auto"/>
        <w:rPr>
          <w:rFonts w:ascii="Arial" w:hAnsi="Arial" w:cs="Arial"/>
          <w:sz w:val="22"/>
          <w:szCs w:val="22"/>
        </w:rPr>
      </w:pPr>
      <w:r w:rsidRPr="000F280D">
        <w:rPr>
          <w:rFonts w:ascii="Arial" w:hAnsi="Arial" w:cs="Arial"/>
          <w:sz w:val="22"/>
          <w:szCs w:val="22"/>
        </w:rPr>
        <w:t>When staffing shortages occur, the consequences for residents can be significant. High workloads often require staff to prioritise essential physical care, leaving less time for emotional support, meaningful communication and personalised interactions. This may reduce residents' quality of life and increase safeguarding risks if staff have insufficient time to monitor changes in health or respond promptly to concerns. Consequently, workforce shortages affect not only operational efficiency but also residents' dignity, independence and overall wellbeing.</w:t>
      </w:r>
    </w:p>
    <w:p w14:paraId="083D5C39" w14:textId="77777777" w:rsidR="00904225" w:rsidRPr="000F280D" w:rsidRDefault="00904225" w:rsidP="00B302AD">
      <w:pPr>
        <w:pStyle w:val="NormalWeb"/>
        <w:spacing w:line="360" w:lineRule="auto"/>
        <w:rPr>
          <w:rFonts w:ascii="Arial" w:hAnsi="Arial" w:cs="Arial"/>
          <w:sz w:val="22"/>
          <w:szCs w:val="22"/>
        </w:rPr>
      </w:pPr>
      <w:r w:rsidRPr="000F280D">
        <w:rPr>
          <w:rFonts w:ascii="Arial" w:hAnsi="Arial" w:cs="Arial"/>
          <w:sz w:val="22"/>
          <w:szCs w:val="22"/>
        </w:rPr>
        <w:t>Although the studies consistently demonstrate positive associations between workforce stability and care quality, most identify relationships rather than direct causation. Allan and Vadean (2021) relied on observational data, meaning that other factors, including leadership quality, funding levels and organisational culture, may also have contributed to improved CQC ratings. In contrast, Towers et al. (2021) used a mixed-methods approach, providing a richer understanding of residents' experiences by combining quantitative findings with qualitative evidence. This methodological difference strengthens the overall evidence base by offering both statistical evidence and insight into residents' lived experiences.</w:t>
      </w:r>
    </w:p>
    <w:p w14:paraId="3507B413" w14:textId="77777777" w:rsidR="00904225" w:rsidRPr="000F280D" w:rsidRDefault="00904225" w:rsidP="00B302AD">
      <w:pPr>
        <w:pStyle w:val="NormalWeb"/>
        <w:spacing w:line="360" w:lineRule="auto"/>
        <w:rPr>
          <w:rFonts w:ascii="Arial" w:hAnsi="Arial" w:cs="Arial"/>
          <w:sz w:val="22"/>
          <w:szCs w:val="22"/>
        </w:rPr>
      </w:pPr>
      <w:r w:rsidRPr="000F280D">
        <w:rPr>
          <w:rFonts w:ascii="Arial" w:hAnsi="Arial" w:cs="Arial"/>
          <w:sz w:val="22"/>
          <w:szCs w:val="22"/>
        </w:rPr>
        <w:t xml:space="preserve">Overall, the evidence demonstrates that workforce stability is essential for maintaining high-quality, person-centred care. Stable staffing promotes continuity, strengthens relationships between staff and residents and improves both safety and quality of care. Conversely, </w:t>
      </w:r>
      <w:r w:rsidRPr="000F280D">
        <w:rPr>
          <w:rFonts w:ascii="Arial" w:hAnsi="Arial" w:cs="Arial"/>
          <w:sz w:val="22"/>
          <w:szCs w:val="22"/>
        </w:rPr>
        <w:lastRenderedPageBreak/>
        <w:t>persistent workforce shortages undermine resident wellbeing, increase organisational pressures and reduce opportunities to deliver compassionate, individualised care. These findings reinforce the importance of workforce retention as a key strategy for improving care quality within UK care homes.</w:t>
      </w:r>
    </w:p>
    <w:p w14:paraId="3B794506" w14:textId="4DD7A5AE" w:rsidR="00D04CE5" w:rsidRPr="000F280D" w:rsidRDefault="00D04CE5" w:rsidP="00B302AD">
      <w:pPr>
        <w:pStyle w:val="NormalWeb"/>
        <w:spacing w:line="360" w:lineRule="auto"/>
        <w:rPr>
          <w:rFonts w:ascii="Arial" w:hAnsi="Arial" w:cs="Arial"/>
          <w:b/>
          <w:bCs/>
          <w:sz w:val="22"/>
          <w:szCs w:val="22"/>
        </w:rPr>
      </w:pPr>
      <w:r w:rsidRPr="000F280D">
        <w:rPr>
          <w:rFonts w:ascii="Arial" w:hAnsi="Arial" w:cs="Arial"/>
          <w:b/>
          <w:bCs/>
          <w:sz w:val="22"/>
          <w:szCs w:val="22"/>
        </w:rPr>
        <w:t>Strategies to Improve Recruitment and Retention</w:t>
      </w:r>
    </w:p>
    <w:p w14:paraId="125B439D" w14:textId="77777777" w:rsidR="00BE7E0F" w:rsidRPr="000F280D" w:rsidRDefault="00BE7E0F"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The reviewed studies identify several approaches that may help address long-term staff shortages within UK care homes. Although no single intervention is sufficient to resolve workforce challenges, the evidence suggests that improving recruitment and retention requires a coordinated strategy combining financial investment, supportive leadership, workforce planning and staff development.</w:t>
      </w:r>
    </w:p>
    <w:p w14:paraId="523D873F" w14:textId="283A2DFD" w:rsidR="00BE7E0F" w:rsidRPr="000F280D" w:rsidRDefault="00BE7E0F"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Improved pay is consistently identified as one of the most important strategies for strengthening workforce stability. Allan and Vadean (2023) found that higher wages were associated with improved staff retention and better care quality, suggesting that competitive salaries encourage experienced employees to remain within the sector while also attracting new recruits. </w:t>
      </w:r>
    </w:p>
    <w:p w14:paraId="01EE2AB9" w14:textId="6D90014F" w:rsidR="00843ED3" w:rsidRPr="000F280D" w:rsidRDefault="00843ED3"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hAnsi="Arial" w:cs="Arial"/>
          <w:sz w:val="22"/>
          <w:szCs w:val="22"/>
        </w:rPr>
        <w:t>However, the evidence also demonstrates that financial incentives alone are unlikely to resolve long-term workforce shortages. Devi et al. (2021) and Skills for Care (2026) emphasise the importance of effective leadership, positive organisational culture and career development in supporting staff retention. Consequently, investment in leadership development may be equally important in improving workforce retention.</w:t>
      </w:r>
    </w:p>
    <w:p w14:paraId="78A7D8B5" w14:textId="77777777" w:rsidR="00BE7E0F" w:rsidRPr="000F280D" w:rsidRDefault="00BE7E0F"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Teo et al. (2022) provide a broader perspective by highlighting the influence of regional labour markets and workforce planning. Their findings demonstrate that recruitment challenges vary across different areas of England, suggesting that national workforce strategies should be supported by local initiatives tailored to regional needs. Partnerships with colleges and universities, targeted recruitment campaigns and incentives for rural or hard-to-recruit areas may therefore provide more sustainable workforce solutions than standardised national approaches alone.</w:t>
      </w:r>
    </w:p>
    <w:p w14:paraId="5A317F61" w14:textId="77777777" w:rsidR="00BE7E0F" w:rsidRPr="000F280D" w:rsidRDefault="00BE7E0F"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Similarly, Towers et al. (2021) emphasise the importance of workforce stability in improving residents' quality of life. Their findings suggest that retention strategies should prioritise supportive working environments, adequate staffing levels and consistent team structures that enable staff to build lasting relationships with residents. Flexible working arrangements may also contribute to improved retention by helping employees achieve a healthier balance </w:t>
      </w:r>
      <w:r w:rsidRPr="000F280D">
        <w:rPr>
          <w:rFonts w:ascii="Arial" w:eastAsia="Times New Roman" w:hAnsi="Arial" w:cs="Arial"/>
          <w:kern w:val="0"/>
          <w:sz w:val="22"/>
          <w:szCs w:val="22"/>
          <w:lang w:eastAsia="en-GB"/>
          <w14:ligatures w14:val="none"/>
        </w:rPr>
        <w:lastRenderedPageBreak/>
        <w:t>between their professional and personal responsibilities, thereby reducing burnout and improving job satisfaction.</w:t>
      </w:r>
    </w:p>
    <w:p w14:paraId="37F08E2C" w14:textId="77777777" w:rsidR="00BE7E0F" w:rsidRPr="000F280D" w:rsidRDefault="00BE7E0F"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Across the reviewed studies, several key strategies were consistently identified:</w:t>
      </w:r>
    </w:p>
    <w:p w14:paraId="228AF0F9" w14:textId="77777777" w:rsidR="00BE7E0F" w:rsidRPr="000F280D" w:rsidRDefault="00BE7E0F" w:rsidP="00B302AD">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Improved pay and financial incentives </w:t>
      </w:r>
    </w:p>
    <w:p w14:paraId="474B42C5" w14:textId="77777777" w:rsidR="00BE7E0F" w:rsidRPr="000F280D" w:rsidRDefault="00BE7E0F" w:rsidP="00B302AD">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Strong leadership and supportive organisational cultures </w:t>
      </w:r>
    </w:p>
    <w:p w14:paraId="2D4D4FE4" w14:textId="77777777" w:rsidR="00BE7E0F" w:rsidRPr="000F280D" w:rsidRDefault="00BE7E0F" w:rsidP="00B302AD">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Clear career pathways and continuing professional development </w:t>
      </w:r>
    </w:p>
    <w:p w14:paraId="09FEACE2" w14:textId="77777777" w:rsidR="00BE7E0F" w:rsidRPr="000F280D" w:rsidRDefault="00BE7E0F" w:rsidP="00B302AD">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Flexible working arrangements </w:t>
      </w:r>
    </w:p>
    <w:p w14:paraId="0A3AFF6B" w14:textId="77777777" w:rsidR="00BE7E0F" w:rsidRPr="000F280D" w:rsidRDefault="00BE7E0F" w:rsidP="00B302AD">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Local and national workforce planning </w:t>
      </w:r>
    </w:p>
    <w:p w14:paraId="146570E2" w14:textId="77777777" w:rsidR="00BE7E0F" w:rsidRPr="000F280D" w:rsidRDefault="00BE7E0F" w:rsidP="00B302AD">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Investment in staff wellbeing and emotional support </w:t>
      </w:r>
    </w:p>
    <w:p w14:paraId="12A84CBF" w14:textId="77777777" w:rsidR="00BE7E0F" w:rsidRPr="000F280D" w:rsidRDefault="00BE7E0F"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Despite identifying several promising strategies, the evidence provides limited evaluation of their long-term effectiveness. Most studies measured workforce outcomes over relatively short periods, making it difficult to determine whether improvements in pay, leadership or career development produce sustainable changes in recruitment and retention. Furthermore, the majority of the research focused on care homes in England, limiting the transferability of findings to Scotland, Wales and Northern Ireland.</w:t>
      </w:r>
    </w:p>
    <w:p w14:paraId="5D94E92B" w14:textId="77777777" w:rsidR="00BE7E0F" w:rsidRPr="000F280D" w:rsidRDefault="00BE7E0F"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Overall, the evidence suggests that recruitment and retention require a coordinated approach rather than reliance on a single intervention. Financial investment, supportive leadership, effective workforce planning and staff wellbeing initiatives are likely to be most successful when implemented together as part of a long-term workforce strategy. However, further research is needed to evaluate which interventions produce the most sustainable improvements in workforce stability across UK care homes.</w:t>
      </w:r>
    </w:p>
    <w:p w14:paraId="113758B5" w14:textId="31E6F4C2" w:rsidR="00D04CE5" w:rsidRPr="000F280D" w:rsidRDefault="00D04CE5" w:rsidP="00B302AD">
      <w:pPr>
        <w:spacing w:before="100" w:beforeAutospacing="1" w:after="100" w:afterAutospacing="1" w:line="360" w:lineRule="auto"/>
        <w:rPr>
          <w:rFonts w:ascii="Arial" w:hAnsi="Arial" w:cs="Arial"/>
          <w:b/>
          <w:bCs/>
          <w:sz w:val="22"/>
          <w:szCs w:val="22"/>
        </w:rPr>
      </w:pPr>
      <w:r w:rsidRPr="000F280D">
        <w:rPr>
          <w:rFonts w:ascii="Arial" w:hAnsi="Arial" w:cs="Arial"/>
          <w:b/>
          <w:bCs/>
          <w:sz w:val="22"/>
          <w:szCs w:val="22"/>
        </w:rPr>
        <w:t>Critical Ref</w:t>
      </w:r>
      <w:r w:rsidR="0064255E" w:rsidRPr="000F280D">
        <w:rPr>
          <w:rFonts w:ascii="Arial" w:hAnsi="Arial" w:cs="Arial"/>
          <w:b/>
          <w:bCs/>
          <w:sz w:val="22"/>
          <w:szCs w:val="22"/>
        </w:rPr>
        <w:t>lection</w:t>
      </w:r>
      <w:r w:rsidRPr="000F280D">
        <w:rPr>
          <w:rFonts w:ascii="Arial" w:hAnsi="Arial" w:cs="Arial"/>
          <w:b/>
          <w:bCs/>
          <w:sz w:val="22"/>
          <w:szCs w:val="22"/>
        </w:rPr>
        <w:t xml:space="preserve"> on the Evidence</w:t>
      </w:r>
    </w:p>
    <w:p w14:paraId="0420DE8D" w14:textId="77777777" w:rsidR="001467F0" w:rsidRPr="000F280D" w:rsidRDefault="001467F0" w:rsidP="00B302AD">
      <w:pPr>
        <w:pStyle w:val="pdq2pgselectionanchorcontainer"/>
        <w:spacing w:line="360" w:lineRule="auto"/>
        <w:rPr>
          <w:rFonts w:ascii="Arial" w:hAnsi="Arial" w:cs="Arial"/>
          <w:sz w:val="22"/>
          <w:szCs w:val="22"/>
        </w:rPr>
      </w:pPr>
      <w:r w:rsidRPr="000F280D">
        <w:rPr>
          <w:rFonts w:ascii="Arial" w:hAnsi="Arial" w:cs="Arial"/>
          <w:sz w:val="22"/>
          <w:szCs w:val="22"/>
        </w:rPr>
        <w:t>The five peer-reviewed studies consistently demonstrate that long-term staff shortages negatively affect recruitment, retention, staff wellbeing and care quality within UK care homes. The use of different research methods, including quantitative, mixed-methods and evidence reviews, strengthens confidence in the overall findings by providing complementary perspectives on workforce challenges.</w:t>
      </w:r>
    </w:p>
    <w:p w14:paraId="7C067214" w14:textId="77777777" w:rsidR="001467F0" w:rsidRPr="000F280D" w:rsidRDefault="001467F0" w:rsidP="00B302AD">
      <w:pPr>
        <w:pStyle w:val="NormalWeb"/>
        <w:spacing w:line="360" w:lineRule="auto"/>
        <w:rPr>
          <w:rFonts w:ascii="Arial" w:hAnsi="Arial" w:cs="Arial"/>
          <w:sz w:val="22"/>
          <w:szCs w:val="22"/>
        </w:rPr>
      </w:pPr>
      <w:r w:rsidRPr="000F280D">
        <w:rPr>
          <w:rFonts w:ascii="Arial" w:hAnsi="Arial" w:cs="Arial"/>
          <w:sz w:val="22"/>
          <w:szCs w:val="22"/>
        </w:rPr>
        <w:t xml:space="preserve">However, several limitations should be acknowledged. Most studies focused on care homes in England, limiting the transferability of findings to other UK nations. In addition, observational studies identify associations between workforce factors and care quality but cannot establish direct cause-and-effect relationships. Few studies evaluated the long-term </w:t>
      </w:r>
      <w:r w:rsidRPr="000F280D">
        <w:rPr>
          <w:rFonts w:ascii="Arial" w:hAnsi="Arial" w:cs="Arial"/>
          <w:sz w:val="22"/>
          <w:szCs w:val="22"/>
        </w:rPr>
        <w:lastRenderedPageBreak/>
        <w:t>effectiveness of recruitment and retention interventions or explored the experiences of care home staff through qualitative research. Therefore, further research is needed to identify sustainable strategies that improve workforce stability and care quality.</w:t>
      </w:r>
    </w:p>
    <w:p w14:paraId="4BEC3DA0" w14:textId="0F2B1F64" w:rsidR="00D04CE5" w:rsidRPr="000F280D" w:rsidRDefault="00D04CE5"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 xml:space="preserve">Conclusion </w:t>
      </w:r>
    </w:p>
    <w:p w14:paraId="6D6EB7B2" w14:textId="77777777" w:rsidR="00D04CE5" w:rsidRPr="000F280D" w:rsidRDefault="00D04CE5"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This scoping review explored the impact of long</w:t>
      </w:r>
      <w:r w:rsidRPr="000F280D">
        <w:rPr>
          <w:rFonts w:ascii="Arial" w:eastAsia="Times New Roman" w:hAnsi="Arial" w:cs="Arial"/>
          <w:kern w:val="0"/>
          <w:sz w:val="22"/>
          <w:szCs w:val="22"/>
          <w:lang w:eastAsia="en-GB"/>
          <w14:ligatures w14:val="none"/>
        </w:rPr>
        <w:noBreakHyphen/>
        <w:t>term staff shortages in UK care homes and examined the strategies suggested in current literature to improve recruitment and retention. Across the five included studies, a consistent picture emerged: workforce shortages are driven by interconnected factors including low pay, limited career progression, rising demand for care and organisational challenges such as leadership and working conditions. These pressures contribute to burnout, high turnover and difficulties attracting new staff, which in turn affect the stability of care teams and the wellbeing of those who work within them.</w:t>
      </w:r>
    </w:p>
    <w:p w14:paraId="4B8A13A3" w14:textId="0505212B" w:rsidR="00D04CE5" w:rsidRPr="000F280D" w:rsidRDefault="00D04CE5"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The review also found clear evidence that staff shortages directly influence care quality and resident outcomes.</w:t>
      </w:r>
      <w:r w:rsidR="00521115" w:rsidRPr="000F280D">
        <w:rPr>
          <w:rFonts w:ascii="Arial" w:hAnsi="Arial" w:cs="Arial"/>
          <w:sz w:val="22"/>
          <w:szCs w:val="22"/>
        </w:rPr>
        <w:t xml:space="preserve"> </w:t>
      </w:r>
      <w:r w:rsidR="00521115" w:rsidRPr="000F280D">
        <w:rPr>
          <w:rFonts w:ascii="Arial" w:hAnsi="Arial" w:cs="Arial"/>
          <w:sz w:val="22"/>
          <w:szCs w:val="22"/>
        </w:rPr>
        <w:t>Stable staffing supports continuity and person-centred care, whereas shortages increase task-focused practice and reduce meaningful resident interactions.</w:t>
      </w:r>
      <w:r w:rsidRPr="000F280D">
        <w:rPr>
          <w:rFonts w:ascii="Arial" w:eastAsia="Times New Roman" w:hAnsi="Arial" w:cs="Arial"/>
          <w:kern w:val="0"/>
          <w:sz w:val="22"/>
          <w:szCs w:val="22"/>
          <w:lang w:eastAsia="en-GB"/>
          <w14:ligatures w14:val="none"/>
        </w:rPr>
        <w:t xml:space="preserve"> Although several strategies were identified</w:t>
      </w:r>
      <w:r w:rsidR="00B302AD" w:rsidRPr="000F280D">
        <w:rPr>
          <w:rFonts w:ascii="Arial" w:eastAsia="Times New Roman" w:hAnsi="Arial" w:cs="Arial"/>
          <w:kern w:val="0"/>
          <w:sz w:val="22"/>
          <w:szCs w:val="22"/>
          <w:lang w:eastAsia="en-GB"/>
          <w14:ligatures w14:val="none"/>
        </w:rPr>
        <w:t xml:space="preserve"> </w:t>
      </w:r>
      <w:r w:rsidRPr="000F280D">
        <w:rPr>
          <w:rFonts w:ascii="Arial" w:eastAsia="Times New Roman" w:hAnsi="Arial" w:cs="Arial"/>
          <w:kern w:val="0"/>
          <w:sz w:val="22"/>
          <w:szCs w:val="22"/>
          <w:lang w:eastAsia="en-GB"/>
          <w14:ligatures w14:val="none"/>
        </w:rPr>
        <w:t>such as improved pay, supportive leadership, flexible working and clearer career pathways</w:t>
      </w:r>
      <w:r w:rsidR="00B302AD" w:rsidRPr="000F280D">
        <w:rPr>
          <w:rFonts w:ascii="Arial" w:eastAsia="Times New Roman" w:hAnsi="Arial" w:cs="Arial"/>
          <w:kern w:val="0"/>
          <w:sz w:val="22"/>
          <w:szCs w:val="22"/>
          <w:lang w:eastAsia="en-GB"/>
          <w14:ligatures w14:val="none"/>
        </w:rPr>
        <w:t xml:space="preserve"> </w:t>
      </w:r>
      <w:r w:rsidRPr="000F280D">
        <w:rPr>
          <w:rFonts w:ascii="Arial" w:eastAsia="Times New Roman" w:hAnsi="Arial" w:cs="Arial"/>
          <w:kern w:val="0"/>
          <w:sz w:val="22"/>
          <w:szCs w:val="22"/>
          <w:lang w:eastAsia="en-GB"/>
          <w14:ligatures w14:val="none"/>
        </w:rPr>
        <w:t>the evidence base lacks detailed evaluation of specific interventions.</w:t>
      </w:r>
    </w:p>
    <w:p w14:paraId="53A30689" w14:textId="69A1D06B" w:rsidR="00AF27C7" w:rsidRPr="000F280D" w:rsidRDefault="00AF27C7"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hAnsi="Arial" w:cs="Arial"/>
          <w:sz w:val="22"/>
          <w:szCs w:val="22"/>
        </w:rPr>
        <w:t>Overall, this review demonstrates that long-term staff shortages affect workforce stability, staff wellbeing, care quality and resident outcomes. Addressing these challenges requires sustained investment in recruitment, retention and workforce development.</w:t>
      </w:r>
    </w:p>
    <w:p w14:paraId="47B8EF7B" w14:textId="0A63A344" w:rsidR="00D04CE5" w:rsidRPr="000F280D" w:rsidRDefault="00D04CE5"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Recommendations</w:t>
      </w:r>
    </w:p>
    <w:p w14:paraId="6B9E2EEF" w14:textId="15517E48" w:rsidR="00D04CE5" w:rsidRPr="000F280D" w:rsidRDefault="00D04CE5"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Practice</w:t>
      </w:r>
    </w:p>
    <w:p w14:paraId="30380682" w14:textId="77777777" w:rsidR="00D04CE5" w:rsidRPr="000F280D" w:rsidRDefault="00D04CE5"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Care homes should prioritise supportive working environments that reduce burnout and promote retention. This includes manageable workloads, consistent supervision, flexible working options and clear opportunities for career development. Strengthening leadership skills and fostering positive organisational cultures can help staff feel valued and supported.</w:t>
      </w:r>
    </w:p>
    <w:p w14:paraId="57B6559A" w14:textId="2594E0F4" w:rsidR="00D04CE5" w:rsidRPr="000F280D" w:rsidRDefault="00D04CE5"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Policy</w:t>
      </w:r>
    </w:p>
    <w:p w14:paraId="5581DF32" w14:textId="263E2582" w:rsidR="00D04CE5" w:rsidRPr="000F280D" w:rsidRDefault="00D04CE5"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National and regional workforce strategies should focus on improving pay, funding sustainable staffing levels and investing in long</w:t>
      </w:r>
      <w:r w:rsidRPr="000F280D">
        <w:rPr>
          <w:rFonts w:ascii="Arial" w:eastAsia="Times New Roman" w:hAnsi="Arial" w:cs="Arial"/>
          <w:kern w:val="0"/>
          <w:sz w:val="22"/>
          <w:szCs w:val="22"/>
          <w:lang w:eastAsia="en-GB"/>
          <w14:ligatures w14:val="none"/>
        </w:rPr>
        <w:noBreakHyphen/>
        <w:t xml:space="preserve">term workforce planning. </w:t>
      </w:r>
      <w:r w:rsidR="00B822BF" w:rsidRPr="000F280D">
        <w:rPr>
          <w:rFonts w:ascii="Arial" w:hAnsi="Arial" w:cs="Arial"/>
          <w:sz w:val="22"/>
          <w:szCs w:val="22"/>
        </w:rPr>
        <w:t xml:space="preserve">Policies should </w:t>
      </w:r>
      <w:r w:rsidR="00B822BF" w:rsidRPr="000F280D">
        <w:rPr>
          <w:rFonts w:ascii="Arial" w:hAnsi="Arial" w:cs="Arial"/>
          <w:sz w:val="22"/>
          <w:szCs w:val="22"/>
        </w:rPr>
        <w:lastRenderedPageBreak/>
        <w:t xml:space="preserve">recognise the complexity of </w:t>
      </w:r>
      <w:r w:rsidR="00B822BF" w:rsidRPr="000F280D">
        <w:rPr>
          <w:rStyle w:val="Strong"/>
          <w:rFonts w:ascii="Arial" w:hAnsi="Arial" w:cs="Arial"/>
          <w:b w:val="0"/>
          <w:bCs w:val="0"/>
          <w:sz w:val="22"/>
          <w:szCs w:val="22"/>
        </w:rPr>
        <w:t>care work</w:t>
      </w:r>
      <w:r w:rsidRPr="000F280D">
        <w:rPr>
          <w:rFonts w:ascii="Arial" w:eastAsia="Times New Roman" w:hAnsi="Arial" w:cs="Arial"/>
          <w:kern w:val="0"/>
          <w:sz w:val="22"/>
          <w:szCs w:val="22"/>
          <w:lang w:eastAsia="en-GB"/>
          <w14:ligatures w14:val="none"/>
        </w:rPr>
        <w:t xml:space="preserve"> and ensure parity with comparable roles in health settings. Localised recruitment initiatives may help address regional disparities.</w:t>
      </w:r>
    </w:p>
    <w:p w14:paraId="611BD277" w14:textId="1F65CFCB" w:rsidR="00D04CE5" w:rsidRPr="000F280D" w:rsidRDefault="00D04CE5"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t>Future Research</w:t>
      </w:r>
    </w:p>
    <w:p w14:paraId="33D3A9CB" w14:textId="52093C3E" w:rsidR="00F46FF1" w:rsidRPr="000F280D" w:rsidRDefault="00F46FF1"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hAnsi="Arial" w:cs="Arial"/>
          <w:sz w:val="22"/>
          <w:szCs w:val="22"/>
        </w:rPr>
        <w:t>Future research should evaluate the long-term effectiveness of recruitment and retention strategies, including leadership development, staff wellbeing initiatives and career pathways. More qualitative research is also needed to explore staff experiences.</w:t>
      </w:r>
    </w:p>
    <w:p w14:paraId="3472C82A" w14:textId="77777777" w:rsidR="00881225" w:rsidRPr="000F280D" w:rsidRDefault="00881225"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6CF961DD" w14:textId="77777777" w:rsidR="00881225" w:rsidRPr="000F280D" w:rsidRDefault="00881225"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6AA71566" w14:textId="77777777" w:rsidR="0066056A" w:rsidRPr="000F280D" w:rsidRDefault="0066056A"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686B2897" w14:textId="77777777" w:rsidR="0066056A" w:rsidRPr="000F280D" w:rsidRDefault="0066056A"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4CD02210" w14:textId="77777777" w:rsidR="00B302AD" w:rsidRPr="000F280D" w:rsidRDefault="00B302AD"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0A6043E7" w14:textId="77777777" w:rsidR="00B302AD" w:rsidRPr="000F280D" w:rsidRDefault="00B302AD"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63592AA" w14:textId="77777777" w:rsidR="00B302AD" w:rsidRPr="000F280D" w:rsidRDefault="00B302AD"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2D6ECC8" w14:textId="77777777" w:rsidR="00B302AD" w:rsidRPr="000F280D" w:rsidRDefault="00B302AD"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7E62A07D" w14:textId="77777777" w:rsidR="00B302AD" w:rsidRPr="000F280D" w:rsidRDefault="00B302AD"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161CB1DF" w14:textId="77777777" w:rsidR="00B302AD" w:rsidRPr="000F280D" w:rsidRDefault="00B302AD"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70B027BD" w14:textId="77777777" w:rsidR="00B302AD" w:rsidRPr="000F280D" w:rsidRDefault="00B302AD"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A54062B" w14:textId="77777777" w:rsidR="00B302AD" w:rsidRPr="000F280D" w:rsidRDefault="00B302AD"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2D5AA376" w14:textId="77777777" w:rsidR="00C730F6" w:rsidRPr="000F280D" w:rsidRDefault="00C730F6"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1D5E3D8E" w14:textId="77777777" w:rsidR="00C730F6" w:rsidRPr="000F280D" w:rsidRDefault="00C730F6"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278AC1A8" w14:textId="77777777" w:rsidR="00C730F6" w:rsidRPr="000F280D" w:rsidRDefault="00C730F6"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174E3F53" w14:textId="77777777" w:rsidR="00C730F6" w:rsidRPr="000F280D" w:rsidRDefault="00C730F6"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4430F4B5" w14:textId="77777777" w:rsidR="00C730F6" w:rsidRPr="000F280D" w:rsidRDefault="00C730F6"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56E0D034" w14:textId="2FE01FCE" w:rsidR="00CF1C13" w:rsidRPr="000F280D" w:rsidRDefault="00CF1C13"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F280D">
        <w:rPr>
          <w:rFonts w:ascii="Arial" w:eastAsia="Times New Roman" w:hAnsi="Arial" w:cs="Arial"/>
          <w:b/>
          <w:bCs/>
          <w:kern w:val="0"/>
          <w:sz w:val="22"/>
          <w:szCs w:val="22"/>
          <w:lang w:eastAsia="en-GB"/>
          <w14:ligatures w14:val="none"/>
        </w:rPr>
        <w:lastRenderedPageBreak/>
        <w:t>References</w:t>
      </w:r>
    </w:p>
    <w:p w14:paraId="59A309EE" w14:textId="4E6285BC" w:rsidR="00D04CE5" w:rsidRPr="000F280D" w:rsidRDefault="0080033C" w:rsidP="00B302AD">
      <w:pPr>
        <w:spacing w:before="100" w:beforeAutospacing="1" w:after="100" w:afterAutospacing="1" w:line="360" w:lineRule="auto"/>
        <w:rPr>
          <w:rFonts w:ascii="Arial" w:hAnsi="Arial" w:cs="Arial"/>
          <w:sz w:val="22"/>
          <w:szCs w:val="22"/>
        </w:rPr>
      </w:pPr>
      <w:r w:rsidRPr="000F280D">
        <w:rPr>
          <w:rFonts w:ascii="Arial" w:hAnsi="Arial" w:cs="Arial"/>
          <w:sz w:val="22"/>
          <w:szCs w:val="22"/>
        </w:rPr>
        <w:t xml:space="preserve">Allan, S. and Vadean, F. (2021) ‘The association between staff retention and English care home quality’, </w:t>
      </w:r>
      <w:r w:rsidRPr="000F280D">
        <w:rPr>
          <w:rStyle w:val="Emphasis"/>
          <w:rFonts w:ascii="Arial" w:hAnsi="Arial" w:cs="Arial"/>
          <w:sz w:val="22"/>
          <w:szCs w:val="22"/>
        </w:rPr>
        <w:t>Journal of Aging &amp; Social Policy</w:t>
      </w:r>
      <w:r w:rsidRPr="000F280D">
        <w:rPr>
          <w:rFonts w:ascii="Arial" w:hAnsi="Arial" w:cs="Arial"/>
          <w:sz w:val="22"/>
          <w:szCs w:val="22"/>
        </w:rPr>
        <w:t>, 33(6), pp. 708–724. Available at:</w:t>
      </w:r>
      <w:r w:rsidR="0023690C" w:rsidRPr="000F280D">
        <w:rPr>
          <w:rFonts w:ascii="Arial" w:hAnsi="Arial" w:cs="Arial"/>
          <w:sz w:val="22"/>
          <w:szCs w:val="22"/>
        </w:rPr>
        <w:t xml:space="preserve"> </w:t>
      </w:r>
      <w:hyperlink r:id="rId17" w:history="1">
        <w:r w:rsidR="00B249DE" w:rsidRPr="000F280D">
          <w:rPr>
            <w:rStyle w:val="Hyperlink"/>
            <w:rFonts w:ascii="Arial" w:hAnsi="Arial" w:cs="Arial"/>
            <w:color w:val="0000FF"/>
            <w:sz w:val="22"/>
            <w:szCs w:val="22"/>
          </w:rPr>
          <w:t>https://pubmed.ncbi.nlm.nih.gov/33470916/</w:t>
        </w:r>
      </w:hyperlink>
      <w:r w:rsidR="00B249DE" w:rsidRPr="000F280D">
        <w:rPr>
          <w:rFonts w:ascii="Arial" w:hAnsi="Arial" w:cs="Arial"/>
          <w:sz w:val="22"/>
          <w:szCs w:val="22"/>
        </w:rPr>
        <w:t xml:space="preserve"> </w:t>
      </w:r>
      <w:r w:rsidR="006C2C6E" w:rsidRPr="000F280D">
        <w:rPr>
          <w:rFonts w:ascii="Arial" w:hAnsi="Arial" w:cs="Arial"/>
          <w:sz w:val="22"/>
          <w:szCs w:val="22"/>
        </w:rPr>
        <w:t>(Accessed:</w:t>
      </w:r>
      <w:r w:rsidR="00C40A4D" w:rsidRPr="000F280D">
        <w:rPr>
          <w:rFonts w:ascii="Arial" w:hAnsi="Arial" w:cs="Arial"/>
          <w:sz w:val="22"/>
          <w:szCs w:val="22"/>
        </w:rPr>
        <w:t>10 July 2026).</w:t>
      </w:r>
    </w:p>
    <w:p w14:paraId="42E0FE8F" w14:textId="67B5EF4F" w:rsidR="004B4A53" w:rsidRPr="000F280D" w:rsidRDefault="004B4A53" w:rsidP="00B302AD">
      <w:pPr>
        <w:spacing w:before="100" w:beforeAutospacing="1" w:after="100" w:afterAutospacing="1" w:line="360" w:lineRule="auto"/>
        <w:rPr>
          <w:rFonts w:ascii="Arial" w:hAnsi="Arial" w:cs="Arial"/>
          <w:sz w:val="22"/>
          <w:szCs w:val="22"/>
        </w:rPr>
      </w:pPr>
      <w:r w:rsidRPr="000F280D">
        <w:rPr>
          <w:rFonts w:ascii="Arial" w:hAnsi="Arial" w:cs="Arial"/>
          <w:sz w:val="22"/>
          <w:szCs w:val="22"/>
        </w:rPr>
        <w:t xml:space="preserve">Allan, S. and Vadean, F. (2023) ‘The impact of wages on care home quality in England’, </w:t>
      </w:r>
      <w:r w:rsidRPr="000F280D">
        <w:rPr>
          <w:rStyle w:val="Emphasis"/>
          <w:rFonts w:ascii="Arial" w:hAnsi="Arial" w:cs="Arial"/>
          <w:sz w:val="22"/>
          <w:szCs w:val="22"/>
        </w:rPr>
        <w:t>The Gerontologist</w:t>
      </w:r>
      <w:r w:rsidRPr="000F280D">
        <w:rPr>
          <w:rFonts w:ascii="Arial" w:hAnsi="Arial" w:cs="Arial"/>
          <w:sz w:val="22"/>
          <w:szCs w:val="22"/>
        </w:rPr>
        <w:t>, 63(9), pp. 1428–1436. Available at</w:t>
      </w:r>
      <w:r w:rsidR="00F14D22" w:rsidRPr="000F280D">
        <w:rPr>
          <w:rFonts w:ascii="Arial" w:hAnsi="Arial" w:cs="Arial"/>
          <w:sz w:val="22"/>
          <w:szCs w:val="22"/>
        </w:rPr>
        <w:t>:</w:t>
      </w:r>
      <w:r w:rsidR="008A7FFC" w:rsidRPr="000F280D">
        <w:rPr>
          <w:rFonts w:ascii="Arial" w:hAnsi="Arial" w:cs="Arial"/>
          <w:sz w:val="22"/>
          <w:szCs w:val="22"/>
        </w:rPr>
        <w:t xml:space="preserve"> </w:t>
      </w:r>
      <w:hyperlink r:id="rId18" w:history="1">
        <w:r w:rsidR="008A7FFC" w:rsidRPr="000F280D">
          <w:rPr>
            <w:rStyle w:val="Hyperlink"/>
            <w:rFonts w:ascii="Arial" w:hAnsi="Arial" w:cs="Arial"/>
            <w:color w:val="0000FF"/>
            <w:sz w:val="22"/>
            <w:szCs w:val="22"/>
          </w:rPr>
          <w:t>https://pubmed.ncbi.nlm.nih.gov/36964753/</w:t>
        </w:r>
      </w:hyperlink>
      <w:r w:rsidR="008A7FFC" w:rsidRPr="000F280D">
        <w:rPr>
          <w:rFonts w:ascii="Arial" w:hAnsi="Arial" w:cs="Arial"/>
          <w:color w:val="0000FF"/>
          <w:sz w:val="22"/>
          <w:szCs w:val="22"/>
        </w:rPr>
        <w:t xml:space="preserve"> </w:t>
      </w:r>
      <w:r w:rsidR="008A7FFC" w:rsidRPr="000F280D">
        <w:rPr>
          <w:rFonts w:ascii="Arial" w:hAnsi="Arial" w:cs="Arial"/>
          <w:sz w:val="22"/>
          <w:szCs w:val="22"/>
        </w:rPr>
        <w:t>(Accessed</w:t>
      </w:r>
      <w:r w:rsidR="00720C19" w:rsidRPr="000F280D">
        <w:rPr>
          <w:rFonts w:ascii="Arial" w:hAnsi="Arial" w:cs="Arial"/>
          <w:sz w:val="22"/>
          <w:szCs w:val="22"/>
        </w:rPr>
        <w:t>: 10 July 2026).</w:t>
      </w:r>
    </w:p>
    <w:p w14:paraId="2BE43477" w14:textId="77777777" w:rsidR="00AF529D" w:rsidRPr="000F280D" w:rsidRDefault="00AF529D" w:rsidP="00B302AD">
      <w:pPr>
        <w:pStyle w:val="isselectedend"/>
        <w:spacing w:line="360" w:lineRule="auto"/>
        <w:rPr>
          <w:rFonts w:ascii="Arial" w:hAnsi="Arial" w:cs="Arial"/>
          <w:sz w:val="22"/>
          <w:szCs w:val="22"/>
        </w:rPr>
      </w:pPr>
      <w:r w:rsidRPr="000F280D">
        <w:rPr>
          <w:rFonts w:ascii="Arial" w:hAnsi="Arial" w:cs="Arial"/>
          <w:sz w:val="22"/>
          <w:szCs w:val="22"/>
        </w:rPr>
        <w:t xml:space="preserve">Arksey, H. and O’Malley, L. (2005) ‘Scoping studies: towards a methodological framework’, </w:t>
      </w:r>
      <w:r w:rsidRPr="000F280D">
        <w:rPr>
          <w:rStyle w:val="Emphasis"/>
          <w:rFonts w:ascii="Arial" w:hAnsi="Arial" w:cs="Arial"/>
          <w:sz w:val="22"/>
          <w:szCs w:val="22"/>
        </w:rPr>
        <w:t>International Journal of Social Research Methodology</w:t>
      </w:r>
      <w:r w:rsidRPr="000F280D">
        <w:rPr>
          <w:rFonts w:ascii="Arial" w:hAnsi="Arial" w:cs="Arial"/>
          <w:sz w:val="22"/>
          <w:szCs w:val="22"/>
        </w:rPr>
        <w:t>, 8(1), pp. 19–32.</w:t>
      </w:r>
    </w:p>
    <w:p w14:paraId="70B6E029" w14:textId="77777777" w:rsidR="00DA43C6" w:rsidRPr="000F280D" w:rsidRDefault="00010C48" w:rsidP="00B302AD">
      <w:pPr>
        <w:pStyle w:val="isselectedend"/>
        <w:spacing w:line="360" w:lineRule="auto"/>
        <w:rPr>
          <w:rFonts w:ascii="Arial" w:hAnsi="Arial" w:cs="Arial"/>
          <w:sz w:val="22"/>
          <w:szCs w:val="22"/>
        </w:rPr>
      </w:pPr>
      <w:r w:rsidRPr="000F280D">
        <w:rPr>
          <w:rFonts w:ascii="Arial" w:hAnsi="Arial" w:cs="Arial"/>
          <w:sz w:val="22"/>
          <w:szCs w:val="22"/>
        </w:rPr>
        <w:t xml:space="preserve">Aveyard, H. (2007) </w:t>
      </w:r>
      <w:r w:rsidRPr="000F280D">
        <w:rPr>
          <w:rStyle w:val="Emphasis"/>
          <w:rFonts w:ascii="Arial" w:hAnsi="Arial" w:cs="Arial"/>
          <w:sz w:val="22"/>
          <w:szCs w:val="22"/>
        </w:rPr>
        <w:t>Doing a literature review in health and social care: a practical guide</w:t>
      </w:r>
      <w:r w:rsidRPr="000F280D">
        <w:rPr>
          <w:rFonts w:ascii="Arial" w:hAnsi="Arial" w:cs="Arial"/>
          <w:sz w:val="22"/>
          <w:szCs w:val="22"/>
        </w:rPr>
        <w:t>. Maidenhead: Open University Press.</w:t>
      </w:r>
    </w:p>
    <w:p w14:paraId="196DAF53" w14:textId="308D893C" w:rsidR="00EA5535" w:rsidRPr="000F280D" w:rsidRDefault="00EA5535" w:rsidP="00B302AD">
      <w:pPr>
        <w:pStyle w:val="isselectedend"/>
        <w:spacing w:line="360" w:lineRule="auto"/>
        <w:rPr>
          <w:rFonts w:ascii="Arial" w:hAnsi="Arial" w:cs="Arial"/>
          <w:sz w:val="22"/>
          <w:szCs w:val="22"/>
        </w:rPr>
      </w:pPr>
      <w:r w:rsidRPr="000F280D">
        <w:rPr>
          <w:rFonts w:ascii="Arial" w:hAnsi="Arial" w:cs="Arial"/>
          <w:sz w:val="22"/>
          <w:szCs w:val="22"/>
        </w:rPr>
        <w:t xml:space="preserve">Care Act (2014) </w:t>
      </w:r>
      <w:r w:rsidRPr="000F280D">
        <w:rPr>
          <w:rFonts w:ascii="Arial" w:hAnsi="Arial" w:cs="Arial"/>
          <w:i/>
          <w:iCs/>
          <w:sz w:val="22"/>
          <w:szCs w:val="22"/>
        </w:rPr>
        <w:t>Care Act 2014</w:t>
      </w:r>
      <w:r w:rsidRPr="000F280D">
        <w:rPr>
          <w:rFonts w:ascii="Arial" w:hAnsi="Arial" w:cs="Arial"/>
          <w:sz w:val="22"/>
          <w:szCs w:val="22"/>
        </w:rPr>
        <w:t xml:space="preserve">. London: UK </w:t>
      </w:r>
      <w:r w:rsidR="007624C7" w:rsidRPr="000F280D">
        <w:rPr>
          <w:rFonts w:ascii="Arial" w:hAnsi="Arial" w:cs="Arial"/>
          <w:sz w:val="22"/>
          <w:szCs w:val="22"/>
        </w:rPr>
        <w:t>Government. Available</w:t>
      </w:r>
      <w:r w:rsidR="0072759C" w:rsidRPr="000F280D">
        <w:rPr>
          <w:rFonts w:ascii="Arial" w:hAnsi="Arial" w:cs="Arial"/>
          <w:sz w:val="22"/>
          <w:szCs w:val="22"/>
        </w:rPr>
        <w:t xml:space="preserve"> at:</w:t>
      </w:r>
      <w:r w:rsidR="00994372" w:rsidRPr="000F280D">
        <w:rPr>
          <w:rFonts w:ascii="Arial" w:hAnsi="Arial" w:cs="Arial"/>
          <w:sz w:val="22"/>
          <w:szCs w:val="22"/>
        </w:rPr>
        <w:t xml:space="preserve"> </w:t>
      </w:r>
      <w:hyperlink r:id="rId19" w:history="1">
        <w:r w:rsidR="00DA43C6" w:rsidRPr="000F280D">
          <w:rPr>
            <w:rStyle w:val="Hyperlink"/>
            <w:rFonts w:ascii="Arial" w:hAnsi="Arial" w:cs="Arial"/>
            <w:color w:val="0000FF"/>
            <w:sz w:val="22"/>
            <w:szCs w:val="22"/>
          </w:rPr>
          <w:t>https://www.legislation.gov.uk/ukpga/2014/23/contents</w:t>
        </w:r>
      </w:hyperlink>
      <w:r w:rsidR="00DA43C6" w:rsidRPr="000F280D">
        <w:rPr>
          <w:rFonts w:ascii="Arial" w:hAnsi="Arial" w:cs="Arial"/>
          <w:sz w:val="22"/>
          <w:szCs w:val="22"/>
        </w:rPr>
        <w:t xml:space="preserve"> (Accessed </w:t>
      </w:r>
      <w:r w:rsidR="009863BE" w:rsidRPr="000F280D">
        <w:rPr>
          <w:rFonts w:ascii="Arial" w:hAnsi="Arial" w:cs="Arial"/>
          <w:sz w:val="22"/>
          <w:szCs w:val="22"/>
        </w:rPr>
        <w:t>8 July 2026).</w:t>
      </w:r>
    </w:p>
    <w:p w14:paraId="4974AB41" w14:textId="5B112ADA" w:rsidR="00941AFF" w:rsidRPr="000F280D" w:rsidRDefault="00941AFF" w:rsidP="00B302AD">
      <w:pPr>
        <w:spacing w:line="360" w:lineRule="auto"/>
        <w:rPr>
          <w:rFonts w:ascii="Arial" w:eastAsiaTheme="minorEastAsia" w:hAnsi="Arial" w:cs="Arial"/>
          <w:kern w:val="0"/>
          <w:sz w:val="22"/>
          <w:szCs w:val="22"/>
          <w:lang w:eastAsia="ja-JP"/>
          <w14:ligatures w14:val="none"/>
        </w:rPr>
      </w:pPr>
      <w:r w:rsidRPr="000F280D">
        <w:rPr>
          <w:rFonts w:ascii="Arial" w:eastAsiaTheme="minorEastAsia" w:hAnsi="Arial" w:cs="Arial"/>
          <w:kern w:val="0"/>
          <w:sz w:val="22"/>
          <w:szCs w:val="22"/>
          <w:lang w:eastAsia="ja-JP"/>
          <w14:ligatures w14:val="none"/>
        </w:rPr>
        <w:t xml:space="preserve">Care Quality Commission (2025) </w:t>
      </w:r>
      <w:r w:rsidRPr="000F280D">
        <w:rPr>
          <w:rFonts w:ascii="Arial" w:eastAsiaTheme="minorEastAsia" w:hAnsi="Arial" w:cs="Arial"/>
          <w:i/>
          <w:iCs/>
          <w:kern w:val="0"/>
          <w:sz w:val="22"/>
          <w:szCs w:val="22"/>
          <w:lang w:eastAsia="ja-JP"/>
          <w14:ligatures w14:val="none"/>
        </w:rPr>
        <w:t>Assessment framework</w:t>
      </w:r>
      <w:r w:rsidRPr="000F280D">
        <w:rPr>
          <w:rFonts w:ascii="Arial" w:eastAsiaTheme="minorEastAsia" w:hAnsi="Arial" w:cs="Arial"/>
          <w:kern w:val="0"/>
          <w:sz w:val="22"/>
          <w:szCs w:val="22"/>
          <w:lang w:eastAsia="ja-JP"/>
          <w14:ligatures w14:val="none"/>
        </w:rPr>
        <w:t xml:space="preserve">. Available at: </w:t>
      </w:r>
      <w:hyperlink r:id="rId20" w:history="1">
        <w:r w:rsidRPr="000F280D">
          <w:rPr>
            <w:rFonts w:ascii="Arial" w:eastAsiaTheme="minorEastAsia" w:hAnsi="Arial" w:cs="Arial"/>
            <w:color w:val="0000FF"/>
            <w:kern w:val="0"/>
            <w:sz w:val="22"/>
            <w:szCs w:val="22"/>
            <w:u w:val="single"/>
            <w:lang w:eastAsia="ja-JP"/>
            <w14:ligatures w14:val="none"/>
          </w:rPr>
          <w:t>https://www.cqc.org.uk/guidance-regulation/providers/assessment/assessment-framework</w:t>
        </w:r>
      </w:hyperlink>
      <w:r w:rsidRPr="000F280D">
        <w:rPr>
          <w:rFonts w:ascii="Arial" w:eastAsiaTheme="minorEastAsia" w:hAnsi="Arial" w:cs="Arial"/>
          <w:kern w:val="0"/>
          <w:sz w:val="22"/>
          <w:szCs w:val="22"/>
          <w:lang w:eastAsia="ja-JP"/>
          <w14:ligatures w14:val="none"/>
        </w:rPr>
        <w:t xml:space="preserve"> (Accessed 6 July 2026).</w:t>
      </w:r>
    </w:p>
    <w:p w14:paraId="3FDCC9EA" w14:textId="0BFEB842" w:rsidR="00A56754" w:rsidRPr="000F280D" w:rsidRDefault="00BA6BAF" w:rsidP="00B302AD">
      <w:pPr>
        <w:spacing w:line="360" w:lineRule="auto"/>
        <w:rPr>
          <w:rFonts w:ascii="Arial" w:hAnsi="Arial" w:cs="Arial"/>
          <w:sz w:val="22"/>
          <w:szCs w:val="22"/>
        </w:rPr>
      </w:pPr>
      <w:r w:rsidRPr="000F280D">
        <w:rPr>
          <w:rFonts w:ascii="Arial" w:hAnsi="Arial" w:cs="Arial"/>
          <w:sz w:val="22"/>
          <w:szCs w:val="22"/>
        </w:rPr>
        <w:t xml:space="preserve">Department of Health and Social Care (2021) </w:t>
      </w:r>
      <w:r w:rsidRPr="000F280D">
        <w:rPr>
          <w:rStyle w:val="Emphasis"/>
          <w:rFonts w:ascii="Arial" w:hAnsi="Arial" w:cs="Arial"/>
          <w:sz w:val="22"/>
          <w:szCs w:val="22"/>
        </w:rPr>
        <w:t>People at the Heart of Care: Adult Social Care Reform White Paper</w:t>
      </w:r>
      <w:r w:rsidRPr="000F280D">
        <w:rPr>
          <w:rFonts w:ascii="Arial" w:hAnsi="Arial" w:cs="Arial"/>
          <w:sz w:val="22"/>
          <w:szCs w:val="22"/>
        </w:rPr>
        <w:t>. Available at</w:t>
      </w:r>
      <w:r w:rsidR="00F956D0" w:rsidRPr="000F280D">
        <w:rPr>
          <w:rFonts w:ascii="Arial" w:hAnsi="Arial" w:cs="Arial"/>
          <w:color w:val="0000FF"/>
          <w:sz w:val="22"/>
          <w:szCs w:val="22"/>
        </w:rPr>
        <w:t xml:space="preserve"> </w:t>
      </w:r>
      <w:hyperlink r:id="rId21" w:history="1">
        <w:r w:rsidR="00F956D0" w:rsidRPr="000F280D">
          <w:rPr>
            <w:rStyle w:val="Hyperlink"/>
            <w:rFonts w:ascii="Arial" w:hAnsi="Arial" w:cs="Arial"/>
            <w:color w:val="0000FF"/>
            <w:sz w:val="22"/>
            <w:szCs w:val="22"/>
          </w:rPr>
          <w:t>https://www.gov.uk/government/publications/people-at-the-heart-of-care-adult-social-care-reform-white-paper</w:t>
        </w:r>
      </w:hyperlink>
      <w:r w:rsidR="00F956D0" w:rsidRPr="000F280D">
        <w:rPr>
          <w:rFonts w:ascii="Arial" w:hAnsi="Arial" w:cs="Arial"/>
          <w:sz w:val="22"/>
          <w:szCs w:val="22"/>
        </w:rPr>
        <w:t xml:space="preserve"> </w:t>
      </w:r>
      <w:r w:rsidR="00B74D66" w:rsidRPr="000F280D">
        <w:rPr>
          <w:rFonts w:ascii="Arial" w:hAnsi="Arial" w:cs="Arial"/>
          <w:sz w:val="22"/>
          <w:szCs w:val="22"/>
        </w:rPr>
        <w:t>(</w:t>
      </w:r>
      <w:r w:rsidR="00476234" w:rsidRPr="000F280D">
        <w:rPr>
          <w:rFonts w:ascii="Arial" w:hAnsi="Arial" w:cs="Arial"/>
          <w:sz w:val="22"/>
          <w:szCs w:val="22"/>
        </w:rPr>
        <w:t>A</w:t>
      </w:r>
      <w:r w:rsidR="00F956D0" w:rsidRPr="000F280D">
        <w:rPr>
          <w:rFonts w:ascii="Arial" w:hAnsi="Arial" w:cs="Arial"/>
          <w:sz w:val="22"/>
          <w:szCs w:val="22"/>
        </w:rPr>
        <w:t xml:space="preserve">ccessed </w:t>
      </w:r>
      <w:r w:rsidR="00476234" w:rsidRPr="000F280D">
        <w:rPr>
          <w:rFonts w:ascii="Arial" w:hAnsi="Arial" w:cs="Arial"/>
          <w:sz w:val="22"/>
          <w:szCs w:val="22"/>
        </w:rPr>
        <w:t>8 July 2026).</w:t>
      </w:r>
    </w:p>
    <w:p w14:paraId="6169646E" w14:textId="28EA3B74" w:rsidR="003E7D13" w:rsidRPr="000F280D" w:rsidRDefault="003E7D13" w:rsidP="00B302AD">
      <w:pPr>
        <w:spacing w:line="360" w:lineRule="auto"/>
        <w:rPr>
          <w:rFonts w:ascii="Arial" w:hAnsi="Arial" w:cs="Arial"/>
          <w:sz w:val="22"/>
          <w:szCs w:val="22"/>
        </w:rPr>
      </w:pPr>
      <w:r w:rsidRPr="000F280D">
        <w:rPr>
          <w:rFonts w:ascii="Arial" w:hAnsi="Arial" w:cs="Arial"/>
          <w:sz w:val="22"/>
          <w:szCs w:val="22"/>
        </w:rPr>
        <w:t xml:space="preserve">Devi, R., Martin, G., Banerjee, J., Knapp, M., Machen, S. and Spilsbury, K. (2020) 'COVID-19 and the adult social care workforce: Impacts, challenges and policy responses', </w:t>
      </w:r>
      <w:r w:rsidRPr="000F280D">
        <w:rPr>
          <w:rStyle w:val="Emphasis"/>
          <w:rFonts w:ascii="Arial" w:hAnsi="Arial" w:cs="Arial"/>
          <w:sz w:val="22"/>
          <w:szCs w:val="22"/>
        </w:rPr>
        <w:t>Journal of Long-Term Care</w:t>
      </w:r>
      <w:r w:rsidRPr="000F280D">
        <w:rPr>
          <w:rFonts w:ascii="Arial" w:hAnsi="Arial" w:cs="Arial"/>
          <w:sz w:val="22"/>
          <w:szCs w:val="22"/>
        </w:rPr>
        <w:t>, pp. 22–30.</w:t>
      </w:r>
    </w:p>
    <w:p w14:paraId="50C9A665" w14:textId="37F7B5DF" w:rsidR="00F956D0" w:rsidRPr="000F280D" w:rsidRDefault="0035320A" w:rsidP="00B302AD">
      <w:pPr>
        <w:spacing w:line="360" w:lineRule="auto"/>
        <w:rPr>
          <w:rFonts w:ascii="Arial" w:hAnsi="Arial" w:cs="Arial"/>
          <w:sz w:val="22"/>
          <w:szCs w:val="22"/>
        </w:rPr>
      </w:pPr>
      <w:r w:rsidRPr="000F280D">
        <w:rPr>
          <w:rFonts w:ascii="Arial" w:hAnsi="Arial" w:cs="Arial"/>
          <w:sz w:val="22"/>
          <w:szCs w:val="22"/>
        </w:rPr>
        <w:t xml:space="preserve">Devi, R., Goodman, C., Dalkin, S., Bate, A., Wright, J., Jones, L. and Spilsbury, K. (2021) ‘Attracting, recruiting and retaining nurses and care workers working in care homes: The need for a nuanced understanding informed by evidence and </w:t>
      </w:r>
      <w:r w:rsidR="009F00FE" w:rsidRPr="000F280D">
        <w:rPr>
          <w:rFonts w:ascii="Arial" w:hAnsi="Arial" w:cs="Arial"/>
          <w:sz w:val="22"/>
          <w:szCs w:val="22"/>
        </w:rPr>
        <w:t>theory’. Available</w:t>
      </w:r>
      <w:r w:rsidR="00461657" w:rsidRPr="000F280D">
        <w:rPr>
          <w:rFonts w:ascii="Arial" w:hAnsi="Arial" w:cs="Arial"/>
          <w:sz w:val="22"/>
          <w:szCs w:val="22"/>
        </w:rPr>
        <w:t xml:space="preserve"> at:</w:t>
      </w:r>
      <w:r w:rsidR="009F00FE" w:rsidRPr="000F280D">
        <w:rPr>
          <w:rFonts w:ascii="Arial" w:hAnsi="Arial" w:cs="Arial"/>
          <w:sz w:val="22"/>
          <w:szCs w:val="22"/>
        </w:rPr>
        <w:t xml:space="preserve"> </w:t>
      </w:r>
      <w:hyperlink r:id="rId22" w:history="1">
        <w:r w:rsidR="009F00FE" w:rsidRPr="000F280D">
          <w:rPr>
            <w:rStyle w:val="Hyperlink"/>
            <w:rFonts w:ascii="Arial" w:hAnsi="Arial" w:cs="Arial"/>
            <w:color w:val="0000FF"/>
            <w:sz w:val="22"/>
            <w:szCs w:val="22"/>
          </w:rPr>
          <w:t>https://pubmed.ncbi.nlm.nih.gov/32614968/</w:t>
        </w:r>
      </w:hyperlink>
      <w:r w:rsidR="009F00FE" w:rsidRPr="000F280D">
        <w:rPr>
          <w:rFonts w:ascii="Arial" w:hAnsi="Arial" w:cs="Arial"/>
          <w:sz w:val="22"/>
          <w:szCs w:val="22"/>
        </w:rPr>
        <w:t xml:space="preserve"> (Accessed </w:t>
      </w:r>
      <w:r w:rsidR="009863BE" w:rsidRPr="000F280D">
        <w:rPr>
          <w:rFonts w:ascii="Arial" w:hAnsi="Arial" w:cs="Arial"/>
          <w:sz w:val="22"/>
          <w:szCs w:val="22"/>
        </w:rPr>
        <w:t>10 July 2026).</w:t>
      </w:r>
    </w:p>
    <w:p w14:paraId="3FD52979" w14:textId="672DFFCE" w:rsidR="003E7D13" w:rsidRPr="000F280D" w:rsidRDefault="00D029B6" w:rsidP="00B302AD">
      <w:pPr>
        <w:spacing w:line="360" w:lineRule="auto"/>
        <w:rPr>
          <w:rFonts w:ascii="Arial" w:hAnsi="Arial" w:cs="Arial"/>
          <w:sz w:val="22"/>
          <w:szCs w:val="22"/>
        </w:rPr>
      </w:pPr>
      <w:r w:rsidRPr="000F280D">
        <w:rPr>
          <w:rFonts w:ascii="Arial" w:hAnsi="Arial" w:cs="Arial"/>
          <w:sz w:val="22"/>
          <w:szCs w:val="22"/>
        </w:rPr>
        <w:t xml:space="preserve">House of Commons Library (2024) </w:t>
      </w:r>
      <w:r w:rsidRPr="000F280D">
        <w:rPr>
          <w:rStyle w:val="Emphasis"/>
          <w:rFonts w:ascii="Arial" w:hAnsi="Arial" w:cs="Arial"/>
          <w:sz w:val="22"/>
          <w:szCs w:val="22"/>
        </w:rPr>
        <w:t>Adult social care workforce in England</w:t>
      </w:r>
      <w:r w:rsidRPr="000F280D">
        <w:rPr>
          <w:rFonts w:ascii="Arial" w:hAnsi="Arial" w:cs="Arial"/>
          <w:sz w:val="22"/>
          <w:szCs w:val="22"/>
        </w:rPr>
        <w:t>. Research Briefing</w:t>
      </w:r>
      <w:r w:rsidR="00765E87" w:rsidRPr="000F280D">
        <w:rPr>
          <w:rFonts w:ascii="Arial" w:hAnsi="Arial" w:cs="Arial"/>
          <w:sz w:val="22"/>
          <w:szCs w:val="22"/>
        </w:rPr>
        <w:t>. Available at:</w:t>
      </w:r>
      <w:r w:rsidR="00DE0526" w:rsidRPr="000F280D">
        <w:rPr>
          <w:rFonts w:ascii="Arial" w:hAnsi="Arial" w:cs="Arial"/>
          <w:sz w:val="22"/>
          <w:szCs w:val="22"/>
        </w:rPr>
        <w:t xml:space="preserve"> </w:t>
      </w:r>
      <w:r w:rsidR="00DE0526" w:rsidRPr="000F280D">
        <w:rPr>
          <w:rFonts w:ascii="Arial" w:hAnsi="Arial" w:cs="Arial"/>
          <w:sz w:val="22"/>
          <w:szCs w:val="22"/>
        </w:rPr>
        <w:t xml:space="preserve">House of Commons Library (2024) </w:t>
      </w:r>
      <w:hyperlink r:id="rId23" w:history="1">
        <w:r w:rsidR="00EC42D6" w:rsidRPr="000F280D">
          <w:rPr>
            <w:rStyle w:val="Hyperlink"/>
            <w:rFonts w:ascii="Arial" w:hAnsi="Arial" w:cs="Arial"/>
            <w:color w:val="0000FF"/>
            <w:sz w:val="22"/>
            <w:szCs w:val="22"/>
          </w:rPr>
          <w:t>https://researchbriefings.files.parliament.uk/documents/CBP-9615/CBP-9615.pdf</w:t>
        </w:r>
      </w:hyperlink>
      <w:r w:rsidR="00EC42D6" w:rsidRPr="000F280D">
        <w:rPr>
          <w:rFonts w:ascii="Arial" w:hAnsi="Arial" w:cs="Arial"/>
          <w:sz w:val="22"/>
          <w:szCs w:val="22"/>
        </w:rPr>
        <w:t xml:space="preserve"> </w:t>
      </w:r>
      <w:r w:rsidR="00765E87" w:rsidRPr="000F280D">
        <w:rPr>
          <w:rFonts w:ascii="Arial" w:hAnsi="Arial" w:cs="Arial"/>
          <w:sz w:val="22"/>
          <w:szCs w:val="22"/>
        </w:rPr>
        <w:t>(</w:t>
      </w:r>
      <w:r w:rsidR="00DE0526" w:rsidRPr="000F280D">
        <w:rPr>
          <w:rFonts w:ascii="Arial" w:hAnsi="Arial" w:cs="Arial"/>
          <w:sz w:val="22"/>
          <w:szCs w:val="22"/>
        </w:rPr>
        <w:t>Accessed</w:t>
      </w:r>
      <w:r w:rsidR="00BD2348" w:rsidRPr="000F280D">
        <w:rPr>
          <w:rFonts w:ascii="Arial" w:hAnsi="Arial" w:cs="Arial"/>
          <w:sz w:val="22"/>
          <w:szCs w:val="22"/>
        </w:rPr>
        <w:t xml:space="preserve"> 8 July 2026).</w:t>
      </w:r>
    </w:p>
    <w:p w14:paraId="2F5DB76D" w14:textId="12CCA955" w:rsidR="00045D6E" w:rsidRPr="000F280D" w:rsidRDefault="00045D6E" w:rsidP="00B302AD">
      <w:pPr>
        <w:spacing w:line="360" w:lineRule="auto"/>
        <w:rPr>
          <w:rFonts w:ascii="Arial" w:hAnsi="Arial" w:cs="Arial"/>
          <w:sz w:val="22"/>
          <w:szCs w:val="22"/>
        </w:rPr>
      </w:pPr>
      <w:r w:rsidRPr="000F280D">
        <w:rPr>
          <w:rFonts w:ascii="Arial" w:hAnsi="Arial" w:cs="Arial"/>
          <w:sz w:val="22"/>
          <w:szCs w:val="22"/>
        </w:rPr>
        <w:lastRenderedPageBreak/>
        <w:t xml:space="preserve">Levac, D., Colquhoun, H. and O’Brien, K.K. (2010) ‘Scoping studies: advancing the methodology’, </w:t>
      </w:r>
      <w:r w:rsidRPr="000F280D">
        <w:rPr>
          <w:rStyle w:val="Emphasis"/>
          <w:rFonts w:ascii="Arial" w:hAnsi="Arial" w:cs="Arial"/>
          <w:sz w:val="22"/>
          <w:szCs w:val="22"/>
        </w:rPr>
        <w:t>Implementation Science</w:t>
      </w:r>
      <w:r w:rsidRPr="000F280D">
        <w:rPr>
          <w:rFonts w:ascii="Arial" w:hAnsi="Arial" w:cs="Arial"/>
          <w:sz w:val="22"/>
          <w:szCs w:val="22"/>
        </w:rPr>
        <w:t>, 5, article 69. Available at:</w:t>
      </w:r>
      <w:r w:rsidR="00E90F3C" w:rsidRPr="000F280D">
        <w:rPr>
          <w:rFonts w:ascii="Arial" w:hAnsi="Arial" w:cs="Arial"/>
          <w:sz w:val="22"/>
          <w:szCs w:val="22"/>
        </w:rPr>
        <w:t xml:space="preserve"> </w:t>
      </w:r>
      <w:hyperlink r:id="rId24" w:history="1">
        <w:r w:rsidR="005536D2" w:rsidRPr="000F280D">
          <w:rPr>
            <w:rStyle w:val="Hyperlink"/>
            <w:rFonts w:ascii="Arial" w:hAnsi="Arial" w:cs="Arial"/>
            <w:color w:val="0000FF"/>
            <w:sz w:val="22"/>
            <w:szCs w:val="22"/>
          </w:rPr>
          <w:t>https://link.springer.com/article/10.1186/1748-5908-5-69</w:t>
        </w:r>
      </w:hyperlink>
      <w:r w:rsidR="005536D2" w:rsidRPr="000F280D">
        <w:rPr>
          <w:rFonts w:ascii="Arial" w:hAnsi="Arial" w:cs="Arial"/>
          <w:sz w:val="22"/>
          <w:szCs w:val="22"/>
        </w:rPr>
        <w:t xml:space="preserve"> (Accessed 8 July 2026).</w:t>
      </w:r>
    </w:p>
    <w:p w14:paraId="51295616" w14:textId="289F69FB" w:rsidR="004E52C4" w:rsidRPr="000F280D" w:rsidRDefault="00480178" w:rsidP="00B302AD">
      <w:pPr>
        <w:spacing w:line="360" w:lineRule="auto"/>
        <w:rPr>
          <w:rFonts w:ascii="Arial" w:hAnsi="Arial" w:cs="Arial"/>
          <w:sz w:val="22"/>
          <w:szCs w:val="22"/>
        </w:rPr>
      </w:pPr>
      <w:r w:rsidRPr="000F280D">
        <w:rPr>
          <w:rFonts w:ascii="Arial" w:hAnsi="Arial" w:cs="Arial"/>
          <w:sz w:val="22"/>
          <w:szCs w:val="22"/>
        </w:rPr>
        <w:t xml:space="preserve">NHS England (2023) </w:t>
      </w:r>
      <w:r w:rsidRPr="000F280D">
        <w:rPr>
          <w:rFonts w:ascii="Arial" w:hAnsi="Arial" w:cs="Arial"/>
          <w:i/>
          <w:iCs/>
          <w:sz w:val="22"/>
          <w:szCs w:val="22"/>
        </w:rPr>
        <w:t>NHS Long Term Workforce Plan</w:t>
      </w:r>
      <w:r w:rsidRPr="000F280D">
        <w:rPr>
          <w:rFonts w:ascii="Arial" w:hAnsi="Arial" w:cs="Arial"/>
          <w:sz w:val="22"/>
          <w:szCs w:val="22"/>
        </w:rPr>
        <w:t xml:space="preserve">. Available at: </w:t>
      </w:r>
      <w:hyperlink r:id="rId25" w:history="1">
        <w:r w:rsidRPr="000F280D">
          <w:rPr>
            <w:rFonts w:ascii="Arial" w:hAnsi="Arial" w:cs="Arial"/>
            <w:color w:val="0000FF"/>
            <w:sz w:val="22"/>
            <w:szCs w:val="22"/>
            <w:u w:val="single"/>
          </w:rPr>
          <w:t>https://www.england.nhs.uk/long-read/nhs-long-term-workforce-plan-2/</w:t>
        </w:r>
      </w:hyperlink>
      <w:r w:rsidR="00C447C3" w:rsidRPr="000F280D">
        <w:rPr>
          <w:rFonts w:ascii="Arial" w:hAnsi="Arial" w:cs="Arial"/>
          <w:sz w:val="22"/>
          <w:szCs w:val="22"/>
        </w:rPr>
        <w:t xml:space="preserve"> (Accessed </w:t>
      </w:r>
      <w:r w:rsidR="00BD2348" w:rsidRPr="000F280D">
        <w:rPr>
          <w:rFonts w:ascii="Arial" w:hAnsi="Arial" w:cs="Arial"/>
          <w:sz w:val="22"/>
          <w:szCs w:val="22"/>
        </w:rPr>
        <w:t>6 July 2026).</w:t>
      </w:r>
    </w:p>
    <w:p w14:paraId="5322D0F4" w14:textId="33F6F75F" w:rsidR="00E50E48" w:rsidRPr="000F280D" w:rsidRDefault="00E50E48" w:rsidP="00B302AD">
      <w:pPr>
        <w:spacing w:line="360" w:lineRule="auto"/>
        <w:rPr>
          <w:rFonts w:ascii="Arial" w:hAnsi="Arial" w:cs="Arial"/>
          <w:sz w:val="22"/>
          <w:szCs w:val="22"/>
        </w:rPr>
      </w:pPr>
      <w:r w:rsidRPr="000F280D">
        <w:rPr>
          <w:rFonts w:ascii="Arial" w:hAnsi="Arial" w:cs="Arial"/>
          <w:sz w:val="22"/>
          <w:szCs w:val="22"/>
        </w:rPr>
        <w:t xml:space="preserve">Office for National Statistics (2022) </w:t>
      </w:r>
      <w:r w:rsidRPr="000F280D">
        <w:rPr>
          <w:rStyle w:val="Emphasis"/>
          <w:rFonts w:ascii="Arial" w:hAnsi="Arial" w:cs="Arial"/>
          <w:sz w:val="22"/>
          <w:szCs w:val="22"/>
        </w:rPr>
        <w:t>Improving access to data on adult social care</w:t>
      </w:r>
      <w:r w:rsidRPr="000F280D">
        <w:rPr>
          <w:rFonts w:ascii="Arial" w:hAnsi="Arial" w:cs="Arial"/>
          <w:sz w:val="22"/>
          <w:szCs w:val="22"/>
        </w:rPr>
        <w:t>. Available a</w:t>
      </w:r>
      <w:r w:rsidR="00C447C3" w:rsidRPr="000F280D">
        <w:rPr>
          <w:rFonts w:ascii="Arial" w:hAnsi="Arial" w:cs="Arial"/>
          <w:sz w:val="22"/>
          <w:szCs w:val="22"/>
        </w:rPr>
        <w:t>t:</w:t>
      </w:r>
      <w:r w:rsidR="00A04662" w:rsidRPr="000F280D">
        <w:rPr>
          <w:rFonts w:ascii="Arial" w:hAnsi="Arial" w:cs="Arial"/>
          <w:sz w:val="22"/>
          <w:szCs w:val="22"/>
        </w:rPr>
        <w:t xml:space="preserve"> </w:t>
      </w:r>
      <w:hyperlink r:id="rId26" w:history="1">
        <w:r w:rsidR="00E32111" w:rsidRPr="000F280D">
          <w:rPr>
            <w:rStyle w:val="Hyperlink"/>
            <w:rFonts w:ascii="Arial" w:hAnsi="Arial" w:cs="Arial"/>
            <w:color w:val="0000FF"/>
            <w:sz w:val="22"/>
            <w:szCs w:val="22"/>
          </w:rPr>
          <w:t>https://blog.ons.gov.uk/2022/01/25/improving-access-to-data-on-adult-social-care/</w:t>
        </w:r>
      </w:hyperlink>
      <w:r w:rsidR="00E32111" w:rsidRPr="000F280D">
        <w:rPr>
          <w:rFonts w:ascii="Arial" w:hAnsi="Arial" w:cs="Arial"/>
          <w:color w:val="0000FF"/>
          <w:sz w:val="22"/>
          <w:szCs w:val="22"/>
        </w:rPr>
        <w:t xml:space="preserve"> </w:t>
      </w:r>
      <w:r w:rsidR="00461C27" w:rsidRPr="000F280D">
        <w:rPr>
          <w:rFonts w:ascii="Arial" w:hAnsi="Arial" w:cs="Arial"/>
          <w:color w:val="000000" w:themeColor="text1"/>
          <w:sz w:val="22"/>
          <w:szCs w:val="22"/>
        </w:rPr>
        <w:t>(</w:t>
      </w:r>
      <w:r w:rsidR="00E32111" w:rsidRPr="000F280D">
        <w:rPr>
          <w:rFonts w:ascii="Arial" w:hAnsi="Arial" w:cs="Arial"/>
          <w:color w:val="000000" w:themeColor="text1"/>
          <w:sz w:val="22"/>
          <w:szCs w:val="22"/>
        </w:rPr>
        <w:t>A</w:t>
      </w:r>
      <w:r w:rsidR="00E32111" w:rsidRPr="000F280D">
        <w:rPr>
          <w:rFonts w:ascii="Arial" w:hAnsi="Arial" w:cs="Arial"/>
          <w:sz w:val="22"/>
          <w:szCs w:val="22"/>
        </w:rPr>
        <w:t>ccessed</w:t>
      </w:r>
      <w:r w:rsidR="002676F6" w:rsidRPr="000F280D">
        <w:rPr>
          <w:rFonts w:ascii="Arial" w:hAnsi="Arial" w:cs="Arial"/>
          <w:sz w:val="22"/>
          <w:szCs w:val="22"/>
        </w:rPr>
        <w:t xml:space="preserve"> 8 July 2026).</w:t>
      </w:r>
    </w:p>
    <w:p w14:paraId="4E0528B2" w14:textId="44A2B5D9" w:rsidR="00C34AA3" w:rsidRPr="000F280D" w:rsidRDefault="00FD2E92" w:rsidP="00B302AD">
      <w:pPr>
        <w:spacing w:line="360" w:lineRule="auto"/>
        <w:rPr>
          <w:rFonts w:ascii="Arial" w:hAnsi="Arial" w:cs="Arial"/>
          <w:sz w:val="22"/>
          <w:szCs w:val="22"/>
        </w:rPr>
      </w:pPr>
      <w:r w:rsidRPr="000F280D">
        <w:rPr>
          <w:rFonts w:ascii="Arial" w:hAnsi="Arial" w:cs="Arial"/>
          <w:sz w:val="22"/>
          <w:szCs w:val="22"/>
        </w:rPr>
        <w:t>O</w:t>
      </w:r>
      <w:r w:rsidR="008F63F6" w:rsidRPr="000F280D">
        <w:rPr>
          <w:rFonts w:ascii="Arial" w:hAnsi="Arial" w:cs="Arial"/>
          <w:sz w:val="22"/>
          <w:szCs w:val="22"/>
        </w:rPr>
        <w:t>ffice</w:t>
      </w:r>
      <w:r w:rsidR="008F63F6" w:rsidRPr="000F280D">
        <w:rPr>
          <w:rFonts w:ascii="Arial" w:hAnsi="Arial" w:cs="Arial"/>
          <w:sz w:val="22"/>
          <w:szCs w:val="22"/>
        </w:rPr>
        <w:t xml:space="preserve"> for National Statistics (2022) </w:t>
      </w:r>
      <w:r w:rsidR="008F63F6" w:rsidRPr="000F280D">
        <w:rPr>
          <w:rStyle w:val="Emphasis"/>
          <w:rFonts w:ascii="Arial" w:hAnsi="Arial" w:cs="Arial"/>
          <w:sz w:val="22"/>
          <w:szCs w:val="22"/>
        </w:rPr>
        <w:t>Why good workforce data matters in supporting social care</w:t>
      </w:r>
      <w:r w:rsidR="008F63F6" w:rsidRPr="000F280D">
        <w:rPr>
          <w:rFonts w:ascii="Arial" w:hAnsi="Arial" w:cs="Arial"/>
          <w:sz w:val="22"/>
          <w:szCs w:val="22"/>
        </w:rPr>
        <w:t>. Available at</w:t>
      </w:r>
      <w:r w:rsidR="008F63F6" w:rsidRPr="000F280D">
        <w:rPr>
          <w:rFonts w:ascii="Arial" w:hAnsi="Arial" w:cs="Arial"/>
          <w:color w:val="0000FF"/>
          <w:sz w:val="22"/>
          <w:szCs w:val="22"/>
        </w:rPr>
        <w:t>:</w:t>
      </w:r>
      <w:r w:rsidR="009173FA" w:rsidRPr="000F280D">
        <w:rPr>
          <w:rFonts w:ascii="Arial" w:hAnsi="Arial" w:cs="Arial"/>
          <w:color w:val="0000FF"/>
          <w:sz w:val="22"/>
          <w:szCs w:val="22"/>
        </w:rPr>
        <w:t xml:space="preserve"> </w:t>
      </w:r>
      <w:hyperlink r:id="rId27" w:history="1">
        <w:r w:rsidR="00C34AA3" w:rsidRPr="000F280D">
          <w:rPr>
            <w:rStyle w:val="Hyperlink"/>
            <w:rFonts w:ascii="Arial" w:hAnsi="Arial" w:cs="Arial"/>
            <w:color w:val="0000FF"/>
            <w:sz w:val="22"/>
            <w:szCs w:val="22"/>
          </w:rPr>
          <w:t>https://blog.ons.gov.uk/2022/10/11/taking-care-of-the-carers-why-good-workforce-data-matters-in-supporting-social-care/</w:t>
        </w:r>
      </w:hyperlink>
      <w:r w:rsidR="00C34AA3" w:rsidRPr="000F280D">
        <w:rPr>
          <w:rFonts w:ascii="Arial" w:hAnsi="Arial" w:cs="Arial"/>
          <w:sz w:val="22"/>
          <w:szCs w:val="22"/>
        </w:rPr>
        <w:t xml:space="preserve"> </w:t>
      </w:r>
      <w:r w:rsidR="009173FA" w:rsidRPr="000F280D">
        <w:rPr>
          <w:rFonts w:ascii="Arial" w:hAnsi="Arial" w:cs="Arial"/>
          <w:sz w:val="22"/>
          <w:szCs w:val="22"/>
        </w:rPr>
        <w:t>(Accessed</w:t>
      </w:r>
      <w:r w:rsidR="005C05CC" w:rsidRPr="000F280D">
        <w:rPr>
          <w:rFonts w:ascii="Arial" w:hAnsi="Arial" w:cs="Arial"/>
          <w:sz w:val="22"/>
          <w:szCs w:val="22"/>
        </w:rPr>
        <w:t xml:space="preserve"> 8 July 2026).</w:t>
      </w:r>
    </w:p>
    <w:p w14:paraId="7B1265F9" w14:textId="0379D152" w:rsidR="00DC4642" w:rsidRPr="000F280D" w:rsidRDefault="00DC4642" w:rsidP="00B302AD">
      <w:pPr>
        <w:spacing w:line="360" w:lineRule="auto"/>
        <w:rPr>
          <w:rFonts w:ascii="Arial" w:hAnsi="Arial" w:cs="Arial"/>
          <w:sz w:val="22"/>
          <w:szCs w:val="22"/>
        </w:rPr>
      </w:pPr>
      <w:r w:rsidRPr="000F280D">
        <w:rPr>
          <w:rFonts w:ascii="Arial" w:hAnsi="Arial" w:cs="Arial"/>
          <w:sz w:val="22"/>
          <w:szCs w:val="22"/>
        </w:rPr>
        <w:t xml:space="preserve">Skills for Care (2026) </w:t>
      </w:r>
      <w:r w:rsidRPr="000F280D">
        <w:rPr>
          <w:rStyle w:val="Emphasis"/>
          <w:rFonts w:ascii="Arial" w:hAnsi="Arial" w:cs="Arial"/>
          <w:sz w:val="22"/>
          <w:szCs w:val="22"/>
        </w:rPr>
        <w:t>Leadership Qualities Framework for adult social care</w:t>
      </w:r>
      <w:r w:rsidRPr="000F280D">
        <w:rPr>
          <w:rFonts w:ascii="Arial" w:hAnsi="Arial" w:cs="Arial"/>
          <w:sz w:val="22"/>
          <w:szCs w:val="22"/>
        </w:rPr>
        <w:t>. Leeds: Skills for Care. Available</w:t>
      </w:r>
      <w:r w:rsidR="003B6620" w:rsidRPr="000F280D">
        <w:rPr>
          <w:rFonts w:ascii="Arial" w:hAnsi="Arial" w:cs="Arial"/>
          <w:sz w:val="22"/>
          <w:szCs w:val="22"/>
        </w:rPr>
        <w:t xml:space="preserve"> at:</w:t>
      </w:r>
      <w:r w:rsidR="00F95168" w:rsidRPr="000F280D">
        <w:rPr>
          <w:rFonts w:ascii="Arial" w:hAnsi="Arial" w:cs="Arial"/>
          <w:sz w:val="22"/>
          <w:szCs w:val="22"/>
        </w:rPr>
        <w:t xml:space="preserve"> </w:t>
      </w:r>
      <w:hyperlink r:id="rId28" w:history="1">
        <w:r w:rsidR="00F95168" w:rsidRPr="000F280D">
          <w:rPr>
            <w:rStyle w:val="Hyperlink"/>
            <w:rFonts w:ascii="Arial" w:hAnsi="Arial" w:cs="Arial"/>
            <w:color w:val="0000FF"/>
            <w:sz w:val="22"/>
            <w:szCs w:val="22"/>
          </w:rPr>
          <w:t>https://www.skillsforcare.org.uk/resources/documents/Support-for-leaders-and-managers/Developing-leaders-and-managers/Leadership-Qualities-Framework/Leadership-Qualities-Framework.pdf</w:t>
        </w:r>
      </w:hyperlink>
      <w:r w:rsidR="00F95168" w:rsidRPr="000F280D">
        <w:rPr>
          <w:rFonts w:ascii="Arial" w:hAnsi="Arial" w:cs="Arial"/>
          <w:sz w:val="22"/>
          <w:szCs w:val="22"/>
        </w:rPr>
        <w:t xml:space="preserve"> (Accessed</w:t>
      </w:r>
      <w:r w:rsidR="003B6620" w:rsidRPr="000F280D">
        <w:rPr>
          <w:rFonts w:ascii="Arial" w:hAnsi="Arial" w:cs="Arial"/>
          <w:sz w:val="22"/>
          <w:szCs w:val="22"/>
        </w:rPr>
        <w:t xml:space="preserve"> </w:t>
      </w:r>
      <w:r w:rsidR="005C05CC" w:rsidRPr="000F280D">
        <w:rPr>
          <w:rFonts w:ascii="Arial" w:hAnsi="Arial" w:cs="Arial"/>
          <w:sz w:val="22"/>
          <w:szCs w:val="22"/>
        </w:rPr>
        <w:t>9 July 2026).</w:t>
      </w:r>
    </w:p>
    <w:p w14:paraId="05DC70BF" w14:textId="07CEAF4A" w:rsidR="00C52668" w:rsidRPr="000F280D" w:rsidRDefault="00C52668" w:rsidP="00B302AD">
      <w:pPr>
        <w:spacing w:line="360" w:lineRule="auto"/>
        <w:rPr>
          <w:rFonts w:ascii="Arial" w:hAnsi="Arial" w:cs="Arial"/>
          <w:sz w:val="22"/>
          <w:szCs w:val="22"/>
        </w:rPr>
      </w:pPr>
      <w:r w:rsidRPr="000F280D">
        <w:rPr>
          <w:rFonts w:ascii="Arial" w:hAnsi="Arial" w:cs="Arial"/>
          <w:sz w:val="22"/>
          <w:szCs w:val="22"/>
        </w:rPr>
        <w:t xml:space="preserve">Skills for Care (2025) </w:t>
      </w:r>
      <w:r w:rsidRPr="000F280D">
        <w:rPr>
          <w:rFonts w:ascii="Arial" w:hAnsi="Arial" w:cs="Arial"/>
          <w:i/>
          <w:iCs/>
          <w:sz w:val="22"/>
          <w:szCs w:val="22"/>
        </w:rPr>
        <w:t>The state of the adult social care sector and workforce in England</w:t>
      </w:r>
      <w:r w:rsidRPr="000F280D">
        <w:rPr>
          <w:rFonts w:ascii="Arial" w:hAnsi="Arial" w:cs="Arial"/>
          <w:sz w:val="22"/>
          <w:szCs w:val="22"/>
        </w:rPr>
        <w:t xml:space="preserve">. Available at: </w:t>
      </w:r>
      <w:hyperlink r:id="rId29" w:history="1">
        <w:r w:rsidRPr="000F280D">
          <w:rPr>
            <w:rFonts w:ascii="Arial" w:hAnsi="Arial" w:cs="Arial"/>
            <w:color w:val="0000FF"/>
            <w:sz w:val="22"/>
            <w:szCs w:val="22"/>
            <w:u w:val="single"/>
          </w:rPr>
          <w:t>https://www.skillsforcare.org.uk/Adult-Social-Care-Workforce-Data/workforceintelligence/resources/Reports/National/The-state-of-the-adult-social-care-sector-and-workforce-in-England-2025.pdf</w:t>
        </w:r>
      </w:hyperlink>
      <w:r w:rsidR="005A4180" w:rsidRPr="000F280D">
        <w:rPr>
          <w:rFonts w:ascii="Arial" w:hAnsi="Arial" w:cs="Arial"/>
          <w:sz w:val="22"/>
          <w:szCs w:val="22"/>
        </w:rPr>
        <w:t xml:space="preserve"> ( Accessed 9 July 2026).</w:t>
      </w:r>
    </w:p>
    <w:p w14:paraId="3324B065" w14:textId="02A22C72" w:rsidR="00C52668" w:rsidRPr="000F280D" w:rsidRDefault="00283BC6" w:rsidP="00B302AD">
      <w:pPr>
        <w:spacing w:line="360" w:lineRule="auto"/>
        <w:rPr>
          <w:rFonts w:ascii="Arial" w:hAnsi="Arial" w:cs="Arial"/>
          <w:sz w:val="22"/>
          <w:szCs w:val="22"/>
        </w:rPr>
      </w:pPr>
      <w:r w:rsidRPr="000F280D">
        <w:rPr>
          <w:rFonts w:ascii="Arial" w:hAnsi="Arial" w:cs="Arial"/>
          <w:color w:val="212121"/>
          <w:sz w:val="22"/>
          <w:szCs w:val="22"/>
          <w:shd w:val="clear" w:color="auto" w:fill="FFFFFF"/>
        </w:rPr>
        <w:t>Teo H, Vadean F, Saloniki EC.</w:t>
      </w:r>
      <w:r w:rsidRPr="000F280D">
        <w:rPr>
          <w:rFonts w:ascii="Arial" w:hAnsi="Arial" w:cs="Arial"/>
          <w:sz w:val="22"/>
          <w:szCs w:val="22"/>
        </w:rPr>
        <w:t xml:space="preserve"> </w:t>
      </w:r>
      <w:r w:rsidR="001F30E4" w:rsidRPr="000F280D">
        <w:rPr>
          <w:rFonts w:ascii="Arial" w:hAnsi="Arial" w:cs="Arial"/>
          <w:sz w:val="22"/>
          <w:szCs w:val="22"/>
        </w:rPr>
        <w:t xml:space="preserve">(2022) ‘Recruitment, retention and employment growth in the long-term care sector in England’, </w:t>
      </w:r>
      <w:r w:rsidR="001F30E4" w:rsidRPr="000F280D">
        <w:rPr>
          <w:rStyle w:val="Emphasis"/>
          <w:rFonts w:ascii="Arial" w:hAnsi="Arial" w:cs="Arial"/>
          <w:sz w:val="22"/>
          <w:szCs w:val="22"/>
        </w:rPr>
        <w:t>Frontiers in Public Health</w:t>
      </w:r>
      <w:r w:rsidR="001F30E4" w:rsidRPr="000F280D">
        <w:rPr>
          <w:rFonts w:ascii="Arial" w:hAnsi="Arial" w:cs="Arial"/>
          <w:sz w:val="22"/>
          <w:szCs w:val="22"/>
        </w:rPr>
        <w:t>, 10, article 969098</w:t>
      </w:r>
      <w:r w:rsidR="00195ABD" w:rsidRPr="000F280D">
        <w:rPr>
          <w:rFonts w:ascii="Arial" w:hAnsi="Arial" w:cs="Arial"/>
          <w:sz w:val="22"/>
          <w:szCs w:val="22"/>
        </w:rPr>
        <w:t>. Available at:</w:t>
      </w:r>
      <w:r w:rsidR="009164E1" w:rsidRPr="000F280D">
        <w:rPr>
          <w:rFonts w:ascii="Arial" w:hAnsi="Arial" w:cs="Arial"/>
          <w:sz w:val="22"/>
          <w:szCs w:val="22"/>
        </w:rPr>
        <w:t xml:space="preserve"> </w:t>
      </w:r>
      <w:hyperlink r:id="rId30" w:history="1">
        <w:r w:rsidR="009164E1" w:rsidRPr="000F280D">
          <w:rPr>
            <w:rStyle w:val="Hyperlink"/>
            <w:rFonts w:ascii="Arial" w:hAnsi="Arial" w:cs="Arial"/>
            <w:color w:val="0000FF"/>
            <w:sz w:val="22"/>
            <w:szCs w:val="22"/>
          </w:rPr>
          <w:t>https://pubmed.ncbi.nlm.nih.gov/36388378/</w:t>
        </w:r>
      </w:hyperlink>
      <w:r w:rsidR="009164E1" w:rsidRPr="000F280D">
        <w:rPr>
          <w:rFonts w:ascii="Arial" w:hAnsi="Arial" w:cs="Arial"/>
          <w:sz w:val="22"/>
          <w:szCs w:val="22"/>
        </w:rPr>
        <w:t xml:space="preserve"> </w:t>
      </w:r>
      <w:r w:rsidR="00195ABD" w:rsidRPr="000F280D">
        <w:rPr>
          <w:rFonts w:ascii="Arial" w:hAnsi="Arial" w:cs="Arial"/>
          <w:sz w:val="22"/>
          <w:szCs w:val="22"/>
        </w:rPr>
        <w:t>(</w:t>
      </w:r>
      <w:r w:rsidR="005A4180" w:rsidRPr="000F280D">
        <w:rPr>
          <w:rFonts w:ascii="Arial" w:hAnsi="Arial" w:cs="Arial"/>
          <w:sz w:val="22"/>
          <w:szCs w:val="22"/>
        </w:rPr>
        <w:t>A</w:t>
      </w:r>
      <w:r w:rsidR="00195ABD" w:rsidRPr="000F280D">
        <w:rPr>
          <w:rFonts w:ascii="Arial" w:hAnsi="Arial" w:cs="Arial"/>
          <w:sz w:val="22"/>
          <w:szCs w:val="22"/>
        </w:rPr>
        <w:t xml:space="preserve">ccessed </w:t>
      </w:r>
      <w:r w:rsidR="005A4180" w:rsidRPr="000F280D">
        <w:rPr>
          <w:rFonts w:ascii="Arial" w:hAnsi="Arial" w:cs="Arial"/>
          <w:sz w:val="22"/>
          <w:szCs w:val="22"/>
        </w:rPr>
        <w:t>10 July 2026).</w:t>
      </w:r>
    </w:p>
    <w:p w14:paraId="756495D7" w14:textId="15DBB125" w:rsidR="00EA164F" w:rsidRPr="000F280D" w:rsidRDefault="00A44CF2" w:rsidP="00B302AD">
      <w:pPr>
        <w:spacing w:line="360" w:lineRule="auto"/>
        <w:rPr>
          <w:rFonts w:ascii="Arial" w:hAnsi="Arial" w:cs="Arial"/>
          <w:sz w:val="22"/>
          <w:szCs w:val="22"/>
        </w:rPr>
      </w:pPr>
      <w:r w:rsidRPr="000F280D">
        <w:rPr>
          <w:rFonts w:ascii="Arial" w:hAnsi="Arial" w:cs="Arial"/>
          <w:sz w:val="22"/>
          <w:szCs w:val="22"/>
        </w:rPr>
        <w:t xml:space="preserve">The King's Fund (2023) </w:t>
      </w:r>
      <w:r w:rsidRPr="000F280D">
        <w:rPr>
          <w:rStyle w:val="Emphasis"/>
          <w:rFonts w:ascii="Arial" w:hAnsi="Arial" w:cs="Arial"/>
          <w:sz w:val="22"/>
          <w:szCs w:val="22"/>
        </w:rPr>
        <w:t>Social Care 360</w:t>
      </w:r>
      <w:r w:rsidRPr="000F280D">
        <w:rPr>
          <w:rFonts w:ascii="Arial" w:hAnsi="Arial" w:cs="Arial"/>
          <w:sz w:val="22"/>
          <w:szCs w:val="22"/>
        </w:rPr>
        <w:t>. Available at</w:t>
      </w:r>
      <w:r w:rsidRPr="000F280D">
        <w:rPr>
          <w:rFonts w:ascii="Arial" w:hAnsi="Arial" w:cs="Arial"/>
          <w:sz w:val="22"/>
          <w:szCs w:val="22"/>
        </w:rPr>
        <w:t>:</w:t>
      </w:r>
      <w:r w:rsidR="002C0967" w:rsidRPr="000F280D">
        <w:rPr>
          <w:rFonts w:ascii="Arial" w:hAnsi="Arial" w:cs="Arial"/>
          <w:sz w:val="22"/>
          <w:szCs w:val="22"/>
        </w:rPr>
        <w:t xml:space="preserve"> </w:t>
      </w:r>
      <w:hyperlink r:id="rId31" w:history="1">
        <w:r w:rsidR="00570293" w:rsidRPr="000F280D">
          <w:rPr>
            <w:rStyle w:val="Hyperlink"/>
            <w:rFonts w:ascii="Arial" w:hAnsi="Arial" w:cs="Arial"/>
            <w:color w:val="0000FF"/>
            <w:sz w:val="22"/>
            <w:szCs w:val="22"/>
          </w:rPr>
          <w:t>https://www.kingsfund.org.uk/insight-and-analysis/long-reads/social-care-360-workforce-carers</w:t>
        </w:r>
      </w:hyperlink>
      <w:r w:rsidR="00570293" w:rsidRPr="000F280D">
        <w:rPr>
          <w:rFonts w:ascii="Arial" w:hAnsi="Arial" w:cs="Arial"/>
          <w:sz w:val="22"/>
          <w:szCs w:val="22"/>
        </w:rPr>
        <w:t xml:space="preserve"> </w:t>
      </w:r>
      <w:r w:rsidR="002C0967" w:rsidRPr="000F280D">
        <w:rPr>
          <w:rFonts w:ascii="Arial" w:hAnsi="Arial" w:cs="Arial"/>
          <w:sz w:val="22"/>
          <w:szCs w:val="22"/>
        </w:rPr>
        <w:t>(Accessed</w:t>
      </w:r>
      <w:r w:rsidR="007701B1" w:rsidRPr="000F280D">
        <w:rPr>
          <w:rFonts w:ascii="Arial" w:hAnsi="Arial" w:cs="Arial"/>
          <w:sz w:val="22"/>
          <w:szCs w:val="22"/>
        </w:rPr>
        <w:t xml:space="preserve"> 9 July 2026).</w:t>
      </w:r>
    </w:p>
    <w:p w14:paraId="71357183" w14:textId="1F275AF7" w:rsidR="00283BC6" w:rsidRPr="000F280D" w:rsidRDefault="00855423" w:rsidP="00B302AD">
      <w:pPr>
        <w:spacing w:line="360" w:lineRule="auto"/>
        <w:rPr>
          <w:rFonts w:ascii="Arial" w:hAnsi="Arial" w:cs="Arial"/>
          <w:sz w:val="22"/>
          <w:szCs w:val="22"/>
        </w:rPr>
      </w:pPr>
      <w:r w:rsidRPr="000F280D">
        <w:rPr>
          <w:rFonts w:ascii="Arial" w:hAnsi="Arial" w:cs="Arial"/>
          <w:sz w:val="22"/>
          <w:szCs w:val="22"/>
        </w:rPr>
        <w:t xml:space="preserve">Towers, A.-M., Smith, N., Allan, S., Vadean, F., Collins, G., Rand, S., Bostock, J., Ramsbottom, H., Forder, J., Lanza, S. and Cassell, J. (2021) </w:t>
      </w:r>
      <w:r w:rsidRPr="000F280D">
        <w:rPr>
          <w:rStyle w:val="Emphasis"/>
          <w:rFonts w:ascii="Arial" w:hAnsi="Arial" w:cs="Arial"/>
          <w:sz w:val="22"/>
          <w:szCs w:val="22"/>
        </w:rPr>
        <w:t xml:space="preserve">Care home residents’ quality of life and its association with CQC ratings and workforce issues: the MiCareHQ mixed-methods </w:t>
      </w:r>
      <w:r w:rsidR="00D93C91" w:rsidRPr="000F280D">
        <w:rPr>
          <w:rStyle w:val="Emphasis"/>
          <w:rFonts w:ascii="Arial" w:hAnsi="Arial" w:cs="Arial"/>
          <w:sz w:val="22"/>
          <w:szCs w:val="22"/>
        </w:rPr>
        <w:t>study</w:t>
      </w:r>
      <w:r w:rsidR="00D93C91" w:rsidRPr="000F280D">
        <w:rPr>
          <w:rFonts w:ascii="Arial" w:hAnsi="Arial" w:cs="Arial"/>
          <w:sz w:val="22"/>
          <w:szCs w:val="22"/>
        </w:rPr>
        <w:t xml:space="preserve">. Available at: </w:t>
      </w:r>
      <w:hyperlink r:id="rId32" w:history="1">
        <w:r w:rsidR="007536ED" w:rsidRPr="000F280D">
          <w:rPr>
            <w:rStyle w:val="Hyperlink"/>
            <w:rFonts w:ascii="Arial" w:hAnsi="Arial" w:cs="Arial"/>
            <w:color w:val="0000FF"/>
            <w:sz w:val="22"/>
            <w:szCs w:val="22"/>
          </w:rPr>
          <w:t>https://pubmed.ncbi.nlm.nih.gov/34723450/</w:t>
        </w:r>
      </w:hyperlink>
      <w:r w:rsidR="007536ED" w:rsidRPr="000F280D">
        <w:rPr>
          <w:rFonts w:ascii="Arial" w:hAnsi="Arial" w:cs="Arial"/>
          <w:color w:val="0000FF"/>
          <w:sz w:val="22"/>
          <w:szCs w:val="22"/>
        </w:rPr>
        <w:t xml:space="preserve"> </w:t>
      </w:r>
      <w:r w:rsidR="007536ED" w:rsidRPr="000F280D">
        <w:rPr>
          <w:rFonts w:ascii="Arial" w:hAnsi="Arial" w:cs="Arial"/>
          <w:sz w:val="22"/>
          <w:szCs w:val="22"/>
        </w:rPr>
        <w:t>(</w:t>
      </w:r>
      <w:r w:rsidR="00106FC9" w:rsidRPr="000F280D">
        <w:rPr>
          <w:rFonts w:ascii="Arial" w:hAnsi="Arial" w:cs="Arial"/>
          <w:sz w:val="22"/>
          <w:szCs w:val="22"/>
        </w:rPr>
        <w:t>A</w:t>
      </w:r>
      <w:r w:rsidR="007536ED" w:rsidRPr="000F280D">
        <w:rPr>
          <w:rFonts w:ascii="Arial" w:hAnsi="Arial" w:cs="Arial"/>
          <w:sz w:val="22"/>
          <w:szCs w:val="22"/>
        </w:rPr>
        <w:t xml:space="preserve">ccessed </w:t>
      </w:r>
      <w:r w:rsidR="00106FC9" w:rsidRPr="000F280D">
        <w:rPr>
          <w:rFonts w:ascii="Arial" w:hAnsi="Arial" w:cs="Arial"/>
          <w:sz w:val="22"/>
          <w:szCs w:val="22"/>
        </w:rPr>
        <w:t>10 July</w:t>
      </w:r>
      <w:r w:rsidR="007701B1" w:rsidRPr="000F280D">
        <w:rPr>
          <w:rFonts w:ascii="Arial" w:hAnsi="Arial" w:cs="Arial"/>
          <w:sz w:val="22"/>
          <w:szCs w:val="22"/>
        </w:rPr>
        <w:t xml:space="preserve"> 2026)</w:t>
      </w:r>
      <w:r w:rsidR="005A4180" w:rsidRPr="000F280D">
        <w:rPr>
          <w:rFonts w:ascii="Arial" w:hAnsi="Arial" w:cs="Arial"/>
          <w:sz w:val="22"/>
          <w:szCs w:val="22"/>
        </w:rPr>
        <w:t>.</w:t>
      </w:r>
    </w:p>
    <w:p w14:paraId="4FDABC53" w14:textId="6F7A92F3" w:rsidR="00410A15" w:rsidRPr="000F280D" w:rsidRDefault="00410A15" w:rsidP="00B302AD">
      <w:pPr>
        <w:spacing w:before="100" w:beforeAutospacing="1" w:after="100" w:afterAutospacing="1" w:line="360" w:lineRule="auto"/>
        <w:rPr>
          <w:rFonts w:ascii="Arial" w:eastAsia="Times New Roman" w:hAnsi="Arial" w:cs="Arial"/>
          <w:kern w:val="0"/>
          <w:sz w:val="22"/>
          <w:szCs w:val="22"/>
          <w:lang w:eastAsia="en-GB"/>
          <w14:ligatures w14:val="none"/>
        </w:rPr>
      </w:pPr>
      <w:r w:rsidRPr="000F280D">
        <w:rPr>
          <w:rFonts w:ascii="Arial" w:eastAsia="Times New Roman" w:hAnsi="Arial" w:cs="Arial"/>
          <w:kern w:val="0"/>
          <w:sz w:val="22"/>
          <w:szCs w:val="22"/>
          <w:lang w:eastAsia="en-GB"/>
          <w14:ligatures w14:val="none"/>
        </w:rPr>
        <w:t xml:space="preserve">World Health Organization (2020) </w:t>
      </w:r>
      <w:r w:rsidRPr="000F280D">
        <w:rPr>
          <w:rFonts w:ascii="Arial" w:eastAsia="Times New Roman" w:hAnsi="Arial" w:cs="Arial"/>
          <w:i/>
          <w:iCs/>
          <w:kern w:val="0"/>
          <w:sz w:val="22"/>
          <w:szCs w:val="22"/>
          <w:lang w:eastAsia="en-GB"/>
          <w14:ligatures w14:val="none"/>
        </w:rPr>
        <w:t>Global strategy on human resources for health: Workforce 2030</w:t>
      </w:r>
      <w:r w:rsidRPr="000F280D">
        <w:rPr>
          <w:rFonts w:ascii="Arial" w:eastAsia="Times New Roman" w:hAnsi="Arial" w:cs="Arial"/>
          <w:kern w:val="0"/>
          <w:sz w:val="22"/>
          <w:szCs w:val="22"/>
          <w:lang w:eastAsia="en-GB"/>
          <w14:ligatures w14:val="none"/>
        </w:rPr>
        <w:t>. Available at:</w:t>
      </w:r>
      <w:hyperlink r:id="rId33" w:history="1">
        <w:r w:rsidRPr="000F280D">
          <w:rPr>
            <w:rFonts w:ascii="Arial" w:hAnsi="Arial" w:cs="Arial"/>
            <w:color w:val="0000FF"/>
            <w:sz w:val="22"/>
            <w:szCs w:val="22"/>
            <w:u w:val="single"/>
          </w:rPr>
          <w:t>https://www.who.int/publications/i/item/9789241511131</w:t>
        </w:r>
      </w:hyperlink>
      <w:r w:rsidRPr="000F280D">
        <w:rPr>
          <w:rFonts w:ascii="Arial" w:eastAsia="Times New Roman" w:hAnsi="Arial" w:cs="Arial"/>
          <w:kern w:val="0"/>
          <w:sz w:val="22"/>
          <w:szCs w:val="22"/>
          <w:lang w:eastAsia="en-GB"/>
          <w14:ligatures w14:val="none"/>
        </w:rPr>
        <w:t xml:space="preserve">(Accessed </w:t>
      </w:r>
      <w:r w:rsidR="00106FC9" w:rsidRPr="000F280D">
        <w:rPr>
          <w:rFonts w:ascii="Arial" w:eastAsia="Times New Roman" w:hAnsi="Arial" w:cs="Arial"/>
          <w:kern w:val="0"/>
          <w:sz w:val="22"/>
          <w:szCs w:val="22"/>
          <w:lang w:eastAsia="en-GB"/>
          <w14:ligatures w14:val="none"/>
        </w:rPr>
        <w:t xml:space="preserve">10 July </w:t>
      </w:r>
      <w:r w:rsidRPr="000F280D">
        <w:rPr>
          <w:rFonts w:ascii="Arial" w:eastAsia="Times New Roman" w:hAnsi="Arial" w:cs="Arial"/>
          <w:kern w:val="0"/>
          <w:sz w:val="22"/>
          <w:szCs w:val="22"/>
          <w:lang w:eastAsia="en-GB"/>
          <w14:ligatures w14:val="none"/>
        </w:rPr>
        <w:t>2026).</w:t>
      </w:r>
    </w:p>
    <w:p w14:paraId="0CE1C525" w14:textId="77777777" w:rsidR="00410A15" w:rsidRPr="000F280D" w:rsidRDefault="00410A15" w:rsidP="00B302AD">
      <w:pPr>
        <w:spacing w:line="360" w:lineRule="auto"/>
        <w:rPr>
          <w:rFonts w:ascii="Arial" w:hAnsi="Arial" w:cs="Arial"/>
          <w:sz w:val="22"/>
          <w:szCs w:val="22"/>
        </w:rPr>
      </w:pPr>
    </w:p>
    <w:p w14:paraId="1BA5ECC4" w14:textId="77777777" w:rsidR="009164E1" w:rsidRPr="000F280D" w:rsidRDefault="009164E1" w:rsidP="00B302AD">
      <w:pPr>
        <w:spacing w:line="360" w:lineRule="auto"/>
        <w:rPr>
          <w:rFonts w:ascii="Arial" w:hAnsi="Arial" w:cs="Arial"/>
          <w:sz w:val="22"/>
          <w:szCs w:val="22"/>
        </w:rPr>
      </w:pPr>
    </w:p>
    <w:p w14:paraId="2F14A4D4" w14:textId="77777777" w:rsidR="00720C19" w:rsidRPr="000F280D" w:rsidRDefault="00720C19" w:rsidP="00B302AD">
      <w:pPr>
        <w:spacing w:before="100" w:beforeAutospacing="1" w:after="100" w:afterAutospacing="1" w:line="360" w:lineRule="auto"/>
        <w:rPr>
          <w:rFonts w:ascii="Arial" w:hAnsi="Arial" w:cs="Arial"/>
          <w:sz w:val="22"/>
          <w:szCs w:val="22"/>
        </w:rPr>
      </w:pPr>
    </w:p>
    <w:p w14:paraId="6F677CC9" w14:textId="77777777" w:rsidR="004B4A53" w:rsidRPr="000F280D" w:rsidRDefault="004B4A53"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0DDECAA2" w14:textId="77777777" w:rsidR="00B82702" w:rsidRPr="000F280D" w:rsidRDefault="00B82702"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72CAE8B7" w14:textId="77777777" w:rsidR="0025208F" w:rsidRPr="000F280D" w:rsidRDefault="0025208F" w:rsidP="00B302AD">
      <w:pPr>
        <w:spacing w:line="360" w:lineRule="auto"/>
        <w:rPr>
          <w:rFonts w:ascii="Arial" w:hAnsi="Arial" w:cs="Arial"/>
          <w:b/>
          <w:bCs/>
          <w:sz w:val="22"/>
          <w:szCs w:val="22"/>
        </w:rPr>
      </w:pPr>
    </w:p>
    <w:p w14:paraId="633AF1B5" w14:textId="77777777" w:rsidR="0025208F" w:rsidRPr="000F280D" w:rsidRDefault="0025208F" w:rsidP="00B302AD">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76039A4B" w14:textId="77777777" w:rsidR="009156FC" w:rsidRPr="000F280D" w:rsidRDefault="009156FC" w:rsidP="00B302AD">
      <w:pPr>
        <w:spacing w:line="360" w:lineRule="auto"/>
        <w:rPr>
          <w:rFonts w:ascii="Arial" w:hAnsi="Arial" w:cs="Arial"/>
          <w:sz w:val="22"/>
          <w:szCs w:val="22"/>
        </w:rPr>
      </w:pPr>
    </w:p>
    <w:sectPr w:rsidR="009156FC" w:rsidRPr="000F280D">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86760" w14:textId="77777777" w:rsidR="00C13700" w:rsidRDefault="00C13700" w:rsidP="009156FC">
      <w:pPr>
        <w:spacing w:after="0" w:line="240" w:lineRule="auto"/>
      </w:pPr>
      <w:r>
        <w:separator/>
      </w:r>
    </w:p>
  </w:endnote>
  <w:endnote w:type="continuationSeparator" w:id="0">
    <w:p w14:paraId="15AA34AE" w14:textId="77777777" w:rsidR="00C13700" w:rsidRDefault="00C13700" w:rsidP="009156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1965461"/>
      <w:docPartObj>
        <w:docPartGallery w:val="Page Numbers (Bottom of Page)"/>
        <w:docPartUnique/>
      </w:docPartObj>
    </w:sdtPr>
    <w:sdtContent>
      <w:p w14:paraId="283D3B41" w14:textId="0078E526" w:rsidR="006137FD" w:rsidRDefault="006137FD">
        <w:pPr>
          <w:pStyle w:val="Footer"/>
          <w:jc w:val="right"/>
        </w:pPr>
        <w:r>
          <w:fldChar w:fldCharType="begin"/>
        </w:r>
        <w:r>
          <w:instrText>PAGE   \* MERGEFORMAT</w:instrText>
        </w:r>
        <w:r>
          <w:fldChar w:fldCharType="separate"/>
        </w:r>
        <w:r>
          <w:t>2</w:t>
        </w:r>
        <w:r>
          <w:fldChar w:fldCharType="end"/>
        </w:r>
      </w:p>
    </w:sdtContent>
  </w:sdt>
  <w:p w14:paraId="4FB63484" w14:textId="77777777" w:rsidR="009156FC" w:rsidRDefault="00915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46057" w14:textId="77777777" w:rsidR="00C13700" w:rsidRDefault="00C13700" w:rsidP="009156FC">
      <w:pPr>
        <w:spacing w:after="0" w:line="240" w:lineRule="auto"/>
      </w:pPr>
      <w:r>
        <w:separator/>
      </w:r>
    </w:p>
  </w:footnote>
  <w:footnote w:type="continuationSeparator" w:id="0">
    <w:p w14:paraId="09BC375D" w14:textId="77777777" w:rsidR="00C13700" w:rsidRDefault="00C13700" w:rsidP="009156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D3D36"/>
    <w:multiLevelType w:val="hybridMultilevel"/>
    <w:tmpl w:val="0ACA43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D4311"/>
    <w:multiLevelType w:val="hybridMultilevel"/>
    <w:tmpl w:val="2952AC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85211"/>
    <w:multiLevelType w:val="multilevel"/>
    <w:tmpl w:val="2CCCF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EE310F"/>
    <w:multiLevelType w:val="multilevel"/>
    <w:tmpl w:val="B650D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2F0F22"/>
    <w:multiLevelType w:val="multilevel"/>
    <w:tmpl w:val="5F76B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3062B2"/>
    <w:multiLevelType w:val="hybridMultilevel"/>
    <w:tmpl w:val="4FA60B60"/>
    <w:lvl w:ilvl="0" w:tplc="6E949CB4">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46101D9D"/>
    <w:multiLevelType w:val="hybridMultilevel"/>
    <w:tmpl w:val="73AAD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6B28CB"/>
    <w:multiLevelType w:val="hybridMultilevel"/>
    <w:tmpl w:val="796EED76"/>
    <w:lvl w:ilvl="0" w:tplc="08090001">
      <w:start w:val="1"/>
      <w:numFmt w:val="bullet"/>
      <w:lvlText w:val=""/>
      <w:lvlJc w:val="left"/>
      <w:pPr>
        <w:ind w:left="720" w:hanging="360"/>
      </w:pPr>
      <w:rPr>
        <w:rFonts w:ascii="Symbol" w:hAnsi="Symbol" w:hint="default"/>
      </w:rPr>
    </w:lvl>
    <w:lvl w:ilvl="1" w:tplc="69B6D0CE">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4D4AAF"/>
    <w:multiLevelType w:val="hybridMultilevel"/>
    <w:tmpl w:val="C23869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C2C5EEB"/>
    <w:multiLevelType w:val="hybridMultilevel"/>
    <w:tmpl w:val="4DBC891A"/>
    <w:lvl w:ilvl="0" w:tplc="6E949CB4">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297D58"/>
    <w:multiLevelType w:val="hybridMultilevel"/>
    <w:tmpl w:val="C2386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6422E2"/>
    <w:multiLevelType w:val="hybridMultilevel"/>
    <w:tmpl w:val="E95C0A2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7B443DFE"/>
    <w:multiLevelType w:val="multilevel"/>
    <w:tmpl w:val="D188D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9542045">
    <w:abstractNumId w:val="10"/>
  </w:num>
  <w:num w:numId="2" w16cid:durableId="199630728">
    <w:abstractNumId w:val="2"/>
  </w:num>
  <w:num w:numId="3" w16cid:durableId="2056536189">
    <w:abstractNumId w:val="7"/>
  </w:num>
  <w:num w:numId="4" w16cid:durableId="1253782991">
    <w:abstractNumId w:val="0"/>
  </w:num>
  <w:num w:numId="5" w16cid:durableId="1776319993">
    <w:abstractNumId w:val="1"/>
  </w:num>
  <w:num w:numId="6" w16cid:durableId="1161775872">
    <w:abstractNumId w:val="11"/>
  </w:num>
  <w:num w:numId="7" w16cid:durableId="1641307077">
    <w:abstractNumId w:val="8"/>
  </w:num>
  <w:num w:numId="8" w16cid:durableId="1863126685">
    <w:abstractNumId w:val="4"/>
  </w:num>
  <w:num w:numId="9" w16cid:durableId="1267351774">
    <w:abstractNumId w:val="6"/>
  </w:num>
  <w:num w:numId="10" w16cid:durableId="573856011">
    <w:abstractNumId w:val="5"/>
  </w:num>
  <w:num w:numId="11" w16cid:durableId="670989816">
    <w:abstractNumId w:val="9"/>
  </w:num>
  <w:num w:numId="12" w16cid:durableId="1965502982">
    <w:abstractNumId w:val="3"/>
  </w:num>
  <w:num w:numId="13" w16cid:durableId="53936130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6FC"/>
    <w:rsid w:val="00010C48"/>
    <w:rsid w:val="00020ADC"/>
    <w:rsid w:val="000424E2"/>
    <w:rsid w:val="00045D6E"/>
    <w:rsid w:val="0006548E"/>
    <w:rsid w:val="000657C6"/>
    <w:rsid w:val="00086717"/>
    <w:rsid w:val="000911EF"/>
    <w:rsid w:val="000A3C2F"/>
    <w:rsid w:val="000C289E"/>
    <w:rsid w:val="000C680D"/>
    <w:rsid w:val="000E12F6"/>
    <w:rsid w:val="000F280D"/>
    <w:rsid w:val="00105437"/>
    <w:rsid w:val="00106FC9"/>
    <w:rsid w:val="001467F0"/>
    <w:rsid w:val="001576E9"/>
    <w:rsid w:val="00195ABD"/>
    <w:rsid w:val="001A4945"/>
    <w:rsid w:val="001B5593"/>
    <w:rsid w:val="001E76C0"/>
    <w:rsid w:val="001F30E4"/>
    <w:rsid w:val="001F3B0C"/>
    <w:rsid w:val="0020198B"/>
    <w:rsid w:val="00204093"/>
    <w:rsid w:val="0023690C"/>
    <w:rsid w:val="002422A0"/>
    <w:rsid w:val="0025208F"/>
    <w:rsid w:val="00253FEC"/>
    <w:rsid w:val="0025797D"/>
    <w:rsid w:val="002676F6"/>
    <w:rsid w:val="00283BC6"/>
    <w:rsid w:val="00285FCF"/>
    <w:rsid w:val="002A38BD"/>
    <w:rsid w:val="002B2938"/>
    <w:rsid w:val="002C0629"/>
    <w:rsid w:val="002C0967"/>
    <w:rsid w:val="00316D69"/>
    <w:rsid w:val="0035320A"/>
    <w:rsid w:val="00357B1D"/>
    <w:rsid w:val="00366076"/>
    <w:rsid w:val="003713D4"/>
    <w:rsid w:val="003975A1"/>
    <w:rsid w:val="003A5D24"/>
    <w:rsid w:val="003B6620"/>
    <w:rsid w:val="003D1442"/>
    <w:rsid w:val="003E7D13"/>
    <w:rsid w:val="003F017D"/>
    <w:rsid w:val="003F505D"/>
    <w:rsid w:val="004074E5"/>
    <w:rsid w:val="00410A15"/>
    <w:rsid w:val="004145EC"/>
    <w:rsid w:val="00442C34"/>
    <w:rsid w:val="00461657"/>
    <w:rsid w:val="00461C27"/>
    <w:rsid w:val="004741CD"/>
    <w:rsid w:val="00476234"/>
    <w:rsid w:val="00480178"/>
    <w:rsid w:val="00493D94"/>
    <w:rsid w:val="004B4A53"/>
    <w:rsid w:val="004D1355"/>
    <w:rsid w:val="004E52C4"/>
    <w:rsid w:val="004F0204"/>
    <w:rsid w:val="00501BDE"/>
    <w:rsid w:val="00501BFE"/>
    <w:rsid w:val="00521115"/>
    <w:rsid w:val="00532312"/>
    <w:rsid w:val="00533BC7"/>
    <w:rsid w:val="005520F0"/>
    <w:rsid w:val="005536D2"/>
    <w:rsid w:val="00562B5B"/>
    <w:rsid w:val="00570293"/>
    <w:rsid w:val="005A4180"/>
    <w:rsid w:val="005C05CC"/>
    <w:rsid w:val="005D4842"/>
    <w:rsid w:val="005E0E82"/>
    <w:rsid w:val="006137FD"/>
    <w:rsid w:val="0064255E"/>
    <w:rsid w:val="00652171"/>
    <w:rsid w:val="0066056A"/>
    <w:rsid w:val="00662F14"/>
    <w:rsid w:val="00671955"/>
    <w:rsid w:val="006A1799"/>
    <w:rsid w:val="006C00A1"/>
    <w:rsid w:val="006C2C6E"/>
    <w:rsid w:val="00720C19"/>
    <w:rsid w:val="0072759C"/>
    <w:rsid w:val="007536ED"/>
    <w:rsid w:val="00757FF7"/>
    <w:rsid w:val="007624C7"/>
    <w:rsid w:val="00765E87"/>
    <w:rsid w:val="007701B1"/>
    <w:rsid w:val="007808BD"/>
    <w:rsid w:val="007B0369"/>
    <w:rsid w:val="007D1CBD"/>
    <w:rsid w:val="007E791A"/>
    <w:rsid w:val="0080033C"/>
    <w:rsid w:val="00811EA9"/>
    <w:rsid w:val="00843ED3"/>
    <w:rsid w:val="00853920"/>
    <w:rsid w:val="00855423"/>
    <w:rsid w:val="00860F19"/>
    <w:rsid w:val="00866BA2"/>
    <w:rsid w:val="00871291"/>
    <w:rsid w:val="00881225"/>
    <w:rsid w:val="008923B5"/>
    <w:rsid w:val="008A7FFC"/>
    <w:rsid w:val="008C0B66"/>
    <w:rsid w:val="008D2AAC"/>
    <w:rsid w:val="008D3BCC"/>
    <w:rsid w:val="008F63F6"/>
    <w:rsid w:val="00904225"/>
    <w:rsid w:val="009156FC"/>
    <w:rsid w:val="009164E1"/>
    <w:rsid w:val="009173FA"/>
    <w:rsid w:val="00922E71"/>
    <w:rsid w:val="0093190E"/>
    <w:rsid w:val="00941AFF"/>
    <w:rsid w:val="00946BC5"/>
    <w:rsid w:val="00950BEE"/>
    <w:rsid w:val="00956359"/>
    <w:rsid w:val="00975F66"/>
    <w:rsid w:val="009863BE"/>
    <w:rsid w:val="00994372"/>
    <w:rsid w:val="009B0AD3"/>
    <w:rsid w:val="009B354C"/>
    <w:rsid w:val="009F00FE"/>
    <w:rsid w:val="00A01D28"/>
    <w:rsid w:val="00A04662"/>
    <w:rsid w:val="00A13252"/>
    <w:rsid w:val="00A15B10"/>
    <w:rsid w:val="00A15D25"/>
    <w:rsid w:val="00A30F23"/>
    <w:rsid w:val="00A44CF2"/>
    <w:rsid w:val="00A56754"/>
    <w:rsid w:val="00A65E10"/>
    <w:rsid w:val="00AB46A2"/>
    <w:rsid w:val="00AC4692"/>
    <w:rsid w:val="00AF27C7"/>
    <w:rsid w:val="00AF3117"/>
    <w:rsid w:val="00AF529D"/>
    <w:rsid w:val="00AF6830"/>
    <w:rsid w:val="00B02DE0"/>
    <w:rsid w:val="00B249DE"/>
    <w:rsid w:val="00B302AD"/>
    <w:rsid w:val="00B74D66"/>
    <w:rsid w:val="00B822BF"/>
    <w:rsid w:val="00B82702"/>
    <w:rsid w:val="00B842A8"/>
    <w:rsid w:val="00BA3A33"/>
    <w:rsid w:val="00BA59A8"/>
    <w:rsid w:val="00BA6BAF"/>
    <w:rsid w:val="00BC1C5E"/>
    <w:rsid w:val="00BC36F2"/>
    <w:rsid w:val="00BD2348"/>
    <w:rsid w:val="00BE7E0F"/>
    <w:rsid w:val="00C13700"/>
    <w:rsid w:val="00C21618"/>
    <w:rsid w:val="00C34AA3"/>
    <w:rsid w:val="00C40A4D"/>
    <w:rsid w:val="00C447C3"/>
    <w:rsid w:val="00C52668"/>
    <w:rsid w:val="00C730F6"/>
    <w:rsid w:val="00C843B1"/>
    <w:rsid w:val="00C91C32"/>
    <w:rsid w:val="00C960E1"/>
    <w:rsid w:val="00CF03DB"/>
    <w:rsid w:val="00CF1C13"/>
    <w:rsid w:val="00D029B6"/>
    <w:rsid w:val="00D04CE5"/>
    <w:rsid w:val="00D479CA"/>
    <w:rsid w:val="00D50597"/>
    <w:rsid w:val="00D56E84"/>
    <w:rsid w:val="00D80274"/>
    <w:rsid w:val="00D87F52"/>
    <w:rsid w:val="00D904FD"/>
    <w:rsid w:val="00D93C91"/>
    <w:rsid w:val="00DA43C6"/>
    <w:rsid w:val="00DB69EA"/>
    <w:rsid w:val="00DB6A9B"/>
    <w:rsid w:val="00DC17D1"/>
    <w:rsid w:val="00DC4642"/>
    <w:rsid w:val="00DD46EE"/>
    <w:rsid w:val="00DE0526"/>
    <w:rsid w:val="00E32111"/>
    <w:rsid w:val="00E35B22"/>
    <w:rsid w:val="00E50E48"/>
    <w:rsid w:val="00E532DE"/>
    <w:rsid w:val="00E817B6"/>
    <w:rsid w:val="00E90F3C"/>
    <w:rsid w:val="00EA164F"/>
    <w:rsid w:val="00EA5535"/>
    <w:rsid w:val="00EC42D6"/>
    <w:rsid w:val="00F1083A"/>
    <w:rsid w:val="00F14D22"/>
    <w:rsid w:val="00F45547"/>
    <w:rsid w:val="00F46FF1"/>
    <w:rsid w:val="00F52F5A"/>
    <w:rsid w:val="00F730A6"/>
    <w:rsid w:val="00F95168"/>
    <w:rsid w:val="00F956D0"/>
    <w:rsid w:val="00FA3189"/>
    <w:rsid w:val="00FD2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40DA7"/>
  <w15:chartTrackingRefBased/>
  <w15:docId w15:val="{E6854EB9-C999-44D7-AC8A-0E44E8CB2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6FC"/>
  </w:style>
  <w:style w:type="paragraph" w:styleId="Heading1">
    <w:name w:val="heading 1"/>
    <w:basedOn w:val="Normal"/>
    <w:next w:val="Normal"/>
    <w:link w:val="Heading1Char"/>
    <w:uiPriority w:val="9"/>
    <w:qFormat/>
    <w:rsid w:val="009156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56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56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6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6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6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6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6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6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6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56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6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6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6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6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6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6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6FC"/>
    <w:rPr>
      <w:rFonts w:eastAsiaTheme="majorEastAsia" w:cstheme="majorBidi"/>
      <w:color w:val="272727" w:themeColor="text1" w:themeTint="D8"/>
    </w:rPr>
  </w:style>
  <w:style w:type="paragraph" w:styleId="Title">
    <w:name w:val="Title"/>
    <w:basedOn w:val="Normal"/>
    <w:next w:val="Normal"/>
    <w:link w:val="TitleChar"/>
    <w:uiPriority w:val="10"/>
    <w:qFormat/>
    <w:rsid w:val="009156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6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6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6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6FC"/>
    <w:pPr>
      <w:spacing w:before="160"/>
      <w:jc w:val="center"/>
    </w:pPr>
    <w:rPr>
      <w:i/>
      <w:iCs/>
      <w:color w:val="404040" w:themeColor="text1" w:themeTint="BF"/>
    </w:rPr>
  </w:style>
  <w:style w:type="character" w:customStyle="1" w:styleId="QuoteChar">
    <w:name w:val="Quote Char"/>
    <w:basedOn w:val="DefaultParagraphFont"/>
    <w:link w:val="Quote"/>
    <w:uiPriority w:val="29"/>
    <w:rsid w:val="009156FC"/>
    <w:rPr>
      <w:i/>
      <w:iCs/>
      <w:color w:val="404040" w:themeColor="text1" w:themeTint="BF"/>
    </w:rPr>
  </w:style>
  <w:style w:type="paragraph" w:styleId="ListParagraph">
    <w:name w:val="List Paragraph"/>
    <w:basedOn w:val="Normal"/>
    <w:uiPriority w:val="34"/>
    <w:qFormat/>
    <w:rsid w:val="009156FC"/>
    <w:pPr>
      <w:ind w:left="720"/>
      <w:contextualSpacing/>
    </w:pPr>
  </w:style>
  <w:style w:type="character" w:styleId="IntenseEmphasis">
    <w:name w:val="Intense Emphasis"/>
    <w:basedOn w:val="DefaultParagraphFont"/>
    <w:uiPriority w:val="21"/>
    <w:qFormat/>
    <w:rsid w:val="009156FC"/>
    <w:rPr>
      <w:i/>
      <w:iCs/>
      <w:color w:val="0F4761" w:themeColor="accent1" w:themeShade="BF"/>
    </w:rPr>
  </w:style>
  <w:style w:type="paragraph" w:styleId="IntenseQuote">
    <w:name w:val="Intense Quote"/>
    <w:basedOn w:val="Normal"/>
    <w:next w:val="Normal"/>
    <w:link w:val="IntenseQuoteChar"/>
    <w:uiPriority w:val="30"/>
    <w:qFormat/>
    <w:rsid w:val="009156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6FC"/>
    <w:rPr>
      <w:i/>
      <w:iCs/>
      <w:color w:val="0F4761" w:themeColor="accent1" w:themeShade="BF"/>
    </w:rPr>
  </w:style>
  <w:style w:type="character" w:styleId="IntenseReference">
    <w:name w:val="Intense Reference"/>
    <w:basedOn w:val="DefaultParagraphFont"/>
    <w:uiPriority w:val="32"/>
    <w:qFormat/>
    <w:rsid w:val="009156FC"/>
    <w:rPr>
      <w:b/>
      <w:bCs/>
      <w:smallCaps/>
      <w:color w:val="0F4761" w:themeColor="accent1" w:themeShade="BF"/>
      <w:spacing w:val="5"/>
    </w:rPr>
  </w:style>
  <w:style w:type="paragraph" w:styleId="Header">
    <w:name w:val="header"/>
    <w:basedOn w:val="Normal"/>
    <w:link w:val="HeaderChar"/>
    <w:uiPriority w:val="99"/>
    <w:unhideWhenUsed/>
    <w:rsid w:val="009156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6FC"/>
  </w:style>
  <w:style w:type="paragraph" w:styleId="Footer">
    <w:name w:val="footer"/>
    <w:basedOn w:val="Normal"/>
    <w:link w:val="FooterChar"/>
    <w:uiPriority w:val="99"/>
    <w:unhideWhenUsed/>
    <w:rsid w:val="009156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6FC"/>
  </w:style>
  <w:style w:type="character" w:styleId="Hyperlink">
    <w:name w:val="Hyperlink"/>
    <w:basedOn w:val="DefaultParagraphFont"/>
    <w:uiPriority w:val="99"/>
    <w:unhideWhenUsed/>
    <w:rsid w:val="0025208F"/>
    <w:rPr>
      <w:color w:val="467886" w:themeColor="hyperlink"/>
      <w:u w:val="single"/>
    </w:rPr>
  </w:style>
  <w:style w:type="character" w:styleId="UnresolvedMention">
    <w:name w:val="Unresolved Mention"/>
    <w:basedOn w:val="DefaultParagraphFont"/>
    <w:uiPriority w:val="99"/>
    <w:semiHidden/>
    <w:unhideWhenUsed/>
    <w:rsid w:val="0025208F"/>
    <w:rPr>
      <w:color w:val="605E5C"/>
      <w:shd w:val="clear" w:color="auto" w:fill="E1DFDD"/>
    </w:rPr>
  </w:style>
  <w:style w:type="paragraph" w:customStyle="1" w:styleId="pdq2pgselectionanchorcontainer">
    <w:name w:val="pdq2pg_selectionanchorcontainer"/>
    <w:basedOn w:val="Normal"/>
    <w:rsid w:val="00B827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B827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65E10"/>
    <w:rPr>
      <w:i/>
      <w:iCs/>
    </w:rPr>
  </w:style>
  <w:style w:type="paragraph" w:customStyle="1" w:styleId="isselectedend">
    <w:name w:val="isselectedend"/>
    <w:basedOn w:val="Normal"/>
    <w:rsid w:val="00AF52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521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ca://s?q=Explain_Allan_and_Vadean_2023" TargetMode="External"/><Relationship Id="rId18" Type="http://schemas.openxmlformats.org/officeDocument/2006/relationships/hyperlink" Target="https://pubmed.ncbi.nlm.nih.gov/36964753/" TargetMode="External"/><Relationship Id="rId26" Type="http://schemas.openxmlformats.org/officeDocument/2006/relationships/hyperlink" Target="https://blog.ons.gov.uk/2022/01/25/improving-access-to-data-on-adult-social-care/" TargetMode="External"/><Relationship Id="rId3" Type="http://schemas.openxmlformats.org/officeDocument/2006/relationships/settings" Target="settings.xml"/><Relationship Id="rId21" Type="http://schemas.openxmlformats.org/officeDocument/2006/relationships/hyperlink" Target="https://www.gov.uk/government/publications/people-at-the-heart-of-care-adult-social-care-reform-white-paper" TargetMode="External"/><Relationship Id="rId34" Type="http://schemas.openxmlformats.org/officeDocument/2006/relationships/footer" Target="footer1.xml"/><Relationship Id="rId7" Type="http://schemas.openxmlformats.org/officeDocument/2006/relationships/hyperlink" Target="ca://s?q=Explain_Allan_and_Vadean_2021" TargetMode="External"/><Relationship Id="rId12" Type="http://schemas.openxmlformats.org/officeDocument/2006/relationships/hyperlink" Target="ca://s?q=Explain_Allan_and_Vadean_2021" TargetMode="External"/><Relationship Id="rId17" Type="http://schemas.openxmlformats.org/officeDocument/2006/relationships/hyperlink" Target="https://pubmed.ncbi.nlm.nih.gov/33470916/" TargetMode="External"/><Relationship Id="rId25" Type="http://schemas.openxmlformats.org/officeDocument/2006/relationships/hyperlink" Target="https://www.england.nhs.uk/long-read/nhs-long-term-workforce-plan-2/" TargetMode="External"/><Relationship Id="rId33" Type="http://schemas.openxmlformats.org/officeDocument/2006/relationships/hyperlink" Target="https://www.who.int/publications/i/item/9789241511131" TargetMode="External"/><Relationship Id="rId2" Type="http://schemas.openxmlformats.org/officeDocument/2006/relationships/styles" Target="styles.xml"/><Relationship Id="rId16" Type="http://schemas.openxmlformats.org/officeDocument/2006/relationships/hyperlink" Target="ca://s?q=Explain_Devi_et_al_2021" TargetMode="External"/><Relationship Id="rId20" Type="http://schemas.openxmlformats.org/officeDocument/2006/relationships/hyperlink" Target="https://www.cqc.org.uk/guidance-regulation/providers/assessment/assessment-framework" TargetMode="External"/><Relationship Id="rId29" Type="http://schemas.openxmlformats.org/officeDocument/2006/relationships/hyperlink" Target="https://www.skillsforcare.org.uk/Adult-Social-Care-Workforce-Data/workforceintelligence/resources/Reports/National/The-state-of-the-adult-social-care-sector-and-workforce-in-England-202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ca://s?q=Explain_Devi_et_al_2021" TargetMode="External"/><Relationship Id="rId24" Type="http://schemas.openxmlformats.org/officeDocument/2006/relationships/hyperlink" Target="https://link.springer.com/article/10.1186/1748-5908-5-69" TargetMode="External"/><Relationship Id="rId32" Type="http://schemas.openxmlformats.org/officeDocument/2006/relationships/hyperlink" Target="https://pubmed.ncbi.nlm.nih.gov/34723450/" TargetMode="External"/><Relationship Id="rId5" Type="http://schemas.openxmlformats.org/officeDocument/2006/relationships/footnotes" Target="footnotes.xml"/><Relationship Id="rId15" Type="http://schemas.openxmlformats.org/officeDocument/2006/relationships/hyperlink" Target="ca://s?q=Explain_Towers_et_al_2021" TargetMode="External"/><Relationship Id="rId23" Type="http://schemas.openxmlformats.org/officeDocument/2006/relationships/hyperlink" Target="https://researchbriefings.files.parliament.uk/documents/CBP-9615/CBP-9615.pdf" TargetMode="External"/><Relationship Id="rId28" Type="http://schemas.openxmlformats.org/officeDocument/2006/relationships/hyperlink" Target="https://www.skillsforcare.org.uk/resources/documents/Support-for-leaders-and-managers/Developing-leaders-and-managers/Leadership-Qualities-Framework/Leadership-Qualities-Framework.pdf" TargetMode="External"/><Relationship Id="rId36" Type="http://schemas.openxmlformats.org/officeDocument/2006/relationships/theme" Target="theme/theme1.xml"/><Relationship Id="rId10" Type="http://schemas.openxmlformats.org/officeDocument/2006/relationships/hyperlink" Target="ca://s?q=Explain_Towers_et_al_2021" TargetMode="External"/><Relationship Id="rId19" Type="http://schemas.openxmlformats.org/officeDocument/2006/relationships/hyperlink" Target="https://www.legislation.gov.uk/ukpga/2014/23/contents" TargetMode="External"/><Relationship Id="rId31" Type="http://schemas.openxmlformats.org/officeDocument/2006/relationships/hyperlink" Target="https://www.kingsfund.org.uk/insight-and-analysis/long-reads/social-care-360-workforce-carers" TargetMode="External"/><Relationship Id="rId4" Type="http://schemas.openxmlformats.org/officeDocument/2006/relationships/webSettings" Target="webSettings.xml"/><Relationship Id="rId9" Type="http://schemas.openxmlformats.org/officeDocument/2006/relationships/hyperlink" Target="ca://s?q=Explain_Teo_et_al_2022" TargetMode="External"/><Relationship Id="rId14" Type="http://schemas.openxmlformats.org/officeDocument/2006/relationships/hyperlink" Target="ca://s?q=Explain_Teo_et_al_2022" TargetMode="External"/><Relationship Id="rId22" Type="http://schemas.openxmlformats.org/officeDocument/2006/relationships/hyperlink" Target="https://pubmed.ncbi.nlm.nih.gov/32614968/" TargetMode="External"/><Relationship Id="rId27" Type="http://schemas.openxmlformats.org/officeDocument/2006/relationships/hyperlink" Target="https://blog.ons.gov.uk/2022/10/11/taking-care-of-the-carers-why-good-workforce-data-matters-in-supporting-social-care/" TargetMode="External"/><Relationship Id="rId30" Type="http://schemas.openxmlformats.org/officeDocument/2006/relationships/hyperlink" Target="https://pubmed.ncbi.nlm.nih.gov/36388378/" TargetMode="External"/><Relationship Id="rId35" Type="http://schemas.openxmlformats.org/officeDocument/2006/relationships/fontTable" Target="fontTable.xml"/><Relationship Id="rId8" Type="http://schemas.openxmlformats.org/officeDocument/2006/relationships/hyperlink" Target="ca://s?q=Explain_Allan_and_Vadean_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3799</TotalTime>
  <Pages>19</Pages>
  <Words>5647</Words>
  <Characters>32194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Sherelle McLean (2407059)</dc:creator>
  <cp:keywords/>
  <dc:description/>
  <cp:lastModifiedBy>Sherelle McLean (2407059)</cp:lastModifiedBy>
  <cp:revision>193</cp:revision>
  <dcterms:created xsi:type="dcterms:W3CDTF">2026-07-13T16:49:00Z</dcterms:created>
  <dcterms:modified xsi:type="dcterms:W3CDTF">2026-07-16T11:20:00Z</dcterms:modified>
</cp:coreProperties>
</file>