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8FC70F" w:rsidP="697C21B5" w:rsidRDefault="478FC70F" w14:paraId="5B3A80BB" w14:textId="3178F89C">
      <w:pPr>
        <w:jc w:val="center"/>
        <w:rPr>
          <w:b w:val="1"/>
          <w:bCs w:val="1"/>
          <w:sz w:val="56"/>
          <w:szCs w:val="56"/>
          <w:u w:val="single"/>
        </w:rPr>
      </w:pPr>
    </w:p>
    <w:p w:rsidR="478FC70F" w:rsidP="697C21B5" w:rsidRDefault="478FC70F" w14:paraId="59B606A8" w14:textId="5EAAC0AD">
      <w:pPr>
        <w:jc w:val="center"/>
        <w:rPr>
          <w:b w:val="1"/>
          <w:bCs w:val="1"/>
          <w:sz w:val="56"/>
          <w:szCs w:val="56"/>
          <w:u w:val="single"/>
        </w:rPr>
      </w:pPr>
    </w:p>
    <w:p w:rsidR="478FC70F" w:rsidP="697C21B5" w:rsidRDefault="478FC70F" w14:paraId="6BCC0C8D" w14:textId="1F6346D6">
      <w:pPr>
        <w:jc w:val="center"/>
        <w:rPr>
          <w:b w:val="1"/>
          <w:bCs w:val="1"/>
          <w:sz w:val="56"/>
          <w:szCs w:val="56"/>
          <w:u w:val="single"/>
        </w:rPr>
      </w:pPr>
    </w:p>
    <w:p w:rsidR="478FC70F" w:rsidP="697C21B5" w:rsidRDefault="478FC70F" w14:paraId="1AC82150" w14:textId="661E2B7A">
      <w:pPr>
        <w:jc w:val="center"/>
        <w:rPr>
          <w:b w:val="1"/>
          <w:bCs w:val="1"/>
          <w:sz w:val="56"/>
          <w:szCs w:val="56"/>
          <w:u w:val="single"/>
        </w:rPr>
      </w:pPr>
    </w:p>
    <w:p w:rsidR="478FC70F" w:rsidP="697C21B5" w:rsidRDefault="478FC70F" w14:paraId="1EAFFBF1" w14:textId="2F321981">
      <w:pPr>
        <w:jc w:val="center"/>
        <w:rPr>
          <w:b w:val="1"/>
          <w:bCs w:val="1"/>
          <w:sz w:val="96"/>
          <w:szCs w:val="96"/>
          <w:u w:val="none"/>
        </w:rPr>
      </w:pPr>
      <w:r w:rsidRPr="697C21B5" w:rsidR="467E3857">
        <w:rPr>
          <w:b w:val="1"/>
          <w:bCs w:val="1"/>
          <w:sz w:val="96"/>
          <w:szCs w:val="96"/>
          <w:u w:val="none"/>
        </w:rPr>
        <w:t xml:space="preserve">Law Reform Project </w:t>
      </w:r>
    </w:p>
    <w:p w:rsidR="478FC70F" w:rsidP="697C21B5" w:rsidRDefault="478FC70F" w14:paraId="665C679D" w14:textId="48CCABAD">
      <w:pPr>
        <w:rPr>
          <w:b w:val="1"/>
          <w:bCs w:val="1"/>
          <w:sz w:val="32"/>
          <w:szCs w:val="32"/>
          <w:u w:val="single"/>
        </w:rPr>
      </w:pPr>
    </w:p>
    <w:p w:rsidR="478FC70F" w:rsidP="697C21B5" w:rsidRDefault="478FC70F" w14:paraId="7D8129EB" w14:textId="1EC95293">
      <w:pPr>
        <w:rPr>
          <w:b w:val="1"/>
          <w:bCs w:val="1"/>
          <w:sz w:val="32"/>
          <w:szCs w:val="32"/>
          <w:u w:val="single"/>
        </w:rPr>
      </w:pPr>
    </w:p>
    <w:p w:rsidR="478FC70F" w:rsidP="697C21B5" w:rsidRDefault="478FC70F" w14:paraId="68275618" w14:textId="58D8F5D1">
      <w:pPr>
        <w:rPr>
          <w:b w:val="1"/>
          <w:bCs w:val="1"/>
          <w:sz w:val="32"/>
          <w:szCs w:val="32"/>
          <w:u w:val="single"/>
        </w:rPr>
      </w:pPr>
    </w:p>
    <w:p w:rsidR="478FC70F" w:rsidP="697C21B5" w:rsidRDefault="478FC70F" w14:paraId="6B21B2A2" w14:textId="118E5FC1">
      <w:pPr>
        <w:rPr>
          <w:b w:val="1"/>
          <w:bCs w:val="1"/>
          <w:sz w:val="32"/>
          <w:szCs w:val="32"/>
          <w:u w:val="single"/>
        </w:rPr>
      </w:pPr>
    </w:p>
    <w:p w:rsidR="478FC70F" w:rsidP="697C21B5" w:rsidRDefault="478FC70F" w14:paraId="529E470A" w14:textId="07D8A3A0">
      <w:pPr>
        <w:rPr>
          <w:b w:val="1"/>
          <w:bCs w:val="1"/>
          <w:sz w:val="32"/>
          <w:szCs w:val="32"/>
          <w:u w:val="single"/>
        </w:rPr>
      </w:pPr>
    </w:p>
    <w:p w:rsidR="478FC70F" w:rsidP="697C21B5" w:rsidRDefault="478FC70F" w14:paraId="1EEC1B31" w14:textId="7D1928E9">
      <w:pPr>
        <w:rPr>
          <w:b w:val="1"/>
          <w:bCs w:val="1"/>
          <w:sz w:val="32"/>
          <w:szCs w:val="32"/>
          <w:u w:val="single"/>
        </w:rPr>
      </w:pPr>
    </w:p>
    <w:p w:rsidR="478FC70F" w:rsidP="697C21B5" w:rsidRDefault="478FC70F" w14:paraId="22B545C7" w14:textId="3154B0C4">
      <w:pPr>
        <w:rPr>
          <w:b w:val="1"/>
          <w:bCs w:val="1"/>
          <w:sz w:val="32"/>
          <w:szCs w:val="32"/>
          <w:u w:val="single"/>
        </w:rPr>
      </w:pPr>
    </w:p>
    <w:p w:rsidR="478FC70F" w:rsidP="697C21B5" w:rsidRDefault="478FC70F" w14:paraId="53DC0300" w14:textId="3F94F45D">
      <w:pPr>
        <w:rPr>
          <w:b w:val="1"/>
          <w:bCs w:val="1"/>
          <w:sz w:val="32"/>
          <w:szCs w:val="32"/>
          <w:u w:val="single"/>
        </w:rPr>
      </w:pPr>
    </w:p>
    <w:p w:rsidR="478FC70F" w:rsidP="697C21B5" w:rsidRDefault="478FC70F" w14:paraId="3C71C03A" w14:textId="7E5DCDCE">
      <w:pPr>
        <w:rPr>
          <w:b w:val="1"/>
          <w:bCs w:val="1"/>
          <w:sz w:val="32"/>
          <w:szCs w:val="32"/>
          <w:u w:val="single"/>
        </w:rPr>
      </w:pPr>
    </w:p>
    <w:p w:rsidR="478FC70F" w:rsidP="697C21B5" w:rsidRDefault="478FC70F" w14:paraId="1479C5CD" w14:textId="3F5A0F57">
      <w:pPr>
        <w:rPr>
          <w:b w:val="1"/>
          <w:bCs w:val="1"/>
          <w:sz w:val="32"/>
          <w:szCs w:val="32"/>
          <w:u w:val="single"/>
        </w:rPr>
      </w:pPr>
    </w:p>
    <w:p w:rsidR="478FC70F" w:rsidP="697C21B5" w:rsidRDefault="478FC70F" w14:paraId="350258B4" w14:textId="56E80E36">
      <w:pPr>
        <w:rPr>
          <w:b w:val="0"/>
          <w:bCs w:val="0"/>
          <w:sz w:val="32"/>
          <w:szCs w:val="32"/>
          <w:u w:val="none"/>
        </w:rPr>
      </w:pPr>
    </w:p>
    <w:p w:rsidR="478FC70F" w:rsidP="697C21B5" w:rsidRDefault="478FC70F" w14:paraId="24889EA4" w14:textId="0F883621">
      <w:pPr>
        <w:jc w:val="center"/>
        <w:rPr>
          <w:b w:val="0"/>
          <w:bCs w:val="0"/>
          <w:sz w:val="32"/>
          <w:szCs w:val="32"/>
          <w:u w:val="none"/>
        </w:rPr>
      </w:pPr>
      <w:r w:rsidRPr="697C21B5" w:rsidR="467E3857">
        <w:rPr>
          <w:b w:val="0"/>
          <w:bCs w:val="0"/>
          <w:sz w:val="32"/>
          <w:szCs w:val="32"/>
          <w:u w:val="none"/>
        </w:rPr>
        <w:t xml:space="preserve">Ffion oliver </w:t>
      </w:r>
    </w:p>
    <w:p w:rsidR="478FC70F" w:rsidP="697C21B5" w:rsidRDefault="478FC70F" w14:paraId="1030A2C1" w14:textId="504B1CDD">
      <w:pPr>
        <w:jc w:val="center"/>
        <w:rPr>
          <w:b w:val="1"/>
          <w:bCs w:val="1"/>
        </w:rPr>
      </w:pPr>
      <w:r w:rsidRPr="697C21B5" w:rsidR="467E3857">
        <w:rPr>
          <w:b w:val="0"/>
          <w:bCs w:val="0"/>
          <w:sz w:val="32"/>
          <w:szCs w:val="32"/>
          <w:u w:val="none"/>
        </w:rPr>
        <w:t>2305145</w:t>
      </w:r>
    </w:p>
    <w:p w:rsidR="478FC70F" w:rsidP="697C21B5" w:rsidRDefault="478FC70F" w14:paraId="2AF940DE" w14:textId="24FF3A4F">
      <w:pPr>
        <w:jc w:val="center"/>
        <w:rPr>
          <w:b w:val="1"/>
          <w:bCs w:val="1"/>
        </w:rPr>
      </w:pPr>
      <w:r w:rsidRPr="697C21B5" w:rsidR="02E715B5">
        <w:rPr>
          <w:b w:val="1"/>
          <w:bCs w:val="1"/>
        </w:rPr>
        <w:t>I</w:t>
      </w:r>
      <w:r w:rsidRPr="697C21B5" w:rsidR="258F620A">
        <w:rPr>
          <w:b w:val="1"/>
          <w:bCs w:val="1"/>
        </w:rPr>
        <w:t>ntroduction</w:t>
      </w:r>
      <w:r w:rsidRPr="697C21B5" w:rsidR="4EFE0DD6">
        <w:rPr>
          <w:b w:val="1"/>
          <w:bCs w:val="1"/>
        </w:rPr>
        <w:t>:</w:t>
      </w:r>
    </w:p>
    <w:p w:rsidR="7BA9326C" w:rsidP="697C21B5" w:rsidRDefault="7BA9326C" w14:paraId="297CEBE1" w14:textId="066BF0FC">
      <w:pPr>
        <w:pStyle w:val="Normal"/>
        <w:rPr>
          <w:rFonts w:ascii="Arial" w:hAnsi="Arial" w:eastAsia="Arial" w:cs="Arial" w:asciiTheme="minorAscii" w:hAnsiTheme="minorAscii" w:eastAsiaTheme="minorAscii" w:cstheme="minorAscii"/>
          <w:noProof w:val="0"/>
          <w:sz w:val="24"/>
          <w:szCs w:val="24"/>
          <w:lang w:val="en-GB"/>
        </w:rPr>
      </w:pPr>
      <w:r w:rsidRPr="697C21B5" w:rsidR="09A6A79B">
        <w:rPr>
          <w:rFonts w:ascii="Arial" w:hAnsi="Arial" w:eastAsia="Arial" w:cs="Arial" w:asciiTheme="minorAscii" w:hAnsiTheme="minorAscii" w:eastAsiaTheme="minorAscii" w:cstheme="minorAscii"/>
          <w:noProof w:val="0"/>
          <w:sz w:val="24"/>
          <w:szCs w:val="24"/>
          <w:lang w:val="en-GB"/>
        </w:rPr>
        <w:t xml:space="preserve">Trustees have fiduciary obligations to beneficiaries and are essential to the administration of trusts. Since trustees must "keep beneficiaries reasonably informed about the trust and its operation," transparency is a crucial </w:t>
      </w:r>
      <w:r w:rsidRPr="697C21B5" w:rsidR="09A6A79B">
        <w:rPr>
          <w:rFonts w:ascii="Arial" w:hAnsi="Arial" w:eastAsia="Arial" w:cs="Arial" w:asciiTheme="minorAscii" w:hAnsiTheme="minorAscii" w:eastAsiaTheme="minorAscii" w:cstheme="minorAscii"/>
          <w:noProof w:val="0"/>
          <w:sz w:val="24"/>
          <w:szCs w:val="24"/>
          <w:lang w:val="en-GB"/>
        </w:rPr>
        <w:t>component</w:t>
      </w:r>
      <w:r w:rsidRPr="697C21B5" w:rsidR="09A6A79B">
        <w:rPr>
          <w:rFonts w:ascii="Arial" w:hAnsi="Arial" w:eastAsia="Arial" w:cs="Arial" w:asciiTheme="minorAscii" w:hAnsiTheme="minorAscii" w:eastAsiaTheme="minorAscii" w:cstheme="minorAscii"/>
          <w:noProof w:val="0"/>
          <w:sz w:val="24"/>
          <w:szCs w:val="24"/>
          <w:lang w:val="en-GB"/>
        </w:rPr>
        <w:t xml:space="preserve"> of these responsibilities</w:t>
      </w:r>
      <w:r w:rsidRPr="697C21B5" w:rsidR="12AF7035">
        <w:rPr>
          <w:rFonts w:ascii="Arial" w:hAnsi="Arial" w:eastAsia="Arial" w:cs="Arial" w:asciiTheme="minorAscii" w:hAnsiTheme="minorAscii" w:eastAsiaTheme="minorAscii" w:cstheme="minorAscii"/>
          <w:noProof w:val="0"/>
          <w:sz w:val="24"/>
          <w:szCs w:val="24"/>
          <w:lang w:val="en-GB"/>
        </w:rPr>
        <w:t xml:space="preserve"> (The Trustee Handbook, 2025).</w:t>
      </w:r>
      <w:r w:rsidRPr="697C21B5" w:rsidR="01170FE3">
        <w:rPr>
          <w:rFonts w:ascii="Arial" w:hAnsi="Arial" w:eastAsia="Arial" w:cs="Arial" w:asciiTheme="minorAscii" w:hAnsiTheme="minorAscii" w:eastAsiaTheme="minorAscii" w:cstheme="minorAscii"/>
          <w:noProof w:val="0"/>
          <w:sz w:val="24"/>
          <w:szCs w:val="24"/>
          <w:lang w:val="en-GB"/>
        </w:rPr>
        <w:t xml:space="preserve"> Any information that the beneficiary has a legitimate need for </w:t>
      </w:r>
      <w:r w:rsidRPr="697C21B5" w:rsidR="01170FE3">
        <w:rPr>
          <w:rFonts w:ascii="Arial" w:hAnsi="Arial" w:eastAsia="Arial" w:cs="Arial" w:asciiTheme="minorAscii" w:hAnsiTheme="minorAscii" w:eastAsiaTheme="minorAscii" w:cstheme="minorAscii"/>
          <w:noProof w:val="0"/>
          <w:sz w:val="24"/>
          <w:szCs w:val="24"/>
          <w:lang w:val="en-GB"/>
        </w:rPr>
        <w:t>regarding</w:t>
      </w:r>
      <w:r w:rsidRPr="697C21B5" w:rsidR="01170FE3">
        <w:rPr>
          <w:rFonts w:ascii="Arial" w:hAnsi="Arial" w:eastAsia="Arial" w:cs="Arial" w:asciiTheme="minorAscii" w:hAnsiTheme="minorAscii" w:eastAsiaTheme="minorAscii" w:cstheme="minorAscii"/>
          <w:noProof w:val="0"/>
          <w:sz w:val="24"/>
          <w:szCs w:val="24"/>
          <w:lang w:val="en-GB"/>
        </w:rPr>
        <w:t xml:space="preserve"> the trust and its administration may be demanded from the trustee (Lewis, 2026).</w:t>
      </w:r>
      <w:r w:rsidRPr="697C21B5" w:rsidR="507F3A15">
        <w:rPr>
          <w:rFonts w:ascii="Arial" w:hAnsi="Arial" w:eastAsia="Arial" w:cs="Arial" w:asciiTheme="minorAscii" w:hAnsiTheme="minorAscii" w:eastAsiaTheme="minorAscii" w:cstheme="minorAscii"/>
          <w:noProof w:val="0"/>
          <w:sz w:val="24"/>
          <w:szCs w:val="24"/>
          <w:lang w:val="en-GB"/>
        </w:rPr>
        <w:t xml:space="preserve"> However, rather than statutory control, judicial decisions have </w:t>
      </w:r>
      <w:r w:rsidRPr="697C21B5" w:rsidR="507F3A15">
        <w:rPr>
          <w:rFonts w:ascii="Arial" w:hAnsi="Arial" w:eastAsia="Arial" w:cs="Arial" w:asciiTheme="minorAscii" w:hAnsiTheme="minorAscii" w:eastAsiaTheme="minorAscii" w:cstheme="minorAscii"/>
          <w:noProof w:val="0"/>
          <w:sz w:val="24"/>
          <w:szCs w:val="24"/>
          <w:lang w:val="en-GB"/>
        </w:rPr>
        <w:t>largely shaped</w:t>
      </w:r>
      <w:r w:rsidRPr="697C21B5" w:rsidR="507F3A15">
        <w:rPr>
          <w:rFonts w:ascii="Arial" w:hAnsi="Arial" w:eastAsia="Arial" w:cs="Arial" w:asciiTheme="minorAscii" w:hAnsiTheme="minorAscii" w:eastAsiaTheme="minorAscii" w:cstheme="minorAscii"/>
          <w:noProof w:val="0"/>
          <w:sz w:val="24"/>
          <w:szCs w:val="24"/>
          <w:lang w:val="en-GB"/>
        </w:rPr>
        <w:t xml:space="preserve"> the legal rules governing the disclosure of trust information. Cases like Schmidt v. Rosewood Trust Ltd</w:t>
      </w:r>
      <w:r w:rsidRPr="697C21B5" w:rsidR="30F24ACF">
        <w:rPr>
          <w:rFonts w:ascii="Arial" w:hAnsi="Arial" w:eastAsia="Arial" w:cs="Arial" w:asciiTheme="minorAscii" w:hAnsiTheme="minorAscii" w:eastAsiaTheme="minorAscii" w:cstheme="minorAscii"/>
          <w:noProof w:val="0"/>
          <w:sz w:val="24"/>
          <w:szCs w:val="24"/>
          <w:lang w:val="en-GB"/>
        </w:rPr>
        <w:t xml:space="preserve"> (2003)</w:t>
      </w:r>
      <w:r w:rsidRPr="697C21B5" w:rsidR="507F3A15">
        <w:rPr>
          <w:rFonts w:ascii="Arial" w:hAnsi="Arial" w:eastAsia="Arial" w:cs="Arial" w:asciiTheme="minorAscii" w:hAnsiTheme="minorAscii" w:eastAsiaTheme="minorAscii" w:cstheme="minorAscii"/>
          <w:noProof w:val="0"/>
          <w:sz w:val="24"/>
          <w:szCs w:val="24"/>
          <w:lang w:val="en-GB"/>
        </w:rPr>
        <w:t xml:space="preserve"> and Re Londonderry's Settlement</w:t>
      </w:r>
      <w:r w:rsidRPr="697C21B5" w:rsidR="357048F1">
        <w:rPr>
          <w:rFonts w:ascii="Arial" w:hAnsi="Arial" w:eastAsia="Arial" w:cs="Arial" w:asciiTheme="minorAscii" w:hAnsiTheme="minorAscii" w:eastAsiaTheme="minorAscii" w:cstheme="minorAscii"/>
          <w:noProof w:val="0"/>
          <w:sz w:val="24"/>
          <w:szCs w:val="24"/>
          <w:lang w:val="en-GB"/>
        </w:rPr>
        <w:t xml:space="preserve"> (1965)</w:t>
      </w:r>
      <w:r w:rsidRPr="697C21B5" w:rsidR="507F3A15">
        <w:rPr>
          <w:rFonts w:ascii="Arial" w:hAnsi="Arial" w:eastAsia="Arial" w:cs="Arial" w:asciiTheme="minorAscii" w:hAnsiTheme="minorAscii" w:eastAsiaTheme="minorAscii" w:cstheme="minorAscii"/>
          <w:noProof w:val="0"/>
          <w:sz w:val="24"/>
          <w:szCs w:val="24"/>
          <w:lang w:val="en-GB"/>
        </w:rPr>
        <w:t xml:space="preserve">, </w:t>
      </w:r>
      <w:r w:rsidRPr="697C21B5" w:rsidR="6E723413">
        <w:rPr>
          <w:rFonts w:ascii="Arial" w:hAnsi="Arial" w:eastAsia="Arial" w:cs="Arial" w:asciiTheme="minorAscii" w:hAnsiTheme="minorAscii" w:eastAsiaTheme="minorAscii" w:cstheme="minorAscii"/>
          <w:noProof w:val="0"/>
          <w:sz w:val="24"/>
          <w:szCs w:val="24"/>
          <w:lang w:val="en-GB"/>
        </w:rPr>
        <w:t>for</w:t>
      </w:r>
      <w:r w:rsidRPr="697C21B5" w:rsidR="507F3A15">
        <w:rPr>
          <w:rFonts w:ascii="Arial" w:hAnsi="Arial" w:eastAsia="Arial" w:cs="Arial" w:asciiTheme="minorAscii" w:hAnsiTheme="minorAscii" w:eastAsiaTheme="minorAscii" w:cstheme="minorAscii"/>
          <w:noProof w:val="0"/>
          <w:sz w:val="24"/>
          <w:szCs w:val="24"/>
          <w:lang w:val="en-GB"/>
        </w:rPr>
        <w:t xml:space="preserve"> example, have influenced modern views on trustees' obligations to provide beneficiaries with information.</w:t>
      </w:r>
      <w:r w:rsidRPr="697C21B5" w:rsidR="47A73821">
        <w:rPr>
          <w:rFonts w:ascii="Arial" w:hAnsi="Arial" w:eastAsia="Arial" w:cs="Arial" w:asciiTheme="minorAscii" w:hAnsiTheme="minorAscii" w:eastAsiaTheme="minorAscii" w:cstheme="minorAscii"/>
          <w:noProof w:val="0"/>
          <w:sz w:val="24"/>
          <w:szCs w:val="24"/>
          <w:lang w:val="en-GB"/>
        </w:rPr>
        <w:t xml:space="preserve"> The present framework </w:t>
      </w:r>
      <w:r w:rsidRPr="697C21B5" w:rsidR="7335D538">
        <w:rPr>
          <w:rFonts w:ascii="Arial" w:hAnsi="Arial" w:eastAsia="Arial" w:cs="Arial" w:asciiTheme="minorAscii" w:hAnsiTheme="minorAscii" w:eastAsiaTheme="minorAscii" w:cstheme="minorAscii"/>
          <w:noProof w:val="0"/>
          <w:sz w:val="24"/>
          <w:szCs w:val="24"/>
          <w:lang w:val="en-GB"/>
        </w:rPr>
        <w:t>has been criticised</w:t>
      </w:r>
      <w:r w:rsidRPr="697C21B5" w:rsidR="47A73821">
        <w:rPr>
          <w:rFonts w:ascii="Arial" w:hAnsi="Arial" w:eastAsia="Arial" w:cs="Arial" w:asciiTheme="minorAscii" w:hAnsiTheme="minorAscii" w:eastAsiaTheme="minorAscii" w:cstheme="minorAscii"/>
          <w:noProof w:val="0"/>
          <w:sz w:val="24"/>
          <w:szCs w:val="24"/>
          <w:lang w:val="en-GB"/>
        </w:rPr>
        <w:t xml:space="preserve"> for being unclear and heavily depending on court discretion to decide whether trustees must </w:t>
      </w:r>
      <w:r w:rsidRPr="697C21B5" w:rsidR="47A73821">
        <w:rPr>
          <w:rFonts w:ascii="Arial" w:hAnsi="Arial" w:eastAsia="Arial" w:cs="Arial" w:asciiTheme="minorAscii" w:hAnsiTheme="minorAscii" w:eastAsiaTheme="minorAscii" w:cstheme="minorAscii"/>
          <w:noProof w:val="0"/>
          <w:sz w:val="24"/>
          <w:szCs w:val="24"/>
          <w:lang w:val="en-GB"/>
        </w:rPr>
        <w:t>disclose</w:t>
      </w:r>
      <w:r w:rsidRPr="697C21B5" w:rsidR="47A73821">
        <w:rPr>
          <w:rFonts w:ascii="Arial" w:hAnsi="Arial" w:eastAsia="Arial" w:cs="Arial" w:asciiTheme="minorAscii" w:hAnsiTheme="minorAscii" w:eastAsiaTheme="minorAscii" w:cstheme="minorAscii"/>
          <w:noProof w:val="0"/>
          <w:sz w:val="24"/>
          <w:szCs w:val="24"/>
          <w:lang w:val="en-GB"/>
        </w:rPr>
        <w:t xml:space="preserve"> information (McCrae, 2023).</w:t>
      </w:r>
      <w:r w:rsidRPr="697C21B5" w:rsidR="4A1FB22C">
        <w:rPr>
          <w:rFonts w:ascii="Arial" w:hAnsi="Arial" w:eastAsia="Arial" w:cs="Arial" w:asciiTheme="minorAscii" w:hAnsiTheme="minorAscii" w:eastAsiaTheme="minorAscii" w:cstheme="minorAscii"/>
          <w:noProof w:val="0"/>
          <w:sz w:val="24"/>
          <w:szCs w:val="24"/>
          <w:lang w:val="en-GB"/>
        </w:rPr>
        <w:t xml:space="preserve"> This project aims to address these issues by proposing the Trustee Disclosure and Beneficiary Information Act </w:t>
      </w:r>
      <w:r w:rsidRPr="697C21B5" w:rsidR="2899753F">
        <w:rPr>
          <w:rFonts w:ascii="Arial" w:hAnsi="Arial" w:eastAsia="Arial" w:cs="Arial" w:asciiTheme="minorAscii" w:hAnsiTheme="minorAscii" w:eastAsiaTheme="minorAscii" w:cstheme="minorAscii"/>
          <w:noProof w:val="0"/>
          <w:sz w:val="24"/>
          <w:szCs w:val="24"/>
          <w:lang w:val="en-GB"/>
        </w:rPr>
        <w:t>(</w:t>
      </w:r>
      <w:r w:rsidRPr="697C21B5" w:rsidR="4A1FB22C">
        <w:rPr>
          <w:rFonts w:ascii="Arial" w:hAnsi="Arial" w:eastAsia="Arial" w:cs="Arial" w:asciiTheme="minorAscii" w:hAnsiTheme="minorAscii" w:eastAsiaTheme="minorAscii" w:cstheme="minorAscii"/>
          <w:noProof w:val="0"/>
          <w:sz w:val="24"/>
          <w:szCs w:val="24"/>
          <w:lang w:val="en-GB"/>
        </w:rPr>
        <w:t>2026</w:t>
      </w:r>
      <w:r w:rsidRPr="697C21B5" w:rsidR="499473CF">
        <w:rPr>
          <w:rFonts w:ascii="Arial" w:hAnsi="Arial" w:eastAsia="Arial" w:cs="Arial" w:asciiTheme="minorAscii" w:hAnsiTheme="minorAscii" w:eastAsiaTheme="minorAscii" w:cstheme="minorAscii"/>
          <w:noProof w:val="0"/>
          <w:sz w:val="24"/>
          <w:szCs w:val="24"/>
          <w:lang w:val="en-GB"/>
        </w:rPr>
        <w:t>)</w:t>
      </w:r>
      <w:r w:rsidRPr="697C21B5" w:rsidR="4A1FB22C">
        <w:rPr>
          <w:rFonts w:ascii="Arial" w:hAnsi="Arial" w:eastAsia="Arial" w:cs="Arial" w:asciiTheme="minorAscii" w:hAnsiTheme="minorAscii" w:eastAsiaTheme="minorAscii" w:cstheme="minorAscii"/>
          <w:noProof w:val="0"/>
          <w:sz w:val="24"/>
          <w:szCs w:val="24"/>
          <w:lang w:val="en-GB"/>
        </w:rPr>
        <w:t>, which aims to define</w:t>
      </w:r>
      <w:r w:rsidRPr="697C21B5" w:rsidR="3646AA46">
        <w:rPr>
          <w:rFonts w:ascii="Arial" w:hAnsi="Arial" w:eastAsia="Arial" w:cs="Arial" w:asciiTheme="minorAscii" w:hAnsiTheme="minorAscii" w:eastAsiaTheme="minorAscii" w:cstheme="minorAscii"/>
          <w:noProof w:val="0"/>
          <w:sz w:val="24"/>
          <w:szCs w:val="24"/>
          <w:lang w:val="en-GB"/>
        </w:rPr>
        <w:t xml:space="preserve"> </w:t>
      </w:r>
      <w:r w:rsidRPr="697C21B5" w:rsidR="4A1FB22C">
        <w:rPr>
          <w:rFonts w:ascii="Arial" w:hAnsi="Arial" w:eastAsia="Arial" w:cs="Arial" w:asciiTheme="minorAscii" w:hAnsiTheme="minorAscii" w:eastAsiaTheme="minorAscii" w:cstheme="minorAscii"/>
          <w:noProof w:val="0"/>
          <w:sz w:val="24"/>
          <w:szCs w:val="24"/>
          <w:lang w:val="en-GB"/>
        </w:rPr>
        <w:t>categories of trust documents that are subject to disclosure</w:t>
      </w:r>
      <w:r w:rsidRPr="697C21B5" w:rsidR="4A1FB22C">
        <w:rPr>
          <w:rFonts w:ascii="Arial" w:hAnsi="Arial" w:eastAsia="Arial" w:cs="Arial" w:asciiTheme="minorAscii" w:hAnsiTheme="minorAscii" w:eastAsiaTheme="minorAscii" w:cstheme="minorAscii"/>
          <w:noProof w:val="0"/>
          <w:sz w:val="24"/>
          <w:szCs w:val="24"/>
          <w:lang w:val="en-GB"/>
        </w:rPr>
        <w:t xml:space="preserve">, </w:t>
      </w:r>
      <w:r w:rsidRPr="697C21B5" w:rsidR="4A1FB22C">
        <w:rPr>
          <w:rFonts w:ascii="Arial" w:hAnsi="Arial" w:eastAsia="Arial" w:cs="Arial" w:asciiTheme="minorAscii" w:hAnsiTheme="minorAscii" w:eastAsiaTheme="minorAscii" w:cstheme="minorAscii"/>
          <w:noProof w:val="0"/>
          <w:sz w:val="24"/>
          <w:szCs w:val="24"/>
          <w:lang w:val="en-GB"/>
        </w:rPr>
        <w:t>establish</w:t>
      </w:r>
      <w:r w:rsidRPr="697C21B5" w:rsidR="4A1FB22C">
        <w:rPr>
          <w:rFonts w:ascii="Arial" w:hAnsi="Arial" w:eastAsia="Arial" w:cs="Arial" w:asciiTheme="minorAscii" w:hAnsiTheme="minorAscii" w:eastAsiaTheme="minorAscii" w:cstheme="minorAscii"/>
          <w:noProof w:val="0"/>
          <w:sz w:val="24"/>
          <w:szCs w:val="24"/>
          <w:lang w:val="en-GB"/>
        </w:rPr>
        <w:t xml:space="preserve"> guidelines for the use of trustee discretion, and clarify trustees' obligations to provide information. This </w:t>
      </w:r>
      <w:r w:rsidRPr="697C21B5" w:rsidR="3D154064">
        <w:rPr>
          <w:rFonts w:ascii="Arial" w:hAnsi="Arial" w:eastAsia="Arial" w:cs="Arial" w:asciiTheme="minorAscii" w:hAnsiTheme="minorAscii" w:eastAsiaTheme="minorAscii" w:cstheme="minorAscii"/>
          <w:noProof w:val="0"/>
          <w:sz w:val="24"/>
          <w:szCs w:val="24"/>
          <w:lang w:val="en-GB"/>
        </w:rPr>
        <w:t>project</w:t>
      </w:r>
      <w:r w:rsidRPr="697C21B5" w:rsidR="4A1FB22C">
        <w:rPr>
          <w:rFonts w:ascii="Arial" w:hAnsi="Arial" w:eastAsia="Arial" w:cs="Arial" w:asciiTheme="minorAscii" w:hAnsiTheme="minorAscii" w:eastAsiaTheme="minorAscii" w:cstheme="minorAscii"/>
          <w:noProof w:val="0"/>
          <w:sz w:val="24"/>
          <w:szCs w:val="24"/>
          <w:lang w:val="en-GB"/>
        </w:rPr>
        <w:t xml:space="preserve"> assesses the proposed reform and </w:t>
      </w:r>
      <w:r w:rsidRPr="697C21B5" w:rsidR="4A1FB22C">
        <w:rPr>
          <w:rFonts w:ascii="Arial" w:hAnsi="Arial" w:eastAsia="Arial" w:cs="Arial" w:asciiTheme="minorAscii" w:hAnsiTheme="minorAscii" w:eastAsiaTheme="minorAscii" w:cstheme="minorAscii"/>
          <w:noProof w:val="0"/>
          <w:sz w:val="24"/>
          <w:szCs w:val="24"/>
          <w:lang w:val="en-GB"/>
        </w:rPr>
        <w:t>determines</w:t>
      </w:r>
      <w:r w:rsidRPr="697C21B5" w:rsidR="4A1FB22C">
        <w:rPr>
          <w:rFonts w:ascii="Arial" w:hAnsi="Arial" w:eastAsia="Arial" w:cs="Arial" w:asciiTheme="minorAscii" w:hAnsiTheme="minorAscii" w:eastAsiaTheme="minorAscii" w:cstheme="minorAscii"/>
          <w:noProof w:val="0"/>
          <w:sz w:val="24"/>
          <w:szCs w:val="24"/>
          <w:lang w:val="en-GB"/>
        </w:rPr>
        <w:t xml:space="preserve"> whether it successfully increases trust administration's transparency and certainty.</w:t>
      </w:r>
      <w:r w:rsidRPr="697C21B5" w:rsidR="286D3B93">
        <w:rPr>
          <w:rFonts w:ascii="Arial" w:hAnsi="Arial" w:eastAsia="Arial" w:cs="Arial" w:asciiTheme="minorAscii" w:hAnsiTheme="minorAscii" w:eastAsiaTheme="minorAscii" w:cstheme="minorAscii"/>
          <w:noProof w:val="0"/>
          <w:sz w:val="24"/>
          <w:szCs w:val="24"/>
          <w:lang w:val="en-GB"/>
        </w:rPr>
        <w:t xml:space="preserve"> </w:t>
      </w:r>
      <w:r w:rsidRPr="697C21B5" w:rsidR="286D3B93">
        <w:rPr>
          <w:rFonts w:ascii="Arial" w:hAnsi="Arial" w:eastAsia="Arial" w:cs="Arial"/>
          <w:noProof w:val="0"/>
          <w:sz w:val="24"/>
          <w:szCs w:val="24"/>
          <w:lang w:val="en-GB"/>
        </w:rPr>
        <w:t>A review of case law and scholarly opinion emphasising the ambiguity and discretionary nature of trustees' disclosure obligations led to the identification of this area.</w:t>
      </w:r>
    </w:p>
    <w:p w:rsidR="1C7A32AB" w:rsidP="697C21B5" w:rsidRDefault="1C7A32AB" w14:paraId="084E17AA" w14:textId="1D3D2ADD">
      <w:pPr>
        <w:jc w:val="center"/>
        <w:rPr>
          <w:b w:val="1"/>
          <w:bCs w:val="1"/>
        </w:rPr>
      </w:pPr>
      <w:r w:rsidRPr="697C21B5" w:rsidR="34212A07">
        <w:rPr>
          <w:b w:val="1"/>
          <w:bCs w:val="1"/>
        </w:rPr>
        <w:t>Current position:</w:t>
      </w:r>
    </w:p>
    <w:p w:rsidR="63EE425B" w:rsidP="361F4524" w:rsidRDefault="63EE425B" w14:paraId="0BE96322" w14:textId="555F2524">
      <w:pPr>
        <w:pStyle w:val="Normal"/>
        <w:rPr>
          <w:rFonts w:ascii="Arial" w:hAnsi="Arial" w:eastAsia="Arial" w:cs="Arial"/>
          <w:noProof w:val="0"/>
          <w:sz w:val="24"/>
          <w:szCs w:val="24"/>
          <w:lang w:val="en-GB"/>
        </w:rPr>
      </w:pPr>
      <w:r w:rsidRPr="697C21B5" w:rsidR="664C32AF">
        <w:rPr>
          <w:rFonts w:ascii="Arial" w:hAnsi="Arial" w:eastAsia="Arial" w:cs="Arial"/>
          <w:noProof w:val="0"/>
          <w:sz w:val="24"/>
          <w:szCs w:val="24"/>
          <w:lang w:val="en-GB"/>
        </w:rPr>
        <w:t xml:space="preserve">Rather </w:t>
      </w:r>
      <w:r w:rsidRPr="697C21B5" w:rsidR="34D19E0C">
        <w:rPr>
          <w:rFonts w:ascii="Arial" w:hAnsi="Arial" w:eastAsia="Arial" w:cs="Arial"/>
          <w:noProof w:val="0"/>
          <w:sz w:val="24"/>
          <w:szCs w:val="24"/>
          <w:lang w:val="en-GB"/>
        </w:rPr>
        <w:t xml:space="preserve">than </w:t>
      </w:r>
      <w:r w:rsidRPr="697C21B5" w:rsidR="664C32AF">
        <w:rPr>
          <w:rFonts w:ascii="Arial" w:hAnsi="Arial" w:eastAsia="Arial" w:cs="Arial"/>
          <w:noProof w:val="0"/>
          <w:sz w:val="24"/>
          <w:szCs w:val="24"/>
          <w:lang w:val="en-GB"/>
        </w:rPr>
        <w:t xml:space="preserve">a complete statutory framework, case law has </w:t>
      </w:r>
      <w:r w:rsidRPr="697C21B5" w:rsidR="664C32AF">
        <w:rPr>
          <w:rFonts w:ascii="Arial" w:hAnsi="Arial" w:eastAsia="Arial" w:cs="Arial"/>
          <w:noProof w:val="0"/>
          <w:sz w:val="24"/>
          <w:szCs w:val="24"/>
          <w:lang w:val="en-GB"/>
        </w:rPr>
        <w:t>largely created</w:t>
      </w:r>
      <w:r w:rsidRPr="697C21B5" w:rsidR="664C32AF">
        <w:rPr>
          <w:rFonts w:ascii="Arial" w:hAnsi="Arial" w:eastAsia="Arial" w:cs="Arial"/>
          <w:noProof w:val="0"/>
          <w:sz w:val="24"/>
          <w:szCs w:val="24"/>
          <w:lang w:val="en-GB"/>
        </w:rPr>
        <w:t xml:space="preserve"> the trustees' obligation to provide benefici</w:t>
      </w:r>
      <w:r w:rsidRPr="697C21B5" w:rsidR="664C32AF">
        <w:rPr>
          <w:rFonts w:ascii="Arial" w:hAnsi="Arial" w:eastAsia="Arial" w:cs="Arial" w:asciiTheme="minorAscii" w:hAnsiTheme="minorAscii" w:eastAsiaTheme="minorAscii" w:cstheme="minorAscii"/>
          <w:noProof w:val="0"/>
          <w:sz w:val="24"/>
          <w:szCs w:val="24"/>
          <w:lang w:val="en-GB"/>
        </w:rPr>
        <w:t>aries with information (Virgo, 2020).</w:t>
      </w:r>
      <w:r w:rsidRPr="697C21B5" w:rsidR="3FAD48E3">
        <w:rPr>
          <w:rFonts w:ascii="Arial" w:hAnsi="Arial" w:eastAsia="Arial" w:cs="Arial" w:asciiTheme="minorAscii" w:hAnsiTheme="minorAscii" w:eastAsiaTheme="minorAscii" w:cstheme="minorAscii"/>
          <w:noProof w:val="0"/>
          <w:sz w:val="24"/>
          <w:szCs w:val="24"/>
          <w:lang w:val="en-GB"/>
        </w:rPr>
        <w:t xml:space="preserve"> Traditionally, the courts made a distinction between documents that beneficiaries could view and those that were kept confidential </w:t>
      </w:r>
      <w:r w:rsidRPr="697C21B5" w:rsidR="3FAD48E3">
        <w:rPr>
          <w:rFonts w:ascii="Arial" w:hAnsi="Arial" w:eastAsia="Arial" w:cs="Arial" w:asciiTheme="minorAscii" w:hAnsiTheme="minorAscii" w:eastAsiaTheme="minorAscii" w:cstheme="minorAscii"/>
          <w:noProof w:val="0"/>
          <w:sz w:val="24"/>
          <w:szCs w:val="24"/>
          <w:lang w:val="en-GB"/>
        </w:rPr>
        <w:t>(Holbech, 2012).</w:t>
      </w:r>
      <w:r w:rsidRPr="697C21B5" w:rsidR="3CB95B3F">
        <w:rPr>
          <w:rFonts w:ascii="Arial" w:hAnsi="Arial" w:eastAsia="Arial" w:cs="Arial" w:asciiTheme="minorAscii" w:hAnsiTheme="minorAscii" w:eastAsiaTheme="minorAscii" w:cstheme="minorAscii"/>
          <w:noProof w:val="0"/>
          <w:sz w:val="24"/>
          <w:szCs w:val="24"/>
          <w:lang w:val="en-GB"/>
        </w:rPr>
        <w:t xml:space="preserve"> The Court of Appeal ruled in Re Londonderry's Settlement</w:t>
      </w:r>
      <w:r w:rsidRPr="697C21B5" w:rsidR="4036EF8D">
        <w:rPr>
          <w:rFonts w:ascii="Arial" w:hAnsi="Arial" w:eastAsia="Arial" w:cs="Arial" w:asciiTheme="minorAscii" w:hAnsiTheme="minorAscii" w:eastAsiaTheme="minorAscii" w:cstheme="minorAscii"/>
          <w:noProof w:val="0"/>
          <w:sz w:val="24"/>
          <w:szCs w:val="24"/>
          <w:lang w:val="en-GB"/>
        </w:rPr>
        <w:t xml:space="preserve"> (1965)</w:t>
      </w:r>
      <w:r w:rsidRPr="697C21B5" w:rsidR="3CB95B3F">
        <w:rPr>
          <w:rFonts w:ascii="Arial" w:hAnsi="Arial" w:eastAsia="Arial" w:cs="Arial" w:asciiTheme="minorAscii" w:hAnsiTheme="minorAscii" w:eastAsiaTheme="minorAscii" w:cstheme="minorAscii"/>
          <w:noProof w:val="0"/>
          <w:sz w:val="24"/>
          <w:szCs w:val="24"/>
          <w:lang w:val="en-GB"/>
        </w:rPr>
        <w:t xml:space="preserve"> that beneficiaries had no right to see documentation outlining the rationale behind trustees' discretionary choices. The court defended this strategy on the grounds that disclosure might compromise the </w:t>
      </w:r>
      <w:r w:rsidRPr="697C21B5" w:rsidR="3CB95B3F">
        <w:rPr>
          <w:rFonts w:ascii="Arial" w:hAnsi="Arial" w:eastAsia="Arial" w:cs="Arial" w:asciiTheme="minorAscii" w:hAnsiTheme="minorAscii" w:eastAsiaTheme="minorAscii" w:cstheme="minorAscii"/>
          <w:noProof w:val="0"/>
          <w:sz w:val="24"/>
          <w:szCs w:val="24"/>
          <w:lang w:val="en-GB"/>
        </w:rPr>
        <w:t>appropriate use</w:t>
      </w:r>
      <w:r w:rsidRPr="697C21B5" w:rsidR="3CB95B3F">
        <w:rPr>
          <w:rFonts w:ascii="Arial" w:hAnsi="Arial" w:eastAsia="Arial" w:cs="Arial" w:asciiTheme="minorAscii" w:hAnsiTheme="minorAscii" w:eastAsiaTheme="minorAscii" w:cstheme="minorAscii"/>
          <w:noProof w:val="0"/>
          <w:sz w:val="24"/>
          <w:szCs w:val="24"/>
          <w:lang w:val="en-GB"/>
        </w:rPr>
        <w:t xml:space="preserve"> of trustee discretion and </w:t>
      </w:r>
      <w:r w:rsidRPr="697C21B5" w:rsidR="3CB95B3F">
        <w:rPr>
          <w:rFonts w:ascii="Arial" w:hAnsi="Arial" w:eastAsia="Arial" w:cs="Arial" w:asciiTheme="minorAscii" w:hAnsiTheme="minorAscii" w:eastAsiaTheme="minorAscii" w:cstheme="minorAscii"/>
          <w:noProof w:val="0"/>
          <w:sz w:val="24"/>
          <w:szCs w:val="24"/>
          <w:lang w:val="en-GB"/>
        </w:rPr>
        <w:t>possibly lead</w:t>
      </w:r>
      <w:r w:rsidRPr="697C21B5" w:rsidR="3CB95B3F">
        <w:rPr>
          <w:rFonts w:ascii="Arial" w:hAnsi="Arial" w:eastAsia="Arial" w:cs="Arial" w:asciiTheme="minorAscii" w:hAnsiTheme="minorAscii" w:eastAsiaTheme="minorAscii" w:cstheme="minorAscii"/>
          <w:noProof w:val="0"/>
          <w:sz w:val="24"/>
          <w:szCs w:val="24"/>
          <w:lang w:val="en-GB"/>
        </w:rPr>
        <w:t xml:space="preserve"> to disputes between beneficiaries.</w:t>
      </w:r>
    </w:p>
    <w:p w:rsidR="72B143B6" w:rsidP="361F4524" w:rsidRDefault="72B143B6" w14:paraId="227561F6" w14:textId="3BA52ACC">
      <w:pPr>
        <w:pStyle w:val="Normal"/>
        <w:rPr>
          <w:rFonts w:ascii="Arial" w:hAnsi="Arial" w:eastAsia="Arial" w:cs="Arial" w:asciiTheme="minorAscii" w:hAnsiTheme="minorAscii" w:eastAsiaTheme="minorAscii" w:cstheme="minorAscii"/>
          <w:noProof w:val="0"/>
          <w:sz w:val="24"/>
          <w:szCs w:val="24"/>
          <w:lang w:val="en-GB"/>
        </w:rPr>
      </w:pPr>
      <w:r w:rsidRPr="697C21B5" w:rsidR="72B143B6">
        <w:rPr>
          <w:rFonts w:ascii="Arial" w:hAnsi="Arial" w:eastAsia="Arial" w:cs="Arial" w:asciiTheme="minorAscii" w:hAnsiTheme="minorAscii" w:eastAsiaTheme="minorAscii" w:cstheme="minorAscii"/>
          <w:noProof w:val="0"/>
          <w:sz w:val="24"/>
          <w:szCs w:val="24"/>
          <w:lang w:val="en-GB"/>
        </w:rPr>
        <w:t>In Schmidt v. Rosewood Trust Ltd</w:t>
      </w:r>
      <w:r w:rsidRPr="697C21B5" w:rsidR="325D7E43">
        <w:rPr>
          <w:rFonts w:ascii="Arial" w:hAnsi="Arial" w:eastAsia="Arial" w:cs="Arial" w:asciiTheme="minorAscii" w:hAnsiTheme="minorAscii" w:eastAsiaTheme="minorAscii" w:cstheme="minorAscii"/>
          <w:noProof w:val="0"/>
          <w:sz w:val="24"/>
          <w:szCs w:val="24"/>
          <w:lang w:val="en-GB"/>
        </w:rPr>
        <w:t xml:space="preserve"> (2003)</w:t>
      </w:r>
      <w:r w:rsidRPr="697C21B5" w:rsidR="72B143B6">
        <w:rPr>
          <w:rFonts w:ascii="Arial" w:hAnsi="Arial" w:eastAsia="Arial" w:cs="Arial" w:asciiTheme="minorAscii" w:hAnsiTheme="minorAscii" w:eastAsiaTheme="minorAscii" w:cstheme="minorAscii"/>
          <w:noProof w:val="0"/>
          <w:sz w:val="24"/>
          <w:szCs w:val="24"/>
          <w:lang w:val="en-GB"/>
        </w:rPr>
        <w:t>, however, the Privy Council re-examined the strict classification of papers enforced in Re Londonderry</w:t>
      </w:r>
      <w:r w:rsidRPr="697C21B5" w:rsidR="71BB252C">
        <w:rPr>
          <w:rFonts w:ascii="Arial" w:hAnsi="Arial" w:eastAsia="Arial" w:cs="Arial" w:asciiTheme="minorAscii" w:hAnsiTheme="minorAscii" w:eastAsiaTheme="minorAscii" w:cstheme="minorAscii"/>
          <w:noProof w:val="0"/>
          <w:sz w:val="24"/>
          <w:szCs w:val="24"/>
          <w:lang w:val="en-GB"/>
        </w:rPr>
        <w:t>’s settlement (1965)</w:t>
      </w:r>
      <w:r w:rsidRPr="697C21B5" w:rsidR="72B143B6">
        <w:rPr>
          <w:rFonts w:ascii="Arial" w:hAnsi="Arial" w:eastAsia="Arial" w:cs="Arial" w:asciiTheme="minorAscii" w:hAnsiTheme="minorAscii" w:eastAsiaTheme="minorAscii" w:cstheme="minorAscii"/>
          <w:noProof w:val="0"/>
          <w:sz w:val="24"/>
          <w:szCs w:val="24"/>
          <w:lang w:val="en-GB"/>
        </w:rPr>
        <w:t>.</w:t>
      </w:r>
      <w:r w:rsidRPr="697C21B5" w:rsidR="7B35399C">
        <w:rPr>
          <w:rFonts w:ascii="Arial" w:hAnsi="Arial" w:eastAsia="Arial" w:cs="Arial" w:asciiTheme="minorAscii" w:hAnsiTheme="minorAscii" w:eastAsiaTheme="minorAscii" w:cstheme="minorAscii"/>
          <w:noProof w:val="0"/>
          <w:sz w:val="24"/>
          <w:szCs w:val="24"/>
          <w:lang w:val="en-GB"/>
        </w:rPr>
        <w:t xml:space="preserve"> </w:t>
      </w:r>
      <w:r w:rsidRPr="697C21B5" w:rsidR="7B35399C">
        <w:rPr>
          <w:rFonts w:ascii="Arial" w:hAnsi="Arial" w:eastAsia="Arial" w:cs="Arial"/>
          <w:noProof w:val="0"/>
          <w:sz w:val="24"/>
          <w:szCs w:val="24"/>
          <w:lang w:val="en-GB"/>
        </w:rPr>
        <w:t>The claim that a beneficiary's right to information stems only from a proprietary interest in trust documents was rejected by the court. Rather, the court emphasi</w:t>
      </w:r>
      <w:r w:rsidRPr="697C21B5" w:rsidR="156BDF9D">
        <w:rPr>
          <w:rFonts w:ascii="Arial" w:hAnsi="Arial" w:eastAsia="Arial" w:cs="Arial"/>
          <w:noProof w:val="0"/>
          <w:sz w:val="24"/>
          <w:szCs w:val="24"/>
          <w:lang w:val="en-GB"/>
        </w:rPr>
        <w:t>s</w:t>
      </w:r>
      <w:r w:rsidRPr="697C21B5" w:rsidR="7B35399C">
        <w:rPr>
          <w:rFonts w:ascii="Arial" w:hAnsi="Arial" w:eastAsia="Arial" w:cs="Arial"/>
          <w:noProof w:val="0"/>
          <w:sz w:val="24"/>
          <w:szCs w:val="24"/>
          <w:lang w:val="en-GB"/>
        </w:rPr>
        <w:t xml:space="preserve">ed that the court's inherent supervisory </w:t>
      </w:r>
      <w:r w:rsidRPr="697C21B5" w:rsidR="7B35399C">
        <w:rPr>
          <w:rFonts w:ascii="Arial" w:hAnsi="Arial" w:eastAsia="Arial" w:cs="Arial"/>
          <w:noProof w:val="0"/>
          <w:sz w:val="24"/>
          <w:szCs w:val="24"/>
          <w:lang w:val="en-GB"/>
        </w:rPr>
        <w:t>jurisdiction</w:t>
      </w:r>
      <w:r w:rsidRPr="697C21B5" w:rsidR="7B35399C">
        <w:rPr>
          <w:rFonts w:ascii="Arial" w:hAnsi="Arial" w:eastAsia="Arial" w:cs="Arial"/>
          <w:noProof w:val="0"/>
          <w:sz w:val="24"/>
          <w:szCs w:val="24"/>
          <w:lang w:val="en-GB"/>
        </w:rPr>
        <w:t xml:space="preserve"> over trusts includes the disclosure of trust information.</w:t>
      </w:r>
      <w:r w:rsidRPr="697C21B5" w:rsidR="45C687E6">
        <w:rPr>
          <w:rFonts w:ascii="Arial" w:hAnsi="Arial" w:eastAsia="Arial" w:cs="Arial"/>
          <w:noProof w:val="0"/>
          <w:sz w:val="24"/>
          <w:szCs w:val="24"/>
          <w:lang w:val="en-GB"/>
        </w:rPr>
        <w:t xml:space="preserve"> Therefore, the exercise of judicial discretion is used to </w:t>
      </w:r>
      <w:r w:rsidRPr="697C21B5" w:rsidR="45C687E6">
        <w:rPr>
          <w:rFonts w:ascii="Arial" w:hAnsi="Arial" w:eastAsia="Arial" w:cs="Arial"/>
          <w:noProof w:val="0"/>
          <w:sz w:val="24"/>
          <w:szCs w:val="24"/>
          <w:lang w:val="en-GB"/>
        </w:rPr>
        <w:t>determine</w:t>
      </w:r>
      <w:r w:rsidRPr="697C21B5" w:rsidR="45C687E6">
        <w:rPr>
          <w:rFonts w:ascii="Arial" w:hAnsi="Arial" w:eastAsia="Arial" w:cs="Arial"/>
          <w:noProof w:val="0"/>
          <w:sz w:val="24"/>
          <w:szCs w:val="24"/>
          <w:lang w:val="en-GB"/>
        </w:rPr>
        <w:t xml:space="preserve"> access to trust information, taking into consideration the circumstances of the trust and the nature of the beneficiary's interest.</w:t>
      </w:r>
    </w:p>
    <w:p w:rsidR="361F4524" w:rsidP="361F4524" w:rsidRDefault="361F4524" w14:paraId="2B3A17C5" w14:textId="63B87C2A">
      <w:pPr>
        <w:pStyle w:val="Normal"/>
      </w:pPr>
      <w:r w:rsidRPr="697C21B5" w:rsidR="428668EC">
        <w:rPr>
          <w:rFonts w:ascii="Arial" w:hAnsi="Arial" w:eastAsia="Arial" w:cs="Arial"/>
          <w:noProof w:val="0"/>
          <w:sz w:val="24"/>
          <w:szCs w:val="24"/>
          <w:lang w:val="en-GB"/>
        </w:rPr>
        <w:t>In Breakspear v. Ackland</w:t>
      </w:r>
      <w:r w:rsidRPr="697C21B5" w:rsidR="389AA17D">
        <w:rPr>
          <w:rFonts w:ascii="Arial" w:hAnsi="Arial" w:eastAsia="Arial" w:cs="Arial"/>
          <w:noProof w:val="0"/>
          <w:sz w:val="24"/>
          <w:szCs w:val="24"/>
          <w:lang w:val="en-GB"/>
        </w:rPr>
        <w:t xml:space="preserve"> (2008)</w:t>
      </w:r>
      <w:r w:rsidRPr="697C21B5" w:rsidR="428668EC">
        <w:rPr>
          <w:rFonts w:ascii="Arial" w:hAnsi="Arial" w:eastAsia="Arial" w:cs="Arial"/>
          <w:noProof w:val="0"/>
          <w:sz w:val="24"/>
          <w:szCs w:val="24"/>
          <w:lang w:val="en-GB"/>
        </w:rPr>
        <w:t>, the High Court further clarified that some documents, such</w:t>
      </w:r>
      <w:r w:rsidRPr="697C21B5" w:rsidR="6FE5F9CA">
        <w:rPr>
          <w:rFonts w:ascii="Arial" w:hAnsi="Arial" w:eastAsia="Arial" w:cs="Arial"/>
          <w:noProof w:val="0"/>
          <w:sz w:val="24"/>
          <w:szCs w:val="24"/>
          <w:lang w:val="en-GB"/>
        </w:rPr>
        <w:t xml:space="preserve"> as</w:t>
      </w:r>
      <w:r w:rsidRPr="697C21B5" w:rsidR="428668EC">
        <w:rPr>
          <w:rFonts w:ascii="Arial" w:hAnsi="Arial" w:eastAsia="Arial" w:cs="Arial"/>
          <w:noProof w:val="0"/>
          <w:sz w:val="24"/>
          <w:szCs w:val="24"/>
          <w:lang w:val="en-GB"/>
        </w:rPr>
        <w:t xml:space="preserve"> trustees' </w:t>
      </w:r>
      <w:r w:rsidRPr="697C21B5" w:rsidR="428668EC">
        <w:rPr>
          <w:rFonts w:ascii="Arial" w:hAnsi="Arial" w:eastAsia="Arial" w:cs="Arial"/>
          <w:noProof w:val="0"/>
          <w:sz w:val="24"/>
          <w:szCs w:val="24"/>
          <w:lang w:val="en-GB"/>
        </w:rPr>
        <w:t>discussions</w:t>
      </w:r>
      <w:r w:rsidRPr="697C21B5" w:rsidR="428668EC">
        <w:rPr>
          <w:rFonts w:ascii="Arial" w:hAnsi="Arial" w:eastAsia="Arial" w:cs="Arial"/>
          <w:noProof w:val="0"/>
          <w:sz w:val="24"/>
          <w:szCs w:val="24"/>
          <w:lang w:val="en-GB"/>
        </w:rPr>
        <w:t xml:space="preserve"> or settlor's statements of intent, may be kept confidential. As a result, the existing legal system </w:t>
      </w:r>
      <w:r w:rsidRPr="697C21B5" w:rsidR="428668EC">
        <w:rPr>
          <w:rFonts w:ascii="Arial" w:hAnsi="Arial" w:eastAsia="Arial" w:cs="Arial"/>
          <w:noProof w:val="0"/>
          <w:sz w:val="24"/>
          <w:szCs w:val="24"/>
          <w:lang w:val="en-GB"/>
        </w:rPr>
        <w:t>mainly depends</w:t>
      </w:r>
      <w:r w:rsidRPr="697C21B5" w:rsidR="428668EC">
        <w:rPr>
          <w:rFonts w:ascii="Arial" w:hAnsi="Arial" w:eastAsia="Arial" w:cs="Arial"/>
          <w:noProof w:val="0"/>
          <w:sz w:val="24"/>
          <w:szCs w:val="24"/>
          <w:lang w:val="en-GB"/>
        </w:rPr>
        <w:t xml:space="preserve"> on judicial discretion, which leads to a flexible but occasionally ambiguous approach to trustees' disclosure requirements.</w:t>
      </w:r>
    </w:p>
    <w:p w:rsidR="22C63739" w:rsidP="697C21B5" w:rsidRDefault="22C63739" w14:paraId="3F1E5BD1" w14:textId="53D15378">
      <w:pPr>
        <w:pStyle w:val="Normal"/>
        <w:jc w:val="center"/>
        <w:rPr>
          <w:rFonts w:ascii="Arial" w:hAnsi="Arial" w:eastAsia="Arial" w:cs="Arial"/>
          <w:b w:val="1"/>
          <w:bCs w:val="1"/>
          <w:noProof w:val="0"/>
          <w:sz w:val="24"/>
          <w:szCs w:val="24"/>
          <w:lang w:val="en-GB"/>
        </w:rPr>
      </w:pPr>
      <w:r w:rsidRPr="697C21B5" w:rsidR="0D7204D9">
        <w:rPr>
          <w:rFonts w:ascii="Arial" w:hAnsi="Arial" w:eastAsia="Arial" w:cs="Arial"/>
          <w:b w:val="1"/>
          <w:bCs w:val="1"/>
          <w:noProof w:val="0"/>
          <w:sz w:val="24"/>
          <w:szCs w:val="24"/>
          <w:lang w:val="en-GB"/>
        </w:rPr>
        <w:t>Current Challenges:</w:t>
      </w:r>
    </w:p>
    <w:p w:rsidR="22C63739" w:rsidP="6372C16D" w:rsidRDefault="22C63739" w14:paraId="6D7F4130" w14:textId="344491A5">
      <w:pPr>
        <w:pStyle w:val="Normal"/>
        <w:ind w:left="0"/>
        <w:rPr>
          <w:rFonts w:ascii="Arial" w:hAnsi="Arial" w:eastAsia="Arial" w:cs="Arial" w:asciiTheme="minorAscii" w:hAnsiTheme="minorAscii" w:eastAsiaTheme="minorAscii" w:cstheme="minorAscii"/>
          <w:noProof w:val="0"/>
          <w:sz w:val="24"/>
          <w:szCs w:val="24"/>
          <w:lang w:val="en-GB"/>
        </w:rPr>
      </w:pPr>
      <w:r w:rsidRPr="697C21B5" w:rsidR="73446371">
        <w:rPr>
          <w:rFonts w:ascii="Arial" w:hAnsi="Arial" w:eastAsia="Arial" w:cs="Arial"/>
          <w:noProof w:val="0"/>
          <w:sz w:val="24"/>
          <w:szCs w:val="24"/>
          <w:lang w:val="en-GB"/>
        </w:rPr>
        <w:t>Due to its reliance on judicial discretion rather than statutory clarity, the current structure governing trustees' duties to communicate information to beneficiaries poses several challenges</w:t>
      </w:r>
      <w:r w:rsidRPr="697C21B5" w:rsidR="6AD22C24">
        <w:rPr>
          <w:rFonts w:ascii="Arial" w:hAnsi="Arial" w:eastAsia="Arial" w:cs="Arial"/>
          <w:noProof w:val="0"/>
          <w:sz w:val="24"/>
          <w:szCs w:val="24"/>
          <w:lang w:val="en-GB"/>
        </w:rPr>
        <w:t xml:space="preserve"> (Hafeez‑Baig and English, 2017).</w:t>
      </w:r>
      <w:r w:rsidRPr="697C21B5" w:rsidR="4AEC80A8">
        <w:rPr>
          <w:rFonts w:ascii="Arial" w:hAnsi="Arial" w:eastAsia="Arial" w:cs="Arial"/>
          <w:noProof w:val="0"/>
          <w:sz w:val="24"/>
          <w:szCs w:val="24"/>
          <w:lang w:val="en-GB"/>
        </w:rPr>
        <w:t xml:space="preserve"> Although courts have </w:t>
      </w:r>
      <w:r w:rsidRPr="697C21B5" w:rsidR="4AEC80A8">
        <w:rPr>
          <w:rFonts w:ascii="Arial" w:hAnsi="Arial" w:eastAsia="Arial" w:cs="Arial"/>
          <w:noProof w:val="0"/>
          <w:sz w:val="24"/>
          <w:szCs w:val="24"/>
          <w:lang w:val="en-GB"/>
        </w:rPr>
        <w:t>established</w:t>
      </w:r>
      <w:r w:rsidRPr="697C21B5" w:rsidR="4AEC80A8">
        <w:rPr>
          <w:rFonts w:ascii="Arial" w:hAnsi="Arial" w:eastAsia="Arial" w:cs="Arial"/>
          <w:noProof w:val="0"/>
          <w:sz w:val="24"/>
          <w:szCs w:val="24"/>
          <w:lang w:val="en-GB"/>
        </w:rPr>
        <w:t xml:space="preserve"> principles through instances like </w:t>
      </w:r>
      <w:r w:rsidRPr="697C21B5" w:rsidR="4AEC80A8">
        <w:rPr>
          <w:rFonts w:ascii="Arial" w:hAnsi="Arial" w:eastAsia="Arial" w:cs="Arial"/>
          <w:i w:val="1"/>
          <w:iCs w:val="1"/>
          <w:noProof w:val="0"/>
          <w:sz w:val="24"/>
          <w:szCs w:val="24"/>
          <w:lang w:val="en-GB"/>
        </w:rPr>
        <w:t>Schmidt v. Rosewood Trust Ltd</w:t>
      </w:r>
      <w:r w:rsidRPr="697C21B5" w:rsidR="75B2FF39">
        <w:rPr>
          <w:rFonts w:ascii="Arial" w:hAnsi="Arial" w:eastAsia="Arial" w:cs="Arial"/>
          <w:i w:val="1"/>
          <w:iCs w:val="1"/>
          <w:noProof w:val="0"/>
          <w:sz w:val="24"/>
          <w:szCs w:val="24"/>
          <w:lang w:val="en-GB"/>
        </w:rPr>
        <w:t xml:space="preserve"> (2003)</w:t>
      </w:r>
      <w:r w:rsidRPr="697C21B5" w:rsidR="4AEC80A8">
        <w:rPr>
          <w:rFonts w:ascii="Arial" w:hAnsi="Arial" w:eastAsia="Arial" w:cs="Arial"/>
          <w:noProof w:val="0"/>
          <w:sz w:val="24"/>
          <w:szCs w:val="24"/>
          <w:lang w:val="en-GB"/>
        </w:rPr>
        <w:t xml:space="preserve"> and </w:t>
      </w:r>
      <w:r w:rsidRPr="697C21B5" w:rsidR="4AEC80A8">
        <w:rPr>
          <w:rFonts w:ascii="Arial" w:hAnsi="Arial" w:eastAsia="Arial" w:cs="Arial"/>
          <w:i w:val="1"/>
          <w:iCs w:val="1"/>
          <w:noProof w:val="0"/>
          <w:sz w:val="24"/>
          <w:szCs w:val="24"/>
          <w:lang w:val="en-GB"/>
        </w:rPr>
        <w:t xml:space="preserve">Re </w:t>
      </w:r>
      <w:r w:rsidRPr="697C21B5" w:rsidR="4AEC80A8">
        <w:rPr>
          <w:rFonts w:ascii="Arial" w:hAnsi="Arial" w:eastAsia="Arial" w:cs="Arial" w:asciiTheme="minorAscii" w:hAnsiTheme="minorAscii" w:eastAsiaTheme="minorAscii" w:cstheme="minorAscii"/>
          <w:i w:val="1"/>
          <w:iCs w:val="1"/>
          <w:noProof w:val="0"/>
          <w:sz w:val="24"/>
          <w:szCs w:val="24"/>
          <w:lang w:val="en-GB"/>
        </w:rPr>
        <w:t>Londonderry's Settlement</w:t>
      </w:r>
      <w:r w:rsidRPr="697C21B5" w:rsidR="14A2E6DC">
        <w:rPr>
          <w:rFonts w:ascii="Arial" w:hAnsi="Arial" w:eastAsia="Arial" w:cs="Arial" w:asciiTheme="minorAscii" w:hAnsiTheme="minorAscii" w:eastAsiaTheme="minorAscii" w:cstheme="minorAscii"/>
          <w:i w:val="1"/>
          <w:iCs w:val="1"/>
          <w:noProof w:val="0"/>
          <w:sz w:val="24"/>
          <w:szCs w:val="24"/>
          <w:lang w:val="en-GB"/>
        </w:rPr>
        <w:t xml:space="preserve"> (1965)</w:t>
      </w:r>
      <w:r w:rsidRPr="697C21B5" w:rsidR="4AEC80A8">
        <w:rPr>
          <w:rFonts w:ascii="Arial" w:hAnsi="Arial" w:eastAsia="Arial" w:cs="Arial" w:asciiTheme="minorAscii" w:hAnsiTheme="minorAscii" w:eastAsiaTheme="minorAscii" w:cstheme="minorAscii"/>
          <w:noProof w:val="0"/>
          <w:sz w:val="24"/>
          <w:szCs w:val="24"/>
          <w:lang w:val="en-GB"/>
        </w:rPr>
        <w:t>, this case-based approach has left the scope of disclosure ambiguous (Tey, 2012).</w:t>
      </w:r>
      <w:r w:rsidRPr="697C21B5" w:rsidR="22C196BB">
        <w:rPr>
          <w:rFonts w:ascii="Arial" w:hAnsi="Arial" w:eastAsia="Arial" w:cs="Arial" w:asciiTheme="minorAscii" w:hAnsiTheme="minorAscii" w:eastAsiaTheme="minorAscii" w:cstheme="minorAscii"/>
          <w:noProof w:val="0"/>
          <w:sz w:val="24"/>
          <w:szCs w:val="24"/>
          <w:lang w:val="en-GB"/>
        </w:rPr>
        <w:t xml:space="preserve"> When it comes to discretionary trusts or confidential settlor communications, trustees and beneficiaries </w:t>
      </w:r>
      <w:r w:rsidRPr="697C21B5" w:rsidR="22C196BB">
        <w:rPr>
          <w:rFonts w:ascii="Arial" w:hAnsi="Arial" w:eastAsia="Arial" w:cs="Arial" w:asciiTheme="minorAscii" w:hAnsiTheme="minorAscii" w:eastAsiaTheme="minorAscii" w:cstheme="minorAscii"/>
          <w:noProof w:val="0"/>
          <w:sz w:val="24"/>
          <w:szCs w:val="24"/>
          <w:lang w:val="en-GB"/>
        </w:rPr>
        <w:t>frequently</w:t>
      </w:r>
      <w:r w:rsidRPr="697C21B5" w:rsidR="22C196BB">
        <w:rPr>
          <w:rFonts w:ascii="Arial" w:hAnsi="Arial" w:eastAsia="Arial" w:cs="Arial" w:asciiTheme="minorAscii" w:hAnsiTheme="minorAscii" w:eastAsiaTheme="minorAscii" w:cstheme="minorAscii"/>
          <w:noProof w:val="0"/>
          <w:sz w:val="24"/>
          <w:szCs w:val="24"/>
          <w:lang w:val="en-GB"/>
        </w:rPr>
        <w:t xml:space="preserve"> find it difficult to decide which </w:t>
      </w:r>
      <w:r w:rsidRPr="697C21B5" w:rsidR="4318E192">
        <w:rPr>
          <w:rFonts w:ascii="Arial" w:hAnsi="Arial" w:eastAsia="Arial" w:cs="Arial" w:asciiTheme="minorAscii" w:hAnsiTheme="minorAscii" w:eastAsiaTheme="minorAscii" w:cstheme="minorAscii"/>
          <w:noProof w:val="0"/>
          <w:sz w:val="24"/>
          <w:szCs w:val="24"/>
          <w:lang w:val="en-GB"/>
        </w:rPr>
        <w:t>documents</w:t>
      </w:r>
      <w:r w:rsidRPr="697C21B5" w:rsidR="22C196BB">
        <w:rPr>
          <w:rFonts w:ascii="Arial" w:hAnsi="Arial" w:eastAsia="Arial" w:cs="Arial" w:asciiTheme="minorAscii" w:hAnsiTheme="minorAscii" w:eastAsiaTheme="minorAscii" w:cstheme="minorAscii"/>
          <w:noProof w:val="0"/>
          <w:sz w:val="24"/>
          <w:szCs w:val="24"/>
          <w:lang w:val="en-GB"/>
        </w:rPr>
        <w:t xml:space="preserve"> need to be released and under what conditions </w:t>
      </w:r>
      <w:r w:rsidRPr="697C21B5" w:rsidR="22C196BB">
        <w:rPr>
          <w:rFonts w:ascii="Arial" w:hAnsi="Arial" w:eastAsia="Arial" w:cs="Arial" w:asciiTheme="minorAscii" w:hAnsiTheme="minorAscii" w:eastAsiaTheme="minorAscii" w:cstheme="minorAscii"/>
          <w:noProof w:val="0"/>
          <w:sz w:val="24"/>
          <w:szCs w:val="24"/>
          <w:lang w:val="en-GB"/>
        </w:rPr>
        <w:t>(Hudson, 2021).</w:t>
      </w:r>
    </w:p>
    <w:p w:rsidR="4B96C12D" w:rsidP="6372C16D" w:rsidRDefault="4B96C12D" w14:paraId="1FFF8DC9" w14:textId="67863564">
      <w:pPr>
        <w:pStyle w:val="Normal"/>
        <w:rPr>
          <w:rFonts w:ascii="Arial" w:hAnsi="Arial" w:eastAsia="Arial" w:cs="Arial" w:asciiTheme="minorAscii" w:hAnsiTheme="minorAscii" w:eastAsiaTheme="minorAscii" w:cstheme="minorAscii"/>
          <w:noProof w:val="0"/>
          <w:sz w:val="24"/>
          <w:szCs w:val="24"/>
          <w:lang w:val="en-GB"/>
        </w:rPr>
      </w:pPr>
      <w:r w:rsidRPr="697C21B5" w:rsidR="6C28B571">
        <w:rPr>
          <w:rFonts w:ascii="Arial" w:hAnsi="Arial" w:eastAsia="Arial" w:cs="Arial" w:asciiTheme="minorAscii" w:hAnsiTheme="minorAscii" w:eastAsiaTheme="minorAscii" w:cstheme="minorAscii"/>
          <w:noProof w:val="0"/>
          <w:sz w:val="24"/>
          <w:szCs w:val="24"/>
          <w:lang w:val="en-GB"/>
        </w:rPr>
        <w:t xml:space="preserve">The flexibility of the existing system is one of its advantages (Davies and Virgo, 2025). </w:t>
      </w:r>
      <w:r w:rsidRPr="697C21B5" w:rsidR="3D7FB42A">
        <w:rPr>
          <w:rFonts w:ascii="Arial" w:hAnsi="Arial" w:eastAsia="Arial" w:cs="Arial" w:asciiTheme="minorAscii" w:hAnsiTheme="minorAscii" w:eastAsiaTheme="minorAscii" w:cstheme="minorAscii"/>
          <w:noProof w:val="0"/>
          <w:sz w:val="24"/>
          <w:szCs w:val="24"/>
          <w:lang w:val="en-GB"/>
        </w:rPr>
        <w:t xml:space="preserve">The law enables trustees to safeguard sensitive information, such as settlor letters of </w:t>
      </w:r>
      <w:r w:rsidRPr="697C21B5" w:rsidR="4695D908">
        <w:rPr>
          <w:rFonts w:ascii="Arial" w:hAnsi="Arial" w:eastAsia="Arial" w:cs="Arial" w:asciiTheme="minorAscii" w:hAnsiTheme="minorAscii" w:eastAsiaTheme="minorAscii" w:cstheme="minorAscii"/>
          <w:noProof w:val="0"/>
          <w:sz w:val="24"/>
          <w:szCs w:val="24"/>
          <w:lang w:val="en-GB"/>
        </w:rPr>
        <w:t>wishes</w:t>
      </w:r>
      <w:r w:rsidRPr="697C21B5" w:rsidR="3D7FB42A">
        <w:rPr>
          <w:rFonts w:ascii="Arial" w:hAnsi="Arial" w:eastAsia="Arial" w:cs="Arial" w:asciiTheme="minorAscii" w:hAnsiTheme="minorAscii" w:eastAsiaTheme="minorAscii" w:cstheme="minorAscii"/>
          <w:noProof w:val="0"/>
          <w:sz w:val="24"/>
          <w:szCs w:val="24"/>
          <w:lang w:val="en-GB"/>
        </w:rPr>
        <w:t xml:space="preserve"> or deliberations, that might not be relevant to beneficiaries' interests by </w:t>
      </w:r>
      <w:r w:rsidRPr="697C21B5" w:rsidR="3D7FB42A">
        <w:rPr>
          <w:rFonts w:ascii="Arial" w:hAnsi="Arial" w:eastAsia="Arial" w:cs="Arial" w:asciiTheme="minorAscii" w:hAnsiTheme="minorAscii" w:eastAsiaTheme="minorAscii" w:cstheme="minorAscii"/>
          <w:noProof w:val="0"/>
          <w:sz w:val="24"/>
          <w:szCs w:val="24"/>
          <w:lang w:val="en-GB"/>
        </w:rPr>
        <w:t>essentially delegating</w:t>
      </w:r>
      <w:r w:rsidRPr="697C21B5" w:rsidR="3D7FB42A">
        <w:rPr>
          <w:rFonts w:ascii="Arial" w:hAnsi="Arial" w:eastAsia="Arial" w:cs="Arial" w:asciiTheme="minorAscii" w:hAnsiTheme="minorAscii" w:eastAsiaTheme="minorAscii" w:cstheme="minorAscii"/>
          <w:noProof w:val="0"/>
          <w:sz w:val="24"/>
          <w:szCs w:val="24"/>
          <w:lang w:val="en-GB"/>
        </w:rPr>
        <w:t xml:space="preserve"> disclosure decisions to the courts' supervisory </w:t>
      </w:r>
      <w:r w:rsidRPr="697C21B5" w:rsidR="3D7FB42A">
        <w:rPr>
          <w:rFonts w:ascii="Arial" w:hAnsi="Arial" w:eastAsia="Arial" w:cs="Arial" w:asciiTheme="minorAscii" w:hAnsiTheme="minorAscii" w:eastAsiaTheme="minorAscii" w:cstheme="minorAscii"/>
          <w:noProof w:val="0"/>
          <w:sz w:val="24"/>
          <w:szCs w:val="24"/>
          <w:lang w:val="en-GB"/>
        </w:rPr>
        <w:t>jurisdiction</w:t>
      </w:r>
      <w:r w:rsidRPr="697C21B5" w:rsidR="3D7FB42A">
        <w:rPr>
          <w:rFonts w:ascii="Arial" w:hAnsi="Arial" w:eastAsia="Arial" w:cs="Arial" w:asciiTheme="minorAscii" w:hAnsiTheme="minorAscii" w:eastAsiaTheme="minorAscii" w:cstheme="minorAscii"/>
          <w:noProof w:val="0"/>
          <w:sz w:val="24"/>
          <w:szCs w:val="24"/>
          <w:lang w:val="en-GB"/>
        </w:rPr>
        <w:t xml:space="preserve"> (Virgo, 2020).</w:t>
      </w:r>
      <w:r w:rsidRPr="697C21B5" w:rsidR="5BD81A57">
        <w:rPr>
          <w:rFonts w:ascii="Arial" w:hAnsi="Arial" w:eastAsia="Arial" w:cs="Arial" w:asciiTheme="minorAscii" w:hAnsiTheme="minorAscii" w:eastAsiaTheme="minorAscii" w:cstheme="minorAscii"/>
          <w:noProof w:val="0"/>
          <w:sz w:val="24"/>
          <w:szCs w:val="24"/>
          <w:lang w:val="en-GB"/>
        </w:rPr>
        <w:t xml:space="preserve"> By balancing the interests of several beneficiaries and safeguarding the settlor's </w:t>
      </w:r>
      <w:r w:rsidRPr="697C21B5" w:rsidR="5BD81A57">
        <w:rPr>
          <w:rFonts w:ascii="Arial" w:hAnsi="Arial" w:eastAsia="Arial" w:cs="Arial" w:asciiTheme="minorAscii" w:hAnsiTheme="minorAscii" w:eastAsiaTheme="minorAscii" w:cstheme="minorAscii"/>
          <w:noProof w:val="0"/>
          <w:sz w:val="24"/>
          <w:szCs w:val="24"/>
          <w:lang w:val="en-GB"/>
        </w:rPr>
        <w:t>objectives</w:t>
      </w:r>
      <w:r w:rsidRPr="697C21B5" w:rsidR="5BD81A57">
        <w:rPr>
          <w:rFonts w:ascii="Arial" w:hAnsi="Arial" w:eastAsia="Arial" w:cs="Arial" w:asciiTheme="minorAscii" w:hAnsiTheme="minorAscii" w:eastAsiaTheme="minorAscii" w:cstheme="minorAscii"/>
          <w:noProof w:val="0"/>
          <w:sz w:val="24"/>
          <w:szCs w:val="24"/>
          <w:lang w:val="en-GB"/>
        </w:rPr>
        <w:t>, this flexibility guarantees that trustees can exercise discretion to administer trusts without excessive interference (Penner, 2012).</w:t>
      </w:r>
    </w:p>
    <w:p w:rsidR="361F4524" w:rsidP="46F69962" w:rsidRDefault="361F4524" w14:paraId="4C686548" w14:textId="261F19F2">
      <w:pPr>
        <w:pStyle w:val="Normal"/>
        <w:ind w:left="0"/>
        <w:rPr>
          <w:rFonts w:ascii="Arial" w:hAnsi="Arial" w:eastAsia="Arial" w:cs="Arial"/>
          <w:noProof w:val="0"/>
          <w:sz w:val="24"/>
          <w:szCs w:val="24"/>
          <w:lang w:val="en-GB"/>
        </w:rPr>
      </w:pPr>
      <w:r w:rsidRPr="697C21B5" w:rsidR="064D58C9">
        <w:rPr>
          <w:rFonts w:ascii="Arial" w:hAnsi="Arial" w:eastAsia="Arial" w:cs="Arial" w:asciiTheme="minorAscii" w:hAnsiTheme="minorAscii" w:eastAsiaTheme="minorAscii" w:cstheme="minorAscii"/>
          <w:noProof w:val="0"/>
          <w:sz w:val="24"/>
          <w:szCs w:val="24"/>
          <w:lang w:val="en-GB"/>
        </w:rPr>
        <w:t xml:space="preserve">Yet, there are </w:t>
      </w:r>
      <w:r w:rsidRPr="697C21B5" w:rsidR="4BB9EFF0">
        <w:rPr>
          <w:rFonts w:ascii="Arial" w:hAnsi="Arial" w:eastAsia="Arial" w:cs="Arial" w:asciiTheme="minorAscii" w:hAnsiTheme="minorAscii" w:eastAsiaTheme="minorAscii" w:cstheme="minorAscii"/>
          <w:noProof w:val="0"/>
          <w:sz w:val="24"/>
          <w:szCs w:val="24"/>
          <w:lang w:val="en-GB"/>
        </w:rPr>
        <w:t>several</w:t>
      </w:r>
      <w:r w:rsidRPr="697C21B5" w:rsidR="064D58C9">
        <w:rPr>
          <w:rFonts w:ascii="Arial" w:hAnsi="Arial" w:eastAsia="Arial" w:cs="Arial" w:asciiTheme="minorAscii" w:hAnsiTheme="minorAscii" w:eastAsiaTheme="minorAscii" w:cstheme="minorAscii"/>
          <w:noProof w:val="0"/>
          <w:sz w:val="24"/>
          <w:szCs w:val="24"/>
          <w:lang w:val="en-GB"/>
        </w:rPr>
        <w:t xml:space="preserve"> flaws in the current system. First, it leaves trustees without clear direction, which increases the possibility of inconsistent decision-making (Ashton, 2008)</w:t>
      </w:r>
      <w:r w:rsidRPr="697C21B5" w:rsidR="4A487049">
        <w:rPr>
          <w:rFonts w:ascii="Arial" w:hAnsi="Arial" w:eastAsia="Arial" w:cs="Arial" w:asciiTheme="minorAscii" w:hAnsiTheme="minorAscii" w:eastAsiaTheme="minorAscii" w:cstheme="minorAscii"/>
          <w:noProof w:val="0"/>
          <w:sz w:val="24"/>
          <w:szCs w:val="24"/>
          <w:lang w:val="en-GB"/>
        </w:rPr>
        <w:t>. Trustees may be unsure of whet</w:t>
      </w:r>
      <w:r w:rsidRPr="697C21B5" w:rsidR="4A487049">
        <w:rPr>
          <w:rFonts w:ascii="Arial" w:hAnsi="Arial" w:eastAsia="Arial" w:cs="Arial" w:asciiTheme="minorAscii" w:hAnsiTheme="minorAscii" w:eastAsiaTheme="minorAscii" w:cstheme="minorAscii"/>
          <w:noProof w:val="0"/>
          <w:sz w:val="24"/>
          <w:szCs w:val="24"/>
          <w:lang w:val="en-GB"/>
        </w:rPr>
        <w:t xml:space="preserve">her </w:t>
      </w:r>
      <w:r w:rsidRPr="697C21B5" w:rsidR="4A487049">
        <w:rPr>
          <w:rFonts w:ascii="Arial" w:hAnsi="Arial" w:eastAsia="Arial" w:cs="Arial" w:asciiTheme="minorAscii" w:hAnsiTheme="minorAscii" w:eastAsiaTheme="minorAscii" w:cstheme="minorAscii"/>
          <w:noProof w:val="0"/>
          <w:sz w:val="24"/>
          <w:szCs w:val="24"/>
          <w:lang w:val="en-GB"/>
        </w:rPr>
        <w:t>disc</w:t>
      </w:r>
      <w:r w:rsidRPr="697C21B5" w:rsidR="4A487049">
        <w:rPr>
          <w:rFonts w:ascii="Arial" w:hAnsi="Arial" w:eastAsia="Arial" w:cs="Arial" w:asciiTheme="minorAscii" w:hAnsiTheme="minorAscii" w:eastAsiaTheme="minorAscii" w:cstheme="minorAscii"/>
          <w:noProof w:val="0"/>
          <w:sz w:val="24"/>
          <w:szCs w:val="24"/>
          <w:lang w:val="en-GB"/>
        </w:rPr>
        <w:t>losing</w:t>
      </w:r>
      <w:r w:rsidRPr="697C21B5" w:rsidR="4A487049">
        <w:rPr>
          <w:rFonts w:ascii="Arial" w:hAnsi="Arial" w:eastAsia="Arial" w:cs="Arial" w:asciiTheme="minorAscii" w:hAnsiTheme="minorAscii" w:eastAsiaTheme="minorAscii" w:cstheme="minorAscii"/>
          <w:noProof w:val="0"/>
          <w:sz w:val="24"/>
          <w:szCs w:val="24"/>
          <w:lang w:val="en-GB"/>
        </w:rPr>
        <w:t xml:space="preserve"> specific papers could put them in </w:t>
      </w:r>
      <w:r w:rsidRPr="697C21B5" w:rsidR="4A487049">
        <w:rPr>
          <w:rFonts w:ascii="Arial" w:hAnsi="Arial" w:eastAsia="Arial" w:cs="Arial" w:asciiTheme="minorAscii" w:hAnsiTheme="minorAscii" w:eastAsiaTheme="minorAscii" w:cstheme="minorAscii"/>
          <w:noProof w:val="0"/>
          <w:sz w:val="24"/>
          <w:szCs w:val="24"/>
          <w:lang w:val="en-GB"/>
        </w:rPr>
        <w:t>legal risk, which coul</w:t>
      </w:r>
      <w:r w:rsidRPr="697C21B5" w:rsidR="4A487049">
        <w:rPr>
          <w:rFonts w:ascii="Arial" w:hAnsi="Arial" w:eastAsia="Arial" w:cs="Arial" w:asciiTheme="minorAscii" w:hAnsiTheme="minorAscii" w:eastAsiaTheme="minorAscii" w:cstheme="minorAscii"/>
          <w:noProof w:val="0"/>
          <w:sz w:val="24"/>
          <w:szCs w:val="24"/>
          <w:lang w:val="en-GB"/>
        </w:rPr>
        <w:t>d result in either under-disclosure that would re</w:t>
      </w:r>
      <w:r w:rsidRPr="697C21B5" w:rsidR="4A487049">
        <w:rPr>
          <w:rFonts w:ascii="Arial" w:hAnsi="Arial" w:eastAsia="Arial" w:cs="Arial" w:asciiTheme="minorAscii" w:hAnsiTheme="minorAscii" w:eastAsiaTheme="minorAscii" w:cstheme="minorAscii"/>
          <w:noProof w:val="0"/>
          <w:sz w:val="24"/>
          <w:szCs w:val="24"/>
          <w:lang w:val="en-GB"/>
        </w:rPr>
        <w:t>strict benef</w:t>
      </w:r>
      <w:r w:rsidRPr="697C21B5" w:rsidR="4A487049">
        <w:rPr>
          <w:rFonts w:ascii="Arial" w:hAnsi="Arial" w:eastAsia="Arial" w:cs="Arial" w:asciiTheme="minorAscii" w:hAnsiTheme="minorAscii" w:eastAsiaTheme="minorAscii" w:cstheme="minorAscii"/>
          <w:noProof w:val="0"/>
          <w:sz w:val="24"/>
          <w:szCs w:val="24"/>
          <w:lang w:val="en-GB"/>
        </w:rPr>
        <w:t>iciaries from exercising their rights or over-disclosure that could violate confidenti</w:t>
      </w:r>
      <w:r w:rsidRPr="697C21B5" w:rsidR="795DCB66">
        <w:rPr>
          <w:rFonts w:ascii="Arial" w:hAnsi="Arial" w:eastAsia="Arial" w:cs="Arial" w:asciiTheme="minorAscii" w:hAnsiTheme="minorAscii" w:eastAsiaTheme="minorAscii" w:cstheme="minorAscii"/>
          <w:noProof w:val="0"/>
          <w:sz w:val="24"/>
          <w:szCs w:val="24"/>
          <w:lang w:val="en-GB"/>
        </w:rPr>
        <w:t>ality</w:t>
      </w:r>
      <w:r w:rsidRPr="697C21B5" w:rsidR="4A487049">
        <w:rPr>
          <w:rFonts w:ascii="Arial" w:hAnsi="Arial" w:eastAsia="Arial" w:cs="Arial" w:asciiTheme="minorAscii" w:hAnsiTheme="minorAscii" w:eastAsiaTheme="minorAscii" w:cstheme="minorAscii"/>
          <w:noProof w:val="0"/>
          <w:sz w:val="24"/>
          <w:szCs w:val="24"/>
          <w:lang w:val="en-GB"/>
        </w:rPr>
        <w:t xml:space="preserve"> (Hudson,</w:t>
      </w:r>
      <w:r w:rsidRPr="697C21B5" w:rsidR="4A487049">
        <w:rPr>
          <w:rFonts w:ascii="Arial" w:hAnsi="Arial" w:eastAsia="Arial" w:cs="Arial" w:asciiTheme="minorAscii" w:hAnsiTheme="minorAscii" w:eastAsiaTheme="minorAscii" w:cstheme="minorAscii"/>
          <w:noProof w:val="0"/>
          <w:sz w:val="24"/>
          <w:szCs w:val="24"/>
          <w:lang w:val="en-GB"/>
        </w:rPr>
        <w:t xml:space="preserve"> 2021b).</w:t>
      </w:r>
      <w:r w:rsidRPr="697C21B5" w:rsidR="396FD7DA">
        <w:rPr>
          <w:rFonts w:ascii="Arial" w:hAnsi="Arial" w:eastAsia="Arial" w:cs="Arial" w:asciiTheme="minorAscii" w:hAnsiTheme="minorAscii" w:eastAsiaTheme="minorAscii" w:cstheme="minorAscii"/>
          <w:noProof w:val="0"/>
          <w:sz w:val="24"/>
          <w:szCs w:val="24"/>
          <w:lang w:val="en-GB"/>
        </w:rPr>
        <w:t xml:space="preserve"> </w:t>
      </w:r>
    </w:p>
    <w:p w:rsidR="361F4524" w:rsidP="46F69962" w:rsidRDefault="361F4524" w14:paraId="607AA274" w14:textId="5627DACA">
      <w:pPr>
        <w:pStyle w:val="Normal"/>
        <w:ind w:left="0"/>
        <w:rPr>
          <w:rFonts w:ascii="Arial" w:hAnsi="Arial" w:eastAsia="Arial" w:cs="Arial"/>
          <w:noProof w:val="0"/>
          <w:sz w:val="24"/>
          <w:szCs w:val="24"/>
          <w:lang w:val="en-GB"/>
        </w:rPr>
      </w:pPr>
      <w:r w:rsidRPr="46F69962" w:rsidR="396FD7DA">
        <w:rPr>
          <w:rFonts w:ascii="Arial" w:hAnsi="Arial" w:eastAsia="Arial" w:cs="Arial" w:asciiTheme="minorAscii" w:hAnsiTheme="minorAscii" w:eastAsiaTheme="minorAscii" w:cstheme="minorAscii"/>
          <w:noProof w:val="0"/>
          <w:sz w:val="24"/>
          <w:szCs w:val="24"/>
          <w:lang w:val="en-GB"/>
        </w:rPr>
        <w:t>S</w:t>
      </w:r>
      <w:r w:rsidRPr="46F69962" w:rsidR="396FD7DA">
        <w:rPr>
          <w:rFonts w:ascii="Arial" w:hAnsi="Arial" w:eastAsia="Arial" w:cs="Arial" w:asciiTheme="minorAscii" w:hAnsiTheme="minorAscii" w:eastAsiaTheme="minorAscii" w:cstheme="minorAscii"/>
          <w:noProof w:val="0"/>
          <w:sz w:val="24"/>
          <w:szCs w:val="24"/>
          <w:lang w:val="en-GB"/>
        </w:rPr>
        <w:t xml:space="preserve">econdly, beneficiaries may struggle to enforce their rights because obtaining access to </w:t>
      </w:r>
      <w:r w:rsidRPr="46F69962" w:rsidR="396FD7DA">
        <w:rPr>
          <w:rFonts w:ascii="Arial" w:hAnsi="Arial" w:eastAsia="Arial" w:cs="Arial" w:asciiTheme="minorAscii" w:hAnsiTheme="minorAscii" w:eastAsiaTheme="minorAscii" w:cstheme="minorAscii"/>
          <w:noProof w:val="0"/>
          <w:sz w:val="24"/>
          <w:szCs w:val="24"/>
          <w:lang w:val="en-GB"/>
        </w:rPr>
        <w:t>relevant i</w:t>
      </w:r>
      <w:r w:rsidRPr="46F69962" w:rsidR="396FD7DA">
        <w:rPr>
          <w:rFonts w:ascii="Arial" w:hAnsi="Arial" w:eastAsia="Arial" w:cs="Arial" w:asciiTheme="minorAscii" w:hAnsiTheme="minorAscii" w:eastAsiaTheme="minorAscii" w:cstheme="minorAscii"/>
          <w:noProof w:val="0"/>
          <w:sz w:val="24"/>
          <w:szCs w:val="24"/>
          <w:lang w:val="en-GB"/>
        </w:rPr>
        <w:t xml:space="preserve">nformation </w:t>
      </w:r>
      <w:r w:rsidRPr="46F69962" w:rsidR="396FD7DA">
        <w:rPr>
          <w:rFonts w:ascii="Arial" w:hAnsi="Arial" w:eastAsia="Arial" w:cs="Arial" w:asciiTheme="minorAscii" w:hAnsiTheme="minorAscii" w:eastAsiaTheme="minorAscii" w:cstheme="minorAscii"/>
          <w:noProof w:val="0"/>
          <w:sz w:val="24"/>
          <w:szCs w:val="24"/>
          <w:lang w:val="en-GB"/>
        </w:rPr>
        <w:t>frequently</w:t>
      </w:r>
      <w:r w:rsidRPr="46F69962" w:rsidR="396FD7DA">
        <w:rPr>
          <w:rFonts w:ascii="Arial" w:hAnsi="Arial" w:eastAsia="Arial" w:cs="Arial" w:asciiTheme="minorAscii" w:hAnsiTheme="minorAscii" w:eastAsiaTheme="minorAscii" w:cstheme="minorAscii"/>
          <w:noProof w:val="0"/>
          <w:sz w:val="24"/>
          <w:szCs w:val="24"/>
          <w:lang w:val="en-GB"/>
        </w:rPr>
        <w:t xml:space="preserve"> requires court involvement, which can be both costly and time-consuming (</w:t>
      </w:r>
      <w:r w:rsidRPr="46F69962" w:rsidR="396FD7DA">
        <w:rPr>
          <w:rFonts w:ascii="Arial" w:hAnsi="Arial" w:eastAsia="Arial" w:cs="Arial" w:asciiTheme="minorAscii" w:hAnsiTheme="minorAscii" w:eastAsiaTheme="minorAscii" w:cstheme="minorAscii"/>
          <w:noProof w:val="0"/>
          <w:sz w:val="24"/>
          <w:szCs w:val="24"/>
          <w:lang w:val="en-GB"/>
        </w:rPr>
        <w:t>Ashfords</w:t>
      </w:r>
      <w:r w:rsidRPr="46F69962" w:rsidR="396FD7DA">
        <w:rPr>
          <w:rFonts w:ascii="Arial" w:hAnsi="Arial" w:eastAsia="Arial" w:cs="Arial" w:asciiTheme="minorAscii" w:hAnsiTheme="minorAscii" w:eastAsiaTheme="minorAscii" w:cstheme="minorAscii"/>
          <w:noProof w:val="0"/>
          <w:sz w:val="24"/>
          <w:szCs w:val="24"/>
          <w:lang w:val="en-GB"/>
        </w:rPr>
        <w:t>, 2021).</w:t>
      </w:r>
      <w:r w:rsidRPr="46F69962" w:rsidR="7D00CA18">
        <w:rPr>
          <w:rFonts w:ascii="Arial" w:hAnsi="Arial" w:eastAsia="Arial" w:cs="Arial" w:asciiTheme="minorAscii" w:hAnsiTheme="minorAscii" w:eastAsiaTheme="minorAscii" w:cstheme="minorAscii"/>
          <w:noProof w:val="0"/>
          <w:sz w:val="24"/>
          <w:szCs w:val="24"/>
          <w:lang w:val="en-GB"/>
        </w:rPr>
        <w:t xml:space="preserve"> The idea that beneficiaries should be "reasonably informed" about the trust is compromised by the requirement for judicial supervision, which also restricts their capacity to keep an eye on trustees' compliance to fiduciary obligations (Smith, 2017).</w:t>
      </w:r>
    </w:p>
    <w:p w:rsidR="361F4524" w:rsidP="46F69962" w:rsidRDefault="361F4524" w14:paraId="5D1A1F74" w14:textId="546C810E">
      <w:pPr>
        <w:pStyle w:val="Normal"/>
        <w:ind w:left="0"/>
        <w:rPr>
          <w:rFonts w:ascii="Arial" w:hAnsi="Arial" w:eastAsia="Arial" w:cs="Arial"/>
          <w:noProof w:val="0"/>
          <w:sz w:val="24"/>
          <w:szCs w:val="24"/>
          <w:lang w:val="en-GB"/>
        </w:rPr>
      </w:pPr>
      <w:r w:rsidRPr="697C21B5" w:rsidR="325C0CB1">
        <w:rPr>
          <w:rFonts w:ascii="Arial" w:hAnsi="Arial" w:eastAsia="Arial" w:cs="Arial" w:asciiTheme="minorAscii" w:hAnsiTheme="minorAscii" w:eastAsiaTheme="minorAscii" w:cstheme="minorAscii"/>
          <w:noProof w:val="0"/>
          <w:sz w:val="24"/>
          <w:szCs w:val="24"/>
          <w:lang w:val="en-GB"/>
        </w:rPr>
        <w:t>Concerns about equity are also raised by the current system. Fairness among beneficiaries is one of the fundamental principles of equity, yet the discretionary nature of disclosure could lead to unequal access to information (</w:t>
      </w:r>
      <w:r w:rsidRPr="697C21B5" w:rsidR="325C0CB1">
        <w:rPr>
          <w:rFonts w:ascii="Arial" w:hAnsi="Arial" w:eastAsia="Arial" w:cs="Arial" w:asciiTheme="minorAscii" w:hAnsiTheme="minorAscii" w:eastAsiaTheme="minorAscii" w:cstheme="minorAscii"/>
          <w:noProof w:val="0"/>
          <w:sz w:val="24"/>
          <w:szCs w:val="24"/>
          <w:lang w:val="en-GB"/>
        </w:rPr>
        <w:t>Dengucho</w:t>
      </w:r>
      <w:r w:rsidRPr="697C21B5" w:rsidR="325C0CB1">
        <w:rPr>
          <w:rFonts w:ascii="Arial" w:hAnsi="Arial" w:eastAsia="Arial" w:cs="Arial" w:asciiTheme="minorAscii" w:hAnsiTheme="minorAscii" w:eastAsiaTheme="minorAscii" w:cstheme="minorAscii"/>
          <w:noProof w:val="0"/>
          <w:sz w:val="24"/>
          <w:szCs w:val="24"/>
          <w:lang w:val="en-GB"/>
        </w:rPr>
        <w:t>, 2024).</w:t>
      </w:r>
      <w:r w:rsidRPr="697C21B5" w:rsidR="4ED651FD">
        <w:rPr>
          <w:rFonts w:ascii="Arial" w:hAnsi="Arial" w:eastAsia="Arial" w:cs="Arial" w:asciiTheme="minorAscii" w:hAnsiTheme="minorAscii" w:eastAsiaTheme="minorAscii" w:cstheme="minorAscii"/>
          <w:noProof w:val="0"/>
          <w:sz w:val="24"/>
          <w:szCs w:val="24"/>
          <w:lang w:val="en-GB"/>
        </w:rPr>
        <w:t xml:space="preserve"> For example, </w:t>
      </w:r>
      <w:r w:rsidRPr="697C21B5" w:rsidR="4ED651FD">
        <w:rPr>
          <w:rFonts w:ascii="Arial" w:hAnsi="Arial" w:eastAsia="Arial" w:cs="Arial" w:asciiTheme="minorAscii" w:hAnsiTheme="minorAscii" w:eastAsiaTheme="minorAscii" w:cstheme="minorAscii"/>
          <w:noProof w:val="0"/>
          <w:sz w:val="24"/>
          <w:szCs w:val="24"/>
          <w:lang w:val="en-GB"/>
        </w:rPr>
        <w:t>there</w:t>
      </w:r>
      <w:r w:rsidRPr="697C21B5" w:rsidR="4ED651FD">
        <w:rPr>
          <w:rFonts w:ascii="Arial" w:hAnsi="Arial" w:eastAsia="Arial" w:cs="Arial" w:asciiTheme="minorAscii" w:hAnsiTheme="minorAscii" w:eastAsiaTheme="minorAscii" w:cstheme="minorAscii"/>
          <w:noProof w:val="0"/>
          <w:sz w:val="24"/>
          <w:szCs w:val="24"/>
          <w:lang w:val="en-GB"/>
        </w:rPr>
        <w:t xml:space="preserve"> could be inequ</w:t>
      </w:r>
      <w:r w:rsidRPr="697C21B5" w:rsidR="43F2F152">
        <w:rPr>
          <w:rFonts w:ascii="Arial" w:hAnsi="Arial" w:eastAsia="Arial" w:cs="Arial" w:asciiTheme="minorAscii" w:hAnsiTheme="minorAscii" w:eastAsiaTheme="minorAscii" w:cstheme="minorAscii"/>
          <w:noProof w:val="0"/>
          <w:sz w:val="24"/>
          <w:szCs w:val="24"/>
          <w:lang w:val="en-GB"/>
        </w:rPr>
        <w:t>alities</w:t>
      </w:r>
      <w:r w:rsidRPr="697C21B5" w:rsidR="4ED651FD">
        <w:rPr>
          <w:rFonts w:ascii="Arial" w:hAnsi="Arial" w:eastAsia="Arial" w:cs="Arial" w:asciiTheme="minorAscii" w:hAnsiTheme="minorAscii" w:eastAsiaTheme="minorAscii" w:cstheme="minorAscii"/>
          <w:noProof w:val="0"/>
          <w:sz w:val="24"/>
          <w:szCs w:val="24"/>
          <w:lang w:val="en-GB"/>
        </w:rPr>
        <w:t xml:space="preserve"> in the enforcement of trust rights if a beneficiary with the means to </w:t>
      </w:r>
      <w:r w:rsidRPr="697C21B5" w:rsidR="4ED651FD">
        <w:rPr>
          <w:rFonts w:ascii="Arial" w:hAnsi="Arial" w:eastAsia="Arial" w:cs="Arial" w:asciiTheme="minorAscii" w:hAnsiTheme="minorAscii" w:eastAsiaTheme="minorAscii" w:cstheme="minorAscii"/>
          <w:noProof w:val="0"/>
          <w:sz w:val="24"/>
          <w:szCs w:val="24"/>
          <w:lang w:val="en-GB"/>
        </w:rPr>
        <w:t>initiate</w:t>
      </w:r>
      <w:r w:rsidRPr="697C21B5" w:rsidR="4ED651FD">
        <w:rPr>
          <w:rFonts w:ascii="Arial" w:hAnsi="Arial" w:eastAsia="Arial" w:cs="Arial" w:asciiTheme="minorAscii" w:hAnsiTheme="minorAscii" w:eastAsiaTheme="minorAscii" w:cstheme="minorAscii"/>
          <w:noProof w:val="0"/>
          <w:sz w:val="24"/>
          <w:szCs w:val="24"/>
          <w:lang w:val="en-GB"/>
        </w:rPr>
        <w:t xml:space="preserve"> proceedings </w:t>
      </w:r>
      <w:r w:rsidRPr="697C21B5" w:rsidR="6DED04BC">
        <w:rPr>
          <w:rFonts w:ascii="Arial" w:hAnsi="Arial" w:eastAsia="Arial" w:cs="Arial" w:asciiTheme="minorAscii" w:hAnsiTheme="minorAscii" w:eastAsiaTheme="minorAscii" w:cstheme="minorAscii"/>
          <w:noProof w:val="0"/>
          <w:sz w:val="24"/>
          <w:szCs w:val="24"/>
          <w:lang w:val="en-GB"/>
        </w:rPr>
        <w:t xml:space="preserve">may obtain information while others do not </w:t>
      </w:r>
      <w:r w:rsidRPr="697C21B5" w:rsidR="4ED651FD">
        <w:rPr>
          <w:rFonts w:ascii="Arial" w:hAnsi="Arial" w:eastAsia="Arial" w:cs="Arial" w:asciiTheme="minorAscii" w:hAnsiTheme="minorAscii" w:eastAsiaTheme="minorAscii" w:cstheme="minorAscii"/>
          <w:noProof w:val="0"/>
          <w:sz w:val="24"/>
          <w:szCs w:val="24"/>
          <w:lang w:val="en-GB"/>
        </w:rPr>
        <w:t>(Walls, 2018).</w:t>
      </w:r>
      <w:r w:rsidRPr="697C21B5" w:rsidR="03EDE6F9">
        <w:rPr>
          <w:rFonts w:ascii="Arial" w:hAnsi="Arial" w:eastAsia="Arial" w:cs="Arial" w:asciiTheme="minorAscii" w:hAnsiTheme="minorAscii" w:eastAsiaTheme="minorAscii" w:cstheme="minorAscii"/>
          <w:noProof w:val="0"/>
          <w:sz w:val="24"/>
          <w:szCs w:val="24"/>
          <w:lang w:val="en-GB"/>
        </w:rPr>
        <w:t xml:space="preserve"> </w:t>
      </w:r>
      <w:r w:rsidRPr="697C21B5" w:rsidR="49564BDE">
        <w:rPr>
          <w:rFonts w:ascii="Arial" w:hAnsi="Arial" w:eastAsia="Arial" w:cs="Arial" w:asciiTheme="minorAscii" w:hAnsiTheme="minorAscii" w:eastAsiaTheme="minorAscii" w:cstheme="minorAscii"/>
          <w:noProof w:val="0"/>
          <w:sz w:val="24"/>
          <w:szCs w:val="24"/>
          <w:lang w:val="en-GB"/>
        </w:rPr>
        <w:t>Additionally, i</w:t>
      </w:r>
      <w:r w:rsidRPr="697C21B5" w:rsidR="03EDE6F9">
        <w:rPr>
          <w:rFonts w:ascii="Arial" w:hAnsi="Arial" w:eastAsia="Arial" w:cs="Arial" w:asciiTheme="minorAscii" w:hAnsiTheme="minorAscii" w:eastAsiaTheme="minorAscii" w:cstheme="minorAscii"/>
          <w:noProof w:val="0"/>
          <w:sz w:val="24"/>
          <w:szCs w:val="24"/>
          <w:lang w:val="en-GB"/>
        </w:rPr>
        <w:t xml:space="preserve">n the case of </w:t>
      </w:r>
      <w:r w:rsidRPr="697C21B5" w:rsidR="03EDE6F9">
        <w:rPr>
          <w:rFonts w:ascii="Arial" w:hAnsi="Arial" w:eastAsia="Arial" w:cs="Arial" w:asciiTheme="minorAscii" w:hAnsiTheme="minorAscii" w:eastAsiaTheme="minorAscii" w:cstheme="minorAscii"/>
          <w:i w:val="1"/>
          <w:iCs w:val="1"/>
          <w:noProof w:val="0"/>
          <w:sz w:val="24"/>
          <w:szCs w:val="24"/>
          <w:lang w:val="en-GB"/>
        </w:rPr>
        <w:t>Re Londonderry’s Settlement</w:t>
      </w:r>
      <w:r w:rsidRPr="697C21B5" w:rsidR="0A52494A">
        <w:rPr>
          <w:rFonts w:ascii="Arial" w:hAnsi="Arial" w:eastAsia="Arial" w:cs="Arial" w:asciiTheme="minorAscii" w:hAnsiTheme="minorAscii" w:eastAsiaTheme="minorAscii" w:cstheme="minorAscii"/>
          <w:i w:val="1"/>
          <w:iCs w:val="1"/>
          <w:noProof w:val="0"/>
          <w:sz w:val="24"/>
          <w:szCs w:val="24"/>
          <w:lang w:val="en-GB"/>
        </w:rPr>
        <w:t xml:space="preserve"> (1965)</w:t>
      </w:r>
      <w:r w:rsidRPr="697C21B5" w:rsidR="5EF1B471">
        <w:rPr>
          <w:rFonts w:ascii="Arial" w:hAnsi="Arial" w:eastAsia="Arial" w:cs="Arial" w:asciiTheme="minorAscii" w:hAnsiTheme="minorAscii" w:eastAsiaTheme="minorAscii" w:cstheme="minorAscii"/>
          <w:i w:val="1"/>
          <w:iCs w:val="1"/>
          <w:noProof w:val="0"/>
          <w:sz w:val="24"/>
          <w:szCs w:val="24"/>
          <w:lang w:val="en-GB"/>
        </w:rPr>
        <w:t>,</w:t>
      </w:r>
      <w:r w:rsidRPr="697C21B5" w:rsidR="00215051">
        <w:rPr>
          <w:rFonts w:ascii="Arial" w:hAnsi="Arial" w:eastAsia="Arial" w:cs="Arial"/>
          <w:noProof w:val="0"/>
          <w:sz w:val="24"/>
          <w:szCs w:val="24"/>
          <w:lang w:val="en-GB"/>
        </w:rPr>
        <w:t xml:space="preserve"> the Court of Appeal held that, beneficiaries cannot request the disclosure of documents that show the trustees' justifications for using their discretionary authority.</w:t>
      </w:r>
      <w:r w:rsidRPr="697C21B5" w:rsidR="2A67CD0B">
        <w:rPr>
          <w:rFonts w:ascii="Arial" w:hAnsi="Arial" w:eastAsia="Arial" w:cs="Arial"/>
          <w:noProof w:val="0"/>
          <w:sz w:val="24"/>
          <w:szCs w:val="24"/>
          <w:lang w:val="en-GB"/>
        </w:rPr>
        <w:t xml:space="preserve"> </w:t>
      </w:r>
      <w:r w:rsidRPr="697C21B5" w:rsidR="6A198250">
        <w:rPr>
          <w:rFonts w:ascii="Arial" w:hAnsi="Arial" w:eastAsia="Arial" w:cs="Arial"/>
          <w:noProof w:val="0"/>
          <w:sz w:val="24"/>
          <w:szCs w:val="24"/>
          <w:lang w:val="en-GB"/>
        </w:rPr>
        <w:t>This</w:t>
      </w:r>
      <w:r w:rsidRPr="697C21B5" w:rsidR="2A67CD0B">
        <w:rPr>
          <w:rFonts w:ascii="Arial" w:hAnsi="Arial" w:eastAsia="Arial" w:cs="Arial"/>
          <w:noProof w:val="0"/>
          <w:sz w:val="24"/>
          <w:szCs w:val="24"/>
          <w:lang w:val="en-GB"/>
        </w:rPr>
        <w:t xml:space="preserve"> </w:t>
      </w:r>
      <w:r w:rsidRPr="697C21B5" w:rsidR="2A67CD0B">
        <w:rPr>
          <w:rFonts w:ascii="Arial" w:hAnsi="Arial" w:eastAsia="Arial" w:cs="Arial"/>
          <w:noProof w:val="0"/>
          <w:sz w:val="24"/>
          <w:szCs w:val="24"/>
          <w:lang w:val="en-GB"/>
        </w:rPr>
        <w:t>demonstrate</w:t>
      </w:r>
      <w:r w:rsidRPr="697C21B5" w:rsidR="2A67CD0B">
        <w:rPr>
          <w:rFonts w:ascii="Arial" w:hAnsi="Arial" w:eastAsia="Arial" w:cs="Arial"/>
          <w:noProof w:val="0"/>
          <w:sz w:val="24"/>
          <w:szCs w:val="24"/>
          <w:lang w:val="en-GB"/>
        </w:rPr>
        <w:t>s</w:t>
      </w:r>
      <w:r w:rsidRPr="697C21B5" w:rsidR="2A67CD0B">
        <w:rPr>
          <w:rFonts w:ascii="Arial" w:hAnsi="Arial" w:eastAsia="Arial" w:cs="Arial"/>
          <w:noProof w:val="0"/>
          <w:sz w:val="24"/>
          <w:szCs w:val="24"/>
          <w:lang w:val="en-GB"/>
        </w:rPr>
        <w:t xml:space="preserve"> how the courts safeguard confi</w:t>
      </w:r>
      <w:r w:rsidRPr="697C21B5" w:rsidR="2A67CD0B">
        <w:rPr>
          <w:rFonts w:ascii="Arial" w:hAnsi="Arial" w:eastAsia="Arial" w:cs="Arial"/>
          <w:noProof w:val="0"/>
          <w:sz w:val="24"/>
          <w:szCs w:val="24"/>
          <w:lang w:val="en-GB"/>
        </w:rPr>
        <w:t xml:space="preserve">dentiality, </w:t>
      </w:r>
      <w:r w:rsidRPr="697C21B5" w:rsidR="2A67CD0B">
        <w:rPr>
          <w:rFonts w:ascii="Arial" w:hAnsi="Arial" w:eastAsia="Arial" w:cs="Arial"/>
          <w:noProof w:val="0"/>
          <w:sz w:val="24"/>
          <w:szCs w:val="24"/>
          <w:lang w:val="en-GB"/>
        </w:rPr>
        <w:t>even though this restricts transparency and oversight of trustees' actions.</w:t>
      </w:r>
      <w:r w:rsidRPr="697C21B5" w:rsidR="55236CB2">
        <w:rPr>
          <w:rFonts w:ascii="Arial" w:hAnsi="Arial" w:eastAsia="Arial" w:cs="Arial"/>
          <w:noProof w:val="0"/>
          <w:sz w:val="24"/>
          <w:szCs w:val="24"/>
          <w:lang w:val="en-GB"/>
        </w:rPr>
        <w:t xml:space="preserve"> According to </w:t>
      </w:r>
      <w:r w:rsidRPr="697C21B5" w:rsidR="2FBC55BE">
        <w:rPr>
          <w:rFonts w:ascii="Arial" w:hAnsi="Arial" w:eastAsia="Arial" w:cs="Arial"/>
          <w:noProof w:val="0"/>
          <w:sz w:val="24"/>
          <w:szCs w:val="24"/>
          <w:lang w:val="en-GB"/>
        </w:rPr>
        <w:t>academic analysis, t</w:t>
      </w:r>
      <w:r w:rsidRPr="697C21B5" w:rsidR="55236CB2">
        <w:rPr>
          <w:rFonts w:ascii="Arial" w:hAnsi="Arial" w:eastAsia="Arial" w:cs="Arial"/>
          <w:noProof w:val="0"/>
          <w:sz w:val="24"/>
          <w:szCs w:val="24"/>
          <w:lang w:val="en-GB"/>
        </w:rPr>
        <w:t>rustees' disclosure obligations are not sufficiently predictable due to the law's reliance on case-by-case adjudication, which has led to uncertainty for both trustees and beneficiaries</w:t>
      </w:r>
      <w:r w:rsidRPr="697C21B5" w:rsidR="2812DAFF">
        <w:rPr>
          <w:rFonts w:ascii="Arial" w:hAnsi="Arial" w:eastAsia="Arial" w:cs="Arial"/>
          <w:noProof w:val="0"/>
          <w:sz w:val="24"/>
          <w:szCs w:val="24"/>
          <w:lang w:val="en-GB"/>
        </w:rPr>
        <w:t xml:space="preserve"> (Norridge and Keillor, 2018).</w:t>
      </w:r>
    </w:p>
    <w:p w:rsidR="5C4CF612" w:rsidP="46F69962" w:rsidRDefault="5C4CF612" w14:paraId="28D3CBAB" w14:textId="03719E34">
      <w:pPr>
        <w:pStyle w:val="Normal"/>
        <w:ind w:left="0"/>
        <w:rPr>
          <w:rFonts w:ascii="Arial" w:hAnsi="Arial" w:eastAsia="Arial" w:cs="Arial" w:asciiTheme="minorAscii" w:hAnsiTheme="minorAscii" w:eastAsiaTheme="minorAscii" w:cstheme="minorAscii"/>
          <w:noProof w:val="0"/>
          <w:sz w:val="24"/>
          <w:szCs w:val="24"/>
          <w:lang w:val="en-GB"/>
        </w:rPr>
      </w:pPr>
      <w:r w:rsidRPr="697C21B5" w:rsidR="3EB35B3F">
        <w:rPr>
          <w:rFonts w:ascii="Arial" w:hAnsi="Arial" w:eastAsia="Arial" w:cs="Arial"/>
          <w:noProof w:val="0"/>
          <w:sz w:val="24"/>
          <w:szCs w:val="24"/>
          <w:lang w:val="en-GB"/>
        </w:rPr>
        <w:t>Finally, the interaction between trustees’ obligations and contemporary expectations of transparency in financial and legal contexts is increasing pressure for reform, as commentators argue that making disclosure the default would enhance both trust governance and beneficiary oversight (Ford and Barros, 2025)</w:t>
      </w:r>
      <w:r w:rsidRPr="697C21B5" w:rsidR="5C4CF612">
        <w:rPr>
          <w:rFonts w:ascii="Arial" w:hAnsi="Arial" w:eastAsia="Arial" w:cs="Arial" w:asciiTheme="minorAscii" w:hAnsiTheme="minorAscii" w:eastAsiaTheme="minorAscii" w:cstheme="minorAscii"/>
          <w:noProof w:val="0"/>
          <w:sz w:val="24"/>
          <w:szCs w:val="24"/>
          <w:lang w:val="en-GB"/>
        </w:rPr>
        <w:t>.</w:t>
      </w:r>
      <w:r w:rsidRPr="697C21B5" w:rsidR="70509ACF">
        <w:rPr>
          <w:rFonts w:ascii="Arial" w:hAnsi="Arial" w:eastAsia="Arial" w:cs="Arial" w:asciiTheme="minorAscii" w:hAnsiTheme="minorAscii" w:eastAsiaTheme="minorAscii" w:cstheme="minorAscii"/>
          <w:noProof w:val="0"/>
          <w:sz w:val="24"/>
          <w:szCs w:val="24"/>
          <w:lang w:val="en-GB"/>
        </w:rPr>
        <w:t xml:space="preserve"> </w:t>
      </w:r>
      <w:r w:rsidRPr="697C21B5" w:rsidR="17B7A5C6">
        <w:rPr>
          <w:rFonts w:ascii="Arial" w:hAnsi="Arial" w:eastAsia="Arial" w:cs="Arial" w:asciiTheme="minorAscii" w:hAnsiTheme="minorAscii" w:eastAsiaTheme="minorAscii" w:cstheme="minorAscii"/>
          <w:noProof w:val="0"/>
          <w:sz w:val="24"/>
          <w:szCs w:val="24"/>
          <w:lang w:val="en-GB"/>
        </w:rPr>
        <w:t xml:space="preserve">This is illustrated in </w:t>
      </w:r>
      <w:r w:rsidRPr="697C21B5" w:rsidR="17B7A5C6">
        <w:rPr>
          <w:rFonts w:ascii="Arial" w:hAnsi="Arial" w:eastAsia="Arial" w:cs="Arial" w:asciiTheme="minorAscii" w:hAnsiTheme="minorAscii" w:eastAsiaTheme="minorAscii" w:cstheme="minorAscii"/>
          <w:i w:val="1"/>
          <w:iCs w:val="1"/>
          <w:noProof w:val="0"/>
          <w:sz w:val="24"/>
          <w:szCs w:val="24"/>
          <w:lang w:val="en-GB"/>
        </w:rPr>
        <w:t>Lewis v Tamplin</w:t>
      </w:r>
      <w:r w:rsidRPr="697C21B5" w:rsidR="17B7A5C6">
        <w:rPr>
          <w:rFonts w:ascii="Arial" w:hAnsi="Arial" w:eastAsia="Arial" w:cs="Arial" w:asciiTheme="minorAscii" w:hAnsiTheme="minorAscii" w:eastAsiaTheme="minorAscii" w:cstheme="minorAscii"/>
          <w:noProof w:val="0"/>
          <w:sz w:val="24"/>
          <w:szCs w:val="24"/>
          <w:lang w:val="en-GB"/>
        </w:rPr>
        <w:t xml:space="preserve"> </w:t>
      </w:r>
      <w:r w:rsidRPr="697C21B5" w:rsidR="07C72F57">
        <w:rPr>
          <w:rFonts w:ascii="Arial" w:hAnsi="Arial" w:eastAsia="Arial" w:cs="Arial" w:asciiTheme="minorAscii" w:hAnsiTheme="minorAscii" w:eastAsiaTheme="minorAscii" w:cstheme="minorAscii"/>
          <w:noProof w:val="0"/>
          <w:sz w:val="24"/>
          <w:szCs w:val="24"/>
          <w:lang w:val="en-GB"/>
        </w:rPr>
        <w:t>(</w:t>
      </w:r>
      <w:r w:rsidRPr="697C21B5" w:rsidR="17B7A5C6">
        <w:rPr>
          <w:rFonts w:ascii="Arial" w:hAnsi="Arial" w:eastAsia="Arial" w:cs="Arial" w:asciiTheme="minorAscii" w:hAnsiTheme="minorAscii" w:eastAsiaTheme="minorAscii" w:cstheme="minorAscii"/>
          <w:noProof w:val="0"/>
          <w:sz w:val="24"/>
          <w:szCs w:val="24"/>
          <w:lang w:val="en-GB"/>
        </w:rPr>
        <w:t>2018</w:t>
      </w:r>
      <w:r w:rsidRPr="697C21B5" w:rsidR="7A07C5CA">
        <w:rPr>
          <w:rFonts w:ascii="Arial" w:hAnsi="Arial" w:eastAsia="Arial" w:cs="Arial" w:asciiTheme="minorAscii" w:hAnsiTheme="minorAscii" w:eastAsiaTheme="minorAscii" w:cstheme="minorAscii"/>
          <w:noProof w:val="0"/>
          <w:sz w:val="24"/>
          <w:szCs w:val="24"/>
          <w:lang w:val="en-GB"/>
        </w:rPr>
        <w:t>)</w:t>
      </w:r>
      <w:r w:rsidRPr="697C21B5" w:rsidR="17B7A5C6">
        <w:rPr>
          <w:rFonts w:ascii="Arial" w:hAnsi="Arial" w:eastAsia="Arial" w:cs="Arial" w:asciiTheme="minorAscii" w:hAnsiTheme="minorAscii" w:eastAsiaTheme="minorAscii" w:cstheme="minorAscii"/>
          <w:noProof w:val="0"/>
          <w:sz w:val="24"/>
          <w:szCs w:val="24"/>
          <w:lang w:val="en-GB"/>
        </w:rPr>
        <w:t xml:space="preserve">, where beneficiaries repeatedly requested trust accounts and documents relating to land dealings and distributions. They </w:t>
      </w:r>
      <w:r w:rsidRPr="697C21B5" w:rsidR="17B7A5C6">
        <w:rPr>
          <w:rFonts w:ascii="Arial" w:hAnsi="Arial" w:eastAsia="Arial" w:cs="Arial" w:asciiTheme="minorAscii" w:hAnsiTheme="minorAscii" w:eastAsiaTheme="minorAscii" w:cstheme="minorAscii"/>
          <w:noProof w:val="0"/>
          <w:sz w:val="24"/>
          <w:szCs w:val="24"/>
          <w:lang w:val="en-GB"/>
        </w:rPr>
        <w:t>ultimately obtained</w:t>
      </w:r>
      <w:r w:rsidRPr="697C21B5" w:rsidR="17B7A5C6">
        <w:rPr>
          <w:rFonts w:ascii="Arial" w:hAnsi="Arial" w:eastAsia="Arial" w:cs="Arial" w:asciiTheme="minorAscii" w:hAnsiTheme="minorAscii" w:eastAsiaTheme="minorAscii" w:cstheme="minorAscii"/>
          <w:noProof w:val="0"/>
          <w:sz w:val="24"/>
          <w:szCs w:val="24"/>
          <w:lang w:val="en-GB"/>
        </w:rPr>
        <w:t xml:space="preserve"> a court order for disclosure, enabling them to evaluate whether the trust had been properly administered. The case </w:t>
      </w:r>
      <w:r w:rsidRPr="697C21B5" w:rsidR="17B7A5C6">
        <w:rPr>
          <w:rFonts w:ascii="Arial" w:hAnsi="Arial" w:eastAsia="Arial" w:cs="Arial" w:asciiTheme="minorAscii" w:hAnsiTheme="minorAscii" w:eastAsiaTheme="minorAscii" w:cstheme="minorAscii"/>
          <w:noProof w:val="0"/>
          <w:sz w:val="24"/>
          <w:szCs w:val="24"/>
          <w:lang w:val="en-GB"/>
        </w:rPr>
        <w:t>demonstrates</w:t>
      </w:r>
      <w:r w:rsidRPr="697C21B5" w:rsidR="17B7A5C6">
        <w:rPr>
          <w:rFonts w:ascii="Arial" w:hAnsi="Arial" w:eastAsia="Arial" w:cs="Arial" w:asciiTheme="minorAscii" w:hAnsiTheme="minorAscii" w:eastAsiaTheme="minorAscii" w:cstheme="minorAscii"/>
          <w:noProof w:val="0"/>
          <w:sz w:val="24"/>
          <w:szCs w:val="24"/>
          <w:lang w:val="en-GB"/>
        </w:rPr>
        <w:t xml:space="preserve"> beneficiaries’ increasing demand for </w:t>
      </w:r>
      <w:r w:rsidRPr="697C21B5" w:rsidR="17B7A5C6">
        <w:rPr>
          <w:rFonts w:ascii="Arial" w:hAnsi="Arial" w:eastAsia="Arial" w:cs="Arial" w:asciiTheme="minorAscii" w:hAnsiTheme="minorAscii" w:eastAsiaTheme="minorAscii" w:cstheme="minorAscii"/>
          <w:noProof w:val="0"/>
          <w:sz w:val="24"/>
          <w:szCs w:val="24"/>
          <w:lang w:val="en-GB"/>
        </w:rPr>
        <w:t>timely</w:t>
      </w:r>
      <w:r w:rsidRPr="697C21B5" w:rsidR="17B7A5C6">
        <w:rPr>
          <w:rFonts w:ascii="Arial" w:hAnsi="Arial" w:eastAsia="Arial" w:cs="Arial" w:asciiTheme="minorAscii" w:hAnsiTheme="minorAscii" w:eastAsiaTheme="minorAscii" w:cstheme="minorAscii"/>
          <w:noProof w:val="0"/>
          <w:sz w:val="24"/>
          <w:szCs w:val="24"/>
          <w:lang w:val="en-GB"/>
        </w:rPr>
        <w:t xml:space="preserve"> and consistent access to information in ongoing or complex trust arrangements</w:t>
      </w:r>
      <w:r w:rsidRPr="697C21B5" w:rsidR="1EBEA3B8">
        <w:rPr>
          <w:rFonts w:ascii="Arial" w:hAnsi="Arial" w:eastAsia="Arial" w:cs="Arial" w:asciiTheme="minorAscii" w:hAnsiTheme="minorAscii" w:eastAsiaTheme="minorAscii" w:cstheme="minorAscii"/>
          <w:noProof w:val="0"/>
          <w:sz w:val="24"/>
          <w:szCs w:val="24"/>
          <w:lang w:val="en-GB"/>
        </w:rPr>
        <w:t xml:space="preserve">. </w:t>
      </w:r>
    </w:p>
    <w:p w:rsidR="1EBEA3B8" w:rsidP="46F69962" w:rsidRDefault="1EBEA3B8" w14:paraId="3666014E" w14:textId="00EF8A2C">
      <w:pPr>
        <w:pStyle w:val="Normal"/>
        <w:ind w:left="0"/>
        <w:rPr>
          <w:rFonts w:ascii="Arial" w:hAnsi="Arial" w:eastAsia="Arial" w:cs="Arial" w:asciiTheme="minorAscii" w:hAnsiTheme="minorAscii" w:eastAsiaTheme="minorAscii" w:cstheme="minorAscii"/>
          <w:noProof w:val="0"/>
          <w:sz w:val="24"/>
          <w:szCs w:val="24"/>
          <w:lang w:val="en-GB"/>
        </w:rPr>
      </w:pPr>
      <w:r w:rsidRPr="697C21B5" w:rsidR="1EBEA3B8">
        <w:rPr>
          <w:rFonts w:ascii="Arial" w:hAnsi="Arial" w:eastAsia="Arial" w:cs="Arial" w:asciiTheme="minorAscii" w:hAnsiTheme="minorAscii" w:eastAsiaTheme="minorAscii" w:cstheme="minorAscii"/>
          <w:noProof w:val="0"/>
          <w:sz w:val="24"/>
          <w:szCs w:val="24"/>
          <w:lang w:val="en-GB"/>
        </w:rPr>
        <w:t xml:space="preserve">In the absence of statutory guidance, the court's discretionary approach to ordering disclosure in </w:t>
      </w:r>
      <w:r w:rsidRPr="697C21B5" w:rsidR="1EBEA3B8">
        <w:rPr>
          <w:rFonts w:ascii="Arial" w:hAnsi="Arial" w:eastAsia="Arial" w:cs="Arial" w:asciiTheme="minorAscii" w:hAnsiTheme="minorAscii" w:eastAsiaTheme="minorAscii" w:cstheme="minorAscii"/>
          <w:i w:val="1"/>
          <w:iCs w:val="1"/>
          <w:noProof w:val="0"/>
          <w:sz w:val="24"/>
          <w:szCs w:val="24"/>
          <w:lang w:val="en-GB"/>
        </w:rPr>
        <w:t>Re Boston</w:t>
      </w:r>
      <w:r w:rsidRPr="697C21B5" w:rsidR="1EBEA3B8">
        <w:rPr>
          <w:rFonts w:ascii="Arial" w:hAnsi="Arial" w:eastAsia="Arial" w:cs="Arial" w:asciiTheme="minorAscii" w:hAnsiTheme="minorAscii" w:eastAsiaTheme="minorAscii" w:cstheme="minorAscii"/>
          <w:noProof w:val="0"/>
          <w:sz w:val="24"/>
          <w:szCs w:val="24"/>
          <w:lang w:val="en-GB"/>
        </w:rPr>
        <w:t xml:space="preserve"> </w:t>
      </w:r>
      <w:r w:rsidRPr="697C21B5" w:rsidR="682AD20D">
        <w:rPr>
          <w:rFonts w:ascii="Arial" w:hAnsi="Arial" w:eastAsia="Arial" w:cs="Arial" w:asciiTheme="minorAscii" w:hAnsiTheme="minorAscii" w:eastAsiaTheme="minorAscii" w:cstheme="minorAscii"/>
          <w:noProof w:val="0"/>
          <w:sz w:val="24"/>
          <w:szCs w:val="24"/>
          <w:lang w:val="en-GB"/>
        </w:rPr>
        <w:t>(1</w:t>
      </w:r>
      <w:r w:rsidRPr="697C21B5" w:rsidR="1EBEA3B8">
        <w:rPr>
          <w:rFonts w:ascii="Arial" w:hAnsi="Arial" w:eastAsia="Arial" w:cs="Arial" w:asciiTheme="minorAscii" w:hAnsiTheme="minorAscii" w:eastAsiaTheme="minorAscii" w:cstheme="minorAscii"/>
          <w:noProof w:val="0"/>
          <w:sz w:val="24"/>
          <w:szCs w:val="24"/>
          <w:lang w:val="en-GB"/>
        </w:rPr>
        <w:t>987</w:t>
      </w:r>
      <w:r w:rsidRPr="697C21B5" w:rsidR="1B966F0E">
        <w:rPr>
          <w:rFonts w:ascii="Arial" w:hAnsi="Arial" w:eastAsia="Arial" w:cs="Arial" w:asciiTheme="minorAscii" w:hAnsiTheme="minorAscii" w:eastAsiaTheme="minorAscii" w:cstheme="minorAscii"/>
          <w:noProof w:val="0"/>
          <w:sz w:val="24"/>
          <w:szCs w:val="24"/>
          <w:lang w:val="en-GB"/>
        </w:rPr>
        <w:t>)</w:t>
      </w:r>
      <w:r w:rsidRPr="697C21B5" w:rsidR="1EBEA3B8">
        <w:rPr>
          <w:rFonts w:ascii="Arial" w:hAnsi="Arial" w:eastAsia="Arial" w:cs="Arial" w:asciiTheme="minorAscii" w:hAnsiTheme="minorAscii" w:eastAsiaTheme="minorAscii" w:cstheme="minorAscii"/>
          <w:noProof w:val="0"/>
          <w:sz w:val="24"/>
          <w:szCs w:val="24"/>
          <w:lang w:val="en-GB"/>
        </w:rPr>
        <w:t xml:space="preserve"> </w:t>
      </w:r>
      <w:r w:rsidRPr="697C21B5" w:rsidR="1EBEA3B8">
        <w:rPr>
          <w:rFonts w:ascii="Arial" w:hAnsi="Arial" w:eastAsia="Arial" w:cs="Arial" w:asciiTheme="minorAscii" w:hAnsiTheme="minorAscii" w:eastAsiaTheme="minorAscii" w:cstheme="minorAscii"/>
          <w:noProof w:val="0"/>
          <w:sz w:val="24"/>
          <w:szCs w:val="24"/>
          <w:lang w:val="en-GB"/>
        </w:rPr>
        <w:t>demonstrates</w:t>
      </w:r>
      <w:r w:rsidRPr="697C21B5" w:rsidR="1EBEA3B8">
        <w:rPr>
          <w:rFonts w:ascii="Arial" w:hAnsi="Arial" w:eastAsia="Arial" w:cs="Arial" w:asciiTheme="minorAscii" w:hAnsiTheme="minorAscii" w:eastAsiaTheme="minorAscii" w:cstheme="minorAscii"/>
          <w:noProof w:val="0"/>
          <w:sz w:val="24"/>
          <w:szCs w:val="24"/>
          <w:lang w:val="en-GB"/>
        </w:rPr>
        <w:t xml:space="preserve"> how the law develops reactively rather than through coherent rules, potentially damaging effective trust administration and </w:t>
      </w:r>
      <w:r w:rsidRPr="697C21B5" w:rsidR="3BBE61E2">
        <w:rPr>
          <w:rFonts w:ascii="Arial" w:hAnsi="Arial" w:eastAsia="Arial" w:cs="Arial" w:asciiTheme="minorAscii" w:hAnsiTheme="minorAscii" w:eastAsiaTheme="minorAscii" w:cstheme="minorAscii"/>
          <w:noProof w:val="0"/>
          <w:sz w:val="24"/>
          <w:szCs w:val="24"/>
          <w:lang w:val="en-GB"/>
        </w:rPr>
        <w:t>undermining</w:t>
      </w:r>
      <w:r w:rsidRPr="697C21B5" w:rsidR="1EBEA3B8">
        <w:rPr>
          <w:rFonts w:ascii="Arial" w:hAnsi="Arial" w:eastAsia="Arial" w:cs="Arial" w:asciiTheme="minorAscii" w:hAnsiTheme="minorAscii" w:eastAsiaTheme="minorAscii" w:cstheme="minorAscii"/>
          <w:noProof w:val="0"/>
          <w:sz w:val="24"/>
          <w:szCs w:val="24"/>
          <w:lang w:val="en-GB"/>
        </w:rPr>
        <w:t xml:space="preserve"> beneficiaries' </w:t>
      </w:r>
      <w:r w:rsidRPr="697C21B5" w:rsidR="55D6CF19">
        <w:rPr>
          <w:rFonts w:ascii="Arial" w:hAnsi="Arial" w:eastAsia="Arial" w:cs="Arial" w:asciiTheme="minorAscii" w:hAnsiTheme="minorAscii" w:eastAsiaTheme="minorAscii" w:cstheme="minorAscii"/>
          <w:noProof w:val="0"/>
          <w:sz w:val="24"/>
          <w:szCs w:val="24"/>
          <w:lang w:val="en-GB"/>
        </w:rPr>
        <w:t>confidence</w:t>
      </w:r>
      <w:r w:rsidRPr="697C21B5" w:rsidR="1EBEA3B8">
        <w:rPr>
          <w:rFonts w:ascii="Arial" w:hAnsi="Arial" w:eastAsia="Arial" w:cs="Arial" w:asciiTheme="minorAscii" w:hAnsiTheme="minorAscii" w:eastAsiaTheme="minorAscii" w:cstheme="minorAscii"/>
          <w:noProof w:val="0"/>
          <w:sz w:val="24"/>
          <w:szCs w:val="24"/>
          <w:lang w:val="en-GB"/>
        </w:rPr>
        <w:t xml:space="preserve"> in fiduciary governance.</w:t>
      </w:r>
    </w:p>
    <w:p w:rsidR="27D2CB07" w:rsidP="46F69962" w:rsidRDefault="27D2CB07" w14:paraId="470D819B" w14:textId="300089B9">
      <w:pPr>
        <w:pStyle w:val="Normal"/>
        <w:ind w:left="0"/>
        <w:rPr>
          <w:rFonts w:ascii="Arial" w:hAnsi="Arial" w:eastAsia="Arial" w:cs="Arial" w:asciiTheme="minorAscii" w:hAnsiTheme="minorAscii" w:eastAsiaTheme="minorAscii" w:cstheme="minorAscii"/>
          <w:noProof w:val="0"/>
          <w:sz w:val="24"/>
          <w:szCs w:val="24"/>
          <w:lang w:val="en-GB"/>
        </w:rPr>
      </w:pPr>
      <w:r w:rsidRPr="697C21B5" w:rsidR="27D2CB07">
        <w:rPr>
          <w:rFonts w:ascii="Arial" w:hAnsi="Arial" w:eastAsia="Arial" w:cs="Arial" w:asciiTheme="minorAscii" w:hAnsiTheme="minorAscii" w:eastAsiaTheme="minorAscii" w:cstheme="minorAscii"/>
          <w:noProof w:val="0"/>
          <w:sz w:val="24"/>
          <w:szCs w:val="24"/>
          <w:lang w:val="en-GB"/>
        </w:rPr>
        <w:t>In conclusion, the existing framework is characteri</w:t>
      </w:r>
      <w:r w:rsidRPr="697C21B5" w:rsidR="6960FF3D">
        <w:rPr>
          <w:rFonts w:ascii="Arial" w:hAnsi="Arial" w:eastAsia="Arial" w:cs="Arial" w:asciiTheme="minorAscii" w:hAnsiTheme="minorAscii" w:eastAsiaTheme="minorAscii" w:cstheme="minorAscii"/>
          <w:noProof w:val="0"/>
          <w:sz w:val="24"/>
          <w:szCs w:val="24"/>
          <w:lang w:val="en-GB"/>
        </w:rPr>
        <w:t>s</w:t>
      </w:r>
      <w:r w:rsidRPr="697C21B5" w:rsidR="27D2CB07">
        <w:rPr>
          <w:rFonts w:ascii="Arial" w:hAnsi="Arial" w:eastAsia="Arial" w:cs="Arial" w:asciiTheme="minorAscii" w:hAnsiTheme="minorAscii" w:eastAsiaTheme="minorAscii" w:cstheme="minorAscii"/>
          <w:noProof w:val="0"/>
          <w:sz w:val="24"/>
          <w:szCs w:val="24"/>
          <w:lang w:val="en-GB"/>
        </w:rPr>
        <w:t xml:space="preserve">ed by uncertainty, injustice, and a dependence on court supervision even though it offers flexibility and safeguards sensitive data. The </w:t>
      </w:r>
      <w:r w:rsidRPr="697C21B5" w:rsidR="27D2CB07">
        <w:rPr>
          <w:rFonts w:ascii="Arial" w:hAnsi="Arial" w:eastAsia="Arial" w:cs="Arial" w:asciiTheme="minorAscii" w:hAnsiTheme="minorAscii" w:eastAsiaTheme="minorAscii" w:cstheme="minorAscii"/>
          <w:noProof w:val="0"/>
          <w:sz w:val="24"/>
          <w:szCs w:val="24"/>
          <w:lang w:val="en-GB"/>
        </w:rPr>
        <w:t>equitable</w:t>
      </w:r>
      <w:r w:rsidRPr="697C21B5" w:rsidR="27D2CB07">
        <w:rPr>
          <w:rFonts w:ascii="Arial" w:hAnsi="Arial" w:eastAsia="Arial" w:cs="Arial" w:asciiTheme="minorAscii" w:hAnsiTheme="minorAscii" w:eastAsiaTheme="minorAscii" w:cstheme="minorAscii"/>
          <w:noProof w:val="0"/>
          <w:sz w:val="24"/>
          <w:szCs w:val="24"/>
          <w:lang w:val="en-GB"/>
        </w:rPr>
        <w:t xml:space="preserve"> principle of fairness </w:t>
      </w:r>
      <w:r w:rsidRPr="697C21B5" w:rsidR="0C29F601">
        <w:rPr>
          <w:rFonts w:ascii="Arial" w:hAnsi="Arial" w:eastAsia="Arial" w:cs="Arial" w:asciiTheme="minorAscii" w:hAnsiTheme="minorAscii" w:eastAsiaTheme="minorAscii" w:cstheme="minorAscii"/>
          <w:noProof w:val="0"/>
          <w:sz w:val="24"/>
          <w:szCs w:val="24"/>
          <w:lang w:val="en-GB"/>
        </w:rPr>
        <w:t>can be undermined</w:t>
      </w:r>
      <w:r w:rsidRPr="697C21B5" w:rsidR="27D2CB07">
        <w:rPr>
          <w:rFonts w:ascii="Arial" w:hAnsi="Arial" w:eastAsia="Arial" w:cs="Arial" w:asciiTheme="minorAscii" w:hAnsiTheme="minorAscii" w:eastAsiaTheme="minorAscii" w:cstheme="minorAscii"/>
          <w:noProof w:val="0"/>
          <w:sz w:val="24"/>
          <w:szCs w:val="24"/>
          <w:lang w:val="en-GB"/>
        </w:rPr>
        <w:t xml:space="preserve">, beneficiaries </w:t>
      </w:r>
      <w:r w:rsidRPr="697C21B5" w:rsidR="27D2CB07">
        <w:rPr>
          <w:rFonts w:ascii="Arial" w:hAnsi="Arial" w:eastAsia="Arial" w:cs="Arial" w:asciiTheme="minorAscii" w:hAnsiTheme="minorAscii" w:eastAsiaTheme="minorAscii" w:cstheme="minorAscii"/>
          <w:noProof w:val="0"/>
          <w:sz w:val="24"/>
          <w:szCs w:val="24"/>
          <w:lang w:val="en-GB"/>
        </w:rPr>
        <w:t>encounter</w:t>
      </w:r>
      <w:r w:rsidRPr="697C21B5" w:rsidR="27D2CB07">
        <w:rPr>
          <w:rFonts w:ascii="Arial" w:hAnsi="Arial" w:eastAsia="Arial" w:cs="Arial" w:asciiTheme="minorAscii" w:hAnsiTheme="minorAscii" w:eastAsiaTheme="minorAscii" w:cstheme="minorAscii"/>
          <w:noProof w:val="0"/>
          <w:sz w:val="24"/>
          <w:szCs w:val="24"/>
          <w:lang w:val="en-GB"/>
        </w:rPr>
        <w:t xml:space="preserve"> difficulties in enforcing their rights, and trustees are left without clear statutory guidance. These difficulties show that reform is </w:t>
      </w:r>
      <w:r w:rsidRPr="697C21B5" w:rsidR="27D2CB07">
        <w:rPr>
          <w:rFonts w:ascii="Arial" w:hAnsi="Arial" w:eastAsia="Arial" w:cs="Arial" w:asciiTheme="minorAscii" w:hAnsiTheme="minorAscii" w:eastAsiaTheme="minorAscii" w:cstheme="minorAscii"/>
          <w:noProof w:val="0"/>
          <w:sz w:val="24"/>
          <w:szCs w:val="24"/>
          <w:lang w:val="en-GB"/>
        </w:rPr>
        <w:t>required</w:t>
      </w:r>
      <w:r w:rsidRPr="697C21B5" w:rsidR="27D2CB07">
        <w:rPr>
          <w:rFonts w:ascii="Arial" w:hAnsi="Arial" w:eastAsia="Arial" w:cs="Arial" w:asciiTheme="minorAscii" w:hAnsiTheme="minorAscii" w:eastAsiaTheme="minorAscii" w:cstheme="minorAscii"/>
          <w:noProof w:val="0"/>
          <w:sz w:val="24"/>
          <w:szCs w:val="24"/>
          <w:lang w:val="en-GB"/>
        </w:rPr>
        <w:t xml:space="preserve"> to balance the interests of all parties involved in the trust, standardi</w:t>
      </w:r>
      <w:r w:rsidRPr="697C21B5" w:rsidR="4F31E337">
        <w:rPr>
          <w:rFonts w:ascii="Arial" w:hAnsi="Arial" w:eastAsia="Arial" w:cs="Arial" w:asciiTheme="minorAscii" w:hAnsiTheme="minorAscii" w:eastAsiaTheme="minorAscii" w:cstheme="minorAscii"/>
          <w:noProof w:val="0"/>
          <w:sz w:val="24"/>
          <w:szCs w:val="24"/>
          <w:lang w:val="en-GB"/>
        </w:rPr>
        <w:t>s</w:t>
      </w:r>
      <w:r w:rsidRPr="697C21B5" w:rsidR="27D2CB07">
        <w:rPr>
          <w:rFonts w:ascii="Arial" w:hAnsi="Arial" w:eastAsia="Arial" w:cs="Arial" w:asciiTheme="minorAscii" w:hAnsiTheme="minorAscii" w:eastAsiaTheme="minorAscii" w:cstheme="minorAscii"/>
          <w:noProof w:val="0"/>
          <w:sz w:val="24"/>
          <w:szCs w:val="24"/>
          <w:lang w:val="en-GB"/>
        </w:rPr>
        <w:t>e beneficiaries' access to information, and define trustees' disclosure obligations.</w:t>
      </w:r>
    </w:p>
    <w:p w:rsidR="46F69962" w:rsidP="46F69962" w:rsidRDefault="46F69962" w14:paraId="17CC7424" w14:textId="78453755">
      <w:pPr>
        <w:pStyle w:val="Normal"/>
        <w:ind w:left="0"/>
        <w:rPr>
          <w:rFonts w:ascii="Times New Roman" w:hAnsi="Times New Roman" w:eastAsia="Times New Roman" w:cs="Times New Roman"/>
          <w:noProof w:val="0"/>
          <w:sz w:val="24"/>
          <w:szCs w:val="24"/>
          <w:lang w:val="en-GB"/>
        </w:rPr>
      </w:pPr>
    </w:p>
    <w:p w:rsidR="361F4524" w:rsidP="697C21B5" w:rsidRDefault="361F4524" w14:paraId="3B8B3B06" w14:textId="581CB3AC">
      <w:pPr>
        <w:pStyle w:val="Normal"/>
        <w:jc w:val="center"/>
        <w:rPr>
          <w:b w:val="1"/>
          <w:bCs w:val="1"/>
        </w:rPr>
      </w:pPr>
      <w:r w:rsidRPr="697C21B5" w:rsidR="0E88FFF2">
        <w:rPr>
          <w:b w:val="1"/>
          <w:bCs w:val="1"/>
        </w:rPr>
        <w:t>Proposal for reform</w:t>
      </w:r>
    </w:p>
    <w:p w:rsidR="0E88FFF2" w:rsidRDefault="0E88FFF2" w14:paraId="1E6C8B61" w14:textId="0BA2E971">
      <w:pPr>
        <w:rPr>
          <w:b w:val="0"/>
          <w:bCs w:val="0"/>
        </w:rPr>
      </w:pPr>
      <w:r w:rsidRPr="697C21B5" w:rsidR="0E88FFF2">
        <w:rPr>
          <w:b w:val="1"/>
          <w:bCs w:val="1"/>
        </w:rPr>
        <w:t>BILL TITLE</w:t>
      </w:r>
      <w:r w:rsidR="0E88FFF2">
        <w:rPr>
          <w:b w:val="0"/>
          <w:bCs w:val="0"/>
        </w:rPr>
        <w:t xml:space="preserve"> – TRUSTEE DISCLOSURE AND BENEFICIARY INFORMATION ACT </w:t>
      </w:r>
      <w:r w:rsidR="460CFBEA">
        <w:rPr>
          <w:b w:val="0"/>
          <w:bCs w:val="0"/>
        </w:rPr>
        <w:t>(</w:t>
      </w:r>
      <w:r w:rsidR="0E88FFF2">
        <w:rPr>
          <w:b w:val="0"/>
          <w:bCs w:val="0"/>
        </w:rPr>
        <w:t>2026</w:t>
      </w:r>
      <w:r w:rsidR="4C1F2590">
        <w:rPr>
          <w:b w:val="0"/>
          <w:bCs w:val="0"/>
        </w:rPr>
        <w:t>).</w:t>
      </w:r>
    </w:p>
    <w:p w:rsidR="0E88FFF2" w:rsidP="46F69962" w:rsidRDefault="0E88FFF2" w14:paraId="56105794" w14:textId="5F811C37">
      <w:pPr>
        <w:pStyle w:val="Normal"/>
        <w:rPr>
          <w:b w:val="0"/>
          <w:bCs w:val="0"/>
        </w:rPr>
      </w:pPr>
      <w:r w:rsidRPr="46F69962" w:rsidR="0E88FFF2">
        <w:rPr>
          <w:b w:val="1"/>
          <w:bCs w:val="1"/>
        </w:rPr>
        <w:t>Long Title &amp; Summary</w:t>
      </w:r>
      <w:r w:rsidR="0E88FFF2">
        <w:rPr>
          <w:b w:val="0"/>
          <w:bCs w:val="0"/>
        </w:rPr>
        <w:t xml:space="preserve"> – An Act to clarify and regulate trustees' duties to provide information to beneficiaries, to define categories of trust documents subject to disclosure and to establish principles governing trustee discretion and for connected purposes.  </w:t>
      </w:r>
    </w:p>
    <w:p w:rsidR="0E88FFF2" w:rsidP="46F69962" w:rsidRDefault="0E88FFF2" w14:paraId="514D26D1" w14:textId="7CE180C6">
      <w:pPr>
        <w:pStyle w:val="Normal"/>
        <w:rPr>
          <w:b w:val="0"/>
          <w:bCs w:val="0"/>
        </w:rPr>
      </w:pPr>
      <w:r w:rsidRPr="46F69962" w:rsidR="0E88FFF2">
        <w:rPr>
          <w:b w:val="1"/>
          <w:bCs w:val="1"/>
        </w:rPr>
        <w:t>Clause 1</w:t>
      </w:r>
      <w:r w:rsidR="0E88FFF2">
        <w:rPr>
          <w:b w:val="0"/>
          <w:bCs w:val="0"/>
        </w:rPr>
        <w:t xml:space="preserve"> – Statutory Right to Core Information </w:t>
      </w:r>
      <w:r>
        <w:br/>
      </w:r>
      <w:r w:rsidR="0E88FFF2">
        <w:rPr>
          <w:b w:val="0"/>
          <w:bCs w:val="0"/>
        </w:rPr>
        <w:t xml:space="preserve">A trustee shall, upon reasonable request, provide a beneficiary with: (a) the trust instrument; (b) annual trust accounts (c) a summary of trust assets and liabilities and (d) details of distributions made to that beneficiary. Disclosure under this section shall not require a court order unless disputed. A trustee may refuse disclosure where the request is vexatious, manifestly unreasonable, or contrary to the proper administration of the trust. </w:t>
      </w:r>
    </w:p>
    <w:p w:rsidR="0E88FFF2" w:rsidP="46F69962" w:rsidRDefault="0E88FFF2" w14:paraId="775708CB" w14:textId="2E7276FA">
      <w:pPr>
        <w:pStyle w:val="Normal"/>
        <w:rPr>
          <w:b w:val="0"/>
          <w:bCs w:val="0"/>
        </w:rPr>
      </w:pPr>
      <w:r w:rsidRPr="46F69962" w:rsidR="0E88FFF2">
        <w:rPr>
          <w:b w:val="1"/>
          <w:bCs w:val="1"/>
        </w:rPr>
        <w:t xml:space="preserve">Clause 2 </w:t>
      </w:r>
      <w:r w:rsidR="0E88FFF2">
        <w:rPr>
          <w:b w:val="0"/>
          <w:bCs w:val="0"/>
        </w:rPr>
        <w:t xml:space="preserve">– Confidential and Deliberative Documents </w:t>
      </w:r>
      <w:r>
        <w:br/>
      </w:r>
      <w:r w:rsidR="0E88FFF2">
        <w:rPr>
          <w:b w:val="0"/>
          <w:bCs w:val="0"/>
        </w:rPr>
        <w:t xml:space="preserve">Trustees shall not be required to disclose documents recording their deliberations or reasons for discretionary decisions. Letters of wishes shall be presumed confidential. The court may order disclosure where necessary to ensure proper administration and where just and equitable in the circumstances. </w:t>
      </w:r>
    </w:p>
    <w:p w:rsidR="0E88FFF2" w:rsidP="46F69962" w:rsidRDefault="0E88FFF2" w14:paraId="02A5B550" w14:textId="302F25CA">
      <w:pPr>
        <w:pStyle w:val="Normal"/>
        <w:rPr>
          <w:b w:val="0"/>
          <w:bCs w:val="0"/>
        </w:rPr>
      </w:pPr>
      <w:r w:rsidRPr="46F69962" w:rsidR="0E88FFF2">
        <w:rPr>
          <w:b w:val="1"/>
          <w:bCs w:val="1"/>
        </w:rPr>
        <w:t xml:space="preserve">Clause 3 </w:t>
      </w:r>
      <w:r w:rsidR="0E88FFF2">
        <w:rPr>
          <w:b w:val="0"/>
          <w:bCs w:val="0"/>
        </w:rPr>
        <w:t xml:space="preserve">– Alternative Dispute Resolution </w:t>
      </w:r>
      <w:r>
        <w:br/>
      </w:r>
      <w:r w:rsidR="0E88FFF2">
        <w:rPr>
          <w:b w:val="0"/>
          <w:bCs w:val="0"/>
        </w:rPr>
        <w:t>Before commencing court proceedings relating to disclosure under this Act, the parties shall attempt resolution through mediation or another recognised form of alternative dispute resolution. The court may consider non-compliance when determining costs.</w:t>
      </w:r>
    </w:p>
    <w:p w:rsidR="0E88FFF2" w:rsidP="697C21B5" w:rsidRDefault="0E88FFF2" w14:paraId="100B7BA3" w14:textId="7C61BB31">
      <w:pPr>
        <w:pStyle w:val="Normal"/>
        <w:jc w:val="center"/>
        <w:rPr>
          <w:b w:val="1"/>
          <w:bCs w:val="1"/>
        </w:rPr>
      </w:pPr>
      <w:r w:rsidRPr="697C21B5" w:rsidR="0E88FFF2">
        <w:rPr>
          <w:b w:val="1"/>
          <w:bCs w:val="1"/>
        </w:rPr>
        <w:t xml:space="preserve">Evaluation for the reform proposals </w:t>
      </w:r>
    </w:p>
    <w:p w:rsidR="1E47D920" w:rsidP="46F69962" w:rsidRDefault="1E47D920" w14:paraId="3BB46932" w14:textId="517C92BA">
      <w:pPr>
        <w:pStyle w:val="Normal"/>
        <w:rPr>
          <w:b w:val="0"/>
          <w:bCs w:val="0"/>
        </w:rPr>
      </w:pPr>
      <w:r w:rsidR="1E47D920">
        <w:rPr>
          <w:b w:val="0"/>
          <w:bCs w:val="0"/>
        </w:rPr>
        <w:t xml:space="preserve">The Trustee Disclosure and Beneficiary Information Act </w:t>
      </w:r>
      <w:r w:rsidR="2421E2CB">
        <w:rPr>
          <w:b w:val="0"/>
          <w:bCs w:val="0"/>
        </w:rPr>
        <w:t>(</w:t>
      </w:r>
      <w:r w:rsidR="1E47D920">
        <w:rPr>
          <w:b w:val="0"/>
          <w:bCs w:val="0"/>
        </w:rPr>
        <w:t>2026</w:t>
      </w:r>
      <w:r w:rsidR="06EFC9AE">
        <w:rPr>
          <w:b w:val="0"/>
          <w:bCs w:val="0"/>
        </w:rPr>
        <w:t>)</w:t>
      </w:r>
      <w:r w:rsidR="1E47D920">
        <w:rPr>
          <w:b w:val="0"/>
          <w:bCs w:val="0"/>
        </w:rPr>
        <w:t xml:space="preserve"> </w:t>
      </w:r>
      <w:r w:rsidR="4CA04D6C">
        <w:rPr>
          <w:b w:val="0"/>
          <w:bCs w:val="0"/>
        </w:rPr>
        <w:t>o</w:t>
      </w:r>
      <w:r w:rsidR="4CA04D6C">
        <w:rPr>
          <w:b w:val="0"/>
          <w:bCs w:val="0"/>
        </w:rPr>
        <w:t>ffer</w:t>
      </w:r>
      <w:r w:rsidR="4F971824">
        <w:rPr>
          <w:b w:val="0"/>
          <w:bCs w:val="0"/>
        </w:rPr>
        <w:t>s</w:t>
      </w:r>
      <w:r w:rsidR="1E47D920">
        <w:rPr>
          <w:b w:val="0"/>
          <w:bCs w:val="0"/>
        </w:rPr>
        <w:t xml:space="preserve"> </w:t>
      </w:r>
      <w:r w:rsidR="1E47D920">
        <w:rPr>
          <w:b w:val="0"/>
          <w:bCs w:val="0"/>
        </w:rPr>
        <w:t xml:space="preserve">a statutory framework for disclosure while </w:t>
      </w:r>
      <w:r w:rsidR="1E47D920">
        <w:rPr>
          <w:b w:val="0"/>
          <w:bCs w:val="0"/>
        </w:rPr>
        <w:t>m</w:t>
      </w:r>
      <w:r w:rsidR="1E47D920">
        <w:rPr>
          <w:b w:val="0"/>
          <w:bCs w:val="0"/>
        </w:rPr>
        <w:t>aintaining</w:t>
      </w:r>
      <w:r w:rsidR="1E47D920">
        <w:rPr>
          <w:b w:val="0"/>
          <w:bCs w:val="0"/>
        </w:rPr>
        <w:t xml:space="preserve"> </w:t>
      </w:r>
      <w:r w:rsidR="1E47D920">
        <w:rPr>
          <w:b w:val="0"/>
          <w:bCs w:val="0"/>
        </w:rPr>
        <w:t xml:space="preserve">trustee discretion when needed </w:t>
      </w:r>
      <w:r w:rsidR="1E47D920">
        <w:rPr>
          <w:b w:val="0"/>
          <w:bCs w:val="0"/>
        </w:rPr>
        <w:t>i</w:t>
      </w:r>
      <w:r w:rsidR="1E47D920">
        <w:rPr>
          <w:b w:val="0"/>
          <w:bCs w:val="0"/>
        </w:rPr>
        <w:t>n an effort to</w:t>
      </w:r>
      <w:r w:rsidR="1E47D920">
        <w:rPr>
          <w:b w:val="0"/>
          <w:bCs w:val="0"/>
        </w:rPr>
        <w:t xml:space="preserve"> </w:t>
      </w:r>
      <w:r w:rsidR="1E47D920">
        <w:rPr>
          <w:b w:val="0"/>
          <w:bCs w:val="0"/>
        </w:rPr>
        <w:t>resolve the ambiguities and injustices found in the existing case law.</w:t>
      </w:r>
    </w:p>
    <w:p w:rsidR="3E97F0EE" w:rsidP="46F69962" w:rsidRDefault="3E97F0EE" w14:paraId="0C2FAD74" w14:textId="003F30F1">
      <w:pPr>
        <w:pStyle w:val="Normal"/>
        <w:rPr>
          <w:b w:val="0"/>
          <w:bCs w:val="0"/>
        </w:rPr>
      </w:pPr>
      <w:r w:rsidR="3E97F0EE">
        <w:rPr>
          <w:b w:val="0"/>
          <w:bCs w:val="0"/>
        </w:rPr>
        <w:t xml:space="preserve">The Act gives beneficiaries clear entitlements by creating a statutory right to essential information, such as the trust instrument, annual accounts, and distribution details. This reduces reliance on expensive and time-consuming court applications as </w:t>
      </w:r>
      <w:r w:rsidR="3E97F0EE">
        <w:rPr>
          <w:b w:val="0"/>
          <w:bCs w:val="0"/>
        </w:rPr>
        <w:t>demonstrated</w:t>
      </w:r>
      <w:r w:rsidR="3E97F0EE">
        <w:rPr>
          <w:b w:val="0"/>
          <w:bCs w:val="0"/>
        </w:rPr>
        <w:t xml:space="preserve"> in Lewis v</w:t>
      </w:r>
      <w:r w:rsidR="265F082F">
        <w:rPr>
          <w:b w:val="0"/>
          <w:bCs w:val="0"/>
        </w:rPr>
        <w:t xml:space="preserve"> </w:t>
      </w:r>
      <w:r w:rsidR="3E97F0EE">
        <w:rPr>
          <w:b w:val="0"/>
          <w:bCs w:val="0"/>
        </w:rPr>
        <w:t xml:space="preserve">Tamplin </w:t>
      </w:r>
      <w:r w:rsidR="13FCBF2D">
        <w:rPr>
          <w:b w:val="0"/>
          <w:bCs w:val="0"/>
        </w:rPr>
        <w:t>(</w:t>
      </w:r>
      <w:r w:rsidR="3E97F0EE">
        <w:rPr>
          <w:b w:val="0"/>
          <w:bCs w:val="0"/>
        </w:rPr>
        <w:t>2018</w:t>
      </w:r>
      <w:r w:rsidR="64FD034B">
        <w:rPr>
          <w:b w:val="0"/>
          <w:bCs w:val="0"/>
        </w:rPr>
        <w:t>)</w:t>
      </w:r>
      <w:r w:rsidR="3E97F0EE">
        <w:rPr>
          <w:b w:val="0"/>
          <w:bCs w:val="0"/>
        </w:rPr>
        <w:t>.</w:t>
      </w:r>
      <w:r w:rsidR="52648529">
        <w:rPr>
          <w:b w:val="0"/>
          <w:bCs w:val="0"/>
        </w:rPr>
        <w:t xml:space="preserve"> This also addresses issues raised in </w:t>
      </w:r>
      <w:r w:rsidR="52648529">
        <w:rPr>
          <w:b w:val="0"/>
          <w:bCs w:val="0"/>
        </w:rPr>
        <w:t>previous</w:t>
      </w:r>
      <w:r w:rsidR="52648529">
        <w:rPr>
          <w:b w:val="0"/>
          <w:bCs w:val="0"/>
        </w:rPr>
        <w:t xml:space="preserve"> cases like O'Rourke v.</w:t>
      </w:r>
      <w:r w:rsidR="52648529">
        <w:rPr>
          <w:b w:val="0"/>
          <w:bCs w:val="0"/>
        </w:rPr>
        <w:t xml:space="preserve"> </w:t>
      </w:r>
      <w:r w:rsidR="52648529">
        <w:rPr>
          <w:b w:val="0"/>
          <w:bCs w:val="0"/>
        </w:rPr>
        <w:t>Darbishir</w:t>
      </w:r>
      <w:r w:rsidR="52648529">
        <w:rPr>
          <w:b w:val="0"/>
          <w:bCs w:val="0"/>
        </w:rPr>
        <w:t>e</w:t>
      </w:r>
      <w:r w:rsidR="52648529">
        <w:rPr>
          <w:b w:val="0"/>
          <w:bCs w:val="0"/>
        </w:rPr>
        <w:t xml:space="preserve"> </w:t>
      </w:r>
      <w:r w:rsidR="58222855">
        <w:rPr>
          <w:b w:val="0"/>
          <w:bCs w:val="0"/>
        </w:rPr>
        <w:t>(</w:t>
      </w:r>
      <w:r w:rsidR="52648529">
        <w:rPr>
          <w:b w:val="0"/>
          <w:bCs w:val="0"/>
        </w:rPr>
        <w:t>1920</w:t>
      </w:r>
      <w:r w:rsidR="269EF96C">
        <w:rPr>
          <w:b w:val="0"/>
          <w:bCs w:val="0"/>
        </w:rPr>
        <w:t>)</w:t>
      </w:r>
      <w:r w:rsidR="52648529">
        <w:rPr>
          <w:b w:val="0"/>
          <w:bCs w:val="0"/>
        </w:rPr>
        <w:t>, where the courts acknowledged a beneficiary's right to view specific trust documents but did not offer thorough guidance on the extent of that right. This reduces uncertainty for both trustees and beneficiaries by clearly defining the categories of documents that must typically be</w:t>
      </w:r>
      <w:r w:rsidR="52648529">
        <w:rPr>
          <w:b w:val="0"/>
          <w:bCs w:val="0"/>
        </w:rPr>
        <w:t xml:space="preserve"> </w:t>
      </w:r>
      <w:r w:rsidR="52648529">
        <w:rPr>
          <w:b w:val="0"/>
          <w:bCs w:val="0"/>
        </w:rPr>
        <w:t>disclose</w:t>
      </w:r>
      <w:r w:rsidR="52648529">
        <w:rPr>
          <w:b w:val="0"/>
          <w:bCs w:val="0"/>
        </w:rPr>
        <w:t>d</w:t>
      </w:r>
      <w:r w:rsidR="52648529">
        <w:rPr>
          <w:b w:val="0"/>
          <w:bCs w:val="0"/>
        </w:rPr>
        <w:t>.</w:t>
      </w:r>
      <w:r w:rsidR="3CA79880">
        <w:rPr>
          <w:b w:val="0"/>
          <w:bCs w:val="0"/>
        </w:rPr>
        <w:t xml:space="preserve"> The proposal also strikes a suitable balance between confidentiality and transparency.</w:t>
      </w:r>
      <w:r w:rsidR="4E9D7EBD">
        <w:rPr>
          <w:b w:val="0"/>
          <w:bCs w:val="0"/>
        </w:rPr>
        <w:t xml:space="preserve"> The reasoning in Re Londonderry's Settlement </w:t>
      </w:r>
      <w:r w:rsidR="2681439F">
        <w:rPr>
          <w:b w:val="0"/>
          <w:bCs w:val="0"/>
        </w:rPr>
        <w:t>(</w:t>
      </w:r>
      <w:r w:rsidR="4E9D7EBD">
        <w:rPr>
          <w:b w:val="0"/>
          <w:bCs w:val="0"/>
        </w:rPr>
        <w:t>1965</w:t>
      </w:r>
      <w:r w:rsidR="7B39763D">
        <w:rPr>
          <w:b w:val="0"/>
          <w:bCs w:val="0"/>
        </w:rPr>
        <w:t>)</w:t>
      </w:r>
      <w:r w:rsidR="4E9D7EBD">
        <w:rPr>
          <w:b w:val="0"/>
          <w:bCs w:val="0"/>
        </w:rPr>
        <w:t>, where the court emphasised that disclosure of trustees' reasons for discretionary decisions could undermine the effective exercise of trustee powers, is reflected in Clause 2, which protects sensitive materials like trustees' deliberations and letters of wish.</w:t>
      </w:r>
      <w:r w:rsidR="2C6A6BE3">
        <w:rPr>
          <w:b w:val="0"/>
          <w:bCs w:val="0"/>
        </w:rPr>
        <w:t xml:space="preserve"> Additionally, Clause 3's introduction of alternative dispute resolution encourages parties to settle disclosure disputes through mediation rather than going to court, which increases efficiency. The financial and procedural costs of court proceedings may be lessened by this strategy.</w:t>
      </w:r>
      <w:r w:rsidR="4F9620B8">
        <w:rPr>
          <w:b w:val="0"/>
          <w:bCs w:val="0"/>
        </w:rPr>
        <w:t xml:space="preserve"> Overall, by standardi</w:t>
      </w:r>
      <w:r w:rsidR="3AF40CB0">
        <w:rPr>
          <w:b w:val="0"/>
          <w:bCs w:val="0"/>
        </w:rPr>
        <w:t>s</w:t>
      </w:r>
      <w:r w:rsidR="4F9620B8">
        <w:rPr>
          <w:b w:val="0"/>
          <w:bCs w:val="0"/>
        </w:rPr>
        <w:t xml:space="preserve">ing beneficiaries' access to crucial trust information while </w:t>
      </w:r>
      <w:r w:rsidR="4F9620B8">
        <w:rPr>
          <w:b w:val="0"/>
          <w:bCs w:val="0"/>
        </w:rPr>
        <w:t>maintaining</w:t>
      </w:r>
      <w:r w:rsidR="4F9620B8">
        <w:rPr>
          <w:b w:val="0"/>
          <w:bCs w:val="0"/>
        </w:rPr>
        <w:t xml:space="preserve"> the practical requirements of trustees in managing the trust, the proposed reforms strengthen alignment with the </w:t>
      </w:r>
      <w:r w:rsidR="4F9620B8">
        <w:rPr>
          <w:b w:val="0"/>
          <w:bCs w:val="0"/>
        </w:rPr>
        <w:t>equitable</w:t>
      </w:r>
      <w:r w:rsidR="4F9620B8">
        <w:rPr>
          <w:b w:val="0"/>
          <w:bCs w:val="0"/>
        </w:rPr>
        <w:t xml:space="preserve"> principles of fairness and accountability.</w:t>
      </w:r>
    </w:p>
    <w:p w:rsidR="4C20B9A8" w:rsidP="46F69962" w:rsidRDefault="4C20B9A8" w14:paraId="054F2BB0" w14:textId="156E9C87">
      <w:pPr>
        <w:pStyle w:val="Normal"/>
      </w:pPr>
      <w:r w:rsidRPr="697C21B5" w:rsidR="4C20B9A8">
        <w:rPr>
          <w:rFonts w:ascii="Arial" w:hAnsi="Arial" w:eastAsia="Arial" w:cs="Arial"/>
          <w:noProof w:val="0"/>
          <w:sz w:val="24"/>
          <w:szCs w:val="24"/>
          <w:lang w:val="en-GB"/>
        </w:rPr>
        <w:t xml:space="preserve">The proposed Trustee Disclosure and Beneficiary Information Act </w:t>
      </w:r>
      <w:r w:rsidRPr="697C21B5" w:rsidR="47DEEC74">
        <w:rPr>
          <w:rFonts w:ascii="Arial" w:hAnsi="Arial" w:eastAsia="Arial" w:cs="Arial"/>
          <w:noProof w:val="0"/>
          <w:sz w:val="24"/>
          <w:szCs w:val="24"/>
          <w:lang w:val="en-GB"/>
        </w:rPr>
        <w:t>(</w:t>
      </w:r>
      <w:r w:rsidRPr="697C21B5" w:rsidR="4C20B9A8">
        <w:rPr>
          <w:rFonts w:ascii="Arial" w:hAnsi="Arial" w:eastAsia="Arial" w:cs="Arial"/>
          <w:noProof w:val="0"/>
          <w:sz w:val="24"/>
          <w:szCs w:val="24"/>
          <w:lang w:val="en-GB"/>
        </w:rPr>
        <w:t>2026</w:t>
      </w:r>
      <w:r w:rsidRPr="697C21B5" w:rsidR="210128FD">
        <w:rPr>
          <w:rFonts w:ascii="Arial" w:hAnsi="Arial" w:eastAsia="Arial" w:cs="Arial"/>
          <w:noProof w:val="0"/>
          <w:sz w:val="24"/>
          <w:szCs w:val="24"/>
          <w:lang w:val="en-GB"/>
        </w:rPr>
        <w:t>)</w:t>
      </w:r>
      <w:r w:rsidRPr="697C21B5" w:rsidR="4C20B9A8">
        <w:rPr>
          <w:rFonts w:ascii="Arial" w:hAnsi="Arial" w:eastAsia="Arial" w:cs="Arial"/>
          <w:noProof w:val="0"/>
          <w:sz w:val="24"/>
          <w:szCs w:val="24"/>
          <w:lang w:val="en-GB"/>
        </w:rPr>
        <w:t xml:space="preserve"> may still have </w:t>
      </w:r>
      <w:r w:rsidRPr="697C21B5" w:rsidR="4C20B9A8">
        <w:rPr>
          <w:rFonts w:ascii="Arial" w:hAnsi="Arial" w:eastAsia="Arial" w:cs="Arial"/>
          <w:noProof w:val="0"/>
          <w:sz w:val="24"/>
          <w:szCs w:val="24"/>
          <w:lang w:val="en-GB"/>
        </w:rPr>
        <w:t>a number of</w:t>
      </w:r>
      <w:r w:rsidRPr="697C21B5" w:rsidR="4C20B9A8">
        <w:rPr>
          <w:rFonts w:ascii="Arial" w:hAnsi="Arial" w:eastAsia="Arial" w:cs="Arial"/>
          <w:noProof w:val="0"/>
          <w:sz w:val="24"/>
          <w:szCs w:val="24"/>
          <w:lang w:val="en-GB"/>
        </w:rPr>
        <w:t xml:space="preserve"> potential drawbacks despite its benefits.</w:t>
      </w:r>
      <w:r w:rsidRPr="697C21B5" w:rsidR="6107B3C6">
        <w:rPr>
          <w:rFonts w:ascii="Arial" w:hAnsi="Arial" w:eastAsia="Arial" w:cs="Arial"/>
          <w:noProof w:val="0"/>
          <w:sz w:val="24"/>
          <w:szCs w:val="24"/>
          <w:lang w:val="en-GB"/>
        </w:rPr>
        <w:t xml:space="preserve"> Despite the Act's intention to increase clarity, some of its provisions still </w:t>
      </w:r>
      <w:r w:rsidRPr="697C21B5" w:rsidR="6107B3C6">
        <w:rPr>
          <w:rFonts w:ascii="Arial" w:hAnsi="Arial" w:eastAsia="Arial" w:cs="Arial"/>
          <w:noProof w:val="0"/>
          <w:sz w:val="24"/>
          <w:szCs w:val="24"/>
          <w:lang w:val="en-GB"/>
        </w:rPr>
        <w:t>contain</w:t>
      </w:r>
      <w:r w:rsidRPr="697C21B5" w:rsidR="6107B3C6">
        <w:rPr>
          <w:rFonts w:ascii="Arial" w:hAnsi="Arial" w:eastAsia="Arial" w:cs="Arial"/>
          <w:noProof w:val="0"/>
          <w:sz w:val="24"/>
          <w:szCs w:val="24"/>
          <w:lang w:val="en-GB"/>
        </w:rPr>
        <w:t xml:space="preserve"> language that might need </w:t>
      </w:r>
      <w:r w:rsidRPr="697C21B5" w:rsidR="6107B3C6">
        <w:rPr>
          <w:rFonts w:ascii="Arial" w:hAnsi="Arial" w:eastAsia="Arial" w:cs="Arial"/>
          <w:noProof w:val="0"/>
          <w:sz w:val="24"/>
          <w:szCs w:val="24"/>
          <w:lang w:val="en-GB"/>
        </w:rPr>
        <w:t>additional</w:t>
      </w:r>
      <w:r w:rsidRPr="697C21B5" w:rsidR="6107B3C6">
        <w:rPr>
          <w:rFonts w:ascii="Arial" w:hAnsi="Arial" w:eastAsia="Arial" w:cs="Arial"/>
          <w:noProof w:val="0"/>
          <w:sz w:val="24"/>
          <w:szCs w:val="24"/>
          <w:lang w:val="en-GB"/>
        </w:rPr>
        <w:t xml:space="preserve"> judicial interpretation.</w:t>
      </w:r>
      <w:r w:rsidRPr="697C21B5" w:rsidR="05D0633E">
        <w:rPr>
          <w:rFonts w:ascii="Arial" w:hAnsi="Arial" w:eastAsia="Arial" w:cs="Arial"/>
          <w:noProof w:val="0"/>
          <w:sz w:val="24"/>
          <w:szCs w:val="24"/>
          <w:lang w:val="en-GB"/>
        </w:rPr>
        <w:t xml:space="preserve"> For example, terms such as "reasonable request" in Clause 1 and "just and equitable" in Clause 2, for instance, are ambiguous and may result in varying interpretations by courts based on the specifics of each trust.</w:t>
      </w:r>
      <w:r w:rsidRPr="697C21B5" w:rsidR="75AD00CD">
        <w:rPr>
          <w:rFonts w:ascii="Arial" w:hAnsi="Arial" w:eastAsia="Arial" w:cs="Arial"/>
          <w:noProof w:val="0"/>
          <w:sz w:val="24"/>
          <w:szCs w:val="24"/>
          <w:lang w:val="en-GB"/>
        </w:rPr>
        <w:t xml:space="preserve"> Because of this, the reforms might not </w:t>
      </w:r>
      <w:r w:rsidRPr="697C21B5" w:rsidR="68C60708">
        <w:rPr>
          <w:rFonts w:ascii="Arial" w:hAnsi="Arial" w:eastAsia="Arial" w:cs="Arial"/>
          <w:noProof w:val="0"/>
          <w:sz w:val="24"/>
          <w:szCs w:val="24"/>
          <w:lang w:val="en-GB"/>
        </w:rPr>
        <w:t>eliminate</w:t>
      </w:r>
      <w:r w:rsidRPr="697C21B5" w:rsidR="75AD00CD">
        <w:rPr>
          <w:rFonts w:ascii="Arial" w:hAnsi="Arial" w:eastAsia="Arial" w:cs="Arial"/>
          <w:noProof w:val="0"/>
          <w:sz w:val="24"/>
          <w:szCs w:val="24"/>
          <w:lang w:val="en-GB"/>
        </w:rPr>
        <w:t xml:space="preserve"> the current reliance on judicial discretion in this field of law.</w:t>
      </w:r>
      <w:r w:rsidRPr="697C21B5" w:rsidR="27BB4000">
        <w:rPr>
          <w:rFonts w:ascii="Arial" w:hAnsi="Arial" w:eastAsia="Arial" w:cs="Arial"/>
          <w:noProof w:val="0"/>
          <w:sz w:val="24"/>
          <w:szCs w:val="24"/>
          <w:lang w:val="en-GB"/>
        </w:rPr>
        <w:t xml:space="preserve"> Furthermore, Clause 2 preserves the possibility that courts may order the disclosure of otherwise confidential documents, such as trustees’ deliberations, where this is necessary to ensure the proper administration of the trust.</w:t>
      </w:r>
      <w:r w:rsidRPr="697C21B5" w:rsidR="2E5502A7">
        <w:rPr>
          <w:rFonts w:ascii="Arial" w:hAnsi="Arial" w:eastAsia="Arial" w:cs="Arial"/>
          <w:noProof w:val="0"/>
          <w:sz w:val="24"/>
          <w:szCs w:val="24"/>
          <w:lang w:val="en-GB"/>
        </w:rPr>
        <w:t xml:space="preserve"> Although beneficiaries' interests are protected by this safeguard, judicial oversight is still essential to the framework's functioning.</w:t>
      </w:r>
      <w:r w:rsidRPr="697C21B5" w:rsidR="606A6900">
        <w:rPr>
          <w:rFonts w:ascii="Arial" w:hAnsi="Arial" w:eastAsia="Arial" w:cs="Arial"/>
          <w:noProof w:val="0"/>
          <w:sz w:val="24"/>
          <w:szCs w:val="24"/>
          <w:lang w:val="en-GB"/>
        </w:rPr>
        <w:t xml:space="preserve"> When deciding whether a disclosure request is "contrary to the proper administration of the trust," trustees may also face practical difficulties because they may find it difficult to </w:t>
      </w:r>
      <w:r w:rsidRPr="697C21B5" w:rsidR="606A6900">
        <w:rPr>
          <w:rFonts w:ascii="Arial" w:hAnsi="Arial" w:eastAsia="Arial" w:cs="Arial"/>
          <w:noProof w:val="0"/>
          <w:sz w:val="24"/>
          <w:szCs w:val="24"/>
          <w:lang w:val="en-GB"/>
        </w:rPr>
        <w:t>determine</w:t>
      </w:r>
      <w:r w:rsidRPr="697C21B5" w:rsidR="606A6900">
        <w:rPr>
          <w:rFonts w:ascii="Arial" w:hAnsi="Arial" w:eastAsia="Arial" w:cs="Arial"/>
          <w:noProof w:val="0"/>
          <w:sz w:val="24"/>
          <w:szCs w:val="24"/>
          <w:lang w:val="en-GB"/>
        </w:rPr>
        <w:t xml:space="preserve"> when confidentiality should rightfully take precedence over transparency. Conflicts between beneficiaries and trustees may still result from this uncertainty.</w:t>
      </w:r>
      <w:r w:rsidRPr="697C21B5" w:rsidR="602FC72E">
        <w:rPr>
          <w:rFonts w:ascii="Arial" w:hAnsi="Arial" w:eastAsia="Arial" w:cs="Arial"/>
          <w:noProof w:val="0"/>
          <w:sz w:val="24"/>
          <w:szCs w:val="24"/>
          <w:lang w:val="en-GB"/>
        </w:rPr>
        <w:t xml:space="preserve"> Furthermore, trustees may adopt more formal and thorough record-keeping procedures to defend themselves against future claims </w:t>
      </w:r>
      <w:r w:rsidRPr="697C21B5" w:rsidR="1CA32919">
        <w:rPr>
          <w:rFonts w:ascii="Arial" w:hAnsi="Arial" w:eastAsia="Arial" w:cs="Arial"/>
          <w:noProof w:val="0"/>
          <w:sz w:val="24"/>
          <w:szCs w:val="24"/>
          <w:lang w:val="en-GB"/>
        </w:rPr>
        <w:t>because of</w:t>
      </w:r>
      <w:r w:rsidRPr="697C21B5" w:rsidR="602FC72E">
        <w:rPr>
          <w:rFonts w:ascii="Arial" w:hAnsi="Arial" w:eastAsia="Arial" w:cs="Arial"/>
          <w:noProof w:val="0"/>
          <w:sz w:val="24"/>
          <w:szCs w:val="24"/>
          <w:lang w:val="en-GB"/>
        </w:rPr>
        <w:t xml:space="preserve"> the introduction of clearer disclosure obligations. Although this might increase accountability, it might also result in</w:t>
      </w:r>
      <w:r w:rsidRPr="697C21B5" w:rsidR="733D937E">
        <w:rPr>
          <w:rFonts w:ascii="Arial" w:hAnsi="Arial" w:eastAsia="Arial" w:cs="Arial"/>
          <w:noProof w:val="0"/>
          <w:sz w:val="24"/>
          <w:szCs w:val="24"/>
          <w:lang w:val="en-GB"/>
        </w:rPr>
        <w:t xml:space="preserve"> </w:t>
      </w:r>
      <w:r w:rsidRPr="697C21B5" w:rsidR="602FC72E">
        <w:rPr>
          <w:rFonts w:ascii="Arial" w:hAnsi="Arial" w:eastAsia="Arial" w:cs="Arial"/>
          <w:noProof w:val="0"/>
          <w:sz w:val="24"/>
          <w:szCs w:val="24"/>
          <w:lang w:val="en-GB"/>
        </w:rPr>
        <w:t xml:space="preserve">more administrative work and higher trust management expenses. As a result, even though the suggested changes </w:t>
      </w:r>
      <w:r w:rsidRPr="697C21B5" w:rsidR="602FC72E">
        <w:rPr>
          <w:rFonts w:ascii="Arial" w:hAnsi="Arial" w:eastAsia="Arial" w:cs="Arial"/>
          <w:noProof w:val="0"/>
          <w:sz w:val="24"/>
          <w:szCs w:val="24"/>
          <w:lang w:val="en-GB"/>
        </w:rPr>
        <w:t>greatly increase</w:t>
      </w:r>
      <w:r w:rsidRPr="697C21B5" w:rsidR="602FC72E">
        <w:rPr>
          <w:rFonts w:ascii="Arial" w:hAnsi="Arial" w:eastAsia="Arial" w:cs="Arial"/>
          <w:noProof w:val="0"/>
          <w:sz w:val="24"/>
          <w:szCs w:val="24"/>
          <w:lang w:val="en-GB"/>
        </w:rPr>
        <w:t xml:space="preserve"> clarity, there may still be some ambiguity and practical difficulties when putting them into practice.</w:t>
      </w:r>
    </w:p>
    <w:p w:rsidR="0E4D9E11" w:rsidP="697C21B5" w:rsidRDefault="0E4D9E11" w14:paraId="62680A8B" w14:textId="2701BF28">
      <w:pPr>
        <w:pStyle w:val="NoSpacing"/>
        <w:jc w:val="center"/>
        <w:rPr>
          <w:rFonts w:ascii="Arial" w:hAnsi="Arial" w:eastAsia="Arial" w:cs="Arial"/>
          <w:b w:val="1"/>
          <w:bCs w:val="1"/>
          <w:noProof w:val="0"/>
          <w:color w:val="auto"/>
          <w:sz w:val="28"/>
          <w:szCs w:val="28"/>
          <w:lang w:val="en-GB"/>
        </w:rPr>
      </w:pPr>
      <w:r w:rsidRPr="697C21B5" w:rsidR="0E4D9E11">
        <w:rPr>
          <w:b w:val="1"/>
          <w:bCs w:val="1"/>
          <w:noProof w:val="0"/>
          <w:lang w:val="en-GB"/>
        </w:rPr>
        <w:t>Stakeholder and legislative considerations</w:t>
      </w:r>
    </w:p>
    <w:p w:rsidR="1E60B917" w:rsidP="46F69962" w:rsidRDefault="1E60B917" w14:paraId="3D2F1BCE" w14:textId="6ABCA0D2">
      <w:pPr>
        <w:pStyle w:val="Normal"/>
        <w:rPr>
          <w:noProof w:val="0"/>
          <w:lang w:val="en-GB"/>
        </w:rPr>
      </w:pPr>
      <w:r w:rsidRPr="697C21B5" w:rsidR="1E60B917">
        <w:rPr>
          <w:noProof w:val="0"/>
          <w:lang w:val="en-GB"/>
        </w:rPr>
        <w:t>Another crucial consideration is h</w:t>
      </w:r>
      <w:r w:rsidRPr="697C21B5" w:rsidR="2013A65A">
        <w:rPr>
          <w:noProof w:val="0"/>
          <w:lang w:val="en-GB"/>
        </w:rPr>
        <w:t>ow well the proposed reform balances the interests of the various parties involved in the trust relationship.</w:t>
      </w:r>
      <w:r w:rsidRPr="697C21B5" w:rsidR="15F5877E">
        <w:rPr>
          <w:noProof w:val="0"/>
          <w:lang w:val="en-GB"/>
        </w:rPr>
        <w:t xml:space="preserve"> From the perspective of beneficiaries, granting them a statutory right to core documents, the Act improves their access to trust information. This makes it possible for beneficiaries to keep a closer eye on the trust's management and make sure trustees are carrying out their fiduciary obligations.</w:t>
      </w:r>
      <w:r w:rsidRPr="697C21B5" w:rsidR="4102AFD7">
        <w:rPr>
          <w:noProof w:val="0"/>
          <w:lang w:val="en-GB"/>
        </w:rPr>
        <w:t xml:space="preserve"> These rights are, however, balanced with suitable confidentiality protections. Clause 2 guarantees that trustees can continue to exercise their discretionary powers without undue pressure from beneficiaries by protecting documents </w:t>
      </w:r>
      <w:r w:rsidRPr="697C21B5" w:rsidR="4102AFD7">
        <w:rPr>
          <w:noProof w:val="0"/>
          <w:lang w:val="en-GB"/>
        </w:rPr>
        <w:t>pertaining to</w:t>
      </w:r>
      <w:r w:rsidRPr="697C21B5" w:rsidR="4102AFD7">
        <w:rPr>
          <w:noProof w:val="0"/>
          <w:lang w:val="en-GB"/>
        </w:rPr>
        <w:t xml:space="preserve"> trustees' deliberations and letters of wish.</w:t>
      </w:r>
      <w:r w:rsidRPr="697C21B5" w:rsidR="4F0E9F6D">
        <w:rPr>
          <w:noProof w:val="0"/>
          <w:lang w:val="en-GB"/>
        </w:rPr>
        <w:t xml:space="preserve"> For trustees, a more precise legal framework could minimise legal ambiguity and the risk of liability resulting from inconsistent disclosure decisions.</w:t>
      </w:r>
      <w:r w:rsidRPr="697C21B5" w:rsidR="125DF4EA">
        <w:rPr>
          <w:noProof w:val="0"/>
          <w:lang w:val="en-GB"/>
        </w:rPr>
        <w:t xml:space="preserve"> On the other hand, it also adds new procedural obligations, like answering information requests and </w:t>
      </w:r>
      <w:r w:rsidRPr="697C21B5" w:rsidR="125DF4EA">
        <w:rPr>
          <w:noProof w:val="0"/>
          <w:lang w:val="en-GB"/>
        </w:rPr>
        <w:t>possibly participating</w:t>
      </w:r>
      <w:r w:rsidRPr="697C21B5" w:rsidR="125DF4EA">
        <w:rPr>
          <w:noProof w:val="0"/>
          <w:lang w:val="en-GB"/>
        </w:rPr>
        <w:t xml:space="preserve"> in mediation under clause 3 before filing a lawsuit.</w:t>
      </w:r>
      <w:r w:rsidRPr="697C21B5" w:rsidR="3F505348">
        <w:rPr>
          <w:noProof w:val="0"/>
          <w:lang w:val="en-GB"/>
        </w:rPr>
        <w:t xml:space="preserve"> </w:t>
      </w:r>
      <w:r w:rsidRPr="697C21B5" w:rsidR="3F505348">
        <w:rPr>
          <w:rFonts w:ascii="Arial" w:hAnsi="Arial" w:eastAsia="Arial" w:cs="Arial"/>
          <w:noProof w:val="0"/>
          <w:sz w:val="24"/>
          <w:szCs w:val="24"/>
          <w:lang w:val="en-GB"/>
        </w:rPr>
        <w:t>For settlors and society, the reforms support the proper functioning of trusts by promoting transparency while upholding the settlor’s intentions. By clarifying disclosure obligations, the Act may also enhance public trust in the management of trusts.</w:t>
      </w:r>
      <w:r w:rsidRPr="697C21B5" w:rsidR="253C55C5">
        <w:rPr>
          <w:rFonts w:ascii="Arial" w:hAnsi="Arial" w:eastAsia="Arial" w:cs="Arial"/>
          <w:noProof w:val="0"/>
          <w:sz w:val="24"/>
          <w:szCs w:val="24"/>
          <w:lang w:val="en-GB"/>
        </w:rPr>
        <w:t xml:space="preserve"> From a legislative drafting standpoint, the Act is </w:t>
      </w:r>
      <w:r w:rsidRPr="697C21B5" w:rsidR="253C55C5">
        <w:rPr>
          <w:rFonts w:ascii="Arial" w:hAnsi="Arial" w:eastAsia="Arial" w:cs="Arial"/>
          <w:noProof w:val="0"/>
          <w:sz w:val="24"/>
          <w:szCs w:val="24"/>
          <w:lang w:val="en-GB"/>
        </w:rPr>
        <w:t>largely clear</w:t>
      </w:r>
      <w:r w:rsidRPr="697C21B5" w:rsidR="253C55C5">
        <w:rPr>
          <w:rFonts w:ascii="Arial" w:hAnsi="Arial" w:eastAsia="Arial" w:cs="Arial"/>
          <w:noProof w:val="0"/>
          <w:sz w:val="24"/>
          <w:szCs w:val="24"/>
          <w:lang w:val="en-GB"/>
        </w:rPr>
        <w:t xml:space="preserve"> in its structure and purpose, particularly in specifying the categories of information that should </w:t>
      </w:r>
      <w:r w:rsidRPr="697C21B5" w:rsidR="253C55C5">
        <w:rPr>
          <w:rFonts w:ascii="Arial" w:hAnsi="Arial" w:eastAsia="Arial" w:cs="Arial"/>
          <w:noProof w:val="0"/>
          <w:sz w:val="24"/>
          <w:szCs w:val="24"/>
          <w:lang w:val="en-GB"/>
        </w:rPr>
        <w:t>generally be</w:t>
      </w:r>
      <w:r w:rsidRPr="697C21B5" w:rsidR="253C55C5">
        <w:rPr>
          <w:rFonts w:ascii="Arial" w:hAnsi="Arial" w:eastAsia="Arial" w:cs="Arial"/>
          <w:noProof w:val="0"/>
          <w:sz w:val="24"/>
          <w:szCs w:val="24"/>
          <w:lang w:val="en-GB"/>
        </w:rPr>
        <w:t xml:space="preserve"> </w:t>
      </w:r>
      <w:r w:rsidRPr="697C21B5" w:rsidR="253C55C5">
        <w:rPr>
          <w:rFonts w:ascii="Arial" w:hAnsi="Arial" w:eastAsia="Arial" w:cs="Arial"/>
          <w:noProof w:val="0"/>
          <w:sz w:val="24"/>
          <w:szCs w:val="24"/>
          <w:lang w:val="en-GB"/>
        </w:rPr>
        <w:t>disclosed</w:t>
      </w:r>
      <w:r w:rsidRPr="697C21B5" w:rsidR="253C55C5">
        <w:rPr>
          <w:rFonts w:ascii="Arial" w:hAnsi="Arial" w:eastAsia="Arial" w:cs="Arial"/>
          <w:noProof w:val="0"/>
          <w:sz w:val="24"/>
          <w:szCs w:val="24"/>
          <w:lang w:val="en-GB"/>
        </w:rPr>
        <w:t xml:space="preserve">. Nonetheless, certain provisions may still be open to interpretation and could create uncertainty in practice. For example, terms such as “core information,” “proper administration of the trust,” and “just and equitable” may require judicial clarification. The effectiveness of the legislation could be improved by providing precise definitions for terms like “beneficiary” and by setting clear </w:t>
      </w:r>
      <w:r w:rsidRPr="697C21B5" w:rsidR="253C55C5">
        <w:rPr>
          <w:rFonts w:ascii="Arial" w:hAnsi="Arial" w:eastAsia="Arial" w:cs="Arial"/>
          <w:noProof w:val="0"/>
          <w:sz w:val="24"/>
          <w:szCs w:val="24"/>
          <w:lang w:val="en-GB"/>
        </w:rPr>
        <w:t>timeframes</w:t>
      </w:r>
      <w:r w:rsidRPr="697C21B5" w:rsidR="253C55C5">
        <w:rPr>
          <w:rFonts w:ascii="Arial" w:hAnsi="Arial" w:eastAsia="Arial" w:cs="Arial"/>
          <w:noProof w:val="0"/>
          <w:sz w:val="24"/>
          <w:szCs w:val="24"/>
          <w:lang w:val="en-GB"/>
        </w:rPr>
        <w:t xml:space="preserve"> for trustees to respond to disclosure requests.</w:t>
      </w:r>
      <w:r w:rsidRPr="697C21B5" w:rsidR="74955D0D">
        <w:rPr>
          <w:rFonts w:ascii="Arial" w:hAnsi="Arial" w:eastAsia="Arial" w:cs="Arial"/>
          <w:noProof w:val="0"/>
          <w:sz w:val="24"/>
          <w:szCs w:val="24"/>
          <w:lang w:val="en-GB"/>
        </w:rPr>
        <w:t xml:space="preserve"> Additionally, the Act would have to function in union with current statutory provisions that govern the duties of trustees, especially those found in the Trustee Act </w:t>
      </w:r>
      <w:r w:rsidRPr="697C21B5" w:rsidR="0476328C">
        <w:rPr>
          <w:rFonts w:ascii="Arial" w:hAnsi="Arial" w:eastAsia="Arial" w:cs="Arial"/>
          <w:noProof w:val="0"/>
          <w:sz w:val="24"/>
          <w:szCs w:val="24"/>
          <w:lang w:val="en-GB"/>
        </w:rPr>
        <w:t>(</w:t>
      </w:r>
      <w:r w:rsidRPr="697C21B5" w:rsidR="74955D0D">
        <w:rPr>
          <w:rFonts w:ascii="Arial" w:hAnsi="Arial" w:eastAsia="Arial" w:cs="Arial"/>
          <w:noProof w:val="0"/>
          <w:sz w:val="24"/>
          <w:szCs w:val="24"/>
          <w:lang w:val="en-GB"/>
        </w:rPr>
        <w:t>2000</w:t>
      </w:r>
      <w:r w:rsidRPr="697C21B5" w:rsidR="64FF15F7">
        <w:rPr>
          <w:rFonts w:ascii="Arial" w:hAnsi="Arial" w:eastAsia="Arial" w:cs="Arial"/>
          <w:noProof w:val="0"/>
          <w:sz w:val="24"/>
          <w:szCs w:val="24"/>
          <w:lang w:val="en-GB"/>
        </w:rPr>
        <w:t>)</w:t>
      </w:r>
      <w:r w:rsidRPr="697C21B5" w:rsidR="74955D0D">
        <w:rPr>
          <w:rFonts w:ascii="Arial" w:hAnsi="Arial" w:eastAsia="Arial" w:cs="Arial"/>
          <w:noProof w:val="0"/>
          <w:sz w:val="24"/>
          <w:szCs w:val="24"/>
          <w:lang w:val="en-GB"/>
        </w:rPr>
        <w:t>. These provisions include the duty of care and the duty to act prudently when administering the trust. To prevent conflict or duplication within the larger framework of trust law, compatibility with these current obligations would be crucial.</w:t>
      </w:r>
    </w:p>
    <w:p w:rsidR="73B0880F" w:rsidP="697C21B5" w:rsidRDefault="73B0880F" w14:paraId="00248DCD" w14:textId="6BA39234">
      <w:pPr>
        <w:pStyle w:val="Normal"/>
        <w:jc w:val="center"/>
        <w:rPr>
          <w:rFonts w:ascii="Arial" w:hAnsi="Arial" w:eastAsia="Arial" w:cs="Arial"/>
          <w:b w:val="1"/>
          <w:bCs w:val="1"/>
          <w:noProof w:val="0"/>
          <w:sz w:val="24"/>
          <w:szCs w:val="24"/>
          <w:lang w:val="en-GB"/>
        </w:rPr>
      </w:pPr>
      <w:r w:rsidRPr="697C21B5" w:rsidR="73B0880F">
        <w:rPr>
          <w:rFonts w:ascii="Arial" w:hAnsi="Arial" w:eastAsia="Arial" w:cs="Arial"/>
          <w:b w:val="1"/>
          <w:bCs w:val="1"/>
          <w:noProof w:val="0"/>
          <w:sz w:val="24"/>
          <w:szCs w:val="24"/>
          <w:lang w:val="en-GB"/>
        </w:rPr>
        <w:t xml:space="preserve">Conclusion </w:t>
      </w:r>
    </w:p>
    <w:p w:rsidR="73B0880F" w:rsidP="46F69962" w:rsidRDefault="73B0880F" w14:paraId="299B174D" w14:textId="21C78D33">
      <w:pPr>
        <w:pStyle w:val="Normal"/>
        <w:rPr>
          <w:rFonts w:ascii="Arial" w:hAnsi="Arial" w:eastAsia="Arial" w:cs="Arial"/>
          <w:noProof w:val="0"/>
          <w:sz w:val="24"/>
          <w:szCs w:val="24"/>
          <w:lang w:val="en-GB"/>
        </w:rPr>
      </w:pPr>
      <w:r w:rsidRPr="697C21B5" w:rsidR="73B0880F">
        <w:rPr>
          <w:rFonts w:ascii="Arial" w:hAnsi="Arial" w:eastAsia="Arial" w:cs="Arial"/>
          <w:noProof w:val="0"/>
          <w:sz w:val="24"/>
          <w:szCs w:val="24"/>
          <w:lang w:val="en-GB"/>
        </w:rPr>
        <w:t xml:space="preserve">Many of the issues with the current case-law framework are addressed by the Trustee Disclosure and Beneficiary Information Act </w:t>
      </w:r>
      <w:r w:rsidRPr="697C21B5" w:rsidR="4AC7D550">
        <w:rPr>
          <w:rFonts w:ascii="Arial" w:hAnsi="Arial" w:eastAsia="Arial" w:cs="Arial"/>
          <w:noProof w:val="0"/>
          <w:sz w:val="24"/>
          <w:szCs w:val="24"/>
          <w:lang w:val="en-GB"/>
        </w:rPr>
        <w:t>(</w:t>
      </w:r>
      <w:r w:rsidRPr="697C21B5" w:rsidR="73B0880F">
        <w:rPr>
          <w:rFonts w:ascii="Arial" w:hAnsi="Arial" w:eastAsia="Arial" w:cs="Arial"/>
          <w:noProof w:val="0"/>
          <w:sz w:val="24"/>
          <w:szCs w:val="24"/>
          <w:lang w:val="en-GB"/>
        </w:rPr>
        <w:t>2026</w:t>
      </w:r>
      <w:r w:rsidRPr="697C21B5" w:rsidR="3D12689B">
        <w:rPr>
          <w:rFonts w:ascii="Arial" w:hAnsi="Arial" w:eastAsia="Arial" w:cs="Arial"/>
          <w:noProof w:val="0"/>
          <w:sz w:val="24"/>
          <w:szCs w:val="24"/>
          <w:lang w:val="en-GB"/>
        </w:rPr>
        <w:t>)</w:t>
      </w:r>
      <w:r w:rsidRPr="697C21B5" w:rsidR="73B0880F">
        <w:rPr>
          <w:rFonts w:ascii="Arial" w:hAnsi="Arial" w:eastAsia="Arial" w:cs="Arial"/>
          <w:noProof w:val="0"/>
          <w:sz w:val="24"/>
          <w:szCs w:val="24"/>
          <w:lang w:val="en-GB"/>
        </w:rPr>
        <w:t>, which is a major reform of trustees' disclosure obligations. The Act lessens the need for expensive court applications and increases accountability and transparency by giving beneficiaries a statutory right to essential information, such as the trust instrument, accounts, and distribution details.</w:t>
      </w:r>
    </w:p>
    <w:p w:rsidR="73B0880F" w:rsidP="46F69962" w:rsidRDefault="73B0880F" w14:paraId="47351794" w14:textId="1331D81B">
      <w:pPr>
        <w:pStyle w:val="Normal"/>
        <w:rPr>
          <w:rFonts w:ascii="Arial" w:hAnsi="Arial" w:eastAsia="Arial" w:cs="Arial"/>
          <w:noProof w:val="0"/>
          <w:sz w:val="24"/>
          <w:szCs w:val="24"/>
          <w:lang w:val="en-GB"/>
        </w:rPr>
      </w:pPr>
      <w:r w:rsidRPr="697C21B5" w:rsidR="73B0880F">
        <w:rPr>
          <w:rFonts w:ascii="Arial" w:hAnsi="Arial" w:eastAsia="Arial" w:cs="Arial"/>
          <w:noProof w:val="0"/>
          <w:sz w:val="24"/>
          <w:szCs w:val="24"/>
          <w:lang w:val="en-GB"/>
        </w:rPr>
        <w:t xml:space="preserve">Even though the Act increases uniformity and clarity, some ambiguity still exists, especially </w:t>
      </w:r>
      <w:r w:rsidRPr="697C21B5" w:rsidR="73B0880F">
        <w:rPr>
          <w:rFonts w:ascii="Arial" w:hAnsi="Arial" w:eastAsia="Arial" w:cs="Arial"/>
          <w:noProof w:val="0"/>
          <w:sz w:val="24"/>
          <w:szCs w:val="24"/>
          <w:lang w:val="en-GB"/>
        </w:rPr>
        <w:t>regarding</w:t>
      </w:r>
      <w:r w:rsidRPr="697C21B5" w:rsidR="73B0880F">
        <w:rPr>
          <w:rFonts w:ascii="Arial" w:hAnsi="Arial" w:eastAsia="Arial" w:cs="Arial"/>
          <w:noProof w:val="0"/>
          <w:sz w:val="24"/>
          <w:szCs w:val="24"/>
          <w:lang w:val="en-GB"/>
        </w:rPr>
        <w:t xml:space="preserve"> some of the terms used.</w:t>
      </w:r>
      <w:r w:rsidRPr="697C21B5" w:rsidR="73B0880F">
        <w:rPr>
          <w:rFonts w:ascii="Arial" w:hAnsi="Arial" w:eastAsia="Arial" w:cs="Arial"/>
          <w:noProof w:val="0"/>
          <w:sz w:val="24"/>
          <w:szCs w:val="24"/>
          <w:lang w:val="en-GB"/>
        </w:rPr>
        <w:t xml:space="preserve"> Additionally, trustees may </w:t>
      </w:r>
      <w:r w:rsidRPr="697C21B5" w:rsidR="73B0880F">
        <w:rPr>
          <w:rFonts w:ascii="Arial" w:hAnsi="Arial" w:eastAsia="Arial" w:cs="Arial"/>
          <w:noProof w:val="0"/>
          <w:sz w:val="24"/>
          <w:szCs w:val="24"/>
          <w:lang w:val="en-GB"/>
        </w:rPr>
        <w:t>encounter</w:t>
      </w:r>
      <w:r w:rsidRPr="697C21B5" w:rsidR="73B0880F">
        <w:rPr>
          <w:rFonts w:ascii="Arial" w:hAnsi="Arial" w:eastAsia="Arial" w:cs="Arial"/>
          <w:noProof w:val="0"/>
          <w:sz w:val="24"/>
          <w:szCs w:val="24"/>
          <w:lang w:val="en-GB"/>
        </w:rPr>
        <w:t xml:space="preserve"> practical difficulties in striking a balance between confidentiality and disclosure requirements, which could result in an increase in a</w:t>
      </w:r>
      <w:r w:rsidRPr="697C21B5" w:rsidR="73B0880F">
        <w:rPr>
          <w:rFonts w:ascii="Arial" w:hAnsi="Arial" w:eastAsia="Arial" w:cs="Arial"/>
          <w:noProof w:val="0"/>
          <w:sz w:val="24"/>
          <w:szCs w:val="24"/>
          <w:lang w:val="en-GB"/>
        </w:rPr>
        <w:t>dministrative responsibilities.</w:t>
      </w:r>
      <w:r w:rsidRPr="697C21B5" w:rsidR="375AD268">
        <w:rPr>
          <w:rFonts w:ascii="Arial" w:hAnsi="Arial" w:eastAsia="Arial" w:cs="Arial"/>
          <w:noProof w:val="0"/>
          <w:sz w:val="24"/>
          <w:szCs w:val="24"/>
          <w:lang w:val="en-GB"/>
        </w:rPr>
        <w:t xml:space="preserve"> Nonetheless, the law achieves </w:t>
      </w:r>
      <w:r w:rsidRPr="697C21B5" w:rsidR="375AD268">
        <w:rPr>
          <w:rFonts w:ascii="Arial" w:hAnsi="Arial" w:eastAsia="Arial" w:cs="Arial"/>
          <w:noProof w:val="0"/>
          <w:sz w:val="24"/>
          <w:szCs w:val="24"/>
          <w:lang w:val="en-GB"/>
        </w:rPr>
        <w:t>an appropriate balance</w:t>
      </w:r>
      <w:r w:rsidRPr="697C21B5" w:rsidR="375AD268">
        <w:rPr>
          <w:rFonts w:ascii="Arial" w:hAnsi="Arial" w:eastAsia="Arial" w:cs="Arial"/>
          <w:noProof w:val="0"/>
          <w:sz w:val="24"/>
          <w:szCs w:val="24"/>
          <w:lang w:val="en-GB"/>
        </w:rPr>
        <w:t xml:space="preserve"> between the interests of settlors and society, the duties of trustees, and the rights of beneficiaries. Overall, the Act provides a clearer, fairer, and more predictable framework for trust administration, likely to enhance beneficiary confidence, promote effective governance, and reduce over-reliance on the courts, while still </w:t>
      </w:r>
      <w:r w:rsidRPr="697C21B5" w:rsidR="375AD268">
        <w:rPr>
          <w:rFonts w:ascii="Arial" w:hAnsi="Arial" w:eastAsia="Arial" w:cs="Arial"/>
          <w:noProof w:val="0"/>
          <w:sz w:val="24"/>
          <w:szCs w:val="24"/>
          <w:lang w:val="en-GB"/>
        </w:rPr>
        <w:t>maintaining</w:t>
      </w:r>
      <w:r w:rsidRPr="697C21B5" w:rsidR="375AD268">
        <w:rPr>
          <w:rFonts w:ascii="Arial" w:hAnsi="Arial" w:eastAsia="Arial" w:cs="Arial"/>
          <w:noProof w:val="0"/>
          <w:sz w:val="24"/>
          <w:szCs w:val="24"/>
          <w:lang w:val="en-GB"/>
        </w:rPr>
        <w:t xml:space="preserve"> the flexibility necessary for efficient trust management.</w:t>
      </w:r>
    </w:p>
    <w:p w:rsidR="697C21B5" w:rsidP="697C21B5" w:rsidRDefault="697C21B5" w14:paraId="055FA796" w14:textId="0E632DF5">
      <w:pPr>
        <w:pStyle w:val="Normal"/>
        <w:rPr>
          <w:rFonts w:ascii="Arial" w:hAnsi="Arial" w:eastAsia="Arial" w:cs="Arial"/>
          <w:noProof w:val="0"/>
          <w:sz w:val="24"/>
          <w:szCs w:val="24"/>
          <w:lang w:val="en-GB"/>
        </w:rPr>
      </w:pPr>
    </w:p>
    <w:p w:rsidR="697C21B5" w:rsidP="697C21B5" w:rsidRDefault="697C21B5" w14:paraId="59DE4E3F" w14:textId="07BEF44E">
      <w:pPr>
        <w:pStyle w:val="Normal"/>
        <w:rPr>
          <w:rFonts w:ascii="Arial" w:hAnsi="Arial" w:eastAsia="Arial" w:cs="Arial"/>
          <w:noProof w:val="0"/>
          <w:sz w:val="24"/>
          <w:szCs w:val="24"/>
          <w:lang w:val="en-GB"/>
        </w:rPr>
      </w:pPr>
    </w:p>
    <w:p w:rsidR="697C21B5" w:rsidP="697C21B5" w:rsidRDefault="697C21B5" w14:paraId="794661A5" w14:textId="1D961492">
      <w:pPr>
        <w:pStyle w:val="Normal"/>
        <w:rPr>
          <w:rFonts w:ascii="Arial" w:hAnsi="Arial" w:eastAsia="Arial" w:cs="Arial"/>
          <w:noProof w:val="0"/>
          <w:sz w:val="24"/>
          <w:szCs w:val="24"/>
          <w:lang w:val="en-GB"/>
        </w:rPr>
      </w:pPr>
    </w:p>
    <w:p w:rsidR="697C21B5" w:rsidP="697C21B5" w:rsidRDefault="697C21B5" w14:paraId="79BF90C9" w14:textId="0D67F34D">
      <w:pPr>
        <w:pStyle w:val="Normal"/>
        <w:rPr>
          <w:rFonts w:ascii="Arial" w:hAnsi="Arial" w:eastAsia="Arial" w:cs="Arial"/>
          <w:noProof w:val="0"/>
          <w:sz w:val="24"/>
          <w:szCs w:val="24"/>
          <w:lang w:val="en-GB"/>
        </w:rPr>
      </w:pPr>
    </w:p>
    <w:p w:rsidR="697C21B5" w:rsidP="697C21B5" w:rsidRDefault="697C21B5" w14:paraId="40B4A2ED" w14:textId="0DD8C17C">
      <w:pPr>
        <w:pStyle w:val="Normal"/>
        <w:rPr>
          <w:rFonts w:ascii="Arial" w:hAnsi="Arial" w:eastAsia="Arial" w:cs="Arial"/>
          <w:noProof w:val="0"/>
          <w:sz w:val="24"/>
          <w:szCs w:val="24"/>
          <w:lang w:val="en-GB"/>
        </w:rPr>
      </w:pPr>
    </w:p>
    <w:p w:rsidR="697C21B5" w:rsidP="697C21B5" w:rsidRDefault="697C21B5" w14:paraId="14E2969B" w14:textId="0BF53403">
      <w:pPr>
        <w:pStyle w:val="Normal"/>
        <w:rPr>
          <w:rFonts w:ascii="Arial" w:hAnsi="Arial" w:eastAsia="Arial" w:cs="Arial"/>
          <w:noProof w:val="0"/>
          <w:sz w:val="24"/>
          <w:szCs w:val="24"/>
          <w:lang w:val="en-GB"/>
        </w:rPr>
      </w:pPr>
    </w:p>
    <w:p w:rsidR="697C21B5" w:rsidP="697C21B5" w:rsidRDefault="697C21B5" w14:paraId="22B6D5E4" w14:textId="02FBE652">
      <w:pPr>
        <w:pStyle w:val="Normal"/>
        <w:rPr>
          <w:rFonts w:ascii="Arial" w:hAnsi="Arial" w:eastAsia="Arial" w:cs="Arial"/>
          <w:noProof w:val="0"/>
          <w:sz w:val="24"/>
          <w:szCs w:val="24"/>
          <w:lang w:val="en-GB"/>
        </w:rPr>
      </w:pPr>
    </w:p>
    <w:p w:rsidR="697C21B5" w:rsidP="697C21B5" w:rsidRDefault="697C21B5" w14:paraId="6C69FBB7" w14:textId="46FC7DB8">
      <w:pPr>
        <w:pStyle w:val="Normal"/>
        <w:rPr>
          <w:rFonts w:ascii="Arial" w:hAnsi="Arial" w:eastAsia="Arial" w:cs="Arial"/>
          <w:noProof w:val="0"/>
          <w:sz w:val="24"/>
          <w:szCs w:val="24"/>
          <w:lang w:val="en-GB"/>
        </w:rPr>
      </w:pPr>
    </w:p>
    <w:p w:rsidR="697C21B5" w:rsidP="697C21B5" w:rsidRDefault="697C21B5" w14:paraId="0F7CB477" w14:textId="55C33F1F">
      <w:pPr>
        <w:pStyle w:val="Normal"/>
        <w:rPr>
          <w:rFonts w:ascii="Arial" w:hAnsi="Arial" w:eastAsia="Arial" w:cs="Arial"/>
          <w:noProof w:val="0"/>
          <w:sz w:val="24"/>
          <w:szCs w:val="24"/>
          <w:lang w:val="en-GB"/>
        </w:rPr>
      </w:pPr>
    </w:p>
    <w:p w:rsidR="697C21B5" w:rsidP="697C21B5" w:rsidRDefault="697C21B5" w14:paraId="2D8FBB85" w14:textId="26534FC7">
      <w:pPr>
        <w:pStyle w:val="Normal"/>
        <w:rPr>
          <w:rFonts w:ascii="Arial" w:hAnsi="Arial" w:eastAsia="Arial" w:cs="Arial"/>
          <w:noProof w:val="0"/>
          <w:sz w:val="24"/>
          <w:szCs w:val="24"/>
          <w:lang w:val="en-GB"/>
        </w:rPr>
      </w:pPr>
    </w:p>
    <w:p w:rsidR="697C21B5" w:rsidP="697C21B5" w:rsidRDefault="697C21B5" w14:paraId="621675D5" w14:textId="6D9CAC94">
      <w:pPr>
        <w:pStyle w:val="Normal"/>
        <w:rPr>
          <w:rFonts w:ascii="Arial" w:hAnsi="Arial" w:eastAsia="Arial" w:cs="Arial"/>
          <w:noProof w:val="0"/>
          <w:sz w:val="24"/>
          <w:szCs w:val="24"/>
          <w:lang w:val="en-GB"/>
        </w:rPr>
      </w:pPr>
    </w:p>
    <w:p w:rsidR="697C21B5" w:rsidP="697C21B5" w:rsidRDefault="697C21B5" w14:paraId="557F8DB1" w14:textId="47103D15">
      <w:pPr>
        <w:pStyle w:val="Normal"/>
        <w:rPr>
          <w:rFonts w:ascii="Arial" w:hAnsi="Arial" w:eastAsia="Arial" w:cs="Arial"/>
          <w:noProof w:val="0"/>
          <w:sz w:val="24"/>
          <w:szCs w:val="24"/>
          <w:lang w:val="en-GB"/>
        </w:rPr>
      </w:pPr>
    </w:p>
    <w:p w:rsidR="697C21B5" w:rsidP="697C21B5" w:rsidRDefault="697C21B5" w14:paraId="537AC542" w14:textId="18C2240F">
      <w:pPr>
        <w:pStyle w:val="Normal"/>
        <w:rPr>
          <w:rFonts w:ascii="Arial" w:hAnsi="Arial" w:eastAsia="Arial" w:cs="Arial"/>
          <w:noProof w:val="0"/>
          <w:sz w:val="24"/>
          <w:szCs w:val="24"/>
          <w:lang w:val="en-GB"/>
        </w:rPr>
      </w:pPr>
    </w:p>
    <w:p w:rsidR="697C21B5" w:rsidP="697C21B5" w:rsidRDefault="697C21B5" w14:paraId="7486E66B" w14:textId="22306647">
      <w:pPr>
        <w:pStyle w:val="Normal"/>
        <w:rPr>
          <w:rFonts w:ascii="Arial" w:hAnsi="Arial" w:eastAsia="Arial" w:cs="Arial"/>
          <w:noProof w:val="0"/>
          <w:sz w:val="24"/>
          <w:szCs w:val="24"/>
          <w:lang w:val="en-GB"/>
        </w:rPr>
      </w:pPr>
    </w:p>
    <w:p w:rsidR="697C21B5" w:rsidP="697C21B5" w:rsidRDefault="697C21B5" w14:paraId="1E5D9A83" w14:textId="7FEC00AD">
      <w:pPr>
        <w:pStyle w:val="Normal"/>
        <w:rPr>
          <w:rFonts w:ascii="Arial" w:hAnsi="Arial" w:eastAsia="Arial" w:cs="Arial"/>
          <w:noProof w:val="0"/>
          <w:sz w:val="24"/>
          <w:szCs w:val="24"/>
          <w:lang w:val="en-GB"/>
        </w:rPr>
      </w:pPr>
    </w:p>
    <w:p w:rsidR="697C21B5" w:rsidP="697C21B5" w:rsidRDefault="697C21B5" w14:paraId="1A7DAAB4" w14:textId="0208C2FF">
      <w:pPr>
        <w:pStyle w:val="Normal"/>
        <w:rPr>
          <w:rFonts w:ascii="Arial" w:hAnsi="Arial" w:eastAsia="Arial" w:cs="Arial"/>
          <w:noProof w:val="0"/>
          <w:sz w:val="24"/>
          <w:szCs w:val="24"/>
          <w:lang w:val="en-GB"/>
        </w:rPr>
      </w:pPr>
    </w:p>
    <w:p w:rsidR="697C21B5" w:rsidP="697C21B5" w:rsidRDefault="697C21B5" w14:paraId="204D4A74" w14:textId="05287C12">
      <w:pPr>
        <w:pStyle w:val="Normal"/>
        <w:rPr>
          <w:rFonts w:ascii="Arial" w:hAnsi="Arial" w:eastAsia="Arial" w:cs="Arial"/>
          <w:noProof w:val="0"/>
          <w:sz w:val="24"/>
          <w:szCs w:val="24"/>
          <w:lang w:val="en-GB"/>
        </w:rPr>
      </w:pPr>
    </w:p>
    <w:p w:rsidR="697C21B5" w:rsidP="697C21B5" w:rsidRDefault="697C21B5" w14:paraId="28BA1288" w14:textId="692F5B76">
      <w:pPr>
        <w:pStyle w:val="Normal"/>
        <w:rPr>
          <w:rFonts w:ascii="Arial" w:hAnsi="Arial" w:eastAsia="Arial" w:cs="Arial"/>
          <w:noProof w:val="0"/>
          <w:sz w:val="24"/>
          <w:szCs w:val="24"/>
          <w:lang w:val="en-GB"/>
        </w:rPr>
      </w:pPr>
    </w:p>
    <w:p w:rsidR="697C21B5" w:rsidP="697C21B5" w:rsidRDefault="697C21B5" w14:paraId="3ED840F0" w14:textId="3037C4F4">
      <w:pPr>
        <w:pStyle w:val="Normal"/>
        <w:rPr>
          <w:rFonts w:ascii="Arial" w:hAnsi="Arial" w:eastAsia="Arial" w:cs="Arial"/>
          <w:noProof w:val="0"/>
          <w:sz w:val="24"/>
          <w:szCs w:val="24"/>
          <w:lang w:val="en-GB"/>
        </w:rPr>
      </w:pPr>
    </w:p>
    <w:p w:rsidR="697C21B5" w:rsidP="697C21B5" w:rsidRDefault="697C21B5" w14:paraId="46C76EC7" w14:textId="59E03C2C">
      <w:pPr>
        <w:pStyle w:val="Normal"/>
        <w:rPr>
          <w:rFonts w:ascii="Arial" w:hAnsi="Arial" w:eastAsia="Arial" w:cs="Arial"/>
          <w:noProof w:val="0"/>
          <w:sz w:val="24"/>
          <w:szCs w:val="24"/>
          <w:lang w:val="en-GB"/>
        </w:rPr>
      </w:pPr>
    </w:p>
    <w:p w:rsidR="697C21B5" w:rsidP="697C21B5" w:rsidRDefault="697C21B5" w14:paraId="2389CEC5" w14:textId="196122F7">
      <w:pPr>
        <w:pStyle w:val="Normal"/>
        <w:rPr>
          <w:rFonts w:ascii="Arial" w:hAnsi="Arial" w:eastAsia="Arial" w:cs="Arial"/>
          <w:noProof w:val="0"/>
          <w:sz w:val="24"/>
          <w:szCs w:val="24"/>
          <w:lang w:val="en-GB"/>
        </w:rPr>
      </w:pPr>
    </w:p>
    <w:p w:rsidR="697C21B5" w:rsidP="697C21B5" w:rsidRDefault="697C21B5" w14:paraId="09AEA12F" w14:textId="02A103DD">
      <w:pPr>
        <w:pStyle w:val="Normal"/>
        <w:rPr>
          <w:rFonts w:ascii="Arial" w:hAnsi="Arial" w:eastAsia="Arial" w:cs="Arial"/>
          <w:noProof w:val="0"/>
          <w:sz w:val="24"/>
          <w:szCs w:val="24"/>
          <w:lang w:val="en-GB"/>
        </w:rPr>
      </w:pPr>
    </w:p>
    <w:p w:rsidR="697C21B5" w:rsidP="697C21B5" w:rsidRDefault="697C21B5" w14:paraId="18B21169" w14:textId="532AA2D7">
      <w:pPr>
        <w:pStyle w:val="Normal"/>
        <w:rPr>
          <w:rFonts w:ascii="Arial" w:hAnsi="Arial" w:eastAsia="Arial" w:cs="Arial"/>
          <w:b w:val="1"/>
          <w:bCs w:val="1"/>
          <w:noProof w:val="0"/>
          <w:sz w:val="24"/>
          <w:szCs w:val="24"/>
          <w:lang w:val="en-GB"/>
        </w:rPr>
      </w:pPr>
    </w:p>
    <w:p w:rsidR="43761BDA" w:rsidP="697C21B5" w:rsidRDefault="43761BDA" w14:paraId="525E5818" w14:textId="1A54F591">
      <w:pPr>
        <w:pStyle w:val="Normal"/>
        <w:rPr>
          <w:rFonts w:ascii="Arial" w:hAnsi="Arial" w:eastAsia="Arial" w:cs="Arial"/>
          <w:b w:val="1"/>
          <w:bCs w:val="1"/>
          <w:noProof w:val="0"/>
          <w:sz w:val="24"/>
          <w:szCs w:val="24"/>
          <w:lang w:val="en-GB"/>
        </w:rPr>
      </w:pPr>
      <w:r w:rsidRPr="697C21B5" w:rsidR="43761BDA">
        <w:rPr>
          <w:rFonts w:ascii="Arial" w:hAnsi="Arial" w:eastAsia="Arial" w:cs="Arial"/>
          <w:b w:val="1"/>
          <w:bCs w:val="1"/>
          <w:noProof w:val="0"/>
          <w:sz w:val="24"/>
          <w:szCs w:val="24"/>
          <w:lang w:val="en-GB"/>
        </w:rPr>
        <w:t xml:space="preserve">Reference list - </w:t>
      </w:r>
    </w:p>
    <w:p w:rsidR="178A240A" w:rsidP="697C21B5" w:rsidRDefault="178A240A" w14:paraId="0FAB5833" w14:textId="6072106A">
      <w:pPr>
        <w:spacing w:before="240" w:beforeAutospacing="off" w:after="240" w:afterAutospacing="off"/>
      </w:pPr>
      <w:r w:rsidRPr="697C21B5" w:rsidR="178A240A">
        <w:rPr>
          <w:rFonts w:ascii="Arial" w:hAnsi="Arial" w:eastAsia="Arial" w:cs="Arial"/>
          <w:noProof w:val="0"/>
          <w:sz w:val="24"/>
          <w:szCs w:val="24"/>
          <w:lang w:val="en-GB"/>
        </w:rPr>
        <w:t xml:space="preserve">Ashfords (2021) </w:t>
      </w:r>
      <w:r w:rsidRPr="697C21B5" w:rsidR="178A240A">
        <w:rPr>
          <w:rFonts w:ascii="Arial" w:hAnsi="Arial" w:eastAsia="Arial" w:cs="Arial"/>
          <w:i w:val="1"/>
          <w:iCs w:val="1"/>
          <w:noProof w:val="0"/>
          <w:sz w:val="24"/>
          <w:szCs w:val="24"/>
          <w:lang w:val="en-GB"/>
        </w:rPr>
        <w:t>Beneficiaries’ right to information (costs consequences)</w:t>
      </w:r>
      <w:r w:rsidRPr="697C21B5" w:rsidR="178A240A">
        <w:rPr>
          <w:rFonts w:ascii="Arial" w:hAnsi="Arial" w:eastAsia="Arial" w:cs="Arial"/>
          <w:noProof w:val="0"/>
          <w:sz w:val="24"/>
          <w:szCs w:val="24"/>
          <w:lang w:val="en-GB"/>
        </w:rPr>
        <w:t xml:space="preserve">. [online] Available at: </w:t>
      </w:r>
      <w:hyperlink r:id="R5c8b9575a82849f1">
        <w:r w:rsidRPr="697C21B5" w:rsidR="178A240A">
          <w:rPr>
            <w:rStyle w:val="Hyperlink"/>
            <w:rFonts w:ascii="Arial" w:hAnsi="Arial" w:eastAsia="Arial" w:cs="Arial"/>
            <w:noProof w:val="0"/>
            <w:sz w:val="24"/>
            <w:szCs w:val="24"/>
            <w:lang w:val="en-GB"/>
          </w:rPr>
          <w:t>https://www.ashfords.co.uk/insights/articles/beneficiaries-right-to-information-costs-consequences</w:t>
        </w:r>
      </w:hyperlink>
      <w:r w:rsidRPr="697C21B5" w:rsidR="178A240A">
        <w:rPr>
          <w:rFonts w:ascii="Arial" w:hAnsi="Arial" w:eastAsia="Arial" w:cs="Arial"/>
          <w:noProof w:val="0"/>
          <w:sz w:val="24"/>
          <w:szCs w:val="24"/>
          <w:lang w:val="en-GB"/>
        </w:rPr>
        <w:t xml:space="preserve"> (Accessed: 5 March 2026).</w:t>
      </w:r>
    </w:p>
    <w:p w:rsidR="178A240A" w:rsidP="697C21B5" w:rsidRDefault="178A240A" w14:paraId="2FDE965F" w14:textId="2D438C2F">
      <w:pPr>
        <w:spacing w:before="240" w:beforeAutospacing="off" w:after="240" w:afterAutospacing="off"/>
      </w:pPr>
      <w:r w:rsidRPr="697C21B5" w:rsidR="178A240A">
        <w:rPr>
          <w:rFonts w:ascii="Arial" w:hAnsi="Arial" w:eastAsia="Arial" w:cs="Arial"/>
          <w:noProof w:val="0"/>
          <w:sz w:val="24"/>
          <w:szCs w:val="24"/>
          <w:lang w:val="en-GB"/>
        </w:rPr>
        <w:t xml:space="preserve">Ashton, R. (2008) ‘Information disclosure and beneficiaries’, </w:t>
      </w:r>
      <w:r w:rsidRPr="697C21B5" w:rsidR="178A240A">
        <w:rPr>
          <w:rFonts w:ascii="Arial" w:hAnsi="Arial" w:eastAsia="Arial" w:cs="Arial"/>
          <w:i w:val="1"/>
          <w:iCs w:val="1"/>
          <w:noProof w:val="0"/>
          <w:sz w:val="24"/>
          <w:szCs w:val="24"/>
          <w:lang w:val="en-GB"/>
        </w:rPr>
        <w:t>Trusts &amp; Trustees</w:t>
      </w:r>
      <w:r w:rsidRPr="697C21B5" w:rsidR="178A240A">
        <w:rPr>
          <w:rFonts w:ascii="Arial" w:hAnsi="Arial" w:eastAsia="Arial" w:cs="Arial"/>
          <w:noProof w:val="0"/>
          <w:sz w:val="24"/>
          <w:szCs w:val="24"/>
          <w:lang w:val="en-GB"/>
        </w:rPr>
        <w:t>, 14(9), pp. 642–648.</w:t>
      </w:r>
    </w:p>
    <w:p w:rsidR="178A240A" w:rsidP="697C21B5" w:rsidRDefault="178A240A" w14:paraId="16EBE739" w14:textId="3224C36C">
      <w:pPr>
        <w:spacing w:before="240" w:beforeAutospacing="off" w:after="240" w:afterAutospacing="off"/>
      </w:pPr>
      <w:r w:rsidRPr="697C21B5" w:rsidR="178A240A">
        <w:rPr>
          <w:rFonts w:ascii="Arial" w:hAnsi="Arial" w:eastAsia="Arial" w:cs="Arial"/>
          <w:noProof w:val="0"/>
          <w:sz w:val="24"/>
          <w:szCs w:val="24"/>
          <w:lang w:val="en-GB"/>
        </w:rPr>
        <w:t xml:space="preserve">Davies, P. and Virgo, G. (2025) </w:t>
      </w:r>
      <w:r w:rsidRPr="697C21B5" w:rsidR="178A240A">
        <w:rPr>
          <w:rFonts w:ascii="Arial" w:hAnsi="Arial" w:eastAsia="Arial" w:cs="Arial"/>
          <w:i w:val="1"/>
          <w:iCs w:val="1"/>
          <w:noProof w:val="0"/>
          <w:sz w:val="24"/>
          <w:szCs w:val="24"/>
          <w:lang w:val="en-GB"/>
        </w:rPr>
        <w:t>Equity &amp; trusts: text, cases and materials</w:t>
      </w:r>
      <w:r w:rsidRPr="697C21B5" w:rsidR="178A240A">
        <w:rPr>
          <w:rFonts w:ascii="Arial" w:hAnsi="Arial" w:eastAsia="Arial" w:cs="Arial"/>
          <w:noProof w:val="0"/>
          <w:sz w:val="24"/>
          <w:szCs w:val="24"/>
          <w:lang w:val="en-GB"/>
        </w:rPr>
        <w:t>. 3rd edn. Oxford: Oxford University Press.</w:t>
      </w:r>
    </w:p>
    <w:p w:rsidR="178A240A" w:rsidP="697C21B5" w:rsidRDefault="178A240A" w14:paraId="1562BB15" w14:textId="40DDD111">
      <w:pPr>
        <w:spacing w:before="240" w:beforeAutospacing="off" w:after="240" w:afterAutospacing="off"/>
      </w:pPr>
      <w:r w:rsidRPr="697C21B5" w:rsidR="178A240A">
        <w:rPr>
          <w:rFonts w:ascii="Arial" w:hAnsi="Arial" w:eastAsia="Arial" w:cs="Arial"/>
          <w:noProof w:val="0"/>
          <w:sz w:val="24"/>
          <w:szCs w:val="24"/>
          <w:lang w:val="en-GB"/>
        </w:rPr>
        <w:t xml:space="preserve">Dengucho, M. (2024) </w:t>
      </w:r>
      <w:r w:rsidRPr="697C21B5" w:rsidR="178A240A">
        <w:rPr>
          <w:rFonts w:ascii="Arial" w:hAnsi="Arial" w:eastAsia="Arial" w:cs="Arial"/>
          <w:i w:val="1"/>
          <w:iCs w:val="1"/>
          <w:noProof w:val="0"/>
          <w:sz w:val="24"/>
          <w:szCs w:val="24"/>
          <w:lang w:val="en-GB"/>
        </w:rPr>
        <w:t>Data protection legislation in the UK and its impact on the confidentiality of trustee decision-making</w:t>
      </w:r>
      <w:r w:rsidRPr="697C21B5" w:rsidR="178A240A">
        <w:rPr>
          <w:rFonts w:ascii="Arial" w:hAnsi="Arial" w:eastAsia="Arial" w:cs="Arial"/>
          <w:noProof w:val="0"/>
          <w:sz w:val="24"/>
          <w:szCs w:val="24"/>
          <w:lang w:val="en-GB"/>
        </w:rPr>
        <w:t xml:space="preserve">. [online] Available at: </w:t>
      </w:r>
      <w:hyperlink r:id="R4a7a1a26ec214b19">
        <w:r w:rsidRPr="697C21B5" w:rsidR="178A240A">
          <w:rPr>
            <w:rStyle w:val="Hyperlink"/>
            <w:rFonts w:ascii="Arial" w:hAnsi="Arial" w:eastAsia="Arial" w:cs="Arial"/>
            <w:noProof w:val="0"/>
            <w:sz w:val="24"/>
            <w:szCs w:val="24"/>
            <w:lang w:val="en-GB"/>
          </w:rPr>
          <w:t>https://www.wilberforce.co.uk/article/data-protection-legislation-in-the-uk-and-its-impact-on-the-confidentiality-of-trustee-decision-making</w:t>
        </w:r>
      </w:hyperlink>
      <w:r w:rsidRPr="697C21B5" w:rsidR="178A240A">
        <w:rPr>
          <w:rFonts w:ascii="Arial" w:hAnsi="Arial" w:eastAsia="Arial" w:cs="Arial"/>
          <w:noProof w:val="0"/>
          <w:sz w:val="24"/>
          <w:szCs w:val="24"/>
          <w:lang w:val="en-GB"/>
        </w:rPr>
        <w:t xml:space="preserve"> (Accessed: 5 March 2026).</w:t>
      </w:r>
    </w:p>
    <w:p w:rsidR="178A240A" w:rsidP="697C21B5" w:rsidRDefault="178A240A" w14:paraId="7B220FBA" w14:textId="19F0F0EA">
      <w:pPr>
        <w:spacing w:before="240" w:beforeAutospacing="off" w:after="240" w:afterAutospacing="off"/>
      </w:pPr>
      <w:r w:rsidRPr="697C21B5" w:rsidR="178A240A">
        <w:rPr>
          <w:rFonts w:ascii="Arial" w:hAnsi="Arial" w:eastAsia="Arial" w:cs="Arial"/>
          <w:noProof w:val="0"/>
          <w:sz w:val="24"/>
          <w:szCs w:val="24"/>
          <w:lang w:val="en-GB"/>
        </w:rPr>
        <w:t xml:space="preserve">Ford, F. and Barros, C. (2025) </w:t>
      </w:r>
      <w:r w:rsidRPr="697C21B5" w:rsidR="178A240A">
        <w:rPr>
          <w:rFonts w:ascii="Arial" w:hAnsi="Arial" w:eastAsia="Arial" w:cs="Arial"/>
          <w:i w:val="1"/>
          <w:iCs w:val="1"/>
          <w:noProof w:val="0"/>
          <w:sz w:val="24"/>
          <w:szCs w:val="24"/>
          <w:lang w:val="en-GB"/>
        </w:rPr>
        <w:t>From deference to dialogue: why transparency is now a trustee’s strongest defence</w:t>
      </w:r>
      <w:r w:rsidRPr="697C21B5" w:rsidR="178A240A">
        <w:rPr>
          <w:rFonts w:ascii="Arial" w:hAnsi="Arial" w:eastAsia="Arial" w:cs="Arial"/>
          <w:noProof w:val="0"/>
          <w:sz w:val="24"/>
          <w:szCs w:val="24"/>
          <w:lang w:val="en-GB"/>
        </w:rPr>
        <w:t xml:space="preserve">. [online] Available at: </w:t>
      </w:r>
      <w:hyperlink r:id="Rc1a35cb411df4e78">
        <w:r w:rsidRPr="697C21B5" w:rsidR="178A240A">
          <w:rPr>
            <w:rStyle w:val="Hyperlink"/>
            <w:rFonts w:ascii="Arial" w:hAnsi="Arial" w:eastAsia="Arial" w:cs="Arial"/>
            <w:noProof w:val="0"/>
            <w:sz w:val="24"/>
            <w:szCs w:val="24"/>
            <w:lang w:val="en-GB"/>
          </w:rPr>
          <w:t>https://www.collascrill.com/articles/from-deference-to-dialogue-why-transparency-is-now-a-trustee-s-strongest-defence</w:t>
        </w:r>
      </w:hyperlink>
      <w:r w:rsidRPr="697C21B5" w:rsidR="178A240A">
        <w:rPr>
          <w:rFonts w:ascii="Arial" w:hAnsi="Arial" w:eastAsia="Arial" w:cs="Arial"/>
          <w:noProof w:val="0"/>
          <w:sz w:val="24"/>
          <w:szCs w:val="24"/>
          <w:lang w:val="en-GB"/>
        </w:rPr>
        <w:t xml:space="preserve"> (Accessed: 4 March 2026).</w:t>
      </w:r>
    </w:p>
    <w:p w:rsidR="178A240A" w:rsidP="697C21B5" w:rsidRDefault="178A240A" w14:paraId="5DF73E8B" w14:textId="1683D572">
      <w:pPr>
        <w:spacing w:before="240" w:beforeAutospacing="off" w:after="240" w:afterAutospacing="off"/>
      </w:pPr>
      <w:r w:rsidRPr="697C21B5" w:rsidR="178A240A">
        <w:rPr>
          <w:rFonts w:ascii="Arial" w:hAnsi="Arial" w:eastAsia="Arial" w:cs="Arial"/>
          <w:noProof w:val="0"/>
          <w:sz w:val="24"/>
          <w:szCs w:val="24"/>
          <w:lang w:val="en-GB"/>
        </w:rPr>
        <w:t xml:space="preserve">Hafeez-Baig, M.J. and English, J. (2017) ‘Disclosure of trust information: discretionary or principle-based jurisdiction?’, </w:t>
      </w:r>
      <w:r w:rsidRPr="697C21B5" w:rsidR="178A240A">
        <w:rPr>
          <w:rFonts w:ascii="Arial" w:hAnsi="Arial" w:eastAsia="Arial" w:cs="Arial"/>
          <w:i w:val="1"/>
          <w:iCs w:val="1"/>
          <w:noProof w:val="0"/>
          <w:sz w:val="24"/>
          <w:szCs w:val="24"/>
          <w:lang w:val="en-GB"/>
        </w:rPr>
        <w:t>Trusts &amp; Trustees</w:t>
      </w:r>
      <w:r w:rsidRPr="697C21B5" w:rsidR="178A240A">
        <w:rPr>
          <w:rFonts w:ascii="Arial" w:hAnsi="Arial" w:eastAsia="Arial" w:cs="Arial"/>
          <w:noProof w:val="0"/>
          <w:sz w:val="24"/>
          <w:szCs w:val="24"/>
          <w:lang w:val="en-GB"/>
        </w:rPr>
        <w:t>, 23(7), pp. 829–834.</w:t>
      </w:r>
    </w:p>
    <w:p w:rsidR="178A240A" w:rsidP="697C21B5" w:rsidRDefault="178A240A" w14:paraId="1B72C6A6" w14:textId="33CC2003">
      <w:pPr>
        <w:spacing w:before="240" w:beforeAutospacing="off" w:after="240" w:afterAutospacing="off"/>
      </w:pPr>
      <w:r w:rsidRPr="697C21B5" w:rsidR="178A240A">
        <w:rPr>
          <w:rFonts w:ascii="Arial" w:hAnsi="Arial" w:eastAsia="Arial" w:cs="Arial"/>
          <w:noProof w:val="0"/>
          <w:sz w:val="24"/>
          <w:szCs w:val="24"/>
          <w:lang w:val="en-GB"/>
        </w:rPr>
        <w:t xml:space="preserve">Herbert Smith Freehills (2018) </w:t>
      </w:r>
      <w:r w:rsidRPr="697C21B5" w:rsidR="178A240A">
        <w:rPr>
          <w:rFonts w:ascii="Arial" w:hAnsi="Arial" w:eastAsia="Arial" w:cs="Arial"/>
          <w:i w:val="1"/>
          <w:iCs w:val="1"/>
          <w:noProof w:val="0"/>
          <w:sz w:val="24"/>
          <w:szCs w:val="24"/>
          <w:lang w:val="en-GB"/>
        </w:rPr>
        <w:t>English High Court considers scope of beneficiaries’ right to request information from trustees</w:t>
      </w:r>
      <w:r w:rsidRPr="697C21B5" w:rsidR="178A240A">
        <w:rPr>
          <w:rFonts w:ascii="Arial" w:hAnsi="Arial" w:eastAsia="Arial" w:cs="Arial"/>
          <w:noProof w:val="0"/>
          <w:sz w:val="24"/>
          <w:szCs w:val="24"/>
          <w:lang w:val="en-GB"/>
        </w:rPr>
        <w:t xml:space="preserve">. [online] Available at: </w:t>
      </w:r>
      <w:hyperlink r:id="R881ed1158ba44eea">
        <w:r w:rsidRPr="697C21B5" w:rsidR="178A240A">
          <w:rPr>
            <w:rStyle w:val="Hyperlink"/>
            <w:rFonts w:ascii="Arial" w:hAnsi="Arial" w:eastAsia="Arial" w:cs="Arial"/>
            <w:noProof w:val="0"/>
            <w:sz w:val="24"/>
            <w:szCs w:val="24"/>
            <w:lang w:val="en-GB"/>
          </w:rPr>
          <w:t>https://www.hsfkramer.com/notes/pwtd/2018-06/english-high-court-considers-scope-of-beneficiaries-right-to-request-information-from-trustees</w:t>
        </w:r>
      </w:hyperlink>
      <w:r w:rsidRPr="697C21B5" w:rsidR="178A240A">
        <w:rPr>
          <w:rFonts w:ascii="Arial" w:hAnsi="Arial" w:eastAsia="Arial" w:cs="Arial"/>
          <w:noProof w:val="0"/>
          <w:sz w:val="24"/>
          <w:szCs w:val="24"/>
          <w:lang w:val="en-GB"/>
        </w:rPr>
        <w:t xml:space="preserve"> (Accessed: 12 March 2026).</w:t>
      </w:r>
    </w:p>
    <w:p w:rsidR="178A240A" w:rsidP="697C21B5" w:rsidRDefault="178A240A" w14:paraId="2ECAE43B" w14:textId="60B4A4E1">
      <w:pPr>
        <w:spacing w:before="240" w:beforeAutospacing="off" w:after="240" w:afterAutospacing="off"/>
      </w:pPr>
      <w:r w:rsidRPr="697C21B5" w:rsidR="178A240A">
        <w:rPr>
          <w:rFonts w:ascii="Arial" w:hAnsi="Arial" w:eastAsia="Arial" w:cs="Arial"/>
          <w:noProof w:val="0"/>
          <w:sz w:val="24"/>
          <w:szCs w:val="24"/>
          <w:lang w:val="en-GB"/>
        </w:rPr>
        <w:t xml:space="preserve">Holbech, C. (2012) </w:t>
      </w:r>
      <w:r w:rsidRPr="697C21B5" w:rsidR="178A240A">
        <w:rPr>
          <w:rFonts w:ascii="Arial" w:hAnsi="Arial" w:eastAsia="Arial" w:cs="Arial"/>
          <w:i w:val="1"/>
          <w:iCs w:val="1"/>
          <w:noProof w:val="0"/>
          <w:sz w:val="24"/>
          <w:szCs w:val="24"/>
          <w:lang w:val="en-GB"/>
        </w:rPr>
        <w:t>Trustees duties to provide documents</w:t>
      </w:r>
      <w:r w:rsidRPr="697C21B5" w:rsidR="178A240A">
        <w:rPr>
          <w:rFonts w:ascii="Arial" w:hAnsi="Arial" w:eastAsia="Arial" w:cs="Arial"/>
          <w:noProof w:val="0"/>
          <w:sz w:val="24"/>
          <w:szCs w:val="24"/>
          <w:lang w:val="en-GB"/>
        </w:rPr>
        <w:t xml:space="preserve">. [online] Available at: </w:t>
      </w:r>
      <w:hyperlink r:id="Ree698d726cc5414a">
        <w:r w:rsidRPr="697C21B5" w:rsidR="178A240A">
          <w:rPr>
            <w:rStyle w:val="Hyperlink"/>
            <w:rFonts w:ascii="Arial" w:hAnsi="Arial" w:eastAsia="Arial" w:cs="Arial"/>
            <w:noProof w:val="0"/>
            <w:sz w:val="24"/>
            <w:szCs w:val="24"/>
            <w:lang w:val="en-GB"/>
          </w:rPr>
          <w:t>https://holbech.co.uk/trustees-duties-to-provide-documents</w:t>
        </w:r>
      </w:hyperlink>
      <w:r w:rsidRPr="697C21B5" w:rsidR="178A240A">
        <w:rPr>
          <w:rFonts w:ascii="Arial" w:hAnsi="Arial" w:eastAsia="Arial" w:cs="Arial"/>
          <w:noProof w:val="0"/>
          <w:sz w:val="24"/>
          <w:szCs w:val="24"/>
          <w:lang w:val="en-GB"/>
        </w:rPr>
        <w:t xml:space="preserve"> (Accessed: 3 March 2026).</w:t>
      </w:r>
    </w:p>
    <w:p w:rsidR="178A240A" w:rsidP="697C21B5" w:rsidRDefault="178A240A" w14:paraId="285BDD9C" w14:textId="027C9BB5">
      <w:pPr>
        <w:spacing w:before="240" w:beforeAutospacing="off" w:after="240" w:afterAutospacing="off"/>
      </w:pPr>
      <w:r w:rsidRPr="697C21B5" w:rsidR="178A240A">
        <w:rPr>
          <w:rFonts w:ascii="Arial" w:hAnsi="Arial" w:eastAsia="Arial" w:cs="Arial"/>
          <w:noProof w:val="0"/>
          <w:sz w:val="24"/>
          <w:szCs w:val="24"/>
          <w:lang w:val="en-GB"/>
        </w:rPr>
        <w:t xml:space="preserve">Hudson, A. (2021) ‘The duties of trustees’, in </w:t>
      </w:r>
      <w:r w:rsidRPr="697C21B5" w:rsidR="178A240A">
        <w:rPr>
          <w:rFonts w:ascii="Arial" w:hAnsi="Arial" w:eastAsia="Arial" w:cs="Arial"/>
          <w:i w:val="1"/>
          <w:iCs w:val="1"/>
          <w:noProof w:val="0"/>
          <w:sz w:val="24"/>
          <w:szCs w:val="24"/>
          <w:lang w:val="en-GB"/>
        </w:rPr>
        <w:t>Equity and trusts</w:t>
      </w:r>
      <w:r w:rsidRPr="697C21B5" w:rsidR="178A240A">
        <w:rPr>
          <w:rFonts w:ascii="Arial" w:hAnsi="Arial" w:eastAsia="Arial" w:cs="Arial"/>
          <w:noProof w:val="0"/>
          <w:sz w:val="24"/>
          <w:szCs w:val="24"/>
          <w:lang w:val="en-GB"/>
        </w:rPr>
        <w:t xml:space="preserve">. London: Routledge, pp. 297–378. </w:t>
      </w:r>
      <w:hyperlink r:id="Re74b7d18856443e9">
        <w:r w:rsidRPr="697C21B5" w:rsidR="178A240A">
          <w:rPr>
            <w:rStyle w:val="Hyperlink"/>
            <w:rFonts w:ascii="Arial" w:hAnsi="Arial" w:eastAsia="Arial" w:cs="Arial"/>
            <w:noProof w:val="0"/>
            <w:sz w:val="24"/>
            <w:szCs w:val="24"/>
            <w:lang w:val="en-GB"/>
          </w:rPr>
          <w:t>https://doi.org/10.4324/9781003205784-11</w:t>
        </w:r>
      </w:hyperlink>
      <w:r w:rsidRPr="697C21B5" w:rsidR="178A240A">
        <w:rPr>
          <w:rFonts w:ascii="Arial" w:hAnsi="Arial" w:eastAsia="Arial" w:cs="Arial"/>
          <w:noProof w:val="0"/>
          <w:sz w:val="24"/>
          <w:szCs w:val="24"/>
          <w:lang w:val="en-GB"/>
        </w:rPr>
        <w:t>.</w:t>
      </w:r>
    </w:p>
    <w:p w:rsidR="178A240A" w:rsidP="697C21B5" w:rsidRDefault="178A240A" w14:paraId="1DEE9B12" w14:textId="7E022066">
      <w:pPr>
        <w:spacing w:before="240" w:beforeAutospacing="off" w:after="240" w:afterAutospacing="off"/>
      </w:pPr>
      <w:r w:rsidRPr="697C21B5" w:rsidR="178A240A">
        <w:rPr>
          <w:rFonts w:ascii="Arial" w:hAnsi="Arial" w:eastAsia="Arial" w:cs="Arial"/>
          <w:noProof w:val="0"/>
          <w:sz w:val="24"/>
          <w:szCs w:val="24"/>
          <w:lang w:val="en-GB"/>
        </w:rPr>
        <w:t xml:space="preserve">Lewis, B.C. (2026) </w:t>
      </w:r>
      <w:r w:rsidRPr="697C21B5" w:rsidR="178A240A">
        <w:rPr>
          <w:rFonts w:ascii="Arial" w:hAnsi="Arial" w:eastAsia="Arial" w:cs="Arial"/>
          <w:i w:val="1"/>
          <w:iCs w:val="1"/>
          <w:noProof w:val="0"/>
          <w:sz w:val="24"/>
          <w:szCs w:val="24"/>
          <w:lang w:val="en-GB"/>
        </w:rPr>
        <w:t>Duty to account and inform</w:t>
      </w:r>
      <w:r w:rsidRPr="697C21B5" w:rsidR="178A240A">
        <w:rPr>
          <w:rFonts w:ascii="Arial" w:hAnsi="Arial" w:eastAsia="Arial" w:cs="Arial"/>
          <w:noProof w:val="0"/>
          <w:sz w:val="24"/>
          <w:szCs w:val="24"/>
          <w:lang w:val="en-GB"/>
        </w:rPr>
        <w:t xml:space="preserve">. [online] Available at: </w:t>
      </w:r>
      <w:hyperlink r:id="R8c246441c29c4635">
        <w:r w:rsidRPr="697C21B5" w:rsidR="178A240A">
          <w:rPr>
            <w:rStyle w:val="Hyperlink"/>
            <w:rFonts w:ascii="Arial" w:hAnsi="Arial" w:eastAsia="Arial" w:cs="Arial"/>
            <w:noProof w:val="0"/>
            <w:sz w:val="24"/>
            <w:szCs w:val="24"/>
            <w:lang w:val="en-GB"/>
          </w:rPr>
          <w:t>https://lewislawoftrusts.lawbooks.cali.org/chapter/duty-to-account-and-inform</w:t>
        </w:r>
      </w:hyperlink>
      <w:r w:rsidRPr="697C21B5" w:rsidR="178A240A">
        <w:rPr>
          <w:rFonts w:ascii="Arial" w:hAnsi="Arial" w:eastAsia="Arial" w:cs="Arial"/>
          <w:noProof w:val="0"/>
          <w:sz w:val="24"/>
          <w:szCs w:val="24"/>
          <w:lang w:val="en-GB"/>
        </w:rPr>
        <w:t xml:space="preserve"> (Accessed: 5 March 2026).</w:t>
      </w:r>
    </w:p>
    <w:p w:rsidR="178A240A" w:rsidP="697C21B5" w:rsidRDefault="178A240A" w14:paraId="6314EF57" w14:textId="467C0B30">
      <w:pPr>
        <w:spacing w:before="240" w:beforeAutospacing="off" w:after="240" w:afterAutospacing="off"/>
      </w:pPr>
      <w:r w:rsidRPr="697C21B5" w:rsidR="178A240A">
        <w:rPr>
          <w:rFonts w:ascii="Arial" w:hAnsi="Arial" w:eastAsia="Arial" w:cs="Arial"/>
          <w:noProof w:val="0"/>
          <w:sz w:val="24"/>
          <w:szCs w:val="24"/>
          <w:lang w:val="en-GB"/>
        </w:rPr>
        <w:t xml:space="preserve">McCrae, R. (2023) ‘Access to the memorandum of wishes by a beneficiary of a discretionary trust—an analysis of the law in New Zealand’, </w:t>
      </w:r>
      <w:r w:rsidRPr="697C21B5" w:rsidR="178A240A">
        <w:rPr>
          <w:rFonts w:ascii="Arial" w:hAnsi="Arial" w:eastAsia="Arial" w:cs="Arial"/>
          <w:i w:val="1"/>
          <w:iCs w:val="1"/>
          <w:noProof w:val="0"/>
          <w:sz w:val="24"/>
          <w:szCs w:val="24"/>
          <w:lang w:val="en-GB"/>
        </w:rPr>
        <w:t>Trusts &amp; Trustees</w:t>
      </w:r>
      <w:r w:rsidRPr="697C21B5" w:rsidR="178A240A">
        <w:rPr>
          <w:rFonts w:ascii="Arial" w:hAnsi="Arial" w:eastAsia="Arial" w:cs="Arial"/>
          <w:noProof w:val="0"/>
          <w:sz w:val="24"/>
          <w:szCs w:val="24"/>
          <w:lang w:val="en-GB"/>
        </w:rPr>
        <w:t xml:space="preserve">, 29(1), pp. 43–61. </w:t>
      </w:r>
      <w:hyperlink r:id="R85b64005ce764c02">
        <w:r w:rsidRPr="697C21B5" w:rsidR="178A240A">
          <w:rPr>
            <w:rStyle w:val="Hyperlink"/>
            <w:rFonts w:ascii="Arial" w:hAnsi="Arial" w:eastAsia="Arial" w:cs="Arial"/>
            <w:noProof w:val="0"/>
            <w:sz w:val="24"/>
            <w:szCs w:val="24"/>
            <w:lang w:val="en-GB"/>
          </w:rPr>
          <w:t>https://doi.org/10.1093/tandt/ttac107</w:t>
        </w:r>
      </w:hyperlink>
      <w:r w:rsidRPr="697C21B5" w:rsidR="178A240A">
        <w:rPr>
          <w:rFonts w:ascii="Arial" w:hAnsi="Arial" w:eastAsia="Arial" w:cs="Arial"/>
          <w:noProof w:val="0"/>
          <w:sz w:val="24"/>
          <w:szCs w:val="24"/>
          <w:lang w:val="en-GB"/>
        </w:rPr>
        <w:t>.</w:t>
      </w:r>
    </w:p>
    <w:p w:rsidR="178A240A" w:rsidP="697C21B5" w:rsidRDefault="178A240A" w14:paraId="6D2BD2B8" w14:textId="7D7B9AF2">
      <w:pPr>
        <w:spacing w:before="240" w:beforeAutospacing="off" w:after="240" w:afterAutospacing="off"/>
      </w:pPr>
      <w:r w:rsidRPr="697C21B5" w:rsidR="178A240A">
        <w:rPr>
          <w:rFonts w:ascii="Arial" w:hAnsi="Arial" w:eastAsia="Arial" w:cs="Arial"/>
          <w:noProof w:val="0"/>
          <w:sz w:val="24"/>
          <w:szCs w:val="24"/>
          <w:lang w:val="en-GB"/>
        </w:rPr>
        <w:t xml:space="preserve">Penner, J.E. (2012) </w:t>
      </w:r>
      <w:r w:rsidRPr="697C21B5" w:rsidR="178A240A">
        <w:rPr>
          <w:rFonts w:ascii="Arial" w:hAnsi="Arial" w:eastAsia="Arial" w:cs="Arial"/>
          <w:i w:val="1"/>
          <w:iCs w:val="1"/>
          <w:noProof w:val="0"/>
          <w:sz w:val="24"/>
          <w:szCs w:val="24"/>
          <w:lang w:val="en-GB"/>
        </w:rPr>
        <w:t>The law of trusts</w:t>
      </w:r>
      <w:r w:rsidRPr="697C21B5" w:rsidR="178A240A">
        <w:rPr>
          <w:rFonts w:ascii="Arial" w:hAnsi="Arial" w:eastAsia="Arial" w:cs="Arial"/>
          <w:noProof w:val="0"/>
          <w:sz w:val="24"/>
          <w:szCs w:val="24"/>
          <w:lang w:val="en-GB"/>
        </w:rPr>
        <w:t>. 9th edn. Oxford: Oxford University Press.</w:t>
      </w:r>
    </w:p>
    <w:p w:rsidR="178A240A" w:rsidP="697C21B5" w:rsidRDefault="178A240A" w14:paraId="0458C738" w14:textId="771C6E1A">
      <w:pPr>
        <w:spacing w:before="240" w:beforeAutospacing="off" w:after="240" w:afterAutospacing="off"/>
      </w:pPr>
      <w:r w:rsidRPr="697C21B5" w:rsidR="178A240A">
        <w:rPr>
          <w:rFonts w:ascii="Arial" w:hAnsi="Arial" w:eastAsia="Arial" w:cs="Arial"/>
          <w:noProof w:val="0"/>
          <w:sz w:val="24"/>
          <w:szCs w:val="24"/>
          <w:lang w:val="en-GB"/>
        </w:rPr>
        <w:t xml:space="preserve">Smith, L. (2017) ‘Massively discretionary trusts’, </w:t>
      </w:r>
      <w:r w:rsidRPr="697C21B5" w:rsidR="178A240A">
        <w:rPr>
          <w:rFonts w:ascii="Arial" w:hAnsi="Arial" w:eastAsia="Arial" w:cs="Arial"/>
          <w:i w:val="1"/>
          <w:iCs w:val="1"/>
          <w:noProof w:val="0"/>
          <w:sz w:val="24"/>
          <w:szCs w:val="24"/>
          <w:lang w:val="en-GB"/>
        </w:rPr>
        <w:t>Current Legal Problems</w:t>
      </w:r>
      <w:r w:rsidRPr="697C21B5" w:rsidR="178A240A">
        <w:rPr>
          <w:rFonts w:ascii="Arial" w:hAnsi="Arial" w:eastAsia="Arial" w:cs="Arial"/>
          <w:noProof w:val="0"/>
          <w:sz w:val="24"/>
          <w:szCs w:val="24"/>
          <w:lang w:val="en-GB"/>
        </w:rPr>
        <w:t xml:space="preserve">, 70(1), pp. 17–54. </w:t>
      </w:r>
      <w:hyperlink r:id="R69b22c2a9bf24f23">
        <w:r w:rsidRPr="697C21B5" w:rsidR="178A240A">
          <w:rPr>
            <w:rStyle w:val="Hyperlink"/>
            <w:rFonts w:ascii="Arial" w:hAnsi="Arial" w:eastAsia="Arial" w:cs="Arial"/>
            <w:noProof w:val="0"/>
            <w:sz w:val="24"/>
            <w:szCs w:val="24"/>
            <w:lang w:val="en-GB"/>
          </w:rPr>
          <w:t>https://doi.org/10.1093/clp/cuw014</w:t>
        </w:r>
      </w:hyperlink>
      <w:r w:rsidRPr="697C21B5" w:rsidR="178A240A">
        <w:rPr>
          <w:rFonts w:ascii="Arial" w:hAnsi="Arial" w:eastAsia="Arial" w:cs="Arial"/>
          <w:noProof w:val="0"/>
          <w:sz w:val="24"/>
          <w:szCs w:val="24"/>
          <w:lang w:val="en-GB"/>
        </w:rPr>
        <w:t>.</w:t>
      </w:r>
    </w:p>
    <w:p w:rsidR="178A240A" w:rsidP="697C21B5" w:rsidRDefault="178A240A" w14:paraId="58F0B171" w14:textId="40FAD698">
      <w:pPr>
        <w:spacing w:before="240" w:beforeAutospacing="off" w:after="240" w:afterAutospacing="off"/>
      </w:pPr>
      <w:r w:rsidRPr="697C21B5" w:rsidR="178A240A">
        <w:rPr>
          <w:rFonts w:ascii="Arial" w:hAnsi="Arial" w:eastAsia="Arial" w:cs="Arial"/>
          <w:noProof w:val="0"/>
          <w:sz w:val="24"/>
          <w:szCs w:val="24"/>
          <w:lang w:val="en-GB"/>
        </w:rPr>
        <w:t xml:space="preserve">Tey, T.H. (2012) ‘Trustee’s duty of disclosure’, </w:t>
      </w:r>
      <w:r w:rsidRPr="697C21B5" w:rsidR="178A240A">
        <w:rPr>
          <w:rFonts w:ascii="Arial" w:hAnsi="Arial" w:eastAsia="Arial" w:cs="Arial"/>
          <w:i w:val="1"/>
          <w:iCs w:val="1"/>
          <w:noProof w:val="0"/>
          <w:sz w:val="24"/>
          <w:szCs w:val="24"/>
          <w:lang w:val="en-GB"/>
        </w:rPr>
        <w:t>Singapore Academy of Law Journal</w:t>
      </w:r>
      <w:r w:rsidRPr="697C21B5" w:rsidR="178A240A">
        <w:rPr>
          <w:rFonts w:ascii="Arial" w:hAnsi="Arial" w:eastAsia="Arial" w:cs="Arial"/>
          <w:noProof w:val="0"/>
          <w:sz w:val="24"/>
          <w:szCs w:val="24"/>
          <w:lang w:val="en-GB"/>
        </w:rPr>
        <w:t xml:space="preserve">, 24, pp. 191–222. Available at: </w:t>
      </w:r>
      <w:hyperlink r:id="Reb52a825b9fa4e31">
        <w:r w:rsidRPr="697C21B5" w:rsidR="178A240A">
          <w:rPr>
            <w:rStyle w:val="Hyperlink"/>
            <w:rFonts w:ascii="Arial" w:hAnsi="Arial" w:eastAsia="Arial" w:cs="Arial"/>
            <w:noProof w:val="0"/>
            <w:sz w:val="24"/>
            <w:szCs w:val="24"/>
            <w:lang w:val="en-GB"/>
          </w:rPr>
          <w:t>https://journalsonline.academypublishing.org.sg/Journals/Singapore-Academy-of-Law-Journal/e-Archive/ctl/eFirstSALPDFJournalView/mid/495/ArticleId/519/Citation/JournalsOnlinePDF</w:t>
        </w:r>
      </w:hyperlink>
      <w:r w:rsidRPr="697C21B5" w:rsidR="178A240A">
        <w:rPr>
          <w:rFonts w:ascii="Arial" w:hAnsi="Arial" w:eastAsia="Arial" w:cs="Arial"/>
          <w:noProof w:val="0"/>
          <w:sz w:val="24"/>
          <w:szCs w:val="24"/>
          <w:lang w:val="en-GB"/>
        </w:rPr>
        <w:t xml:space="preserve"> (Accessed: 9 March 2026).</w:t>
      </w:r>
    </w:p>
    <w:p w:rsidR="178A240A" w:rsidP="697C21B5" w:rsidRDefault="178A240A" w14:paraId="0FFB17EA" w14:textId="2F520DD2">
      <w:pPr>
        <w:spacing w:before="240" w:beforeAutospacing="off" w:after="240" w:afterAutospacing="off"/>
      </w:pPr>
      <w:r w:rsidRPr="697C21B5" w:rsidR="178A240A">
        <w:rPr>
          <w:rFonts w:ascii="Arial" w:hAnsi="Arial" w:eastAsia="Arial" w:cs="Arial"/>
          <w:noProof w:val="0"/>
          <w:sz w:val="24"/>
          <w:szCs w:val="24"/>
          <w:lang w:val="en-GB"/>
        </w:rPr>
        <w:t xml:space="preserve">The Trustee Handbook (2025) </w:t>
      </w:r>
      <w:r w:rsidRPr="697C21B5" w:rsidR="178A240A">
        <w:rPr>
          <w:rFonts w:ascii="Arial" w:hAnsi="Arial" w:eastAsia="Arial" w:cs="Arial"/>
          <w:i w:val="1"/>
          <w:iCs w:val="1"/>
          <w:noProof w:val="0"/>
          <w:sz w:val="24"/>
          <w:szCs w:val="24"/>
          <w:lang w:val="en-GB"/>
        </w:rPr>
        <w:t>The trustee’s duty to inform and account: why transparency matters in trust administration</w:t>
      </w:r>
      <w:r w:rsidRPr="697C21B5" w:rsidR="178A240A">
        <w:rPr>
          <w:rFonts w:ascii="Arial" w:hAnsi="Arial" w:eastAsia="Arial" w:cs="Arial"/>
          <w:noProof w:val="0"/>
          <w:sz w:val="24"/>
          <w:szCs w:val="24"/>
          <w:lang w:val="en-GB"/>
        </w:rPr>
        <w:t xml:space="preserve">. [online] Available at: </w:t>
      </w:r>
      <w:hyperlink r:id="Rd9202adf26c24be7">
        <w:r w:rsidRPr="697C21B5" w:rsidR="178A240A">
          <w:rPr>
            <w:rStyle w:val="Hyperlink"/>
            <w:rFonts w:ascii="Arial" w:hAnsi="Arial" w:eastAsia="Arial" w:cs="Arial"/>
            <w:noProof w:val="0"/>
            <w:sz w:val="24"/>
            <w:szCs w:val="24"/>
            <w:lang w:val="en-GB"/>
          </w:rPr>
          <w:t>https://www.trusteehandbook.com/post/the-trustee-s-duty-to-inform-and-account-why-transparency-matters-in-trust-administration</w:t>
        </w:r>
      </w:hyperlink>
      <w:r w:rsidRPr="697C21B5" w:rsidR="178A240A">
        <w:rPr>
          <w:rFonts w:ascii="Arial" w:hAnsi="Arial" w:eastAsia="Arial" w:cs="Arial"/>
          <w:noProof w:val="0"/>
          <w:sz w:val="24"/>
          <w:szCs w:val="24"/>
          <w:lang w:val="en-GB"/>
        </w:rPr>
        <w:t xml:space="preserve"> (Accessed: 2 March 2026).</w:t>
      </w:r>
    </w:p>
    <w:p w:rsidR="178A240A" w:rsidP="697C21B5" w:rsidRDefault="178A240A" w14:paraId="5792432C" w14:textId="37243FB0">
      <w:pPr>
        <w:spacing w:before="240" w:beforeAutospacing="off" w:after="240" w:afterAutospacing="off"/>
      </w:pPr>
      <w:r w:rsidRPr="697C21B5" w:rsidR="178A240A">
        <w:rPr>
          <w:rFonts w:ascii="Arial" w:hAnsi="Arial" w:eastAsia="Arial" w:cs="Arial"/>
          <w:noProof w:val="0"/>
          <w:sz w:val="24"/>
          <w:szCs w:val="24"/>
          <w:lang w:val="en-GB"/>
        </w:rPr>
        <w:t xml:space="preserve">Virgo, G. (2020) </w:t>
      </w:r>
      <w:r w:rsidRPr="697C21B5" w:rsidR="178A240A">
        <w:rPr>
          <w:rFonts w:ascii="Arial" w:hAnsi="Arial" w:eastAsia="Arial" w:cs="Arial"/>
          <w:i w:val="1"/>
          <w:iCs w:val="1"/>
          <w:noProof w:val="0"/>
          <w:sz w:val="24"/>
          <w:szCs w:val="24"/>
          <w:lang w:val="en-GB"/>
        </w:rPr>
        <w:t>The principles of equity and trusts</w:t>
      </w:r>
      <w:r w:rsidRPr="697C21B5" w:rsidR="178A240A">
        <w:rPr>
          <w:rFonts w:ascii="Arial" w:hAnsi="Arial" w:eastAsia="Arial" w:cs="Arial"/>
          <w:noProof w:val="0"/>
          <w:sz w:val="24"/>
          <w:szCs w:val="24"/>
          <w:lang w:val="en-GB"/>
        </w:rPr>
        <w:t>. 4th edn. Oxford: Oxford University Press.</w:t>
      </w:r>
    </w:p>
    <w:p w:rsidR="178A240A" w:rsidP="697C21B5" w:rsidRDefault="178A240A" w14:paraId="21022759" w14:textId="5AC07D5F">
      <w:pPr>
        <w:spacing w:before="240" w:beforeAutospacing="off" w:after="240" w:afterAutospacing="off"/>
      </w:pPr>
      <w:r w:rsidRPr="697C21B5" w:rsidR="178A240A">
        <w:rPr>
          <w:rFonts w:ascii="Arial" w:hAnsi="Arial" w:eastAsia="Arial" w:cs="Arial"/>
          <w:noProof w:val="0"/>
          <w:sz w:val="24"/>
          <w:szCs w:val="24"/>
          <w:lang w:val="en-GB"/>
        </w:rPr>
        <w:t xml:space="preserve">Walls, A. (2018) </w:t>
      </w:r>
      <w:r w:rsidRPr="697C21B5" w:rsidR="178A240A">
        <w:rPr>
          <w:rFonts w:ascii="Arial" w:hAnsi="Arial" w:eastAsia="Arial" w:cs="Arial"/>
          <w:i w:val="1"/>
          <w:iCs w:val="1"/>
          <w:noProof w:val="0"/>
          <w:sz w:val="24"/>
          <w:szCs w:val="24"/>
          <w:lang w:val="en-GB"/>
        </w:rPr>
        <w:t>Rights of beneficiaries: access to trust information</w:t>
      </w:r>
      <w:r w:rsidRPr="697C21B5" w:rsidR="178A240A">
        <w:rPr>
          <w:rFonts w:ascii="Arial" w:hAnsi="Arial" w:eastAsia="Arial" w:cs="Arial"/>
          <w:noProof w:val="0"/>
          <w:sz w:val="24"/>
          <w:szCs w:val="24"/>
          <w:lang w:val="en-GB"/>
        </w:rPr>
        <w:t xml:space="preserve">. [online] Available at: </w:t>
      </w:r>
      <w:hyperlink r:id="R5f56d4f0903943c8">
        <w:r w:rsidRPr="697C21B5" w:rsidR="178A240A">
          <w:rPr>
            <w:rStyle w:val="Hyperlink"/>
            <w:rFonts w:ascii="Arial" w:hAnsi="Arial" w:eastAsia="Arial" w:cs="Arial"/>
            <w:noProof w:val="0"/>
            <w:sz w:val="24"/>
            <w:szCs w:val="24"/>
            <w:lang w:val="en-GB"/>
          </w:rPr>
          <w:t>https://www.lexology.com/library/detail.aspx?g=8f59f6bd-a111-4050-98f1-ba2f94a78cc2</w:t>
        </w:r>
      </w:hyperlink>
      <w:r w:rsidRPr="697C21B5" w:rsidR="178A240A">
        <w:rPr>
          <w:rFonts w:ascii="Arial" w:hAnsi="Arial" w:eastAsia="Arial" w:cs="Arial"/>
          <w:noProof w:val="0"/>
          <w:sz w:val="24"/>
          <w:szCs w:val="24"/>
          <w:lang w:val="en-GB"/>
        </w:rPr>
        <w:t xml:space="preserve"> (Accessed: 4 March 2026).</w:t>
      </w:r>
    </w:p>
    <w:p w:rsidR="697C21B5" w:rsidP="697C21B5" w:rsidRDefault="697C21B5" w14:paraId="79371397" w14:textId="4E50C259">
      <w:pPr>
        <w:pStyle w:val="Normal"/>
      </w:pPr>
    </w:p>
    <w:p w:rsidR="5625F624" w:rsidP="697C21B5" w:rsidRDefault="5625F624" w14:paraId="25EDBF79" w14:textId="376C8395">
      <w:pPr>
        <w:spacing w:before="240" w:beforeAutospacing="off" w:after="240" w:afterAutospacing="off"/>
        <w:rPr>
          <w:rFonts w:ascii="Arial" w:hAnsi="Arial" w:eastAsia="Arial" w:cs="Arial"/>
          <w:b w:val="1"/>
          <w:bCs w:val="1"/>
          <w:noProof w:val="0"/>
          <w:sz w:val="24"/>
          <w:szCs w:val="24"/>
          <w:lang w:val="en-GB"/>
        </w:rPr>
      </w:pPr>
      <w:r w:rsidRPr="697C21B5" w:rsidR="5625F624">
        <w:rPr>
          <w:rFonts w:ascii="Arial" w:hAnsi="Arial" w:eastAsia="Arial" w:cs="Arial"/>
          <w:b w:val="1"/>
          <w:bCs w:val="1"/>
          <w:noProof w:val="0"/>
          <w:sz w:val="24"/>
          <w:szCs w:val="24"/>
          <w:lang w:val="en-GB"/>
        </w:rPr>
        <w:t>Case Law:</w:t>
      </w:r>
    </w:p>
    <w:p w:rsidR="5625F624" w:rsidP="697C21B5" w:rsidRDefault="5625F624" w14:paraId="563B8919" w14:textId="0EC9A561">
      <w:pPr>
        <w:spacing w:before="240" w:beforeAutospacing="off" w:after="240" w:afterAutospacing="off"/>
      </w:pPr>
      <w:r w:rsidRPr="697C21B5" w:rsidR="5625F624">
        <w:rPr>
          <w:rFonts w:ascii="Arial" w:hAnsi="Arial" w:eastAsia="Arial" w:cs="Arial"/>
          <w:i w:val="1"/>
          <w:iCs w:val="1"/>
          <w:noProof w:val="0"/>
          <w:sz w:val="24"/>
          <w:szCs w:val="24"/>
          <w:lang w:val="en-GB"/>
        </w:rPr>
        <w:t>Breakspear v Ackland</w:t>
      </w:r>
      <w:r w:rsidRPr="697C21B5" w:rsidR="5625F624">
        <w:rPr>
          <w:rFonts w:ascii="Arial" w:hAnsi="Arial" w:eastAsia="Arial" w:cs="Arial"/>
          <w:noProof w:val="0"/>
          <w:sz w:val="24"/>
          <w:szCs w:val="24"/>
          <w:lang w:val="en-GB"/>
        </w:rPr>
        <w:t xml:space="preserve"> [2008] EWHC 220 (Ch).</w:t>
      </w:r>
    </w:p>
    <w:p w:rsidR="344B3B02" w:rsidP="697C21B5" w:rsidRDefault="344B3B02" w14:paraId="217703A0" w14:textId="0D3B4C07">
      <w:pPr>
        <w:spacing w:before="240" w:beforeAutospacing="off" w:after="240" w:afterAutospacing="off"/>
      </w:pPr>
      <w:r w:rsidRPr="697C21B5" w:rsidR="344B3B02">
        <w:rPr>
          <w:rFonts w:ascii="Arial" w:hAnsi="Arial" w:eastAsia="Arial" w:cs="Arial"/>
          <w:i w:val="1"/>
          <w:iCs w:val="1"/>
          <w:noProof w:val="0"/>
          <w:sz w:val="24"/>
          <w:szCs w:val="24"/>
          <w:lang w:val="en-GB"/>
        </w:rPr>
        <w:t xml:space="preserve">Lewis v Tamplin  [2018] EWHC 777 (Ch) </w:t>
      </w:r>
    </w:p>
    <w:p w:rsidR="5625F624" w:rsidP="697C21B5" w:rsidRDefault="5625F624" w14:paraId="162CE2B9" w14:textId="3C54076C">
      <w:pPr>
        <w:spacing w:before="240" w:beforeAutospacing="off" w:after="240" w:afterAutospacing="off"/>
        <w:rPr>
          <w:rFonts w:ascii="Arial" w:hAnsi="Arial" w:eastAsia="Arial" w:cs="Arial"/>
          <w:noProof w:val="0"/>
          <w:sz w:val="24"/>
          <w:szCs w:val="24"/>
          <w:lang w:val="en-GB"/>
        </w:rPr>
      </w:pPr>
      <w:r w:rsidRPr="697C21B5" w:rsidR="5625F624">
        <w:rPr>
          <w:rFonts w:ascii="Arial" w:hAnsi="Arial" w:eastAsia="Arial" w:cs="Arial"/>
          <w:i w:val="1"/>
          <w:iCs w:val="1"/>
          <w:noProof w:val="0"/>
          <w:sz w:val="24"/>
          <w:szCs w:val="24"/>
          <w:lang w:val="en-GB"/>
        </w:rPr>
        <w:t xml:space="preserve">O’Rourke v </w:t>
      </w:r>
      <w:r w:rsidRPr="697C21B5" w:rsidR="5625F624">
        <w:rPr>
          <w:rFonts w:ascii="Arial" w:hAnsi="Arial" w:eastAsia="Arial" w:cs="Arial"/>
          <w:i w:val="1"/>
          <w:iCs w:val="1"/>
          <w:noProof w:val="0"/>
          <w:sz w:val="24"/>
          <w:szCs w:val="24"/>
          <w:lang w:val="en-GB"/>
        </w:rPr>
        <w:t>Darbishire</w:t>
      </w:r>
      <w:r w:rsidRPr="697C21B5" w:rsidR="5625F624">
        <w:rPr>
          <w:rFonts w:ascii="Arial" w:hAnsi="Arial" w:eastAsia="Arial" w:cs="Arial"/>
          <w:noProof w:val="0"/>
          <w:sz w:val="24"/>
          <w:szCs w:val="24"/>
          <w:lang w:val="en-GB"/>
        </w:rPr>
        <w:t xml:space="preserve"> [1920] AC 581</w:t>
      </w:r>
      <w:r w:rsidRPr="697C21B5" w:rsidR="7D188BAF">
        <w:rPr>
          <w:rFonts w:ascii="Arial" w:hAnsi="Arial" w:eastAsia="Arial" w:cs="Arial"/>
          <w:noProof w:val="0"/>
          <w:sz w:val="24"/>
          <w:szCs w:val="24"/>
          <w:lang w:val="en-GB"/>
        </w:rPr>
        <w:t>.</w:t>
      </w:r>
    </w:p>
    <w:p w:rsidR="5625F624" w:rsidP="697C21B5" w:rsidRDefault="5625F624" w14:paraId="2D745019" w14:textId="00D0525E">
      <w:pPr>
        <w:spacing w:before="240" w:beforeAutospacing="off" w:after="240" w:afterAutospacing="off"/>
      </w:pPr>
      <w:r w:rsidRPr="697C21B5" w:rsidR="5625F624">
        <w:rPr>
          <w:rFonts w:ascii="Arial" w:hAnsi="Arial" w:eastAsia="Arial" w:cs="Arial"/>
          <w:i w:val="1"/>
          <w:iCs w:val="1"/>
          <w:noProof w:val="0"/>
          <w:sz w:val="24"/>
          <w:szCs w:val="24"/>
          <w:lang w:val="en-GB"/>
        </w:rPr>
        <w:t>Re Boston’s Settlement</w:t>
      </w:r>
      <w:r w:rsidRPr="697C21B5" w:rsidR="5625F624">
        <w:rPr>
          <w:rFonts w:ascii="Arial" w:hAnsi="Arial" w:eastAsia="Arial" w:cs="Arial"/>
          <w:noProof w:val="0"/>
          <w:sz w:val="24"/>
          <w:szCs w:val="24"/>
          <w:lang w:val="en-GB"/>
        </w:rPr>
        <w:t xml:space="preserve"> [1987] 1 WLR 1.</w:t>
      </w:r>
    </w:p>
    <w:p w:rsidR="5625F624" w:rsidP="697C21B5" w:rsidRDefault="5625F624" w14:paraId="5FE14090" w14:textId="16F61117">
      <w:pPr>
        <w:spacing w:before="240" w:beforeAutospacing="off" w:after="240" w:afterAutospacing="off"/>
      </w:pPr>
      <w:r w:rsidRPr="697C21B5" w:rsidR="5625F624">
        <w:rPr>
          <w:rFonts w:ascii="Arial" w:hAnsi="Arial" w:eastAsia="Arial" w:cs="Arial"/>
          <w:i w:val="1"/>
          <w:iCs w:val="1"/>
          <w:noProof w:val="0"/>
          <w:sz w:val="24"/>
          <w:szCs w:val="24"/>
          <w:lang w:val="en-GB"/>
        </w:rPr>
        <w:t>Re Londonderry’s Settlement</w:t>
      </w:r>
      <w:r w:rsidRPr="697C21B5" w:rsidR="5625F624">
        <w:rPr>
          <w:rFonts w:ascii="Arial" w:hAnsi="Arial" w:eastAsia="Arial" w:cs="Arial"/>
          <w:noProof w:val="0"/>
          <w:sz w:val="24"/>
          <w:szCs w:val="24"/>
          <w:lang w:val="en-GB"/>
        </w:rPr>
        <w:t xml:space="preserve"> [1965] Ch 918 .</w:t>
      </w:r>
    </w:p>
    <w:p w:rsidR="5625F624" w:rsidP="697C21B5" w:rsidRDefault="5625F624" w14:paraId="2213CC5F" w14:textId="379CFEA8">
      <w:pPr>
        <w:spacing w:before="240" w:beforeAutospacing="off" w:after="240" w:afterAutospacing="off"/>
      </w:pPr>
      <w:r w:rsidRPr="697C21B5" w:rsidR="5625F624">
        <w:rPr>
          <w:rFonts w:ascii="Arial" w:hAnsi="Arial" w:eastAsia="Arial" w:cs="Arial"/>
          <w:i w:val="1"/>
          <w:iCs w:val="1"/>
          <w:noProof w:val="0"/>
          <w:sz w:val="24"/>
          <w:szCs w:val="24"/>
          <w:lang w:val="en-GB"/>
        </w:rPr>
        <w:t>Schmidt v Rosewood Trust Ltd</w:t>
      </w:r>
      <w:r w:rsidRPr="697C21B5" w:rsidR="5625F624">
        <w:rPr>
          <w:rFonts w:ascii="Arial" w:hAnsi="Arial" w:eastAsia="Arial" w:cs="Arial"/>
          <w:noProof w:val="0"/>
          <w:sz w:val="24"/>
          <w:szCs w:val="24"/>
          <w:lang w:val="en-GB"/>
        </w:rPr>
        <w:t xml:space="preserve"> [2003] UKPC 26.</w:t>
      </w:r>
    </w:p>
    <w:p w:rsidR="697C21B5" w:rsidRDefault="697C21B5" w14:paraId="5C64FCF3" w14:textId="404DC85C"/>
    <w:p w:rsidR="5625F624" w:rsidP="697C21B5" w:rsidRDefault="5625F624" w14:paraId="6E132751" w14:textId="1F804107">
      <w:pPr>
        <w:spacing w:before="240" w:beforeAutospacing="off" w:after="240" w:afterAutospacing="off"/>
        <w:rPr>
          <w:rFonts w:ascii="Arial" w:hAnsi="Arial" w:eastAsia="Arial" w:cs="Arial"/>
          <w:b w:val="1"/>
          <w:bCs w:val="1"/>
          <w:noProof w:val="0"/>
          <w:sz w:val="24"/>
          <w:szCs w:val="24"/>
          <w:lang w:val="en-GB"/>
        </w:rPr>
      </w:pPr>
      <w:r w:rsidRPr="697C21B5" w:rsidR="5625F624">
        <w:rPr>
          <w:rFonts w:ascii="Arial" w:hAnsi="Arial" w:eastAsia="Arial" w:cs="Arial"/>
          <w:b w:val="1"/>
          <w:bCs w:val="1"/>
          <w:noProof w:val="0"/>
          <w:sz w:val="24"/>
          <w:szCs w:val="24"/>
          <w:lang w:val="en-GB"/>
        </w:rPr>
        <w:t>Legislation:</w:t>
      </w:r>
    </w:p>
    <w:p w:rsidR="5625F624" w:rsidP="697C21B5" w:rsidRDefault="5625F624" w14:paraId="37032C19" w14:textId="6C8D3327">
      <w:pPr>
        <w:spacing w:before="240" w:beforeAutospacing="off" w:after="240" w:afterAutospacing="off"/>
      </w:pPr>
      <w:r w:rsidRPr="697C21B5" w:rsidR="5625F624">
        <w:rPr>
          <w:rFonts w:ascii="Arial" w:hAnsi="Arial" w:eastAsia="Arial" w:cs="Arial"/>
          <w:i w:val="1"/>
          <w:iCs w:val="1"/>
          <w:noProof w:val="0"/>
          <w:sz w:val="24"/>
          <w:szCs w:val="24"/>
          <w:lang w:val="en-GB"/>
        </w:rPr>
        <w:t>Trustee Act 2000</w:t>
      </w:r>
      <w:r w:rsidRPr="697C21B5" w:rsidR="5625F624">
        <w:rPr>
          <w:rFonts w:ascii="Arial" w:hAnsi="Arial" w:eastAsia="Arial" w:cs="Arial"/>
          <w:noProof w:val="0"/>
          <w:sz w:val="24"/>
          <w:szCs w:val="24"/>
          <w:lang w:val="en-GB"/>
        </w:rPr>
        <w:t>.</w:t>
      </w:r>
    </w:p>
    <w:p w:rsidR="697C21B5" w:rsidP="697C21B5" w:rsidRDefault="697C21B5" w14:paraId="5E0E741A" w14:textId="2BA6CDB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MueCrugSGBRgx" int2:id="p35TZbdy">
      <int2:state int2:type="spell" int2:value="Rejected"/>
    </int2:textHash>
    <int2:textHash int2:hashCode="pCc2XtyMsvzoLx" int2:id="ZMdQseA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65d83f8"/>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cd9ecf"/>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90e7c2f"/>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93920c"/>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907de41"/>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137175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1b9f603"/>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1144a6"/>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d34abfc"/>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4931045"/>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23d3e4"/>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d2d5da"/>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8d7ce2c"/>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DE4BAE"/>
    <w:rsid w:val="00215051"/>
    <w:rsid w:val="003CE990"/>
    <w:rsid w:val="0042E61E"/>
    <w:rsid w:val="00612663"/>
    <w:rsid w:val="01170FE3"/>
    <w:rsid w:val="0193808B"/>
    <w:rsid w:val="01BE741E"/>
    <w:rsid w:val="02305615"/>
    <w:rsid w:val="02AAAF8F"/>
    <w:rsid w:val="02E715B5"/>
    <w:rsid w:val="03EDE6F9"/>
    <w:rsid w:val="040B39B3"/>
    <w:rsid w:val="0476328C"/>
    <w:rsid w:val="04883270"/>
    <w:rsid w:val="05257941"/>
    <w:rsid w:val="053D9A81"/>
    <w:rsid w:val="055B901E"/>
    <w:rsid w:val="05D0633E"/>
    <w:rsid w:val="064D58C9"/>
    <w:rsid w:val="06817DDD"/>
    <w:rsid w:val="06B0C449"/>
    <w:rsid w:val="06EFC9AE"/>
    <w:rsid w:val="07966C16"/>
    <w:rsid w:val="07BA0050"/>
    <w:rsid w:val="07C72F57"/>
    <w:rsid w:val="08B2BAF9"/>
    <w:rsid w:val="08F1847B"/>
    <w:rsid w:val="09A6A79B"/>
    <w:rsid w:val="0A52494A"/>
    <w:rsid w:val="0A992BD0"/>
    <w:rsid w:val="0ACFD119"/>
    <w:rsid w:val="0B8E5BA9"/>
    <w:rsid w:val="0C29F601"/>
    <w:rsid w:val="0D0C0404"/>
    <w:rsid w:val="0D1D2FC3"/>
    <w:rsid w:val="0D7204D9"/>
    <w:rsid w:val="0D7C1BFC"/>
    <w:rsid w:val="0E4D9E11"/>
    <w:rsid w:val="0E88FFF2"/>
    <w:rsid w:val="0F10CA79"/>
    <w:rsid w:val="0FA9ABEA"/>
    <w:rsid w:val="1077F84C"/>
    <w:rsid w:val="10B5E67A"/>
    <w:rsid w:val="11482BF4"/>
    <w:rsid w:val="125DF4EA"/>
    <w:rsid w:val="12AF7035"/>
    <w:rsid w:val="13469E6B"/>
    <w:rsid w:val="13FCBF2D"/>
    <w:rsid w:val="14A2E6DC"/>
    <w:rsid w:val="1565F946"/>
    <w:rsid w:val="156BDF9D"/>
    <w:rsid w:val="15F5877E"/>
    <w:rsid w:val="1603B453"/>
    <w:rsid w:val="1759E81D"/>
    <w:rsid w:val="176F0844"/>
    <w:rsid w:val="178A240A"/>
    <w:rsid w:val="17B7A5C6"/>
    <w:rsid w:val="189DBE74"/>
    <w:rsid w:val="1928CC00"/>
    <w:rsid w:val="1937AE83"/>
    <w:rsid w:val="19833C0E"/>
    <w:rsid w:val="1AA622E6"/>
    <w:rsid w:val="1AC4E7AF"/>
    <w:rsid w:val="1B1C9813"/>
    <w:rsid w:val="1B966F0E"/>
    <w:rsid w:val="1B97712F"/>
    <w:rsid w:val="1C1F5DF2"/>
    <w:rsid w:val="1C2F7F14"/>
    <w:rsid w:val="1C7A32AB"/>
    <w:rsid w:val="1CA32919"/>
    <w:rsid w:val="1D7079E7"/>
    <w:rsid w:val="1E4188D2"/>
    <w:rsid w:val="1E47D920"/>
    <w:rsid w:val="1E60B917"/>
    <w:rsid w:val="1EBEA3B8"/>
    <w:rsid w:val="2013A65A"/>
    <w:rsid w:val="210128FD"/>
    <w:rsid w:val="211F4897"/>
    <w:rsid w:val="21510F41"/>
    <w:rsid w:val="220416D0"/>
    <w:rsid w:val="22684225"/>
    <w:rsid w:val="22956FD4"/>
    <w:rsid w:val="22C196BB"/>
    <w:rsid w:val="22C63739"/>
    <w:rsid w:val="23112487"/>
    <w:rsid w:val="23204042"/>
    <w:rsid w:val="2359036B"/>
    <w:rsid w:val="2421E2CB"/>
    <w:rsid w:val="24320EA7"/>
    <w:rsid w:val="24756B94"/>
    <w:rsid w:val="253C55C5"/>
    <w:rsid w:val="258F620A"/>
    <w:rsid w:val="25F36562"/>
    <w:rsid w:val="260E1260"/>
    <w:rsid w:val="265F082F"/>
    <w:rsid w:val="266F72CD"/>
    <w:rsid w:val="2681439F"/>
    <w:rsid w:val="269EF96C"/>
    <w:rsid w:val="26D69749"/>
    <w:rsid w:val="27BB4000"/>
    <w:rsid w:val="27D2CB07"/>
    <w:rsid w:val="27F3E7FF"/>
    <w:rsid w:val="2812DAFF"/>
    <w:rsid w:val="2853401D"/>
    <w:rsid w:val="286D3B93"/>
    <w:rsid w:val="2899753F"/>
    <w:rsid w:val="29346820"/>
    <w:rsid w:val="29C6FE8A"/>
    <w:rsid w:val="2A67CD0B"/>
    <w:rsid w:val="2A9BA618"/>
    <w:rsid w:val="2AB6B46D"/>
    <w:rsid w:val="2B81A2BE"/>
    <w:rsid w:val="2C5E558B"/>
    <w:rsid w:val="2C6A6BE3"/>
    <w:rsid w:val="2C7263B6"/>
    <w:rsid w:val="2C83A5B2"/>
    <w:rsid w:val="2E2612DB"/>
    <w:rsid w:val="2E5502A7"/>
    <w:rsid w:val="2F866723"/>
    <w:rsid w:val="2FBC55BE"/>
    <w:rsid w:val="305BA69C"/>
    <w:rsid w:val="3076DE25"/>
    <w:rsid w:val="30A4641F"/>
    <w:rsid w:val="30F24ACF"/>
    <w:rsid w:val="31813201"/>
    <w:rsid w:val="325C0CB1"/>
    <w:rsid w:val="325D7E43"/>
    <w:rsid w:val="33918390"/>
    <w:rsid w:val="34212A07"/>
    <w:rsid w:val="344B3B02"/>
    <w:rsid w:val="34899437"/>
    <w:rsid w:val="34D19E0C"/>
    <w:rsid w:val="350D3D99"/>
    <w:rsid w:val="353466BD"/>
    <w:rsid w:val="357048F1"/>
    <w:rsid w:val="361F4524"/>
    <w:rsid w:val="3646AA46"/>
    <w:rsid w:val="375AD268"/>
    <w:rsid w:val="38501946"/>
    <w:rsid w:val="389AA17D"/>
    <w:rsid w:val="38A8F298"/>
    <w:rsid w:val="396FD7DA"/>
    <w:rsid w:val="3AB9CEE4"/>
    <w:rsid w:val="3AF40CB0"/>
    <w:rsid w:val="3BBE61E2"/>
    <w:rsid w:val="3BD22F71"/>
    <w:rsid w:val="3C7C45A1"/>
    <w:rsid w:val="3CA79880"/>
    <w:rsid w:val="3CB95B3F"/>
    <w:rsid w:val="3CD0AA4F"/>
    <w:rsid w:val="3D12689B"/>
    <w:rsid w:val="3D154064"/>
    <w:rsid w:val="3D672213"/>
    <w:rsid w:val="3D7BF6C5"/>
    <w:rsid w:val="3D7FB42A"/>
    <w:rsid w:val="3E228CAF"/>
    <w:rsid w:val="3E564B03"/>
    <w:rsid w:val="3E97F0EE"/>
    <w:rsid w:val="3EB35B3F"/>
    <w:rsid w:val="3ED1AFE7"/>
    <w:rsid w:val="3EE2564D"/>
    <w:rsid w:val="3F505348"/>
    <w:rsid w:val="3FAD48E3"/>
    <w:rsid w:val="402A09C2"/>
    <w:rsid w:val="402C462E"/>
    <w:rsid w:val="4031B3B0"/>
    <w:rsid w:val="4036EF8D"/>
    <w:rsid w:val="4084CCDB"/>
    <w:rsid w:val="40F7D269"/>
    <w:rsid w:val="4102AFD7"/>
    <w:rsid w:val="411024BC"/>
    <w:rsid w:val="428668EC"/>
    <w:rsid w:val="4318E192"/>
    <w:rsid w:val="43761BDA"/>
    <w:rsid w:val="43F2F152"/>
    <w:rsid w:val="44BD9326"/>
    <w:rsid w:val="45C687E6"/>
    <w:rsid w:val="460CFBEA"/>
    <w:rsid w:val="467E3857"/>
    <w:rsid w:val="4695D908"/>
    <w:rsid w:val="46BB7E3A"/>
    <w:rsid w:val="46F69962"/>
    <w:rsid w:val="47876B0E"/>
    <w:rsid w:val="478FC70F"/>
    <w:rsid w:val="47A73821"/>
    <w:rsid w:val="47B622CB"/>
    <w:rsid w:val="47DEEC74"/>
    <w:rsid w:val="47F584F7"/>
    <w:rsid w:val="48F633C5"/>
    <w:rsid w:val="49564BDE"/>
    <w:rsid w:val="499473CF"/>
    <w:rsid w:val="49D7F49B"/>
    <w:rsid w:val="4A123268"/>
    <w:rsid w:val="4A1FB22C"/>
    <w:rsid w:val="4A2C30BA"/>
    <w:rsid w:val="4A487049"/>
    <w:rsid w:val="4AC7D550"/>
    <w:rsid w:val="4AEC80A8"/>
    <w:rsid w:val="4B8DBCBF"/>
    <w:rsid w:val="4B96C12D"/>
    <w:rsid w:val="4BB9EFF0"/>
    <w:rsid w:val="4C1F2590"/>
    <w:rsid w:val="4C20B9A8"/>
    <w:rsid w:val="4C9F873A"/>
    <w:rsid w:val="4CA04D6C"/>
    <w:rsid w:val="4CBC022B"/>
    <w:rsid w:val="4DDE4BAE"/>
    <w:rsid w:val="4DFEF111"/>
    <w:rsid w:val="4E9D7EBD"/>
    <w:rsid w:val="4ED51BC0"/>
    <w:rsid w:val="4ED651FD"/>
    <w:rsid w:val="4EFE0DD6"/>
    <w:rsid w:val="4F0E9F6D"/>
    <w:rsid w:val="4F31E337"/>
    <w:rsid w:val="4F9620B8"/>
    <w:rsid w:val="4F971824"/>
    <w:rsid w:val="5057AFE4"/>
    <w:rsid w:val="507F3A15"/>
    <w:rsid w:val="50D5CD88"/>
    <w:rsid w:val="5111947B"/>
    <w:rsid w:val="5179FF66"/>
    <w:rsid w:val="52648529"/>
    <w:rsid w:val="5335B127"/>
    <w:rsid w:val="536EE3A1"/>
    <w:rsid w:val="53FAD33B"/>
    <w:rsid w:val="54B8909E"/>
    <w:rsid w:val="55236CB2"/>
    <w:rsid w:val="55415224"/>
    <w:rsid w:val="55948F27"/>
    <w:rsid w:val="55D6CF19"/>
    <w:rsid w:val="5625F624"/>
    <w:rsid w:val="5656D263"/>
    <w:rsid w:val="567AB01E"/>
    <w:rsid w:val="56E8249B"/>
    <w:rsid w:val="5767AB52"/>
    <w:rsid w:val="58222855"/>
    <w:rsid w:val="59C05F1C"/>
    <w:rsid w:val="5ADBF8A4"/>
    <w:rsid w:val="5B9E5555"/>
    <w:rsid w:val="5BBB775C"/>
    <w:rsid w:val="5BD81A57"/>
    <w:rsid w:val="5C4CF612"/>
    <w:rsid w:val="5DC8043F"/>
    <w:rsid w:val="5E3461A5"/>
    <w:rsid w:val="5E5D2B35"/>
    <w:rsid w:val="5E702560"/>
    <w:rsid w:val="5EA6C20E"/>
    <w:rsid w:val="5EF1B471"/>
    <w:rsid w:val="5FFD0A41"/>
    <w:rsid w:val="602FC72E"/>
    <w:rsid w:val="6037C54F"/>
    <w:rsid w:val="606A6900"/>
    <w:rsid w:val="60AB456A"/>
    <w:rsid w:val="6107B3C6"/>
    <w:rsid w:val="62A16B06"/>
    <w:rsid w:val="62A274B4"/>
    <w:rsid w:val="62F0FB6F"/>
    <w:rsid w:val="63568F53"/>
    <w:rsid w:val="6362442E"/>
    <w:rsid w:val="6370922C"/>
    <w:rsid w:val="6372C16D"/>
    <w:rsid w:val="63791F83"/>
    <w:rsid w:val="639DAFCA"/>
    <w:rsid w:val="63B7CEF1"/>
    <w:rsid w:val="63EE425B"/>
    <w:rsid w:val="641AB84D"/>
    <w:rsid w:val="64FD034B"/>
    <w:rsid w:val="64FF15F7"/>
    <w:rsid w:val="6539DBBF"/>
    <w:rsid w:val="65879DCB"/>
    <w:rsid w:val="65D75F0B"/>
    <w:rsid w:val="664C32AF"/>
    <w:rsid w:val="669FC0B5"/>
    <w:rsid w:val="66A370C6"/>
    <w:rsid w:val="6702F7F5"/>
    <w:rsid w:val="6714F167"/>
    <w:rsid w:val="6752E66B"/>
    <w:rsid w:val="681F6F76"/>
    <w:rsid w:val="682AD20D"/>
    <w:rsid w:val="68C60708"/>
    <w:rsid w:val="68EB32D6"/>
    <w:rsid w:val="6960FF3D"/>
    <w:rsid w:val="697C21B5"/>
    <w:rsid w:val="698D03D5"/>
    <w:rsid w:val="6A198250"/>
    <w:rsid w:val="6AD22C24"/>
    <w:rsid w:val="6BAA90B2"/>
    <w:rsid w:val="6C28B571"/>
    <w:rsid w:val="6C4006BC"/>
    <w:rsid w:val="6D1BBA90"/>
    <w:rsid w:val="6D56528E"/>
    <w:rsid w:val="6D942064"/>
    <w:rsid w:val="6DB1F0EC"/>
    <w:rsid w:val="6DED04BC"/>
    <w:rsid w:val="6DF82722"/>
    <w:rsid w:val="6E12214D"/>
    <w:rsid w:val="6E723413"/>
    <w:rsid w:val="6EE47B1B"/>
    <w:rsid w:val="6F6B161A"/>
    <w:rsid w:val="6F7F48B7"/>
    <w:rsid w:val="6FE5F9CA"/>
    <w:rsid w:val="7047374E"/>
    <w:rsid w:val="70509ACF"/>
    <w:rsid w:val="71406987"/>
    <w:rsid w:val="71BB252C"/>
    <w:rsid w:val="7238B9E5"/>
    <w:rsid w:val="72A72B07"/>
    <w:rsid w:val="72B143B6"/>
    <w:rsid w:val="732DD0A8"/>
    <w:rsid w:val="7335D538"/>
    <w:rsid w:val="733D937E"/>
    <w:rsid w:val="73446371"/>
    <w:rsid w:val="736CA9FE"/>
    <w:rsid w:val="73B0880F"/>
    <w:rsid w:val="73DD62D4"/>
    <w:rsid w:val="74188749"/>
    <w:rsid w:val="7484C7BB"/>
    <w:rsid w:val="748D8268"/>
    <w:rsid w:val="74955D0D"/>
    <w:rsid w:val="74C2CF73"/>
    <w:rsid w:val="74CE8746"/>
    <w:rsid w:val="75AD00CD"/>
    <w:rsid w:val="75B2FF39"/>
    <w:rsid w:val="760B1324"/>
    <w:rsid w:val="76A34F9C"/>
    <w:rsid w:val="77E376F7"/>
    <w:rsid w:val="7801B41F"/>
    <w:rsid w:val="78B89147"/>
    <w:rsid w:val="78CEE755"/>
    <w:rsid w:val="7928762B"/>
    <w:rsid w:val="795DCB66"/>
    <w:rsid w:val="7A07C5CA"/>
    <w:rsid w:val="7AE32A86"/>
    <w:rsid w:val="7B348D88"/>
    <w:rsid w:val="7B35399C"/>
    <w:rsid w:val="7B39763D"/>
    <w:rsid w:val="7BA9326C"/>
    <w:rsid w:val="7BFC3BA9"/>
    <w:rsid w:val="7C2B9406"/>
    <w:rsid w:val="7D00CA18"/>
    <w:rsid w:val="7D188BAF"/>
    <w:rsid w:val="7D454FC7"/>
    <w:rsid w:val="7DE84FB1"/>
    <w:rsid w:val="7DF3F5B4"/>
    <w:rsid w:val="7DFEB156"/>
    <w:rsid w:val="7E31B951"/>
    <w:rsid w:val="7E3E1DF8"/>
    <w:rsid w:val="7F51C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4BAE"/>
  <w15:chartTrackingRefBased/>
  <w15:docId w15:val="{EC1B43DA-4122-402C-8CD4-E335A77EBB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61F4524"/>
    <w:pPr>
      <w:spacing/>
      <w:ind w:left="720"/>
      <w:contextualSpacing/>
    </w:pPr>
  </w:style>
  <w:style w:type="paragraph" w:styleId="Heading3">
    <w:uiPriority w:val="9"/>
    <w:name w:val="heading 3"/>
    <w:basedOn w:val="Normal"/>
    <w:next w:val="Normal"/>
    <w:unhideWhenUsed/>
    <w:qFormat/>
    <w:rsid w:val="46F6996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97C21B5"/>
    <w:rPr>
      <w:color w:val="467886"/>
      <w:u w:val="single"/>
    </w:rPr>
  </w:style>
  <w:style w:type="paragraph" w:styleId="NoSpacing">
    <w:uiPriority w:val="1"/>
    <w:name w:val="No Spacing"/>
    <w:qFormat/>
    <w:rsid w:val="697C21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ca223506d364744" /><Relationship Type="http://schemas.microsoft.com/office/2020/10/relationships/intelligence" Target="/word/intelligence2.xml" Id="Rf3b80efd1a124e04" /><Relationship Type="http://schemas.openxmlformats.org/officeDocument/2006/relationships/hyperlink" Target="https://www.ashfords.co.uk/insights/articles/beneficiaries-right-to-information-costs-consequences" TargetMode="External" Id="R5c8b9575a82849f1" /><Relationship Type="http://schemas.openxmlformats.org/officeDocument/2006/relationships/hyperlink" Target="https://www.wilberforce.co.uk/article/data-protection-legislation-in-the-uk-and-its-impact-on-the-confidentiality-of-trustee-decision-making" TargetMode="External" Id="R4a7a1a26ec214b19" /><Relationship Type="http://schemas.openxmlformats.org/officeDocument/2006/relationships/hyperlink" Target="https://www.collascrill.com/articles/from-deference-to-dialogue-why-transparency-is-now-a-trustee-s-strongest-defence" TargetMode="External" Id="Rc1a35cb411df4e78" /><Relationship Type="http://schemas.openxmlformats.org/officeDocument/2006/relationships/hyperlink" Target="https://www.hsfkramer.com/notes/pwtd/2018-06/english-high-court-considers-scope-of-beneficiaries-right-to-request-information-from-trustees" TargetMode="External" Id="R881ed1158ba44eea" /><Relationship Type="http://schemas.openxmlformats.org/officeDocument/2006/relationships/hyperlink" Target="https://holbech.co.uk/trustees-duties-to-provide-documents" TargetMode="External" Id="Ree698d726cc5414a" /><Relationship Type="http://schemas.openxmlformats.org/officeDocument/2006/relationships/hyperlink" Target="https://doi.org/10.4324/9781003205784-11" TargetMode="External" Id="Re74b7d18856443e9" /><Relationship Type="http://schemas.openxmlformats.org/officeDocument/2006/relationships/hyperlink" Target="https://lewislawoftrusts.lawbooks.cali.org/chapter/duty-to-account-and-inform" TargetMode="External" Id="R8c246441c29c4635" /><Relationship Type="http://schemas.openxmlformats.org/officeDocument/2006/relationships/hyperlink" Target="https://doi.org/10.1093/tandt/ttac107" TargetMode="External" Id="R85b64005ce764c02" /><Relationship Type="http://schemas.openxmlformats.org/officeDocument/2006/relationships/hyperlink" Target="https://doi.org/10.1093/clp/cuw014" TargetMode="External" Id="R69b22c2a9bf24f23" /><Relationship Type="http://schemas.openxmlformats.org/officeDocument/2006/relationships/hyperlink" Target="https://journalsonline.academypublishing.org.sg/Journals/Singapore-Academy-of-Law-Journal/e-Archive/ctl/eFirstSALPDFJournalView/mid/495/ArticleId/519/Citation/JournalsOnlinePDF" TargetMode="External" Id="Reb52a825b9fa4e31" /><Relationship Type="http://schemas.openxmlformats.org/officeDocument/2006/relationships/hyperlink" Target="https://www.trusteehandbook.com/post/the-trustee-s-duty-to-inform-and-account-why-transparency-matters-in-trust-administration" TargetMode="External" Id="Rd9202adf26c24be7" /><Relationship Type="http://schemas.openxmlformats.org/officeDocument/2006/relationships/hyperlink" Target="https://www.lexology.com/library/detail.aspx?g=8f59f6bd-a111-4050-98f1-ba2f94a78cc2" TargetMode="External" Id="R5f56d4f0903943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Oliver (2305145)</dc:creator>
  <keywords/>
  <dc:description/>
  <lastModifiedBy>Ffion Oliver (2305145)</lastModifiedBy>
  <revision>6</revision>
  <dcterms:created xsi:type="dcterms:W3CDTF">2026-03-05T18:31:23.7543640Z</dcterms:created>
  <dcterms:modified xsi:type="dcterms:W3CDTF">2026-03-13T18:12:38.2649026Z</dcterms:modified>
</coreProperties>
</file>