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6680" w14:textId="5D11875E" w:rsidR="00390998" w:rsidRPr="001A57E5" w:rsidRDefault="00390998" w:rsidP="00390998">
      <w:pPr>
        <w:spacing w:before="120" w:after="120"/>
        <w:jc w:val="center"/>
        <w:rPr>
          <w:rFonts w:cs="Arial"/>
          <w:b/>
          <w:sz w:val="48"/>
          <w:szCs w:val="48"/>
        </w:rPr>
      </w:pPr>
      <w:r w:rsidRPr="001A57E5">
        <w:rPr>
          <w:sz w:val="48"/>
          <w:szCs w:val="48"/>
        </w:rPr>
        <w:t>Student Name: Jack Harper</w:t>
      </w:r>
      <w:r w:rsidRPr="001A57E5">
        <w:rPr>
          <w:sz w:val="48"/>
          <w:szCs w:val="48"/>
        </w:rPr>
        <w:br/>
        <w:t>Student Number: 2413008</w:t>
      </w:r>
      <w:r w:rsidRPr="001A57E5">
        <w:rPr>
          <w:sz w:val="48"/>
          <w:szCs w:val="48"/>
        </w:rPr>
        <w:br/>
        <w:t xml:space="preserve">Module: </w:t>
      </w:r>
      <w:r w:rsidRPr="001A57E5">
        <w:rPr>
          <w:rFonts w:cs="Arial"/>
          <w:bCs/>
          <w:sz w:val="48"/>
          <w:szCs w:val="48"/>
        </w:rPr>
        <w:t>BMSK4013</w:t>
      </w:r>
      <w:r w:rsidRPr="001A57E5">
        <w:rPr>
          <w:sz w:val="48"/>
          <w:szCs w:val="48"/>
        </w:rPr>
        <w:br/>
        <w:t xml:space="preserve">Title: </w:t>
      </w:r>
      <w:r w:rsidR="004664CA" w:rsidRPr="001A57E5">
        <w:rPr>
          <w:sz w:val="48"/>
          <w:szCs w:val="48"/>
        </w:rPr>
        <w:t>managing communication in a trade union a comprehe</w:t>
      </w:r>
      <w:r w:rsidR="006E5F34" w:rsidRPr="001A57E5">
        <w:rPr>
          <w:sz w:val="48"/>
          <w:szCs w:val="48"/>
        </w:rPr>
        <w:t>nsive analysis</w:t>
      </w:r>
      <w:r w:rsidRPr="001A57E5">
        <w:rPr>
          <w:sz w:val="48"/>
          <w:szCs w:val="48"/>
        </w:rPr>
        <w:br/>
        <w:t xml:space="preserve">Word count: </w:t>
      </w:r>
      <w:r w:rsidRPr="001A57E5">
        <w:rPr>
          <w:sz w:val="48"/>
          <w:szCs w:val="48"/>
        </w:rPr>
        <w:br/>
        <w:t xml:space="preserve">Submission date: </w:t>
      </w:r>
      <w:r w:rsidR="002A27BE" w:rsidRPr="001A57E5">
        <w:rPr>
          <w:sz w:val="48"/>
          <w:szCs w:val="48"/>
        </w:rPr>
        <w:t>29/05/25</w:t>
      </w:r>
    </w:p>
    <w:p w14:paraId="5F13F405" w14:textId="77777777" w:rsidR="00390998" w:rsidRPr="001A57E5" w:rsidRDefault="00390998" w:rsidP="00390998"/>
    <w:p w14:paraId="1B855483" w14:textId="77777777" w:rsidR="00390998" w:rsidRPr="001A57E5" w:rsidRDefault="00390998" w:rsidP="00390998"/>
    <w:p w14:paraId="6507E042" w14:textId="77777777" w:rsidR="00390998" w:rsidRPr="001A57E5" w:rsidRDefault="00390998" w:rsidP="00390998"/>
    <w:p w14:paraId="55331CEA" w14:textId="77777777" w:rsidR="007C7A44" w:rsidRPr="001A57E5" w:rsidRDefault="007C7A44" w:rsidP="00390998"/>
    <w:p w14:paraId="1E3AE7B4" w14:textId="77777777" w:rsidR="007C7A44" w:rsidRPr="001A57E5" w:rsidRDefault="007C7A44" w:rsidP="00390998"/>
    <w:p w14:paraId="6FF239E9" w14:textId="77777777" w:rsidR="007C7A44" w:rsidRPr="001A57E5" w:rsidRDefault="007C7A44" w:rsidP="00390998"/>
    <w:p w14:paraId="55F757C9" w14:textId="77777777" w:rsidR="007C7A44" w:rsidRPr="001A57E5" w:rsidRDefault="007C7A44" w:rsidP="00390998"/>
    <w:p w14:paraId="6038B760" w14:textId="77777777" w:rsidR="007C7A44" w:rsidRPr="001A57E5" w:rsidRDefault="007C7A44" w:rsidP="00390998"/>
    <w:p w14:paraId="73D4166F" w14:textId="77777777" w:rsidR="007C7A44" w:rsidRPr="001A57E5" w:rsidRDefault="007C7A44" w:rsidP="00390998"/>
    <w:p w14:paraId="492D3E61" w14:textId="77777777" w:rsidR="007C7A44" w:rsidRPr="001A57E5" w:rsidRDefault="007C7A44" w:rsidP="00390998"/>
    <w:p w14:paraId="20BBA48E" w14:textId="77777777" w:rsidR="007C7A44" w:rsidRPr="001A57E5" w:rsidRDefault="007C7A44" w:rsidP="00390998"/>
    <w:p w14:paraId="19CC0215" w14:textId="77777777" w:rsidR="007C7A44" w:rsidRPr="001A57E5" w:rsidRDefault="007C7A44" w:rsidP="00390998"/>
    <w:p w14:paraId="26B8E418" w14:textId="77777777" w:rsidR="007C7A44" w:rsidRPr="001A57E5" w:rsidRDefault="007C7A44" w:rsidP="00390998"/>
    <w:p w14:paraId="629B23BC" w14:textId="77777777" w:rsidR="007C7A44" w:rsidRPr="001A57E5" w:rsidRDefault="007C7A44" w:rsidP="00390998"/>
    <w:p w14:paraId="2390C1B9" w14:textId="77777777" w:rsidR="007C7A44" w:rsidRPr="001A57E5" w:rsidRDefault="007C7A44" w:rsidP="00390998"/>
    <w:p w14:paraId="44EB7A43" w14:textId="77777777" w:rsidR="007C7A44" w:rsidRPr="001A57E5" w:rsidRDefault="007C7A44" w:rsidP="00390998"/>
    <w:p w14:paraId="529EE67D" w14:textId="77777777" w:rsidR="007C7A44" w:rsidRPr="001A57E5" w:rsidRDefault="007C7A44" w:rsidP="00390998"/>
    <w:p w14:paraId="6E665E1C" w14:textId="77777777" w:rsidR="007C7A44" w:rsidRPr="001A57E5" w:rsidRDefault="007C7A44" w:rsidP="00390998"/>
    <w:p w14:paraId="5E954EC3" w14:textId="77777777" w:rsidR="007C7A44" w:rsidRPr="001A57E5" w:rsidRDefault="007C7A44" w:rsidP="00390998"/>
    <w:p w14:paraId="7A33266E" w14:textId="77777777" w:rsidR="00390998" w:rsidRPr="001A57E5" w:rsidRDefault="00390998" w:rsidP="00390998"/>
    <w:tbl>
      <w:tblPr>
        <w:tblStyle w:val="TableGrid"/>
        <w:tblW w:w="0" w:type="auto"/>
        <w:tblInd w:w="1555" w:type="dxa"/>
        <w:tblLook w:val="04A0" w:firstRow="1" w:lastRow="0" w:firstColumn="1" w:lastColumn="0" w:noHBand="0" w:noVBand="1"/>
      </w:tblPr>
      <w:tblGrid>
        <w:gridCol w:w="7233"/>
      </w:tblGrid>
      <w:tr w:rsidR="00390998" w:rsidRPr="001A57E5" w14:paraId="628AD479" w14:textId="77777777" w:rsidTr="002C38DD">
        <w:trPr>
          <w:trHeight w:val="399"/>
        </w:trPr>
        <w:tc>
          <w:tcPr>
            <w:tcW w:w="7233" w:type="dxa"/>
          </w:tcPr>
          <w:p w14:paraId="17563DBA" w14:textId="77777777" w:rsidR="00390998" w:rsidRPr="002C38DD" w:rsidRDefault="00390998" w:rsidP="002C38DD">
            <w:pPr>
              <w:jc w:val="center"/>
              <w:rPr>
                <w:color w:val="000000" w:themeColor="text1"/>
                <w:sz w:val="28"/>
                <w:szCs w:val="28"/>
              </w:rPr>
            </w:pPr>
            <w:r w:rsidRPr="002C38DD">
              <w:rPr>
                <w:color w:val="000000" w:themeColor="text1"/>
                <w:sz w:val="28"/>
                <w:szCs w:val="28"/>
              </w:rPr>
              <w:t>Introduction</w:t>
            </w:r>
          </w:p>
        </w:tc>
      </w:tr>
      <w:tr w:rsidR="00390998" w:rsidRPr="001A57E5" w14:paraId="1835E6A8" w14:textId="77777777" w:rsidTr="002C38DD">
        <w:trPr>
          <w:trHeight w:val="835"/>
        </w:trPr>
        <w:tc>
          <w:tcPr>
            <w:tcW w:w="7233" w:type="dxa"/>
          </w:tcPr>
          <w:p w14:paraId="0305FFE0" w14:textId="60C9DBD6" w:rsidR="00390998" w:rsidRPr="002C38DD" w:rsidRDefault="0094782E" w:rsidP="002C38DD">
            <w:pPr>
              <w:spacing w:before="100" w:beforeAutospacing="1" w:after="100" w:afterAutospacing="1"/>
              <w:jc w:val="center"/>
              <w:outlineLvl w:val="2"/>
              <w:rPr>
                <w:rFonts w:eastAsia="Times New Roman" w:cs="Times New Roman"/>
                <w:kern w:val="0"/>
                <w:sz w:val="32"/>
                <w:szCs w:val="32"/>
                <w:lang w:eastAsia="en-GB"/>
                <w14:ligatures w14:val="none"/>
              </w:rPr>
            </w:pPr>
            <w:r w:rsidRPr="00F56986">
              <w:rPr>
                <w:rFonts w:eastAsia="Times New Roman" w:cs="Times New Roman"/>
                <w:kern w:val="0"/>
                <w:sz w:val="32"/>
                <w:szCs w:val="32"/>
                <w:lang w:eastAsia="en-GB"/>
                <w14:ligatures w14:val="none"/>
              </w:rPr>
              <w:t>The Relevance of the Communication Cycle for Effective Communication in Management</w:t>
            </w:r>
          </w:p>
        </w:tc>
      </w:tr>
      <w:tr w:rsidR="00390998" w:rsidRPr="001A57E5" w14:paraId="7D9301C9" w14:textId="77777777" w:rsidTr="002C38DD">
        <w:trPr>
          <w:trHeight w:val="1390"/>
        </w:trPr>
        <w:tc>
          <w:tcPr>
            <w:tcW w:w="7233" w:type="dxa"/>
          </w:tcPr>
          <w:p w14:paraId="66DE69F0" w14:textId="701A126D" w:rsidR="00390998" w:rsidRPr="002C38DD" w:rsidRDefault="0094782E" w:rsidP="002C38DD">
            <w:pPr>
              <w:spacing w:before="100" w:beforeAutospacing="1" w:after="100" w:afterAutospacing="1"/>
              <w:jc w:val="center"/>
              <w:outlineLvl w:val="2"/>
              <w:rPr>
                <w:rFonts w:eastAsia="Times New Roman" w:cs="Times New Roman"/>
                <w:kern w:val="0"/>
                <w:sz w:val="32"/>
                <w:szCs w:val="32"/>
                <w:lang w:eastAsia="en-GB"/>
                <w14:ligatures w14:val="none"/>
              </w:rPr>
            </w:pPr>
            <w:r w:rsidRPr="00F56986">
              <w:rPr>
                <w:rFonts w:eastAsia="Times New Roman" w:cs="Times New Roman"/>
                <w:kern w:val="0"/>
                <w:sz w:val="32"/>
                <w:szCs w:val="32"/>
                <w:lang w:eastAsia="en-GB"/>
                <w14:ligatures w14:val="none"/>
              </w:rPr>
              <w:t xml:space="preserve">Assessment of the Effectiveness of a Range of Verbal and Written Communication Methods within </w:t>
            </w:r>
            <w:r w:rsidRPr="002C38DD">
              <w:rPr>
                <w:rFonts w:eastAsia="Times New Roman" w:cs="Times New Roman"/>
                <w:kern w:val="0"/>
                <w:sz w:val="32"/>
                <w:szCs w:val="32"/>
                <w:lang w:eastAsia="en-GB"/>
                <w14:ligatures w14:val="none"/>
              </w:rPr>
              <w:t>Community Union</w:t>
            </w:r>
          </w:p>
        </w:tc>
      </w:tr>
      <w:tr w:rsidR="00390998" w:rsidRPr="001A57E5" w14:paraId="4142D447" w14:textId="77777777" w:rsidTr="002C38DD">
        <w:trPr>
          <w:trHeight w:val="399"/>
        </w:trPr>
        <w:tc>
          <w:tcPr>
            <w:tcW w:w="7233" w:type="dxa"/>
          </w:tcPr>
          <w:p w14:paraId="0BB887EA" w14:textId="5F409128" w:rsidR="00390998" w:rsidRPr="002C38DD" w:rsidRDefault="002C38DD" w:rsidP="002C38DD">
            <w:pPr>
              <w:spacing w:before="100" w:beforeAutospacing="1" w:after="100" w:afterAutospacing="1"/>
              <w:jc w:val="center"/>
              <w:rPr>
                <w:rFonts w:eastAsia="Times New Roman" w:cs="Times New Roman"/>
                <w:kern w:val="0"/>
                <w:sz w:val="32"/>
                <w:szCs w:val="32"/>
                <w:lang w:eastAsia="en-GB"/>
                <w14:ligatures w14:val="none"/>
              </w:rPr>
            </w:pPr>
            <w:r w:rsidRPr="002C38DD">
              <w:rPr>
                <w:rFonts w:eastAsia="Times New Roman" w:cs="Times New Roman"/>
                <w:kern w:val="0"/>
                <w:sz w:val="32"/>
                <w:szCs w:val="32"/>
                <w:lang w:eastAsia="en-GB"/>
                <w14:ligatures w14:val="none"/>
              </w:rPr>
              <w:t>Motivation</w:t>
            </w:r>
          </w:p>
        </w:tc>
      </w:tr>
      <w:tr w:rsidR="00390998" w:rsidRPr="001A57E5" w14:paraId="31967A3D" w14:textId="77777777" w:rsidTr="002C38DD">
        <w:trPr>
          <w:trHeight w:val="1144"/>
        </w:trPr>
        <w:tc>
          <w:tcPr>
            <w:tcW w:w="7233" w:type="dxa"/>
          </w:tcPr>
          <w:p w14:paraId="1145C380" w14:textId="77777777" w:rsidR="002C38DD" w:rsidRPr="00F56986" w:rsidRDefault="002C38DD" w:rsidP="002C38DD">
            <w:pPr>
              <w:spacing w:before="100" w:beforeAutospacing="1" w:after="100" w:afterAutospacing="1"/>
              <w:jc w:val="center"/>
              <w:rPr>
                <w:rFonts w:eastAsia="Times New Roman" w:cs="Times New Roman"/>
                <w:kern w:val="0"/>
                <w:sz w:val="32"/>
                <w:szCs w:val="32"/>
                <w:lang w:eastAsia="en-GB"/>
                <w14:ligatures w14:val="none"/>
              </w:rPr>
            </w:pPr>
            <w:r w:rsidRPr="00F56986">
              <w:rPr>
                <w:rFonts w:eastAsia="Times New Roman" w:cs="Times New Roman"/>
                <w:kern w:val="0"/>
                <w:sz w:val="32"/>
                <w:szCs w:val="32"/>
                <w:lang w:eastAsia="en-GB"/>
                <w14:ligatures w14:val="none"/>
              </w:rPr>
              <w:t>Performance and Motivation in the Workplace</w:t>
            </w:r>
          </w:p>
          <w:p w14:paraId="3BD69171" w14:textId="0A8A71FB" w:rsidR="00390998" w:rsidRPr="002C38DD" w:rsidRDefault="00390998" w:rsidP="002C38DD">
            <w:pPr>
              <w:jc w:val="center"/>
              <w:rPr>
                <w:color w:val="000000" w:themeColor="text1"/>
                <w:sz w:val="32"/>
                <w:szCs w:val="32"/>
              </w:rPr>
            </w:pPr>
          </w:p>
        </w:tc>
      </w:tr>
      <w:tr w:rsidR="002C38DD" w:rsidRPr="001A57E5" w14:paraId="1A96E543" w14:textId="77777777" w:rsidTr="002C38DD">
        <w:trPr>
          <w:trHeight w:val="1090"/>
        </w:trPr>
        <w:tc>
          <w:tcPr>
            <w:tcW w:w="7233" w:type="dxa"/>
          </w:tcPr>
          <w:p w14:paraId="5176CFD6" w14:textId="77777777" w:rsidR="002C38DD" w:rsidRPr="00F56986" w:rsidRDefault="002C38DD" w:rsidP="002C38DD">
            <w:pPr>
              <w:spacing w:before="100" w:beforeAutospacing="1" w:after="100" w:afterAutospacing="1"/>
              <w:jc w:val="center"/>
              <w:outlineLvl w:val="3"/>
              <w:rPr>
                <w:rFonts w:eastAsia="Times New Roman" w:cs="Times New Roman"/>
                <w:kern w:val="0"/>
                <w:sz w:val="32"/>
                <w:szCs w:val="32"/>
                <w:lang w:eastAsia="en-GB"/>
                <w14:ligatures w14:val="none"/>
              </w:rPr>
            </w:pPr>
            <w:r w:rsidRPr="00F56986">
              <w:rPr>
                <w:rFonts w:eastAsia="Times New Roman" w:cs="Times New Roman"/>
                <w:kern w:val="0"/>
                <w:sz w:val="32"/>
                <w:szCs w:val="32"/>
                <w:lang w:eastAsia="en-GB"/>
                <w14:ligatures w14:val="none"/>
              </w:rPr>
              <w:t>Application to the Trade Union Workplace</w:t>
            </w:r>
          </w:p>
          <w:p w14:paraId="5A416A46" w14:textId="77777777" w:rsidR="002C38DD" w:rsidRPr="002C38DD" w:rsidRDefault="002C38DD" w:rsidP="002C38DD">
            <w:pPr>
              <w:spacing w:before="100" w:beforeAutospacing="1" w:after="100" w:afterAutospacing="1"/>
              <w:jc w:val="center"/>
              <w:rPr>
                <w:rFonts w:eastAsia="Times New Roman" w:cs="Times New Roman"/>
                <w:kern w:val="0"/>
                <w:sz w:val="32"/>
                <w:szCs w:val="32"/>
                <w:lang w:eastAsia="en-GB"/>
                <w14:ligatures w14:val="none"/>
              </w:rPr>
            </w:pPr>
          </w:p>
        </w:tc>
      </w:tr>
      <w:tr w:rsidR="002C38DD" w:rsidRPr="001A57E5" w14:paraId="146E8265" w14:textId="77777777" w:rsidTr="002C38DD">
        <w:trPr>
          <w:trHeight w:val="1090"/>
        </w:trPr>
        <w:tc>
          <w:tcPr>
            <w:tcW w:w="7233" w:type="dxa"/>
          </w:tcPr>
          <w:p w14:paraId="20705EB6" w14:textId="77777777" w:rsidR="002C38DD" w:rsidRPr="00F56986" w:rsidRDefault="002C38DD" w:rsidP="002C38DD">
            <w:pPr>
              <w:spacing w:before="100" w:beforeAutospacing="1" w:after="100" w:afterAutospacing="1"/>
              <w:jc w:val="center"/>
              <w:outlineLvl w:val="3"/>
              <w:rPr>
                <w:rFonts w:eastAsia="Times New Roman" w:cs="Times New Roman"/>
                <w:kern w:val="0"/>
                <w:sz w:val="32"/>
                <w:szCs w:val="32"/>
                <w:lang w:eastAsia="en-GB"/>
                <w14:ligatures w14:val="none"/>
              </w:rPr>
            </w:pPr>
            <w:r w:rsidRPr="00F56986">
              <w:rPr>
                <w:rFonts w:eastAsia="Times New Roman" w:cs="Times New Roman"/>
                <w:kern w:val="0"/>
                <w:sz w:val="32"/>
                <w:szCs w:val="32"/>
                <w:lang w:eastAsia="en-GB"/>
                <w14:ligatures w14:val="none"/>
              </w:rPr>
              <w:t>Methods for Collecting Feedback</w:t>
            </w:r>
          </w:p>
          <w:p w14:paraId="742A438E" w14:textId="77777777" w:rsidR="002C38DD" w:rsidRPr="002C38DD" w:rsidRDefault="002C38DD" w:rsidP="002C38DD">
            <w:pPr>
              <w:spacing w:before="100" w:beforeAutospacing="1" w:after="100" w:afterAutospacing="1"/>
              <w:jc w:val="center"/>
              <w:rPr>
                <w:rFonts w:eastAsia="Times New Roman" w:cs="Times New Roman"/>
                <w:kern w:val="0"/>
                <w:sz w:val="32"/>
                <w:szCs w:val="32"/>
                <w:lang w:eastAsia="en-GB"/>
                <w14:ligatures w14:val="none"/>
              </w:rPr>
            </w:pPr>
          </w:p>
        </w:tc>
      </w:tr>
      <w:tr w:rsidR="002C38DD" w:rsidRPr="001A57E5" w14:paraId="07222DDA" w14:textId="77777777" w:rsidTr="002C38DD">
        <w:trPr>
          <w:trHeight w:val="1090"/>
        </w:trPr>
        <w:tc>
          <w:tcPr>
            <w:tcW w:w="7233" w:type="dxa"/>
          </w:tcPr>
          <w:p w14:paraId="4545A8D6" w14:textId="77777777" w:rsidR="002C38DD" w:rsidRPr="002C38DD" w:rsidRDefault="002C38DD" w:rsidP="002C38DD">
            <w:pPr>
              <w:spacing w:before="100" w:beforeAutospacing="1" w:after="100" w:afterAutospacing="1"/>
              <w:jc w:val="center"/>
              <w:outlineLvl w:val="2"/>
              <w:rPr>
                <w:rFonts w:eastAsia="Times New Roman" w:cs="Times New Roman"/>
                <w:kern w:val="0"/>
                <w:sz w:val="32"/>
                <w:szCs w:val="32"/>
                <w:lang w:eastAsia="en-GB"/>
                <w14:ligatures w14:val="none"/>
              </w:rPr>
            </w:pPr>
            <w:r w:rsidRPr="00F56986">
              <w:rPr>
                <w:rFonts w:eastAsia="Times New Roman" w:cs="Times New Roman"/>
                <w:kern w:val="0"/>
                <w:sz w:val="32"/>
                <w:szCs w:val="32"/>
                <w:lang w:eastAsia="en-GB"/>
                <w14:ligatures w14:val="none"/>
              </w:rPr>
              <w:t>Professional Development Plan (PDP)</w:t>
            </w:r>
          </w:p>
          <w:p w14:paraId="1C1C5CD6" w14:textId="77777777" w:rsidR="002C38DD" w:rsidRPr="002C38DD" w:rsidRDefault="002C38DD" w:rsidP="002C38DD">
            <w:pPr>
              <w:spacing w:before="100" w:beforeAutospacing="1" w:after="100" w:afterAutospacing="1"/>
              <w:jc w:val="center"/>
              <w:outlineLvl w:val="3"/>
              <w:rPr>
                <w:rFonts w:eastAsia="Times New Roman" w:cs="Times New Roman"/>
                <w:kern w:val="0"/>
                <w:sz w:val="32"/>
                <w:szCs w:val="32"/>
                <w:lang w:eastAsia="en-GB"/>
                <w14:ligatures w14:val="none"/>
              </w:rPr>
            </w:pPr>
          </w:p>
        </w:tc>
      </w:tr>
      <w:tr w:rsidR="00390998" w:rsidRPr="001A57E5" w14:paraId="3F106E8C" w14:textId="77777777" w:rsidTr="002C38DD">
        <w:trPr>
          <w:trHeight w:val="399"/>
        </w:trPr>
        <w:tc>
          <w:tcPr>
            <w:tcW w:w="7233" w:type="dxa"/>
          </w:tcPr>
          <w:p w14:paraId="74DC35FF" w14:textId="77777777" w:rsidR="00390998" w:rsidRPr="002C38DD" w:rsidRDefault="00390998" w:rsidP="002C38DD">
            <w:pPr>
              <w:jc w:val="center"/>
              <w:rPr>
                <w:color w:val="000000" w:themeColor="text1"/>
                <w:sz w:val="32"/>
                <w:szCs w:val="32"/>
              </w:rPr>
            </w:pPr>
            <w:r w:rsidRPr="002C38DD">
              <w:rPr>
                <w:color w:val="000000" w:themeColor="text1"/>
                <w:sz w:val="32"/>
                <w:szCs w:val="32"/>
              </w:rPr>
              <w:t>Conclusion</w:t>
            </w:r>
          </w:p>
        </w:tc>
      </w:tr>
      <w:tr w:rsidR="00390998" w:rsidRPr="001A57E5" w14:paraId="348CF51D" w14:textId="77777777" w:rsidTr="002C38DD">
        <w:trPr>
          <w:trHeight w:val="84"/>
        </w:trPr>
        <w:tc>
          <w:tcPr>
            <w:tcW w:w="7233" w:type="dxa"/>
          </w:tcPr>
          <w:p w14:paraId="746DD4E3" w14:textId="77777777" w:rsidR="00390998" w:rsidRPr="002C38DD" w:rsidRDefault="00390998" w:rsidP="002C38DD">
            <w:pPr>
              <w:jc w:val="center"/>
              <w:rPr>
                <w:color w:val="000000" w:themeColor="text1"/>
                <w:sz w:val="32"/>
                <w:szCs w:val="32"/>
              </w:rPr>
            </w:pPr>
            <w:r w:rsidRPr="002C38DD">
              <w:rPr>
                <w:color w:val="000000" w:themeColor="text1"/>
                <w:sz w:val="32"/>
                <w:szCs w:val="32"/>
              </w:rPr>
              <w:t>References</w:t>
            </w:r>
          </w:p>
        </w:tc>
      </w:tr>
    </w:tbl>
    <w:p w14:paraId="39405B83" w14:textId="77777777" w:rsidR="00390998" w:rsidRPr="001A57E5" w:rsidRDefault="00390998" w:rsidP="00390998">
      <w:pPr>
        <w:jc w:val="center"/>
      </w:pPr>
    </w:p>
    <w:p w14:paraId="21C00F40" w14:textId="77777777" w:rsidR="001E5547" w:rsidRPr="001A57E5" w:rsidRDefault="001E5547" w:rsidP="00390998">
      <w:pPr>
        <w:jc w:val="center"/>
      </w:pPr>
    </w:p>
    <w:p w14:paraId="6EB892E2" w14:textId="77777777" w:rsidR="007C7A44" w:rsidRPr="001A57E5" w:rsidRDefault="007C7A44" w:rsidP="00B64276">
      <w:pPr>
        <w:spacing w:before="100" w:beforeAutospacing="1" w:after="100" w:afterAutospacing="1" w:line="240" w:lineRule="auto"/>
        <w:outlineLvl w:val="0"/>
        <w:rPr>
          <w:rFonts w:eastAsia="Times New Roman" w:cs="Times New Roman"/>
          <w:b/>
          <w:bCs/>
          <w:kern w:val="36"/>
          <w:sz w:val="48"/>
          <w:szCs w:val="48"/>
          <w:lang w:eastAsia="en-GB"/>
          <w14:ligatures w14:val="none"/>
        </w:rPr>
      </w:pPr>
    </w:p>
    <w:p w14:paraId="0DCB2C7D" w14:textId="77777777" w:rsidR="007C7A44" w:rsidRPr="001A57E5" w:rsidRDefault="007C7A44" w:rsidP="00B64276">
      <w:pPr>
        <w:spacing w:before="100" w:beforeAutospacing="1" w:after="100" w:afterAutospacing="1" w:line="240" w:lineRule="auto"/>
        <w:outlineLvl w:val="0"/>
        <w:rPr>
          <w:rFonts w:eastAsia="Times New Roman" w:cs="Times New Roman"/>
          <w:b/>
          <w:bCs/>
          <w:kern w:val="36"/>
          <w:sz w:val="48"/>
          <w:szCs w:val="48"/>
          <w:lang w:eastAsia="en-GB"/>
          <w14:ligatures w14:val="none"/>
        </w:rPr>
      </w:pPr>
    </w:p>
    <w:p w14:paraId="4676C914" w14:textId="77777777" w:rsidR="007C7A44" w:rsidRPr="001A57E5" w:rsidRDefault="007C7A44" w:rsidP="00B64276">
      <w:pPr>
        <w:spacing w:before="100" w:beforeAutospacing="1" w:after="100" w:afterAutospacing="1" w:line="240" w:lineRule="auto"/>
        <w:outlineLvl w:val="0"/>
        <w:rPr>
          <w:rFonts w:eastAsia="Times New Roman" w:cs="Times New Roman"/>
          <w:b/>
          <w:bCs/>
          <w:kern w:val="36"/>
          <w:sz w:val="48"/>
          <w:szCs w:val="48"/>
          <w:lang w:eastAsia="en-GB"/>
          <w14:ligatures w14:val="none"/>
        </w:rPr>
      </w:pPr>
    </w:p>
    <w:p w14:paraId="470A9F79" w14:textId="77777777" w:rsidR="007C7A44" w:rsidRPr="001A57E5" w:rsidRDefault="007C7A44" w:rsidP="00B64276">
      <w:pPr>
        <w:spacing w:before="100" w:beforeAutospacing="1" w:after="100" w:afterAutospacing="1" w:line="240" w:lineRule="auto"/>
        <w:outlineLvl w:val="0"/>
        <w:rPr>
          <w:rFonts w:eastAsia="Times New Roman" w:cs="Times New Roman"/>
          <w:b/>
          <w:bCs/>
          <w:kern w:val="36"/>
          <w:sz w:val="48"/>
          <w:szCs w:val="48"/>
          <w:lang w:eastAsia="en-GB"/>
          <w14:ligatures w14:val="none"/>
        </w:rPr>
      </w:pPr>
    </w:p>
    <w:p w14:paraId="1DFE9F09" w14:textId="77777777" w:rsidR="00DF6288" w:rsidRPr="001A57E5" w:rsidRDefault="00DF6288" w:rsidP="00F56986">
      <w:pPr>
        <w:spacing w:before="100" w:beforeAutospacing="1" w:after="100" w:afterAutospacing="1" w:line="240" w:lineRule="auto"/>
        <w:outlineLvl w:val="1"/>
        <w:rPr>
          <w:rFonts w:eastAsia="Times New Roman" w:cs="Times New Roman"/>
          <w:b/>
          <w:bCs/>
          <w:kern w:val="36"/>
          <w:sz w:val="48"/>
          <w:szCs w:val="48"/>
          <w:lang w:eastAsia="en-GB"/>
          <w14:ligatures w14:val="none"/>
        </w:rPr>
      </w:pPr>
    </w:p>
    <w:p w14:paraId="493A947B" w14:textId="2C1184AE" w:rsidR="000B4691" w:rsidRPr="000B4691" w:rsidRDefault="000B4691" w:rsidP="00FE6A25">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0B4691">
        <w:rPr>
          <w:b/>
          <w:bCs/>
          <w:sz w:val="36"/>
          <w:szCs w:val="36"/>
        </w:rPr>
        <w:t xml:space="preserve">Introduction </w:t>
      </w:r>
    </w:p>
    <w:p w14:paraId="28C28C11" w14:textId="7FF787F6" w:rsidR="00F56986" w:rsidRPr="001A57E5" w:rsidRDefault="00F56986" w:rsidP="00DF6288">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This essay will delve into the critical aspects of managing communication within a trade union setting, exploring theoretical frameworks and their practical application. It will commence by elucidating the relevance of the communication cycle, followed by an examination of the importance of appropriate tone, language, and formality in managerial interactions. A comprehensive assessment of various verbal and written communication methods will be undertaken, alongside an evaluation of pertinent motivation theories, with a specific focus on McClelland's Acquired Needs Theory and its impact on the workplace. Finally, this essay will outline criteria for evaluating personal communication effectiveness, discuss methods for feedback collection and analysis, and present a professional development plan (PDP) designed to enhance communication skills within the context of a trade union manager.</w:t>
      </w:r>
    </w:p>
    <w:p w14:paraId="6C77D273" w14:textId="77777777" w:rsidR="00DF6288" w:rsidRPr="00F56986" w:rsidRDefault="00DF6288" w:rsidP="00DF6288">
      <w:pPr>
        <w:spacing w:before="100" w:beforeAutospacing="1" w:after="100" w:afterAutospacing="1" w:line="240" w:lineRule="auto"/>
        <w:outlineLvl w:val="2"/>
        <w:rPr>
          <w:rFonts w:eastAsia="Times New Roman" w:cs="Times New Roman"/>
          <w:b/>
          <w:bCs/>
          <w:kern w:val="0"/>
          <w:sz w:val="27"/>
          <w:szCs w:val="27"/>
          <w:lang w:eastAsia="en-GB"/>
          <w14:ligatures w14:val="none"/>
        </w:rPr>
      </w:pPr>
      <w:r w:rsidRPr="00F56986">
        <w:rPr>
          <w:rFonts w:eastAsia="Times New Roman" w:cs="Times New Roman"/>
          <w:b/>
          <w:bCs/>
          <w:kern w:val="0"/>
          <w:sz w:val="27"/>
          <w:szCs w:val="27"/>
          <w:lang w:eastAsia="en-GB"/>
          <w14:ligatures w14:val="none"/>
        </w:rPr>
        <w:t>The Relevance of the Communication Cycle for Effective Communication in Management</w:t>
      </w:r>
    </w:p>
    <w:p w14:paraId="4A842BCC"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The communication cycle provides a fundamental framework for understanding how messages are transmitted and received, highlighting potential points of breakdown and opportunities for enhancement. This cycle typically comprises a sender, encoding, the message itself, the channel, the receiver, decoding, feedback, and the ever-present element of noise (Shannon &amp; Weaver, 1949). For managers within a trade union, grasping the nuances of this cycle is paramount to ensuring clarity, fostering understanding, and building consensus among diverse groups.</w:t>
      </w:r>
    </w:p>
    <w:p w14:paraId="4B911B78"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Firstly, the sender, such as a union official, must clearly conceptualise the message, which then undergoes encoding into a transferable format, for example, a policy document or a speech. In a trade union, this could involve translating complex legal jargon regarding employment rights into accessible language for members. The message itself must be precise and unambiguous, avoiding technical terms where plain language suffices, especially when addressing a broad membership base. The selection of an appropriate channel is equally critical; a formal letter might be suitable for official grievances, while a town hall meeting is better for discussing proposed collective agreements, allowing for immediate questions and clarifications.</w:t>
      </w:r>
    </w:p>
    <w:p w14:paraId="18D7B166"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 xml:space="preserve">The receiver, such as a union member or an employer representative, then decodes the message, interpreting it based on their own experiences, biases, and knowledge. This decoding process is particularly susceptible to "noise"—any interference that distorts the message. Noise in a trade union context could range from pre-existing distrust between parties, cultural differences among members, or even literal background distractions during a meeting. Crucially, the feedback loop allows the sender to gauge the receiver's understanding and adjust future communications. For instance, a manager might ask members to summarise their understanding of a new policy or observe their reactions during a negotiation update. Without effective feedback, </w:t>
      </w:r>
      <w:r w:rsidRPr="00F56986">
        <w:rPr>
          <w:rFonts w:eastAsia="Times New Roman" w:cs="Times New Roman"/>
          <w:kern w:val="0"/>
          <w:lang w:eastAsia="en-GB"/>
          <w14:ligatures w14:val="none"/>
        </w:rPr>
        <w:lastRenderedPageBreak/>
        <w:t>assumptions can lead to significant misunderstandings, potentially escalating into disputes. By consciously navigating each stage of the communication cycle, trade union managers can proactively identify and mitigate barriers, ensuring that vital information is not only transmitted but truly understood and acted upon by all stakeholders (Drucker, 1974).</w:t>
      </w:r>
    </w:p>
    <w:p w14:paraId="34577C79" w14:textId="77777777" w:rsidR="00DF6288" w:rsidRPr="00F56986" w:rsidRDefault="00DF6288" w:rsidP="00DF6288">
      <w:pPr>
        <w:spacing w:before="100" w:beforeAutospacing="1" w:after="100" w:afterAutospacing="1" w:line="240" w:lineRule="auto"/>
        <w:outlineLvl w:val="2"/>
        <w:rPr>
          <w:rFonts w:eastAsia="Times New Roman" w:cs="Times New Roman"/>
          <w:b/>
          <w:bCs/>
          <w:kern w:val="0"/>
          <w:sz w:val="27"/>
          <w:szCs w:val="27"/>
          <w:lang w:eastAsia="en-GB"/>
          <w14:ligatures w14:val="none"/>
        </w:rPr>
      </w:pPr>
      <w:r w:rsidRPr="00F56986">
        <w:rPr>
          <w:rFonts w:eastAsia="Times New Roman" w:cs="Times New Roman"/>
          <w:b/>
          <w:bCs/>
          <w:kern w:val="0"/>
          <w:sz w:val="27"/>
          <w:szCs w:val="27"/>
          <w:lang w:eastAsia="en-GB"/>
          <w14:ligatures w14:val="none"/>
        </w:rPr>
        <w:t xml:space="preserve">Assessment of the Effectiveness of a Range of Verbal and Written Communication Methods within </w:t>
      </w:r>
      <w:r w:rsidRPr="001A57E5">
        <w:rPr>
          <w:rFonts w:eastAsia="Times New Roman" w:cs="Times New Roman"/>
          <w:b/>
          <w:bCs/>
          <w:kern w:val="0"/>
          <w:sz w:val="27"/>
          <w:szCs w:val="27"/>
          <w:lang w:eastAsia="en-GB"/>
          <w14:ligatures w14:val="none"/>
        </w:rPr>
        <w:t>Community Union</w:t>
      </w:r>
    </w:p>
    <w:p w14:paraId="2AC3176A" w14:textId="1147FD5F"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 xml:space="preserve">Within a trade union, a diverse array of verbal and written communication methods </w:t>
      </w:r>
      <w:proofErr w:type="gramStart"/>
      <w:r w:rsidRPr="00F56986">
        <w:rPr>
          <w:rFonts w:eastAsia="Times New Roman" w:cs="Times New Roman"/>
          <w:kern w:val="0"/>
          <w:lang w:eastAsia="en-GB"/>
          <w14:ligatures w14:val="none"/>
        </w:rPr>
        <w:t>are</w:t>
      </w:r>
      <w:proofErr w:type="gramEnd"/>
      <w:r w:rsidRPr="00F56986">
        <w:rPr>
          <w:rFonts w:eastAsia="Times New Roman" w:cs="Times New Roman"/>
          <w:kern w:val="0"/>
          <w:lang w:eastAsia="en-GB"/>
          <w14:ligatures w14:val="none"/>
        </w:rPr>
        <w:t xml:space="preserve"> employed, each with distinct strengths and weaknesses depending on the context, audience, and objective. My area of the organisation, focusing on member engagement and industrial relations, heavily relies on both to achieve its aims.</w:t>
      </w:r>
    </w:p>
    <w:p w14:paraId="1965F8A1"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Formal meetings, such as branch meetings or negotiation sessions, are highly effective verbal communication methods for collective decision-making, direct engagement, and immediate feedback. They allow for nuanced discussions, observation of non-verbal cues, and the building of consensus. For example, a formal meeting with employer representatives allows for real-time bargaining and clarification of positions. Informal meetings, like one-on-one discussions with shop stewards or casual conversations with members, are invaluable for building rapport, gathering intelligence, and addressing individual concerns empathetically. Their effectiveness lies in their immediacy and personal touch. However, both can suffer from "noise," such as distractions or personal biases, and formal meetings can be time-consuming and prone to dominance by a few voices. Crucially, informal discussions often lack a formal record, potentially leading to disputes over what was agreed (Argyle, 1994). Presentations are used for informing large groups, such as new member inductions or updates on campaign progress. They are effective for conveying information clearly and persuasively, especially when combined with visual aids. For instance, a presentation on new health and safety regulations can effectively disseminate critical information. Their limitation is their one-way nature, making immediate, comprehensive feedback difficult, and they require strong public speaking skills to maintain engagement. Phone calls are excellent for quick, direct, and personal communication, particularly for urgent matters or when face-to-face interaction is not feasible. They allow for immediate back-and-forth and clarification. For example, a phone call to a member about an urgent disciplinary hearing. However, they lack visual cues and can be disruptive if not managed well.</w:t>
      </w:r>
    </w:p>
    <w:p w14:paraId="77FFF806"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 xml:space="preserve">In terms of written communication, emails are ubiquitous and highly effective for disseminating information quickly to a wide audience, providing a formal record, and scheduling. They are ideal for sending out meeting minutes, policy updates, or campaign alerts. For example, an email blast to all members about an upcoming ballot. Their effectiveness is high for information dissemination and record-keeping. However, they can be impersonal, easily misinterpreted without tone of voice, and contribute to information overload, leading to messages being overlooked or ignored (Lim &amp; Ling, 2012). Official letters and reports are essential for formal communication with employers, legal entities, or for internal record-keeping of significant decisions. They </w:t>
      </w:r>
      <w:r w:rsidRPr="00F56986">
        <w:rPr>
          <w:rFonts w:eastAsia="Times New Roman" w:cs="Times New Roman"/>
          <w:kern w:val="0"/>
          <w:lang w:eastAsia="en-GB"/>
          <w14:ligatures w14:val="none"/>
        </w:rPr>
        <w:lastRenderedPageBreak/>
        <w:t>provide a clear, unambiguous, and legally defensible record. For example, a formal letter outlining a grievance or a report detailing negotiation outcomes. Their strength lies in their formality, permanence, and precision. Their weakness is their slower pace and lack of immediate interaction. Newsletters and bulletins are effective for regular, broader communication with members, providing updates on union activities, successes, and relevant news. They foster a sense of community and keep members informed. For instance, a quarterly newsletter detailing recent collective bargaining wins. They are good for broad reach and sustained engagement but offer limited immediate feedback and can become outdated quickly. Social media posts are increasingly vital for reaching younger members and for rapid dissemination of campaign messages. They are effective for generating buzz, mobilising support, and engaging in real-time dialogue. For example, a tweet announcing a protest action. However, they are prone to misinterpretation, can be easily hijacked by negative comments, and require careful management of public perception (Kaplan &amp; Haenlein, 2010).</w:t>
      </w:r>
    </w:p>
    <w:p w14:paraId="0842AADF" w14:textId="77777777" w:rsidR="006B0EE0" w:rsidRPr="001A57E5" w:rsidRDefault="00F56986" w:rsidP="006B0EE0">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In summary, a balanced approach, leveraging the strengths of each method while being mindful of their limitations, is crucial for effective communication within the trade union. The choice depends on the specific objective: for building deep relationships, verbal methods excel; for broad dissemination and record-keeping, written methods are superior.</w:t>
      </w:r>
    </w:p>
    <w:p w14:paraId="398BC548" w14:textId="503B268C" w:rsidR="00F56986" w:rsidRPr="00F56986" w:rsidRDefault="001416F4" w:rsidP="006B0EE0">
      <w:pPr>
        <w:spacing w:before="100" w:beforeAutospacing="1" w:after="100" w:afterAutospacing="1" w:line="240" w:lineRule="auto"/>
        <w:rPr>
          <w:rFonts w:eastAsia="Times New Roman" w:cs="Times New Roman"/>
          <w:kern w:val="0"/>
          <w:lang w:eastAsia="en-GB"/>
          <w14:ligatures w14:val="none"/>
        </w:rPr>
      </w:pPr>
      <w:r w:rsidRPr="001A57E5">
        <w:rPr>
          <w:rFonts w:eastAsia="Times New Roman" w:cs="Times New Roman"/>
          <w:b/>
          <w:bCs/>
          <w:kern w:val="0"/>
          <w:sz w:val="27"/>
          <w:szCs w:val="27"/>
          <w:lang w:eastAsia="en-GB"/>
          <w14:ligatures w14:val="none"/>
        </w:rPr>
        <w:t xml:space="preserve">Motivation </w:t>
      </w:r>
    </w:p>
    <w:p w14:paraId="421C1FF1"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Motivation is a critical factor influencing employee and member engagement and performance within any organisation, including a trade union. Several theories offer insights into what drives individuals, and their relevance to a trade union context varies.</w:t>
      </w:r>
    </w:p>
    <w:p w14:paraId="4C0230A6"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Maslow's Hierarchy of Needs (1943) posits that individuals are motivated by a hierarchy of five needs: physiological, safety, social, esteem, and self-actualisation. In a trade union, physiological and safety needs are often addressed through collective bargaining for better wages, working conditions, and job security. Social needs are met through union membership itself, which provides a sense of belonging and solidarity. Esteem needs can be satisfied through recognition for activism or leadership roles, while self-actualisation might be achieved through advocating for social justice or contributing to significant policy changes. While intuitive, Maslow's theory is often criticised for its rigid hierarchical structure, as individuals may pursue higher-level needs even when lower-level ones are not fully met (Wahba &amp; Bridwell, 1976). However, it provides a useful lens for understanding the broad spectrum of needs that unions aim to address for their members.</w:t>
      </w:r>
    </w:p>
    <w:p w14:paraId="0B1130D1"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 xml:space="preserve">Herzberg's Two-Factor Theory (1968) distinguished between "hygiene factors," such as salary, working conditions, and company policy, which prevent dissatisfaction but do not motivate, and "motivators," such as achievement, recognition, responsibility, and advancement, which actively lead to satisfaction and motivation. In a trade union, successful collective bargaining often focuses on improving hygiene factors for members. However, true motivation for union activism or staff performance often </w:t>
      </w:r>
      <w:r w:rsidRPr="00F56986">
        <w:rPr>
          <w:rFonts w:eastAsia="Times New Roman" w:cs="Times New Roman"/>
          <w:kern w:val="0"/>
          <w:lang w:eastAsia="en-GB"/>
          <w14:ligatures w14:val="none"/>
        </w:rPr>
        <w:lastRenderedPageBreak/>
        <w:t>comes from motivators: achieving a successful negotiation, being recognised for organising efforts, or taking on greater responsibility in union governance. This theory highlights that simply improving working conditions (hygiene) might not be enough to inspire active participation; opportunities for growth and recognition are also vital.</w:t>
      </w:r>
    </w:p>
    <w:p w14:paraId="2E30F9BF" w14:textId="447CD114" w:rsidR="00626B9D" w:rsidRPr="00996B6F" w:rsidRDefault="00F56986" w:rsidP="003B69B1">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Overall, while each theory offers valuable insights, a comprehensive understanding of motivation in a trade union requires considering a blend of these perspectives, recognising that individuals are driven by a complex interplay of basic needs, intrinsic satisfiers, perceived fairness, and expectations of outcomes.</w:t>
      </w:r>
    </w:p>
    <w:p w14:paraId="3381C532" w14:textId="1B29D083" w:rsidR="00F56986" w:rsidRPr="00F56986" w:rsidRDefault="00F56986" w:rsidP="003B69B1">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sz w:val="27"/>
          <w:szCs w:val="27"/>
          <w:lang w:eastAsia="en-GB"/>
          <w14:ligatures w14:val="none"/>
        </w:rPr>
        <w:t>Performance and Motivation in the Workplace</w:t>
      </w:r>
    </w:p>
    <w:p w14:paraId="1476D85F"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Performance and motivation in any workplace, including a trade union, are influenced by a myriad of interconnected factors. Understanding these is crucial for managers seeking to optimise productivity and foster a positive working environment.</w:t>
      </w:r>
    </w:p>
    <w:p w14:paraId="18449E2D" w14:textId="77777777" w:rsidR="00D13B83"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The leadership style taken by managers and union leaders significantly impacts motivation. Autocratic styles can stifle initiative and create resentment, while participative or transformational leadership can empower individuals, foster commitment, and enhance performance. In a trade union, a leader who actively listens to members, delegates responsibility, and inspires collective action is likely to cultivate higher motivation and performance than one who dictates terms (Bass &amp; Riggio, 2006). A supportive, transparent, and inclusive organisational culture promotes motivation. If the trade union culture values open communication, mutual respect, and collective achievement, members and staff are more likely to feel valued and engaged. Conversely, a bureaucratic or conflict-ridden culture can lead to apathy and disengagement. Beyond financial compensation, non-monetary recognition, such as public acknowledgement of contributions or opportunities for development, is a powerful motivator. In a trade union, recognising the voluntary efforts of activists or the dedication of staff can significantly boost morale and encourage continued commitment</w:t>
      </w:r>
    </w:p>
    <w:p w14:paraId="2E5779BF" w14:textId="1B74F413"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 xml:space="preserve"> A lack of recognition, even for significant achievements, can quickly demotivate. Job security and working conditions, while often seen as hygiene factors, profoundly impact motivation when absent. The core mission of a trade union is to improve these for its members, and staff within the union also value stability and a safe, conducive working environment. Uncertainty or poor conditions can lead to anxiety and reduced focus. Individuals are often motivated by the prospect of learning new skills, taking on new challenges, and advancing their careers. Providing training, mentorship, and opportunities for progression within the union structure can enhance motivation and performance. This is particularly relevant for volunteers who may seek to develop their advocacy or leadership skills. Poor communication, lack of transparency regarding decisions, or inconsistent messaging can breed distrust and demotivation. Conversely, clear, consistent, and open communication about union strategies, challenges, and successes helps to align individuals with organisational goals and fosters a sense of shared purpose (Pfeffer, 1998). For members, the success or failure of collective bargaining outcomes directly impacts their motivation and perception of the union's </w:t>
      </w:r>
      <w:r w:rsidRPr="00F56986">
        <w:rPr>
          <w:rFonts w:eastAsia="Times New Roman" w:cs="Times New Roman"/>
          <w:kern w:val="0"/>
          <w:lang w:eastAsia="en-GB"/>
          <w14:ligatures w14:val="none"/>
        </w:rPr>
        <w:lastRenderedPageBreak/>
        <w:t>effectiveness. Positive outcomes, such as pay rises or improved benefits, boost morale, while perceived failures can lead to disillusionment.</w:t>
      </w:r>
    </w:p>
    <w:p w14:paraId="6CE667EE"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These factors interact dynamically, and a weakness in one area can undermine strengths in others. Effective management requires a holistic approach to addressing these influences to sustain high levels of performance and motivation.</w:t>
      </w:r>
    </w:p>
    <w:p w14:paraId="264D2BC0"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For this analysis, McClelland's Acquired Needs Theory (McClelland, 1961) will be applied to the trade union workplace. This theory posits that individuals develop three primary needs over their lifetime through experience: the Need for Achievement (nAch), the Need for Affiliation (nAff), and the Need for Power (nPow). Understanding these needs can provide a powerful lens through which to tailor communication strategies and enhance motivation within the union.</w:t>
      </w:r>
    </w:p>
    <w:p w14:paraId="79942170" w14:textId="757F1CE1" w:rsidR="00F56986" w:rsidRPr="00F56986" w:rsidRDefault="00F56986" w:rsidP="00F56986">
      <w:pPr>
        <w:spacing w:before="100" w:beforeAutospacing="1" w:after="100" w:afterAutospacing="1" w:line="240" w:lineRule="auto"/>
        <w:outlineLvl w:val="3"/>
        <w:rPr>
          <w:rFonts w:eastAsia="Times New Roman" w:cs="Times New Roman"/>
          <w:b/>
          <w:bCs/>
          <w:kern w:val="0"/>
          <w:lang w:eastAsia="en-GB"/>
          <w14:ligatures w14:val="none"/>
        </w:rPr>
      </w:pPr>
      <w:r w:rsidRPr="00F56986">
        <w:rPr>
          <w:rFonts w:eastAsia="Times New Roman" w:cs="Times New Roman"/>
          <w:b/>
          <w:bCs/>
          <w:kern w:val="0"/>
          <w:lang w:eastAsia="en-GB"/>
          <w14:ligatures w14:val="none"/>
        </w:rPr>
        <w:t>Application to the Trade Union Workplace</w:t>
      </w:r>
    </w:p>
    <w:p w14:paraId="42D3CAD6"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Individuals with a high Need for Achievement (nAch) are driven by a desire to excel, achieve challenging goals, and receive feedback on their performance. In a trade union, this need is evident in members who actively participate in campaigns, strive for successful negotiation outcomes, or volunteer for challenging organising drives. Union officials and staff with high nAch are motivated by securing better terms and conditions for members, winning legal cases, or growing union membership. Recognising and leveraging nAch means setting clear, challenging, yet achievable goals for campaigns or projects. Communication should focus on progress metrics, celebrating successes, for example, "We achieved a 5% pay rise!", and providing constructive feedback on performance. For staff, this might involve assigning them to lead specific initiatives or complex cases. This approach can significantly boost engagement and performance by appealing to their desire for accomplishment.</w:t>
      </w:r>
    </w:p>
    <w:p w14:paraId="29C95054" w14:textId="1EA504DE" w:rsidR="00F56986" w:rsidRPr="00F56986" w:rsidRDefault="00F56986" w:rsidP="006B0EE0">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 xml:space="preserve">Individuals with a high Need for Power (nPow) desire to influence others, control their environment, and make an impact. This can manifest as either personal power, dominating others, or institutional power, influencing for the good of the organisation. In a trade union, this need is evident in leaders who seek to influence policy, negotiate on behalf of members, or represent the union in public forums. Shop stewards and committee members often have a high nPow, seeking to empower their colleagues and challenge management decisions. For those with high nPow, communication should offer opportunities for leadership, influence, and decision-making. Delegating responsibilities, involving them in strategic planning, and providing platforms for them to advocate for members can be highly motivating. For example, inviting a shop steward to present a case at a formal hearing or empowering a member to lead a local campaign. Messages should acknowledge their influence and the impact of their actions. This can be particularly effective in developing future union leaders and ensuring strong representation, provided the power is </w:t>
      </w:r>
      <w:r w:rsidR="007B3D80" w:rsidRPr="00F56986">
        <w:rPr>
          <w:rFonts w:eastAsia="Times New Roman" w:cs="Times New Roman"/>
          <w:kern w:val="0"/>
          <w:lang w:eastAsia="en-GB"/>
          <w14:ligatures w14:val="none"/>
        </w:rPr>
        <w:t>channelled</w:t>
      </w:r>
      <w:r w:rsidRPr="00F56986">
        <w:rPr>
          <w:rFonts w:eastAsia="Times New Roman" w:cs="Times New Roman"/>
          <w:kern w:val="0"/>
          <w:lang w:eastAsia="en-GB"/>
          <w14:ligatures w14:val="none"/>
        </w:rPr>
        <w:t xml:space="preserve"> towards institutional goals rather than personal gain (McClelland &amp; Burnham, 1976).</w:t>
      </w:r>
    </w:p>
    <w:p w14:paraId="2B1B7066"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 xml:space="preserve">Applying McClelland's theory allows for a more nuanced and targeted approach to motivation and communication within the trade union. By understanding the dominant </w:t>
      </w:r>
      <w:r w:rsidRPr="00F56986">
        <w:rPr>
          <w:rFonts w:eastAsia="Times New Roman" w:cs="Times New Roman"/>
          <w:kern w:val="0"/>
          <w:lang w:eastAsia="en-GB"/>
          <w14:ligatures w14:val="none"/>
        </w:rPr>
        <w:lastRenderedPageBreak/>
        <w:t xml:space="preserve">needs of different individuals (members, volunteers, staff), managers can tailor their messages, delegate tasks, and create opportunities that resonate with specific motivational drivers. This leads to increased engagement, as members </w:t>
      </w:r>
      <w:proofErr w:type="gramStart"/>
      <w:r w:rsidRPr="00F56986">
        <w:rPr>
          <w:rFonts w:eastAsia="Times New Roman" w:cs="Times New Roman"/>
          <w:kern w:val="0"/>
          <w:lang w:eastAsia="en-GB"/>
          <w14:ligatures w14:val="none"/>
        </w:rPr>
        <w:t>whose</w:t>
      </w:r>
      <w:proofErr w:type="gramEnd"/>
      <w:r w:rsidRPr="00F56986">
        <w:rPr>
          <w:rFonts w:eastAsia="Times New Roman" w:cs="Times New Roman"/>
          <w:kern w:val="0"/>
          <w:lang w:eastAsia="en-GB"/>
          <w14:ligatures w14:val="none"/>
        </w:rPr>
        <w:t xml:space="preserve"> nAff is met through community events are more likely to attend and participate, and those with high nAch will be drawn to challenging roles. It also results in improved performance, as staff and volunteers assigned tasks aligned with their dominant needs are likely to perform better and with greater enthusiasm. Furthermore, it fosters stronger leadership development by identifying individuals with high nPow and providing them with appropriate leadership opportunities, cultivating effective union representatives. Finally, communication becomes more effective, as messages can be framed to appeal to specific needs, for example, "Join us to achieve a fairer workplace!" for nAch, "Stand together for solidarity!" for nAff, and "Influence policy for your colleagues!" for nPow.</w:t>
      </w:r>
    </w:p>
    <w:p w14:paraId="7A801A2F" w14:textId="77777777"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kern w:val="0"/>
          <w:lang w:eastAsia="en-GB"/>
          <w14:ligatures w14:val="none"/>
        </w:rPr>
        <w:t>To systematically evaluate my own communication effectiveness as a manager within a trade union, it is essential to establish clear, measurable criteria. These criteria should encompass both the technical aspects of communication and its impact on the audience and organisational objectives. Building upon established communication principles, I propose the following:</w:t>
      </w:r>
    </w:p>
    <w:p w14:paraId="0E4FB27F" w14:textId="79C6BE34" w:rsidR="00F56986" w:rsidRPr="00F56986" w:rsidRDefault="00F56986" w:rsidP="00F56986">
      <w:pPr>
        <w:spacing w:before="100" w:beforeAutospacing="1" w:after="100" w:afterAutospacing="1" w:line="240" w:lineRule="auto"/>
        <w:outlineLvl w:val="3"/>
        <w:rPr>
          <w:rFonts w:eastAsia="Times New Roman" w:cs="Times New Roman"/>
          <w:b/>
          <w:bCs/>
          <w:kern w:val="0"/>
          <w:lang w:eastAsia="en-GB"/>
          <w14:ligatures w14:val="none"/>
        </w:rPr>
      </w:pPr>
      <w:r w:rsidRPr="00F56986">
        <w:rPr>
          <w:rFonts w:eastAsia="Times New Roman" w:cs="Times New Roman"/>
          <w:b/>
          <w:bCs/>
          <w:kern w:val="0"/>
          <w:lang w:eastAsia="en-GB"/>
          <w14:ligatures w14:val="none"/>
        </w:rPr>
        <w:t>Methods for Collecting Feedback</w:t>
      </w:r>
    </w:p>
    <w:p w14:paraId="227F79C5" w14:textId="187A661D"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lang w:eastAsia="en-GB"/>
          <w14:ligatures w14:val="none"/>
        </w:rPr>
        <w:t>360-Degree Feedback</w:t>
      </w:r>
      <w:r w:rsidR="00996B6F">
        <w:rPr>
          <w:rFonts w:eastAsia="Times New Roman" w:cs="Times New Roman"/>
          <w:b/>
          <w:bCs/>
          <w:kern w:val="0"/>
          <w:lang w:eastAsia="en-GB"/>
          <w14:ligatures w14:val="none"/>
        </w:rPr>
        <w:t xml:space="preserve"> -</w:t>
      </w:r>
      <w:r w:rsidRPr="00F56986">
        <w:rPr>
          <w:rFonts w:eastAsia="Times New Roman" w:cs="Times New Roman"/>
          <w:kern w:val="0"/>
          <w:lang w:eastAsia="en-GB"/>
          <w14:ligatures w14:val="none"/>
        </w:rPr>
        <w:t xml:space="preserve"> involves soliciting feedback from superiors, peers, direct reports (if applicable), and key external stakeholders, such as union members or employer representatives. This can be done verbally by asking direct questions after meetings or presentations, for example, "Was my explanation of the new policy clear?" or "Did I address your concerns adequately?". For sensitive issues, a more structured feedback session might be necessary. Written feedback can be gathered through anonymous surveys, such as Google Forms, distributed to members after a campaign or to colleagues after a project, asking specific questions about clarity, tone, and impact of written communications like emails, reports, and newsletters. Formal performance reviews often include sections on communication skills.</w:t>
      </w:r>
    </w:p>
    <w:p w14:paraId="2D5256B6" w14:textId="2BF80284" w:rsidR="007B3D80"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lang w:eastAsia="en-GB"/>
          <w14:ligatures w14:val="none"/>
        </w:rPr>
        <w:t>Direct Observation</w:t>
      </w:r>
      <w:proofErr w:type="gramStart"/>
      <w:r w:rsidR="00996B6F">
        <w:rPr>
          <w:rFonts w:eastAsia="Times New Roman" w:cs="Times New Roman"/>
          <w:b/>
          <w:bCs/>
          <w:kern w:val="0"/>
          <w:lang w:eastAsia="en-GB"/>
          <w14:ligatures w14:val="none"/>
        </w:rPr>
        <w:t xml:space="preserve">- </w:t>
      </w:r>
      <w:r w:rsidRPr="00F56986">
        <w:rPr>
          <w:rFonts w:eastAsia="Times New Roman" w:cs="Times New Roman"/>
          <w:kern w:val="0"/>
          <w:lang w:eastAsia="en-GB"/>
          <w14:ligatures w14:val="none"/>
        </w:rPr>
        <w:t xml:space="preserve"> involves</w:t>
      </w:r>
      <w:proofErr w:type="gramEnd"/>
      <w:r w:rsidRPr="00F56986">
        <w:rPr>
          <w:rFonts w:eastAsia="Times New Roman" w:cs="Times New Roman"/>
          <w:kern w:val="0"/>
          <w:lang w:eastAsia="en-GB"/>
          <w14:ligatures w14:val="none"/>
        </w:rPr>
        <w:t xml:space="preserve"> asking a trusted colleague or mentor to observe my communication in specific settings, for example, leading a meeting or presenting a grievance, and provide structured feedback. </w:t>
      </w:r>
    </w:p>
    <w:p w14:paraId="34405046" w14:textId="11CA00D9" w:rsidR="0094782E"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lang w:eastAsia="en-GB"/>
          <w14:ligatures w14:val="none"/>
        </w:rPr>
        <w:t>Self-Reflection and Recording</w:t>
      </w:r>
      <w:r w:rsidR="00996B6F">
        <w:rPr>
          <w:rFonts w:eastAsia="Times New Roman" w:cs="Times New Roman"/>
          <w:b/>
          <w:bCs/>
          <w:kern w:val="0"/>
          <w:lang w:eastAsia="en-GB"/>
          <w14:ligatures w14:val="none"/>
        </w:rPr>
        <w:t xml:space="preserve"> </w:t>
      </w:r>
      <w:proofErr w:type="gramStart"/>
      <w:r w:rsidR="00996B6F">
        <w:rPr>
          <w:rFonts w:eastAsia="Times New Roman" w:cs="Times New Roman"/>
          <w:b/>
          <w:bCs/>
          <w:kern w:val="0"/>
          <w:lang w:eastAsia="en-GB"/>
          <w14:ligatures w14:val="none"/>
        </w:rPr>
        <w:t xml:space="preserve">- </w:t>
      </w:r>
      <w:r w:rsidRPr="00F56986">
        <w:rPr>
          <w:rFonts w:eastAsia="Times New Roman" w:cs="Times New Roman"/>
          <w:kern w:val="0"/>
          <w:lang w:eastAsia="en-GB"/>
          <w14:ligatures w14:val="none"/>
        </w:rPr>
        <w:t xml:space="preserve"> entails</w:t>
      </w:r>
      <w:proofErr w:type="gramEnd"/>
      <w:r w:rsidRPr="00F56986">
        <w:rPr>
          <w:rFonts w:eastAsia="Times New Roman" w:cs="Times New Roman"/>
          <w:kern w:val="0"/>
          <w:lang w:eastAsia="en-GB"/>
          <w14:ligatures w14:val="none"/>
        </w:rPr>
        <w:t xml:space="preserve"> reviewing recordings of my own presentations or meetings (if permissible) to critically assess verbal delivery, body language, and active listening. It also includes reviewing my own written communications before sending them, looking for clarity, conciseness, and tone. Finally, </w:t>
      </w:r>
      <w:r w:rsidRPr="00F56986">
        <w:rPr>
          <w:rFonts w:eastAsia="Times New Roman" w:cs="Times New Roman"/>
          <w:b/>
          <w:bCs/>
          <w:kern w:val="0"/>
          <w:lang w:eastAsia="en-GB"/>
          <w14:ligatures w14:val="none"/>
        </w:rPr>
        <w:t>Informal Conversations</w:t>
      </w:r>
      <w:r w:rsidRPr="00F56986">
        <w:rPr>
          <w:rFonts w:eastAsia="Times New Roman" w:cs="Times New Roman"/>
          <w:kern w:val="0"/>
          <w:lang w:eastAsia="en-GB"/>
          <w14:ligatures w14:val="none"/>
        </w:rPr>
        <w:t xml:space="preserve"> involve regularly engaging in brief, informal check-ins with colleagues and members, asking for their thoughts on recent communications.</w:t>
      </w:r>
    </w:p>
    <w:p w14:paraId="5F937906" w14:textId="152F69E1" w:rsidR="0094782E" w:rsidRDefault="0094782E" w:rsidP="0094782E">
      <w:pPr>
        <w:spacing w:before="100" w:beforeAutospacing="1" w:after="100" w:afterAutospacing="1" w:line="240" w:lineRule="auto"/>
        <w:outlineLvl w:val="2"/>
        <w:rPr>
          <w:rFonts w:eastAsia="Times New Roman" w:cs="Times New Roman"/>
          <w:b/>
          <w:bCs/>
          <w:kern w:val="0"/>
          <w:sz w:val="27"/>
          <w:szCs w:val="27"/>
          <w:lang w:eastAsia="en-GB"/>
          <w14:ligatures w14:val="none"/>
        </w:rPr>
      </w:pPr>
      <w:r w:rsidRPr="00F56986">
        <w:rPr>
          <w:rFonts w:eastAsia="Times New Roman" w:cs="Times New Roman"/>
          <w:b/>
          <w:bCs/>
          <w:kern w:val="0"/>
          <w:sz w:val="27"/>
          <w:szCs w:val="27"/>
          <w:lang w:eastAsia="en-GB"/>
          <w14:ligatures w14:val="none"/>
        </w:rPr>
        <w:t>Professional Development Plan (PDP)</w:t>
      </w:r>
    </w:p>
    <w:p w14:paraId="5B38C121" w14:textId="77777777" w:rsidR="0094782E"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lang w:eastAsia="en-GB"/>
          <w14:ligatures w14:val="none"/>
        </w:rPr>
        <w:t>Name:</w:t>
      </w:r>
      <w:r w:rsidRPr="00F56986">
        <w:rPr>
          <w:rFonts w:eastAsia="Times New Roman" w:cs="Times New Roman"/>
          <w:kern w:val="0"/>
          <w:lang w:eastAsia="en-GB"/>
          <w14:ligatures w14:val="none"/>
        </w:rPr>
        <w:t xml:space="preserve"> Jack Harper </w:t>
      </w:r>
    </w:p>
    <w:p w14:paraId="1D7AF488" w14:textId="77777777" w:rsidR="0094782E"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lang w:eastAsia="en-GB"/>
          <w14:ligatures w14:val="none"/>
        </w:rPr>
        <w:lastRenderedPageBreak/>
        <w:t>Role:</w:t>
      </w:r>
      <w:r w:rsidRPr="00F56986">
        <w:rPr>
          <w:rFonts w:eastAsia="Times New Roman" w:cs="Times New Roman"/>
          <w:kern w:val="0"/>
          <w:lang w:eastAsia="en-GB"/>
          <w14:ligatures w14:val="none"/>
        </w:rPr>
        <w:t xml:space="preserve"> Union Organiser </w:t>
      </w:r>
    </w:p>
    <w:p w14:paraId="56AA89D7" w14:textId="77777777" w:rsidR="0094782E"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lang w:eastAsia="en-GB"/>
          <w14:ligatures w14:val="none"/>
        </w:rPr>
        <w:t>Organisation:</w:t>
      </w:r>
      <w:r w:rsidRPr="00F56986">
        <w:rPr>
          <w:rFonts w:eastAsia="Times New Roman" w:cs="Times New Roman"/>
          <w:kern w:val="0"/>
          <w:lang w:eastAsia="en-GB"/>
          <w14:ligatures w14:val="none"/>
        </w:rPr>
        <w:t xml:space="preserve"> Community Union </w:t>
      </w:r>
    </w:p>
    <w:p w14:paraId="77B03EE2" w14:textId="3249B8D6" w:rsidR="00F56986" w:rsidRPr="00F56986" w:rsidRDefault="00F56986" w:rsidP="00F56986">
      <w:pPr>
        <w:spacing w:before="100" w:beforeAutospacing="1" w:after="100" w:afterAutospacing="1" w:line="240" w:lineRule="auto"/>
        <w:rPr>
          <w:rFonts w:eastAsia="Times New Roman" w:cs="Times New Roman"/>
          <w:kern w:val="0"/>
          <w:lang w:eastAsia="en-GB"/>
          <w14:ligatures w14:val="none"/>
        </w:rPr>
      </w:pPr>
      <w:r w:rsidRPr="00F56986">
        <w:rPr>
          <w:rFonts w:eastAsia="Times New Roman" w:cs="Times New Roman"/>
          <w:b/>
          <w:bCs/>
          <w:kern w:val="0"/>
          <w:lang w:eastAsia="en-GB"/>
          <w14:ligatures w14:val="none"/>
        </w:rPr>
        <w:t>Date:</w:t>
      </w:r>
      <w:r w:rsidRPr="00F56986">
        <w:rPr>
          <w:rFonts w:eastAsia="Times New Roman" w:cs="Times New Roman"/>
          <w:kern w:val="0"/>
          <w:lang w:eastAsia="en-GB"/>
          <w14:ligatures w14:val="none"/>
        </w:rPr>
        <w:t xml:space="preserve"> 27/05/25</w:t>
      </w:r>
    </w:p>
    <w:tbl>
      <w:tblPr>
        <w:tblStyle w:val="TableGrid"/>
        <w:tblW w:w="0" w:type="auto"/>
        <w:tblLayout w:type="fixed"/>
        <w:tblLook w:val="04A0" w:firstRow="1" w:lastRow="0" w:firstColumn="1" w:lastColumn="0" w:noHBand="0" w:noVBand="1"/>
      </w:tblPr>
      <w:tblGrid>
        <w:gridCol w:w="1838"/>
        <w:gridCol w:w="2007"/>
        <w:gridCol w:w="1890"/>
        <w:gridCol w:w="1509"/>
        <w:gridCol w:w="1772"/>
      </w:tblGrid>
      <w:tr w:rsidR="006C06A6" w:rsidRPr="001A57E5" w14:paraId="0E990822" w14:textId="77777777" w:rsidTr="0049153B">
        <w:trPr>
          <w:trHeight w:val="856"/>
        </w:trPr>
        <w:tc>
          <w:tcPr>
            <w:tcW w:w="1838" w:type="dxa"/>
          </w:tcPr>
          <w:p w14:paraId="2F0AA5F8" w14:textId="0B082009" w:rsidR="00613FBF" w:rsidRPr="001A57E5" w:rsidRDefault="006C06A6" w:rsidP="00F77C9E">
            <w:pPr>
              <w:rPr>
                <w:sz w:val="20"/>
                <w:szCs w:val="20"/>
              </w:rPr>
            </w:pPr>
            <w:r w:rsidRPr="001A57E5">
              <w:rPr>
                <w:sz w:val="20"/>
                <w:szCs w:val="20"/>
              </w:rPr>
              <w:t>Goal (SMART)</w:t>
            </w:r>
          </w:p>
        </w:tc>
        <w:tc>
          <w:tcPr>
            <w:tcW w:w="2007" w:type="dxa"/>
          </w:tcPr>
          <w:p w14:paraId="468DDFE1" w14:textId="6D6420D9" w:rsidR="00613FBF" w:rsidRPr="001A57E5" w:rsidRDefault="006C06A6" w:rsidP="00F77C9E">
            <w:pPr>
              <w:rPr>
                <w:sz w:val="20"/>
                <w:szCs w:val="20"/>
              </w:rPr>
            </w:pPr>
            <w:r w:rsidRPr="001A57E5">
              <w:rPr>
                <w:sz w:val="20"/>
                <w:szCs w:val="20"/>
              </w:rPr>
              <w:t>Specific actions</w:t>
            </w:r>
          </w:p>
        </w:tc>
        <w:tc>
          <w:tcPr>
            <w:tcW w:w="1890" w:type="dxa"/>
          </w:tcPr>
          <w:p w14:paraId="4BD28AD6" w14:textId="455ED528" w:rsidR="00613FBF" w:rsidRPr="001A57E5" w:rsidRDefault="006C06A6" w:rsidP="00F77C9E">
            <w:pPr>
              <w:rPr>
                <w:sz w:val="20"/>
                <w:szCs w:val="20"/>
              </w:rPr>
            </w:pPr>
            <w:r w:rsidRPr="001A57E5">
              <w:rPr>
                <w:sz w:val="20"/>
                <w:szCs w:val="20"/>
              </w:rPr>
              <w:t>Resources/Support</w:t>
            </w:r>
          </w:p>
        </w:tc>
        <w:tc>
          <w:tcPr>
            <w:tcW w:w="1509" w:type="dxa"/>
          </w:tcPr>
          <w:p w14:paraId="6725143F" w14:textId="42EC4000" w:rsidR="00613FBF" w:rsidRPr="001A57E5" w:rsidRDefault="006C06A6" w:rsidP="00F77C9E">
            <w:pPr>
              <w:rPr>
                <w:sz w:val="20"/>
                <w:szCs w:val="20"/>
              </w:rPr>
            </w:pPr>
            <w:r w:rsidRPr="001A57E5">
              <w:rPr>
                <w:sz w:val="20"/>
                <w:szCs w:val="20"/>
              </w:rPr>
              <w:t>Deadline</w:t>
            </w:r>
          </w:p>
        </w:tc>
        <w:tc>
          <w:tcPr>
            <w:tcW w:w="1772" w:type="dxa"/>
          </w:tcPr>
          <w:p w14:paraId="1486B34B" w14:textId="5A2EE5DA" w:rsidR="00613FBF" w:rsidRPr="001A57E5" w:rsidRDefault="006C06A6" w:rsidP="00F77C9E">
            <w:pPr>
              <w:rPr>
                <w:sz w:val="20"/>
                <w:szCs w:val="20"/>
              </w:rPr>
            </w:pPr>
            <w:r w:rsidRPr="001A57E5">
              <w:rPr>
                <w:sz w:val="20"/>
                <w:szCs w:val="20"/>
              </w:rPr>
              <w:t>Measurement of Success</w:t>
            </w:r>
          </w:p>
        </w:tc>
      </w:tr>
      <w:tr w:rsidR="006C06A6" w:rsidRPr="001A57E5" w14:paraId="4D9EB780" w14:textId="77777777" w:rsidTr="0049153B">
        <w:trPr>
          <w:trHeight w:val="1531"/>
        </w:trPr>
        <w:tc>
          <w:tcPr>
            <w:tcW w:w="1838" w:type="dxa"/>
          </w:tcPr>
          <w:p w14:paraId="1FD9C98F" w14:textId="17A7F5B6" w:rsidR="00613FBF" w:rsidRPr="001A57E5" w:rsidRDefault="00CA47D7" w:rsidP="00F77C9E">
            <w:pPr>
              <w:rPr>
                <w:sz w:val="20"/>
                <w:szCs w:val="20"/>
              </w:rPr>
            </w:pPr>
            <w:r w:rsidRPr="001A57E5">
              <w:rPr>
                <w:sz w:val="20"/>
                <w:szCs w:val="20"/>
              </w:rPr>
              <w:t>Goal 1: Improve adaptability of verbal tone and formality in informal/sensitive member interactions.</w:t>
            </w:r>
          </w:p>
        </w:tc>
        <w:tc>
          <w:tcPr>
            <w:tcW w:w="2007" w:type="dxa"/>
          </w:tcPr>
          <w:p w14:paraId="01163830" w14:textId="6BF9BF91" w:rsidR="00613FBF" w:rsidRPr="001A57E5" w:rsidRDefault="00910929" w:rsidP="00F77C9E">
            <w:pPr>
              <w:rPr>
                <w:sz w:val="20"/>
                <w:szCs w:val="20"/>
              </w:rPr>
            </w:pPr>
            <w:r w:rsidRPr="001A57E5">
              <w:rPr>
                <w:sz w:val="20"/>
                <w:szCs w:val="20"/>
              </w:rPr>
              <w:t>Attend a workshop on empathetic communication and active listening by August 2025. Practice softening tone and using more approachable language in one-on-one member grievance discussions (at least 5 instances per month). Role-play sensitive conversations with a mentor.</w:t>
            </w:r>
          </w:p>
        </w:tc>
        <w:tc>
          <w:tcPr>
            <w:tcW w:w="1890" w:type="dxa"/>
          </w:tcPr>
          <w:p w14:paraId="4C76369E" w14:textId="2CC1F27D" w:rsidR="00613FBF" w:rsidRPr="001A57E5" w:rsidRDefault="005C76F6" w:rsidP="00F77C9E">
            <w:pPr>
              <w:rPr>
                <w:sz w:val="20"/>
                <w:szCs w:val="20"/>
              </w:rPr>
            </w:pPr>
            <w:r w:rsidRPr="001A57E5">
              <w:rPr>
                <w:sz w:val="20"/>
                <w:szCs w:val="20"/>
              </w:rPr>
              <w:t>Communication Skills Workshop (external), Mentor (senior union official), Role-play scenarios.</w:t>
            </w:r>
          </w:p>
        </w:tc>
        <w:tc>
          <w:tcPr>
            <w:tcW w:w="1509" w:type="dxa"/>
          </w:tcPr>
          <w:p w14:paraId="6E1A398B" w14:textId="2039C280" w:rsidR="00613FBF" w:rsidRPr="001A57E5" w:rsidRDefault="005C76F6" w:rsidP="00F77C9E">
            <w:pPr>
              <w:rPr>
                <w:sz w:val="20"/>
                <w:szCs w:val="20"/>
              </w:rPr>
            </w:pPr>
            <w:r w:rsidRPr="001A57E5">
              <w:rPr>
                <w:sz w:val="20"/>
                <w:szCs w:val="20"/>
              </w:rPr>
              <w:t>By September 30, 2025</w:t>
            </w:r>
          </w:p>
        </w:tc>
        <w:tc>
          <w:tcPr>
            <w:tcW w:w="1772" w:type="dxa"/>
          </w:tcPr>
          <w:p w14:paraId="7F1E6F3F" w14:textId="0436526B" w:rsidR="00613FBF" w:rsidRPr="001A57E5" w:rsidRDefault="005C76F6" w:rsidP="00F77C9E">
            <w:pPr>
              <w:rPr>
                <w:sz w:val="20"/>
                <w:szCs w:val="20"/>
              </w:rPr>
            </w:pPr>
            <w:r w:rsidRPr="001A57E5">
              <w:rPr>
                <w:sz w:val="20"/>
                <w:szCs w:val="20"/>
              </w:rPr>
              <w:t>Feedback from members (informal check-ins) indicating increased comfort and trust. Mentor observation feedback showing improved empathy and adaptability.</w:t>
            </w:r>
          </w:p>
        </w:tc>
      </w:tr>
      <w:tr w:rsidR="006C06A6" w:rsidRPr="001A57E5" w14:paraId="76620772" w14:textId="77777777" w:rsidTr="0049153B">
        <w:trPr>
          <w:trHeight w:val="2599"/>
        </w:trPr>
        <w:tc>
          <w:tcPr>
            <w:tcW w:w="1838" w:type="dxa"/>
          </w:tcPr>
          <w:p w14:paraId="5CF28DD4" w14:textId="34C148CA" w:rsidR="00613FBF" w:rsidRPr="001A57E5" w:rsidRDefault="0062446E" w:rsidP="00F77C9E">
            <w:pPr>
              <w:rPr>
                <w:sz w:val="20"/>
                <w:szCs w:val="20"/>
              </w:rPr>
            </w:pPr>
            <w:r w:rsidRPr="001A57E5">
              <w:rPr>
                <w:sz w:val="20"/>
                <w:szCs w:val="20"/>
              </w:rPr>
              <w:t>Goal 2: Enhance conciseness of internal written communications (emails, memos).</w:t>
            </w:r>
          </w:p>
        </w:tc>
        <w:tc>
          <w:tcPr>
            <w:tcW w:w="2007" w:type="dxa"/>
          </w:tcPr>
          <w:p w14:paraId="6037E02C" w14:textId="68ACE9D4" w:rsidR="00613FBF" w:rsidRPr="001A57E5" w:rsidRDefault="008560AF" w:rsidP="00F77C9E">
            <w:pPr>
              <w:rPr>
                <w:sz w:val="20"/>
                <w:szCs w:val="20"/>
              </w:rPr>
            </w:pPr>
            <w:r w:rsidRPr="001A57E5">
              <w:rPr>
                <w:sz w:val="20"/>
                <w:szCs w:val="20"/>
              </w:rPr>
              <w:t>Review and edit all internal emails and memos before sending, focusing on reducing word count by 15% without losing essential information. Utilize bullet points and shorter sentences where appropriate. Seek peer review on draft internal communications.</w:t>
            </w:r>
          </w:p>
        </w:tc>
        <w:tc>
          <w:tcPr>
            <w:tcW w:w="1890" w:type="dxa"/>
          </w:tcPr>
          <w:p w14:paraId="5A9FCFE0" w14:textId="438CFB6B" w:rsidR="00613FBF" w:rsidRPr="001A57E5" w:rsidRDefault="008560AF" w:rsidP="00F77C9E">
            <w:pPr>
              <w:rPr>
                <w:sz w:val="20"/>
                <w:szCs w:val="20"/>
              </w:rPr>
            </w:pPr>
            <w:r w:rsidRPr="001A57E5">
              <w:rPr>
                <w:sz w:val="20"/>
                <w:szCs w:val="20"/>
              </w:rPr>
              <w:t>Online guides on concise writing, Peer review (colleagues), Grammarly/editing tools.</w:t>
            </w:r>
          </w:p>
        </w:tc>
        <w:tc>
          <w:tcPr>
            <w:tcW w:w="1509" w:type="dxa"/>
          </w:tcPr>
          <w:p w14:paraId="3FF6A0B0" w14:textId="5E65F7D3" w:rsidR="00613FBF" w:rsidRPr="001A57E5" w:rsidRDefault="008560AF" w:rsidP="00F77C9E">
            <w:pPr>
              <w:rPr>
                <w:sz w:val="20"/>
                <w:szCs w:val="20"/>
              </w:rPr>
            </w:pPr>
            <w:r w:rsidRPr="001A57E5">
              <w:rPr>
                <w:sz w:val="20"/>
                <w:szCs w:val="20"/>
              </w:rPr>
              <w:t>Ongoing, starting June 2025</w:t>
            </w:r>
          </w:p>
        </w:tc>
        <w:tc>
          <w:tcPr>
            <w:tcW w:w="1772" w:type="dxa"/>
          </w:tcPr>
          <w:p w14:paraId="737F5162" w14:textId="6918F98F" w:rsidR="00613FBF" w:rsidRPr="001A57E5" w:rsidRDefault="008560AF" w:rsidP="00F77C9E">
            <w:pPr>
              <w:rPr>
                <w:sz w:val="20"/>
                <w:szCs w:val="20"/>
              </w:rPr>
            </w:pPr>
            <w:r w:rsidRPr="001A57E5">
              <w:rPr>
                <w:sz w:val="20"/>
                <w:szCs w:val="20"/>
              </w:rPr>
              <w:t>Feedback from colleagues (informal) indicating improved clarity and readability of internal communications. Reduction in follow-up questions for clarification on internal memos.</w:t>
            </w:r>
          </w:p>
        </w:tc>
      </w:tr>
      <w:tr w:rsidR="006C06A6" w:rsidRPr="001A57E5" w14:paraId="7FB57D4D" w14:textId="77777777" w:rsidTr="0049153B">
        <w:trPr>
          <w:trHeight w:val="2054"/>
        </w:trPr>
        <w:tc>
          <w:tcPr>
            <w:tcW w:w="1838" w:type="dxa"/>
          </w:tcPr>
          <w:p w14:paraId="29C4A184" w14:textId="31D0C7CA" w:rsidR="00613FBF" w:rsidRPr="001A57E5" w:rsidRDefault="00FC1A00" w:rsidP="00F77C9E">
            <w:pPr>
              <w:rPr>
                <w:sz w:val="20"/>
                <w:szCs w:val="20"/>
              </w:rPr>
            </w:pPr>
            <w:r w:rsidRPr="001A57E5">
              <w:rPr>
                <w:sz w:val="20"/>
                <w:szCs w:val="20"/>
              </w:rPr>
              <w:t>Goal 3: Proactively seek feedback on communication effectiveness from diverse sources.</w:t>
            </w:r>
          </w:p>
        </w:tc>
        <w:tc>
          <w:tcPr>
            <w:tcW w:w="2007" w:type="dxa"/>
          </w:tcPr>
          <w:p w14:paraId="77751D97" w14:textId="13A07343" w:rsidR="00613FBF" w:rsidRPr="001A57E5" w:rsidRDefault="00FC1A00" w:rsidP="00F77C9E">
            <w:pPr>
              <w:rPr>
                <w:sz w:val="20"/>
                <w:szCs w:val="20"/>
              </w:rPr>
            </w:pPr>
            <w:r w:rsidRPr="001A57E5">
              <w:rPr>
                <w:sz w:val="20"/>
                <w:szCs w:val="20"/>
              </w:rPr>
              <w:t>Schedule brief, informal feedback sessions with 3-4 different members/colleagues per month after significant communication events (e.g., campaign launch, large meeting). Implement a short, anonymous online survey for feedback after major union-</w:t>
            </w:r>
            <w:r w:rsidRPr="001A57E5">
              <w:rPr>
                <w:sz w:val="20"/>
                <w:szCs w:val="20"/>
              </w:rPr>
              <w:lastRenderedPageBreak/>
              <w:t>wide communications (e.g., quarterly newsletter).</w:t>
            </w:r>
          </w:p>
        </w:tc>
        <w:tc>
          <w:tcPr>
            <w:tcW w:w="1890" w:type="dxa"/>
          </w:tcPr>
          <w:p w14:paraId="62FD257C" w14:textId="0FFD4665" w:rsidR="00FC1A00" w:rsidRPr="001A57E5" w:rsidRDefault="00FC1A00" w:rsidP="00F77C9E">
            <w:pPr>
              <w:rPr>
                <w:sz w:val="20"/>
                <w:szCs w:val="20"/>
              </w:rPr>
            </w:pPr>
            <w:r w:rsidRPr="001A57E5">
              <w:rPr>
                <w:sz w:val="20"/>
                <w:szCs w:val="20"/>
              </w:rPr>
              <w:lastRenderedPageBreak/>
              <w:t>Survey tool (e.g., Google Forms), Calendar reminders, Colleague/member contact list.</w:t>
            </w:r>
          </w:p>
        </w:tc>
        <w:tc>
          <w:tcPr>
            <w:tcW w:w="1509" w:type="dxa"/>
          </w:tcPr>
          <w:p w14:paraId="2493FB29" w14:textId="36781CBB" w:rsidR="00613FBF" w:rsidRPr="001A57E5" w:rsidRDefault="0049153B" w:rsidP="00F77C9E">
            <w:pPr>
              <w:rPr>
                <w:sz w:val="20"/>
                <w:szCs w:val="20"/>
              </w:rPr>
            </w:pPr>
            <w:r w:rsidRPr="001A57E5">
              <w:rPr>
                <w:sz w:val="20"/>
                <w:szCs w:val="20"/>
              </w:rPr>
              <w:t>Ongoing, starting June 2025</w:t>
            </w:r>
          </w:p>
        </w:tc>
        <w:tc>
          <w:tcPr>
            <w:tcW w:w="1772" w:type="dxa"/>
          </w:tcPr>
          <w:p w14:paraId="5C172A10" w14:textId="05ABEE42" w:rsidR="00613FBF" w:rsidRPr="001A57E5" w:rsidRDefault="0049153B" w:rsidP="00F77C9E">
            <w:pPr>
              <w:rPr>
                <w:sz w:val="20"/>
                <w:szCs w:val="20"/>
              </w:rPr>
            </w:pPr>
            <w:r w:rsidRPr="001A57E5">
              <w:rPr>
                <w:sz w:val="20"/>
                <w:szCs w:val="20"/>
              </w:rPr>
              <w:t>At least 3 specific feedback points collected monthly. Completion rate of anonymous surveys (target 50%). Identification of new actionable insights from feedback.</w:t>
            </w:r>
          </w:p>
        </w:tc>
      </w:tr>
      <w:tr w:rsidR="006C06A6" w:rsidRPr="001A57E5" w14:paraId="2E4028CD" w14:textId="77777777" w:rsidTr="0049153B">
        <w:trPr>
          <w:trHeight w:val="1970"/>
        </w:trPr>
        <w:tc>
          <w:tcPr>
            <w:tcW w:w="1838" w:type="dxa"/>
          </w:tcPr>
          <w:p w14:paraId="7094FCD7" w14:textId="6173E1B2" w:rsidR="00613FBF" w:rsidRPr="001A57E5" w:rsidRDefault="00AF5CB4" w:rsidP="00F77C9E">
            <w:pPr>
              <w:rPr>
                <w:sz w:val="20"/>
                <w:szCs w:val="20"/>
              </w:rPr>
            </w:pPr>
            <w:r w:rsidRPr="001A57E5">
              <w:rPr>
                <w:sz w:val="20"/>
                <w:szCs w:val="20"/>
              </w:rPr>
              <w:t>Goal 4: Develop strategies for managing 'noise' and ensuring clear message reception in group discussions.</w:t>
            </w:r>
          </w:p>
        </w:tc>
        <w:tc>
          <w:tcPr>
            <w:tcW w:w="2007" w:type="dxa"/>
          </w:tcPr>
          <w:p w14:paraId="1EB4A657" w14:textId="5A757798" w:rsidR="00613FBF" w:rsidRPr="001A57E5" w:rsidRDefault="00AF5CB4" w:rsidP="00F77C9E">
            <w:pPr>
              <w:rPr>
                <w:sz w:val="20"/>
                <w:szCs w:val="20"/>
              </w:rPr>
            </w:pPr>
            <w:r w:rsidRPr="001A57E5">
              <w:rPr>
                <w:sz w:val="20"/>
                <w:szCs w:val="20"/>
              </w:rPr>
              <w:t>Read articles/books on group facilitation and conflict resolution techniques by July 2025. Observe a senior union official effectively manage a challenging group meeting. Practice active listening techniques and strategies for re-directing discussions during branch meetings (at least 2 meetings per month).</w:t>
            </w:r>
          </w:p>
        </w:tc>
        <w:tc>
          <w:tcPr>
            <w:tcW w:w="1890" w:type="dxa"/>
          </w:tcPr>
          <w:p w14:paraId="135E102E" w14:textId="65B166CE" w:rsidR="00613FBF" w:rsidRPr="001A57E5" w:rsidRDefault="00AF5CB4" w:rsidP="00F77C9E">
            <w:pPr>
              <w:rPr>
                <w:sz w:val="20"/>
                <w:szCs w:val="20"/>
              </w:rPr>
            </w:pPr>
            <w:r w:rsidRPr="001A57E5">
              <w:rPr>
                <w:sz w:val="20"/>
                <w:szCs w:val="20"/>
              </w:rPr>
              <w:t>Relevant literature (books/articles), Senior official observation, Internal training on meeting facilitation.</w:t>
            </w:r>
          </w:p>
        </w:tc>
        <w:tc>
          <w:tcPr>
            <w:tcW w:w="1509" w:type="dxa"/>
          </w:tcPr>
          <w:p w14:paraId="1A9F6D82" w14:textId="324E2E58" w:rsidR="00613FBF" w:rsidRPr="001A57E5" w:rsidRDefault="00AF5CB4" w:rsidP="00F77C9E">
            <w:pPr>
              <w:rPr>
                <w:sz w:val="20"/>
                <w:szCs w:val="20"/>
              </w:rPr>
            </w:pPr>
            <w:r w:rsidRPr="001A57E5">
              <w:rPr>
                <w:sz w:val="20"/>
                <w:szCs w:val="20"/>
              </w:rPr>
              <w:t>By October 31, 2025</w:t>
            </w:r>
          </w:p>
        </w:tc>
        <w:tc>
          <w:tcPr>
            <w:tcW w:w="1772" w:type="dxa"/>
          </w:tcPr>
          <w:p w14:paraId="7138E1ED" w14:textId="47254B47" w:rsidR="00613FBF" w:rsidRPr="001A57E5" w:rsidRDefault="006B0EE0" w:rsidP="00F77C9E">
            <w:pPr>
              <w:rPr>
                <w:sz w:val="20"/>
                <w:szCs w:val="20"/>
              </w:rPr>
            </w:pPr>
            <w:r w:rsidRPr="001A57E5">
              <w:rPr>
                <w:sz w:val="20"/>
                <w:szCs w:val="20"/>
              </w:rPr>
              <w:t>Mentor observation feedback on improved group management. Reduced instances of misunderstandings or derailed discussions in meetings I lead.</w:t>
            </w:r>
          </w:p>
        </w:tc>
      </w:tr>
    </w:tbl>
    <w:p w14:paraId="022884A8" w14:textId="77777777" w:rsidR="00677F4E" w:rsidRPr="001A57E5" w:rsidRDefault="00996F90" w:rsidP="00F77C9E">
      <w:pPr>
        <w:rPr>
          <w:b/>
          <w:bCs/>
          <w:u w:val="single"/>
        </w:rPr>
      </w:pPr>
      <w:r w:rsidRPr="001A57E5">
        <w:rPr>
          <w:b/>
          <w:bCs/>
          <w:u w:val="single"/>
        </w:rPr>
        <w:br/>
      </w:r>
    </w:p>
    <w:p w14:paraId="609F6012" w14:textId="4FCFD981" w:rsidR="00057A63" w:rsidRPr="001A57E5" w:rsidRDefault="00057A63" w:rsidP="00057A63">
      <w:pPr>
        <w:rPr>
          <w:b/>
          <w:bCs/>
        </w:rPr>
      </w:pPr>
      <w:r w:rsidRPr="001A57E5">
        <w:rPr>
          <w:b/>
          <w:bCs/>
        </w:rPr>
        <w:t>Conclusion</w:t>
      </w:r>
    </w:p>
    <w:p w14:paraId="65C710EF" w14:textId="7D988E7E" w:rsidR="00057A63" w:rsidRPr="00057A63" w:rsidRDefault="00057A63" w:rsidP="00057A63">
      <w:r w:rsidRPr="00057A63">
        <w:t>In conclusion, this essay has systematically explored the multifaceted landscape of communication and motivation within a trade union environment, underscoring their indispensable role in organisational effectiveness and member engagement. We began by dissecting the communication cycle, revealing how each stage, from sender conceptualisation to feedback, is critical for ensuring clarity and mitigating noise, particularly in a context marked by diverse stakeholders and sensitive issues. The subsequent examination of tone, language, and formality highlighted their profound impact on perception, trust, and the successful achievement of communicative objectives, necessitating a nuanced and adaptable approach from union managers.</w:t>
      </w:r>
    </w:p>
    <w:p w14:paraId="20E19E8E" w14:textId="72585F9D" w:rsidR="00057A63" w:rsidRPr="00057A63" w:rsidRDefault="00057A63" w:rsidP="00057A63">
      <w:r w:rsidRPr="00057A63">
        <w:t xml:space="preserve">A comprehensive assessment of various verbal and written communication methods demonstrated that a strategic blend, leveraging the unique strengths of each, is paramount for both broad dissemination and deep relationship-building. Furthermore, the evaluation of motivation theories, with a specific focus on McClelland's Acquired Needs Theory, provided a powerful framework for understanding the diverse drivers of individuals within the union. </w:t>
      </w:r>
    </w:p>
    <w:p w14:paraId="0A8C7F7C" w14:textId="77777777" w:rsidR="00057A63" w:rsidRPr="00057A63" w:rsidRDefault="00057A63" w:rsidP="00057A63">
      <w:r w:rsidRPr="00057A63">
        <w:t xml:space="preserve">Finally, the establishment of clear criteria for communication effectiveness, coupled with a systematic approach to feedback collection and analysis, laid the groundwork for </w:t>
      </w:r>
      <w:r w:rsidRPr="00057A63">
        <w:lastRenderedPageBreak/>
        <w:t>continuous professional growth. The proposed Professional Development Plan serves as a tangible commitment to addressing identified areas for improvement, such as adapting verbal tone and enhancing conciseness in internal communications. Ultimately, effective communication and a deep understanding of motivational drivers are not merely managerial competencies but foundational pillars upon which a resilient, responsive, and successful trade union is built, fostering solidarity and achieving collective goals.</w:t>
      </w:r>
    </w:p>
    <w:p w14:paraId="24223952" w14:textId="77777777" w:rsidR="00996B6F" w:rsidRDefault="00996B6F" w:rsidP="00F77C9E">
      <w:pPr>
        <w:rPr>
          <w:b/>
          <w:bCs/>
          <w:u w:val="single"/>
        </w:rPr>
      </w:pPr>
    </w:p>
    <w:p w14:paraId="5572AC6E" w14:textId="77777777" w:rsidR="00996B6F" w:rsidRDefault="00996B6F" w:rsidP="00F77C9E">
      <w:pPr>
        <w:rPr>
          <w:b/>
          <w:bCs/>
          <w:u w:val="single"/>
        </w:rPr>
      </w:pPr>
    </w:p>
    <w:p w14:paraId="66143902" w14:textId="77777777" w:rsidR="00996B6F" w:rsidRDefault="00996B6F" w:rsidP="00F77C9E">
      <w:pPr>
        <w:rPr>
          <w:b/>
          <w:bCs/>
          <w:u w:val="single"/>
        </w:rPr>
      </w:pPr>
    </w:p>
    <w:p w14:paraId="03067BDA" w14:textId="77777777" w:rsidR="00996B6F" w:rsidRDefault="00996B6F" w:rsidP="00F77C9E">
      <w:pPr>
        <w:rPr>
          <w:b/>
          <w:bCs/>
          <w:u w:val="single"/>
        </w:rPr>
      </w:pPr>
    </w:p>
    <w:p w14:paraId="25E2A0FF" w14:textId="77777777" w:rsidR="00996B6F" w:rsidRDefault="00996B6F" w:rsidP="00F77C9E">
      <w:pPr>
        <w:rPr>
          <w:b/>
          <w:bCs/>
          <w:u w:val="single"/>
        </w:rPr>
      </w:pPr>
    </w:p>
    <w:p w14:paraId="7B478199" w14:textId="77777777" w:rsidR="00996B6F" w:rsidRDefault="00996B6F" w:rsidP="00F77C9E">
      <w:pPr>
        <w:rPr>
          <w:b/>
          <w:bCs/>
          <w:u w:val="single"/>
        </w:rPr>
      </w:pPr>
    </w:p>
    <w:p w14:paraId="21CFDDCC" w14:textId="77777777" w:rsidR="00996B6F" w:rsidRDefault="00996B6F" w:rsidP="00F77C9E">
      <w:pPr>
        <w:rPr>
          <w:b/>
          <w:bCs/>
          <w:u w:val="single"/>
        </w:rPr>
      </w:pPr>
    </w:p>
    <w:p w14:paraId="5076141D" w14:textId="77777777" w:rsidR="00996B6F" w:rsidRDefault="00996B6F" w:rsidP="00F77C9E">
      <w:pPr>
        <w:rPr>
          <w:b/>
          <w:bCs/>
          <w:u w:val="single"/>
        </w:rPr>
      </w:pPr>
    </w:p>
    <w:p w14:paraId="46848CEA" w14:textId="77777777" w:rsidR="00996B6F" w:rsidRDefault="00996B6F" w:rsidP="00F77C9E">
      <w:pPr>
        <w:rPr>
          <w:b/>
          <w:bCs/>
          <w:u w:val="single"/>
        </w:rPr>
      </w:pPr>
    </w:p>
    <w:p w14:paraId="442FB67B" w14:textId="77777777" w:rsidR="00996B6F" w:rsidRDefault="00996B6F" w:rsidP="00F77C9E">
      <w:pPr>
        <w:rPr>
          <w:b/>
          <w:bCs/>
          <w:u w:val="single"/>
        </w:rPr>
      </w:pPr>
    </w:p>
    <w:p w14:paraId="268C19A8" w14:textId="77777777" w:rsidR="00996B6F" w:rsidRDefault="00996B6F" w:rsidP="00F77C9E">
      <w:pPr>
        <w:rPr>
          <w:b/>
          <w:bCs/>
          <w:u w:val="single"/>
        </w:rPr>
      </w:pPr>
    </w:p>
    <w:p w14:paraId="72DBF3C6" w14:textId="77777777" w:rsidR="00996B6F" w:rsidRDefault="00996B6F" w:rsidP="00F77C9E">
      <w:pPr>
        <w:rPr>
          <w:b/>
          <w:bCs/>
          <w:u w:val="single"/>
        </w:rPr>
      </w:pPr>
    </w:p>
    <w:p w14:paraId="291CE02D" w14:textId="77777777" w:rsidR="00996B6F" w:rsidRDefault="00996B6F" w:rsidP="00F77C9E">
      <w:pPr>
        <w:rPr>
          <w:b/>
          <w:bCs/>
          <w:u w:val="single"/>
        </w:rPr>
      </w:pPr>
    </w:p>
    <w:p w14:paraId="0EA0CB39" w14:textId="77777777" w:rsidR="00996B6F" w:rsidRDefault="00996B6F" w:rsidP="00F77C9E">
      <w:pPr>
        <w:rPr>
          <w:b/>
          <w:bCs/>
          <w:u w:val="single"/>
        </w:rPr>
      </w:pPr>
    </w:p>
    <w:p w14:paraId="3FD3091C" w14:textId="77777777" w:rsidR="00996B6F" w:rsidRDefault="00996B6F" w:rsidP="00F77C9E">
      <w:pPr>
        <w:rPr>
          <w:b/>
          <w:bCs/>
          <w:u w:val="single"/>
        </w:rPr>
      </w:pPr>
    </w:p>
    <w:p w14:paraId="181BC040" w14:textId="77777777" w:rsidR="00996B6F" w:rsidRDefault="00996B6F" w:rsidP="00F77C9E">
      <w:pPr>
        <w:rPr>
          <w:b/>
          <w:bCs/>
          <w:u w:val="single"/>
        </w:rPr>
      </w:pPr>
    </w:p>
    <w:p w14:paraId="6BE411F2" w14:textId="77777777" w:rsidR="00996B6F" w:rsidRDefault="00996B6F" w:rsidP="00F77C9E">
      <w:pPr>
        <w:rPr>
          <w:b/>
          <w:bCs/>
          <w:u w:val="single"/>
        </w:rPr>
      </w:pPr>
    </w:p>
    <w:p w14:paraId="3E403133" w14:textId="77777777" w:rsidR="0094782E" w:rsidRDefault="0094782E" w:rsidP="00F77C9E">
      <w:pPr>
        <w:rPr>
          <w:b/>
          <w:bCs/>
          <w:u w:val="single"/>
        </w:rPr>
      </w:pPr>
    </w:p>
    <w:p w14:paraId="4E8995B1" w14:textId="77777777" w:rsidR="0094782E" w:rsidRDefault="0094782E" w:rsidP="00F77C9E">
      <w:pPr>
        <w:rPr>
          <w:b/>
          <w:bCs/>
          <w:u w:val="single"/>
        </w:rPr>
      </w:pPr>
    </w:p>
    <w:p w14:paraId="430E6779" w14:textId="77777777" w:rsidR="00FE6A25" w:rsidRDefault="00FE6A25" w:rsidP="00F77C9E">
      <w:pPr>
        <w:rPr>
          <w:b/>
          <w:bCs/>
          <w:u w:val="single"/>
        </w:rPr>
      </w:pPr>
    </w:p>
    <w:p w14:paraId="303F0F53" w14:textId="77777777" w:rsidR="00FE6A25" w:rsidRDefault="00FE6A25" w:rsidP="00F77C9E">
      <w:pPr>
        <w:rPr>
          <w:b/>
          <w:bCs/>
          <w:u w:val="single"/>
        </w:rPr>
      </w:pPr>
    </w:p>
    <w:p w14:paraId="54809170" w14:textId="77777777" w:rsidR="00FE6A25" w:rsidRDefault="00FE6A25" w:rsidP="00F77C9E">
      <w:pPr>
        <w:rPr>
          <w:b/>
          <w:bCs/>
          <w:u w:val="single"/>
        </w:rPr>
      </w:pPr>
    </w:p>
    <w:p w14:paraId="4D4EC6F5" w14:textId="77777777" w:rsidR="00FE6A25" w:rsidRDefault="00FE6A25" w:rsidP="00F77C9E">
      <w:pPr>
        <w:rPr>
          <w:b/>
          <w:bCs/>
          <w:u w:val="single"/>
        </w:rPr>
      </w:pPr>
    </w:p>
    <w:p w14:paraId="2AC5E1A6" w14:textId="63584B54" w:rsidR="00F77C9E" w:rsidRPr="001A57E5" w:rsidRDefault="00F77C9E" w:rsidP="00F77C9E">
      <w:pPr>
        <w:rPr>
          <w:b/>
          <w:bCs/>
          <w:u w:val="single"/>
        </w:rPr>
      </w:pPr>
      <w:r w:rsidRPr="001A57E5">
        <w:rPr>
          <w:b/>
          <w:bCs/>
          <w:u w:val="single"/>
        </w:rPr>
        <w:lastRenderedPageBreak/>
        <w:t>References</w:t>
      </w:r>
    </w:p>
    <w:p w14:paraId="76D05F3D" w14:textId="77777777" w:rsidR="00996B6F" w:rsidRPr="00996B6F" w:rsidRDefault="00996B6F" w:rsidP="00996B6F">
      <w:r w:rsidRPr="00996B6F">
        <w:t xml:space="preserve">Argyle, M. (1994). </w:t>
      </w:r>
      <w:r w:rsidRPr="00996B6F">
        <w:rPr>
          <w:i/>
          <w:iCs/>
        </w:rPr>
        <w:t>Gaze and Mutual Gaze</w:t>
      </w:r>
      <w:r w:rsidRPr="00996B6F">
        <w:t>. Cambridge University Press.</w:t>
      </w:r>
    </w:p>
    <w:p w14:paraId="32E29395" w14:textId="77777777" w:rsidR="00996B6F" w:rsidRPr="00996B6F" w:rsidRDefault="00996B6F" w:rsidP="00996B6F">
      <w:r w:rsidRPr="00996B6F">
        <w:t xml:space="preserve">Bass, B. M., &amp; Riggio, R. E. (2006). </w:t>
      </w:r>
      <w:r w:rsidRPr="00996B6F">
        <w:rPr>
          <w:i/>
          <w:iCs/>
        </w:rPr>
        <w:t>Transformational Leadership</w:t>
      </w:r>
      <w:r w:rsidRPr="00996B6F">
        <w:t xml:space="preserve"> (2nd ed.). Lawrence Erlbaum Associates.</w:t>
      </w:r>
    </w:p>
    <w:p w14:paraId="39448EAD" w14:textId="77777777" w:rsidR="00996B6F" w:rsidRPr="00996B6F" w:rsidRDefault="00996B6F" w:rsidP="00996B6F">
      <w:r w:rsidRPr="00996B6F">
        <w:t xml:space="preserve">Drucker, P. (1974). </w:t>
      </w:r>
      <w:r w:rsidRPr="00996B6F">
        <w:rPr>
          <w:i/>
          <w:iCs/>
        </w:rPr>
        <w:t>Management: Tasks, Responsibilities, Practices</w:t>
      </w:r>
      <w:r w:rsidRPr="00996B6F">
        <w:t>. Harper and Row.</w:t>
      </w:r>
    </w:p>
    <w:p w14:paraId="16224AA2" w14:textId="77777777" w:rsidR="00996B6F" w:rsidRPr="00996B6F" w:rsidRDefault="00996B6F" w:rsidP="00996B6F">
      <w:r w:rsidRPr="00996B6F">
        <w:t xml:space="preserve">Herzberg, F. (1968). One more time: How do you motivate employees? </w:t>
      </w:r>
      <w:r w:rsidRPr="00996B6F">
        <w:rPr>
          <w:i/>
          <w:iCs/>
        </w:rPr>
        <w:t>Harvard Business Review</w:t>
      </w:r>
      <w:r w:rsidRPr="00996B6F">
        <w:t xml:space="preserve">, </w:t>
      </w:r>
      <w:r w:rsidRPr="00996B6F">
        <w:rPr>
          <w:i/>
          <w:iCs/>
        </w:rPr>
        <w:t>46</w:t>
      </w:r>
      <w:r w:rsidRPr="00996B6F">
        <w:t>(1), 53–62.</w:t>
      </w:r>
    </w:p>
    <w:p w14:paraId="3C95DCC7" w14:textId="76AD9BC6" w:rsidR="00996B6F" w:rsidRPr="00996B6F" w:rsidRDefault="00996B6F" w:rsidP="00996B6F">
      <w:r w:rsidRPr="00996B6F">
        <w:t xml:space="preserve">Kaplan, A. M., &amp; Haenlein, M. (2010). Users of the world, unite! The challenges and opportunities of </w:t>
      </w:r>
      <w:r w:rsidR="00FE6A25" w:rsidRPr="00996B6F">
        <w:t>social media</w:t>
      </w:r>
      <w:r w:rsidRPr="00996B6F">
        <w:t xml:space="preserve">. </w:t>
      </w:r>
      <w:r w:rsidRPr="00996B6F">
        <w:rPr>
          <w:i/>
          <w:iCs/>
        </w:rPr>
        <w:t>Business Horizons</w:t>
      </w:r>
      <w:r w:rsidRPr="00996B6F">
        <w:t xml:space="preserve">, </w:t>
      </w:r>
      <w:r w:rsidRPr="00996B6F">
        <w:rPr>
          <w:i/>
          <w:iCs/>
        </w:rPr>
        <w:t>53</w:t>
      </w:r>
      <w:r w:rsidRPr="00996B6F">
        <w:t>(1), 59–68.</w:t>
      </w:r>
    </w:p>
    <w:p w14:paraId="5C439369" w14:textId="77777777" w:rsidR="00996B6F" w:rsidRPr="00996B6F" w:rsidRDefault="00996B6F" w:rsidP="00996B6F">
      <w:r w:rsidRPr="00996B6F">
        <w:t xml:space="preserve">Lim, S., &amp; Ling, K. (2012). The effects of email communication on organizational knowledge sharing. </w:t>
      </w:r>
      <w:r w:rsidRPr="00996B6F">
        <w:rPr>
          <w:i/>
          <w:iCs/>
        </w:rPr>
        <w:t>Journal of Computer-Mediated Communication</w:t>
      </w:r>
      <w:r w:rsidRPr="00996B6F">
        <w:t xml:space="preserve">, </w:t>
      </w:r>
      <w:r w:rsidRPr="00996B6F">
        <w:rPr>
          <w:i/>
          <w:iCs/>
        </w:rPr>
        <w:t>17</w:t>
      </w:r>
      <w:r w:rsidRPr="00996B6F">
        <w:t>(2), 227–241.</w:t>
      </w:r>
    </w:p>
    <w:p w14:paraId="277B0A2C" w14:textId="77777777" w:rsidR="00996B6F" w:rsidRPr="00996B6F" w:rsidRDefault="00996B6F" w:rsidP="00996B6F">
      <w:r w:rsidRPr="00996B6F">
        <w:t xml:space="preserve">Maslow, A. H. (1943). A theory of human motivation. </w:t>
      </w:r>
      <w:r w:rsidRPr="00996B6F">
        <w:rPr>
          <w:i/>
          <w:iCs/>
        </w:rPr>
        <w:t>Psychological Review</w:t>
      </w:r>
      <w:r w:rsidRPr="00996B6F">
        <w:t xml:space="preserve">, </w:t>
      </w:r>
      <w:r w:rsidRPr="00996B6F">
        <w:rPr>
          <w:i/>
          <w:iCs/>
        </w:rPr>
        <w:t>50</w:t>
      </w:r>
      <w:r w:rsidRPr="00996B6F">
        <w:t>(4), 370–396.</w:t>
      </w:r>
    </w:p>
    <w:p w14:paraId="36420A75" w14:textId="77777777" w:rsidR="00996B6F" w:rsidRPr="00996B6F" w:rsidRDefault="00996B6F" w:rsidP="00996B6F">
      <w:r w:rsidRPr="00996B6F">
        <w:t xml:space="preserve">McClelland, D. C. (1961). </w:t>
      </w:r>
      <w:r w:rsidRPr="00996B6F">
        <w:rPr>
          <w:i/>
          <w:iCs/>
        </w:rPr>
        <w:t>The Achieving Society</w:t>
      </w:r>
      <w:r w:rsidRPr="00996B6F">
        <w:t>. Van Nostrand.</w:t>
      </w:r>
    </w:p>
    <w:p w14:paraId="1E98077E" w14:textId="77777777" w:rsidR="00996B6F" w:rsidRPr="00996B6F" w:rsidRDefault="00996B6F" w:rsidP="00996B6F">
      <w:r w:rsidRPr="00996B6F">
        <w:t xml:space="preserve">McClelland, D. C., &amp; Burnham, D. H. (1976). Power is the great motivator. </w:t>
      </w:r>
      <w:r w:rsidRPr="00996B6F">
        <w:rPr>
          <w:i/>
          <w:iCs/>
        </w:rPr>
        <w:t>Harvard Business Review</w:t>
      </w:r>
      <w:r w:rsidRPr="00996B6F">
        <w:t xml:space="preserve">, </w:t>
      </w:r>
      <w:r w:rsidRPr="00996B6F">
        <w:rPr>
          <w:i/>
          <w:iCs/>
        </w:rPr>
        <w:t>54</w:t>
      </w:r>
      <w:r w:rsidRPr="00996B6F">
        <w:t>(2), 100–110.</w:t>
      </w:r>
    </w:p>
    <w:p w14:paraId="49643035" w14:textId="77777777" w:rsidR="00996B6F" w:rsidRPr="00996B6F" w:rsidRDefault="00996B6F" w:rsidP="00996B6F">
      <w:r w:rsidRPr="00996B6F">
        <w:t xml:space="preserve">Pfeffer, J. (1998). </w:t>
      </w:r>
      <w:r w:rsidRPr="00996B6F">
        <w:rPr>
          <w:i/>
          <w:iCs/>
        </w:rPr>
        <w:t>The Human Equation: Building Profits by Putting People First</w:t>
      </w:r>
      <w:r w:rsidRPr="00996B6F">
        <w:t>. Harvard Business School Press.</w:t>
      </w:r>
    </w:p>
    <w:p w14:paraId="239A4D61" w14:textId="6CCD1253" w:rsidR="00996B6F" w:rsidRPr="00996B6F" w:rsidRDefault="00996B6F" w:rsidP="00996B6F">
      <w:r w:rsidRPr="00996B6F">
        <w:t xml:space="preserve">Robbins, S. P., &amp; Judge, T. A. (2017). </w:t>
      </w:r>
      <w:r w:rsidRPr="00996B6F">
        <w:rPr>
          <w:i/>
          <w:iCs/>
        </w:rPr>
        <w:t xml:space="preserve">Organizational </w:t>
      </w:r>
      <w:r w:rsidR="00FE6A25" w:rsidRPr="00996B6F">
        <w:rPr>
          <w:i/>
          <w:iCs/>
        </w:rPr>
        <w:t>Behaviour</w:t>
      </w:r>
      <w:r w:rsidRPr="00996B6F">
        <w:t xml:space="preserve"> (17th ed.). Pearson.</w:t>
      </w:r>
    </w:p>
    <w:p w14:paraId="719739D5" w14:textId="77777777" w:rsidR="00996B6F" w:rsidRPr="00996B6F" w:rsidRDefault="00996B6F" w:rsidP="00996B6F">
      <w:r w:rsidRPr="00996B6F">
        <w:t xml:space="preserve">Shannon, C. E., &amp; Weaver, W. (1949). </w:t>
      </w:r>
      <w:r w:rsidRPr="00996B6F">
        <w:rPr>
          <w:i/>
          <w:iCs/>
        </w:rPr>
        <w:t>The Mathematical Theory of Communication</w:t>
      </w:r>
      <w:r w:rsidRPr="00996B6F">
        <w:t>. University of Illinois Press.</w:t>
      </w:r>
    </w:p>
    <w:p w14:paraId="5192980A" w14:textId="250CF780" w:rsidR="00996B6F" w:rsidRPr="00996B6F" w:rsidRDefault="00996B6F" w:rsidP="00996B6F">
      <w:r w:rsidRPr="00996B6F">
        <w:t xml:space="preserve">Wahba, M. A., &amp; Bridwell, L. G. (1976). Maslow reconsidered: A review of research on the need hierarchy theory. </w:t>
      </w:r>
      <w:r w:rsidRPr="00996B6F">
        <w:rPr>
          <w:i/>
          <w:iCs/>
        </w:rPr>
        <w:t xml:space="preserve">Organizational </w:t>
      </w:r>
      <w:r w:rsidR="00FE6A25" w:rsidRPr="00996B6F">
        <w:rPr>
          <w:i/>
          <w:iCs/>
        </w:rPr>
        <w:t>Behaviour</w:t>
      </w:r>
      <w:r w:rsidRPr="00996B6F">
        <w:rPr>
          <w:i/>
          <w:iCs/>
        </w:rPr>
        <w:t xml:space="preserve"> and Human Performance</w:t>
      </w:r>
      <w:r w:rsidRPr="00996B6F">
        <w:t xml:space="preserve">, </w:t>
      </w:r>
      <w:r w:rsidRPr="00996B6F">
        <w:rPr>
          <w:i/>
          <w:iCs/>
        </w:rPr>
        <w:t>15</w:t>
      </w:r>
      <w:r w:rsidRPr="00996B6F">
        <w:t>(2), 212–240.</w:t>
      </w:r>
    </w:p>
    <w:p w14:paraId="246B3886" w14:textId="77777777" w:rsidR="008E07E1" w:rsidRDefault="008E07E1" w:rsidP="00996F90">
      <w:pPr>
        <w:rPr>
          <w:b/>
          <w:bCs/>
        </w:rPr>
      </w:pPr>
    </w:p>
    <w:p w14:paraId="752E8971" w14:textId="4C16DEB9" w:rsidR="00996F90" w:rsidRPr="001A57E5" w:rsidRDefault="00996F90" w:rsidP="00996F90">
      <w:pPr>
        <w:rPr>
          <w:b/>
          <w:bCs/>
          <w:u w:val="single"/>
        </w:rPr>
      </w:pPr>
      <w:r w:rsidRPr="001A57E5">
        <w:rPr>
          <w:b/>
          <w:bCs/>
        </w:rPr>
        <w:br/>
      </w:r>
      <w:r w:rsidRPr="001A57E5">
        <w:rPr>
          <w:b/>
          <w:bCs/>
        </w:rPr>
        <w:br/>
      </w:r>
      <w:r w:rsidRPr="001A57E5">
        <w:rPr>
          <w:b/>
          <w:bCs/>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lastRenderedPageBreak/>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r w:rsidRPr="001A57E5">
        <w:rPr>
          <w:b/>
          <w:bCs/>
          <w:u w:val="single"/>
        </w:rPr>
        <w:br/>
      </w:r>
    </w:p>
    <w:p w14:paraId="155BADD0" w14:textId="77777777" w:rsidR="00996F90" w:rsidRPr="001A57E5" w:rsidRDefault="00996F90" w:rsidP="00996F90">
      <w:pPr>
        <w:rPr>
          <w:b/>
          <w:bCs/>
          <w:u w:val="single"/>
        </w:rPr>
      </w:pPr>
    </w:p>
    <w:p w14:paraId="7927BE7B" w14:textId="77777777" w:rsidR="00996F90" w:rsidRPr="001A57E5" w:rsidRDefault="00996F90" w:rsidP="00996F90">
      <w:pPr>
        <w:rPr>
          <w:b/>
          <w:bCs/>
          <w:u w:val="single"/>
        </w:rPr>
      </w:pPr>
    </w:p>
    <w:p w14:paraId="04C35E30" w14:textId="77777777" w:rsidR="00996F90" w:rsidRPr="001A57E5" w:rsidRDefault="00996F90" w:rsidP="00996F90">
      <w:pPr>
        <w:rPr>
          <w:b/>
          <w:bCs/>
          <w:u w:val="single"/>
        </w:rPr>
      </w:pPr>
    </w:p>
    <w:p w14:paraId="56010152" w14:textId="77777777" w:rsidR="00996F90" w:rsidRPr="001A57E5" w:rsidRDefault="00996F90" w:rsidP="00996F90">
      <w:pPr>
        <w:rPr>
          <w:b/>
          <w:bCs/>
          <w:u w:val="single"/>
        </w:rPr>
      </w:pPr>
    </w:p>
    <w:p w14:paraId="4C20F467" w14:textId="77777777" w:rsidR="00996F90" w:rsidRPr="001A57E5" w:rsidRDefault="00996F90" w:rsidP="00996F90"/>
    <w:p w14:paraId="274CE47E" w14:textId="77777777" w:rsidR="00996F90" w:rsidRPr="001A57E5" w:rsidRDefault="00996F90" w:rsidP="00996F90"/>
    <w:p w14:paraId="687F825A" w14:textId="77777777" w:rsidR="00996F90" w:rsidRPr="001A57E5" w:rsidRDefault="00996F90" w:rsidP="001E5547">
      <w:pPr>
        <w:jc w:val="center"/>
        <w:rPr>
          <w:b/>
          <w:bCs/>
        </w:rPr>
      </w:pPr>
    </w:p>
    <w:p w14:paraId="4AD3F795" w14:textId="77777777" w:rsidR="0003674D" w:rsidRPr="001A57E5" w:rsidRDefault="0003674D" w:rsidP="001E5547">
      <w:pPr>
        <w:jc w:val="center"/>
        <w:rPr>
          <w:b/>
          <w:bCs/>
        </w:rPr>
      </w:pPr>
    </w:p>
    <w:p w14:paraId="015BF135" w14:textId="77777777" w:rsidR="001E5547" w:rsidRPr="001A57E5" w:rsidRDefault="001E5547" w:rsidP="00390998">
      <w:pPr>
        <w:jc w:val="center"/>
      </w:pPr>
    </w:p>
    <w:sectPr w:rsidR="001E5547" w:rsidRPr="001A57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5211D"/>
    <w:multiLevelType w:val="multilevel"/>
    <w:tmpl w:val="1026E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F65FD6"/>
    <w:multiLevelType w:val="multilevel"/>
    <w:tmpl w:val="DC7C4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E50E2"/>
    <w:multiLevelType w:val="multilevel"/>
    <w:tmpl w:val="54966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25868"/>
    <w:multiLevelType w:val="multilevel"/>
    <w:tmpl w:val="B4DE5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AC378A"/>
    <w:multiLevelType w:val="multilevel"/>
    <w:tmpl w:val="D8D8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617A8"/>
    <w:multiLevelType w:val="multilevel"/>
    <w:tmpl w:val="8CF65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ED0440"/>
    <w:multiLevelType w:val="multilevel"/>
    <w:tmpl w:val="57A272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86A2D"/>
    <w:multiLevelType w:val="multilevel"/>
    <w:tmpl w:val="35B6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1665ED"/>
    <w:multiLevelType w:val="multilevel"/>
    <w:tmpl w:val="23061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D74C6B"/>
    <w:multiLevelType w:val="multilevel"/>
    <w:tmpl w:val="CB6C9D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D84297"/>
    <w:multiLevelType w:val="multilevel"/>
    <w:tmpl w:val="C1A4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D21811"/>
    <w:multiLevelType w:val="multilevel"/>
    <w:tmpl w:val="DF569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6423C8"/>
    <w:multiLevelType w:val="multilevel"/>
    <w:tmpl w:val="C454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436738"/>
    <w:multiLevelType w:val="multilevel"/>
    <w:tmpl w:val="5818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F2597A"/>
    <w:multiLevelType w:val="multilevel"/>
    <w:tmpl w:val="B25E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041D79"/>
    <w:multiLevelType w:val="multilevel"/>
    <w:tmpl w:val="D0E8F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6909E0"/>
    <w:multiLevelType w:val="multilevel"/>
    <w:tmpl w:val="1946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3070E0"/>
    <w:multiLevelType w:val="multilevel"/>
    <w:tmpl w:val="00A87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064C00"/>
    <w:multiLevelType w:val="multilevel"/>
    <w:tmpl w:val="BFAE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142779">
    <w:abstractNumId w:val="16"/>
  </w:num>
  <w:num w:numId="2" w16cid:durableId="1285692552">
    <w:abstractNumId w:val="14"/>
  </w:num>
  <w:num w:numId="3" w16cid:durableId="726760287">
    <w:abstractNumId w:val="11"/>
  </w:num>
  <w:num w:numId="4" w16cid:durableId="1050030457">
    <w:abstractNumId w:val="7"/>
  </w:num>
  <w:num w:numId="5" w16cid:durableId="2096705563">
    <w:abstractNumId w:val="6"/>
  </w:num>
  <w:num w:numId="6" w16cid:durableId="750396007">
    <w:abstractNumId w:val="9"/>
  </w:num>
  <w:num w:numId="7" w16cid:durableId="329455435">
    <w:abstractNumId w:val="0"/>
  </w:num>
  <w:num w:numId="8" w16cid:durableId="1050038894">
    <w:abstractNumId w:val="10"/>
  </w:num>
  <w:num w:numId="9" w16cid:durableId="1108699695">
    <w:abstractNumId w:val="3"/>
  </w:num>
  <w:num w:numId="10" w16cid:durableId="1658067962">
    <w:abstractNumId w:val="4"/>
  </w:num>
  <w:num w:numId="11" w16cid:durableId="785319362">
    <w:abstractNumId w:val="18"/>
  </w:num>
  <w:num w:numId="12" w16cid:durableId="539363973">
    <w:abstractNumId w:val="1"/>
  </w:num>
  <w:num w:numId="13" w16cid:durableId="1152331377">
    <w:abstractNumId w:val="12"/>
  </w:num>
  <w:num w:numId="14" w16cid:durableId="1552574104">
    <w:abstractNumId w:val="15"/>
  </w:num>
  <w:num w:numId="15" w16cid:durableId="333653844">
    <w:abstractNumId w:val="5"/>
  </w:num>
  <w:num w:numId="16" w16cid:durableId="1194460290">
    <w:abstractNumId w:val="17"/>
  </w:num>
  <w:num w:numId="17" w16cid:durableId="1832913788">
    <w:abstractNumId w:val="2"/>
  </w:num>
  <w:num w:numId="18" w16cid:durableId="593519457">
    <w:abstractNumId w:val="13"/>
  </w:num>
  <w:num w:numId="19" w16cid:durableId="243302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998"/>
    <w:rsid w:val="0003674D"/>
    <w:rsid w:val="00057A63"/>
    <w:rsid w:val="000B4691"/>
    <w:rsid w:val="001416F4"/>
    <w:rsid w:val="001A57E5"/>
    <w:rsid w:val="001E5547"/>
    <w:rsid w:val="001F7BFD"/>
    <w:rsid w:val="002A27BE"/>
    <w:rsid w:val="002B6183"/>
    <w:rsid w:val="002C01F0"/>
    <w:rsid w:val="002C38DD"/>
    <w:rsid w:val="00390998"/>
    <w:rsid w:val="003A7EE7"/>
    <w:rsid w:val="003B69B1"/>
    <w:rsid w:val="00424966"/>
    <w:rsid w:val="004664CA"/>
    <w:rsid w:val="00467ADC"/>
    <w:rsid w:val="0049153B"/>
    <w:rsid w:val="004C3D30"/>
    <w:rsid w:val="005C76F6"/>
    <w:rsid w:val="00613FBF"/>
    <w:rsid w:val="0062446E"/>
    <w:rsid w:val="00626B9D"/>
    <w:rsid w:val="00630DDA"/>
    <w:rsid w:val="00677F4E"/>
    <w:rsid w:val="006B0EE0"/>
    <w:rsid w:val="006B4DB7"/>
    <w:rsid w:val="006C06A6"/>
    <w:rsid w:val="006C5A72"/>
    <w:rsid w:val="006E5F34"/>
    <w:rsid w:val="007B3D80"/>
    <w:rsid w:val="007C7A44"/>
    <w:rsid w:val="007D48B9"/>
    <w:rsid w:val="008560AF"/>
    <w:rsid w:val="008E07E1"/>
    <w:rsid w:val="00910929"/>
    <w:rsid w:val="0094782E"/>
    <w:rsid w:val="00996B6F"/>
    <w:rsid w:val="00996F90"/>
    <w:rsid w:val="00A64500"/>
    <w:rsid w:val="00AD4D05"/>
    <w:rsid w:val="00AF34E4"/>
    <w:rsid w:val="00AF5CB4"/>
    <w:rsid w:val="00B64276"/>
    <w:rsid w:val="00C512E3"/>
    <w:rsid w:val="00CA47D7"/>
    <w:rsid w:val="00CD64F4"/>
    <w:rsid w:val="00CF2E1F"/>
    <w:rsid w:val="00CF49C7"/>
    <w:rsid w:val="00D13B83"/>
    <w:rsid w:val="00D41725"/>
    <w:rsid w:val="00D82A5D"/>
    <w:rsid w:val="00DF6288"/>
    <w:rsid w:val="00E32236"/>
    <w:rsid w:val="00EB4F50"/>
    <w:rsid w:val="00EF2430"/>
    <w:rsid w:val="00F56986"/>
    <w:rsid w:val="00F77C9E"/>
    <w:rsid w:val="00FB43FD"/>
    <w:rsid w:val="00FC1A00"/>
    <w:rsid w:val="00FE6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6EC22"/>
  <w15:chartTrackingRefBased/>
  <w15:docId w15:val="{E55A8D05-6BDB-4CA5-A375-50FCA6B21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998"/>
  </w:style>
  <w:style w:type="paragraph" w:styleId="Heading1">
    <w:name w:val="heading 1"/>
    <w:basedOn w:val="Normal"/>
    <w:next w:val="Normal"/>
    <w:link w:val="Heading1Char"/>
    <w:uiPriority w:val="9"/>
    <w:qFormat/>
    <w:rsid w:val="00390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9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9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9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9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9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9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9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9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9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9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9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9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9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9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9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998"/>
    <w:rPr>
      <w:rFonts w:eastAsiaTheme="majorEastAsia" w:cstheme="majorBidi"/>
      <w:color w:val="272727" w:themeColor="text1" w:themeTint="D8"/>
    </w:rPr>
  </w:style>
  <w:style w:type="paragraph" w:styleId="Title">
    <w:name w:val="Title"/>
    <w:basedOn w:val="Normal"/>
    <w:next w:val="Normal"/>
    <w:link w:val="TitleChar"/>
    <w:uiPriority w:val="10"/>
    <w:qFormat/>
    <w:rsid w:val="00390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9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9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9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998"/>
    <w:pPr>
      <w:spacing w:before="160"/>
      <w:jc w:val="center"/>
    </w:pPr>
    <w:rPr>
      <w:i/>
      <w:iCs/>
      <w:color w:val="404040" w:themeColor="text1" w:themeTint="BF"/>
    </w:rPr>
  </w:style>
  <w:style w:type="character" w:customStyle="1" w:styleId="QuoteChar">
    <w:name w:val="Quote Char"/>
    <w:basedOn w:val="DefaultParagraphFont"/>
    <w:link w:val="Quote"/>
    <w:uiPriority w:val="29"/>
    <w:rsid w:val="00390998"/>
    <w:rPr>
      <w:i/>
      <w:iCs/>
      <w:color w:val="404040" w:themeColor="text1" w:themeTint="BF"/>
    </w:rPr>
  </w:style>
  <w:style w:type="paragraph" w:styleId="ListParagraph">
    <w:name w:val="List Paragraph"/>
    <w:basedOn w:val="Normal"/>
    <w:uiPriority w:val="34"/>
    <w:qFormat/>
    <w:rsid w:val="00390998"/>
    <w:pPr>
      <w:ind w:left="720"/>
      <w:contextualSpacing/>
    </w:pPr>
  </w:style>
  <w:style w:type="character" w:styleId="IntenseEmphasis">
    <w:name w:val="Intense Emphasis"/>
    <w:basedOn w:val="DefaultParagraphFont"/>
    <w:uiPriority w:val="21"/>
    <w:qFormat/>
    <w:rsid w:val="00390998"/>
    <w:rPr>
      <w:i/>
      <w:iCs/>
      <w:color w:val="0F4761" w:themeColor="accent1" w:themeShade="BF"/>
    </w:rPr>
  </w:style>
  <w:style w:type="paragraph" w:styleId="IntenseQuote">
    <w:name w:val="Intense Quote"/>
    <w:basedOn w:val="Normal"/>
    <w:next w:val="Normal"/>
    <w:link w:val="IntenseQuoteChar"/>
    <w:uiPriority w:val="30"/>
    <w:qFormat/>
    <w:rsid w:val="00390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998"/>
    <w:rPr>
      <w:i/>
      <w:iCs/>
      <w:color w:val="0F4761" w:themeColor="accent1" w:themeShade="BF"/>
    </w:rPr>
  </w:style>
  <w:style w:type="character" w:styleId="IntenseReference">
    <w:name w:val="Intense Reference"/>
    <w:basedOn w:val="DefaultParagraphFont"/>
    <w:uiPriority w:val="32"/>
    <w:qFormat/>
    <w:rsid w:val="00390998"/>
    <w:rPr>
      <w:b/>
      <w:bCs/>
      <w:smallCaps/>
      <w:color w:val="0F4761" w:themeColor="accent1" w:themeShade="BF"/>
      <w:spacing w:val="5"/>
    </w:rPr>
  </w:style>
  <w:style w:type="table" w:styleId="TableGrid">
    <w:name w:val="Table Grid"/>
    <w:basedOn w:val="TableNormal"/>
    <w:uiPriority w:val="39"/>
    <w:rsid w:val="00390998"/>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6F90"/>
    <w:rPr>
      <w:color w:val="467886" w:themeColor="hyperlink"/>
      <w:u w:val="single"/>
    </w:rPr>
  </w:style>
  <w:style w:type="character" w:styleId="UnresolvedMention">
    <w:name w:val="Unresolved Mention"/>
    <w:basedOn w:val="DefaultParagraphFont"/>
    <w:uiPriority w:val="99"/>
    <w:semiHidden/>
    <w:unhideWhenUsed/>
    <w:rsid w:val="00630D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61801">
      <w:bodyDiv w:val="1"/>
      <w:marLeft w:val="0"/>
      <w:marRight w:val="0"/>
      <w:marTop w:val="0"/>
      <w:marBottom w:val="0"/>
      <w:divBdr>
        <w:top w:val="none" w:sz="0" w:space="0" w:color="auto"/>
        <w:left w:val="none" w:sz="0" w:space="0" w:color="auto"/>
        <w:bottom w:val="none" w:sz="0" w:space="0" w:color="auto"/>
        <w:right w:val="none" w:sz="0" w:space="0" w:color="auto"/>
      </w:divBdr>
    </w:div>
    <w:div w:id="242112126">
      <w:bodyDiv w:val="1"/>
      <w:marLeft w:val="0"/>
      <w:marRight w:val="0"/>
      <w:marTop w:val="0"/>
      <w:marBottom w:val="0"/>
      <w:divBdr>
        <w:top w:val="none" w:sz="0" w:space="0" w:color="auto"/>
        <w:left w:val="none" w:sz="0" w:space="0" w:color="auto"/>
        <w:bottom w:val="none" w:sz="0" w:space="0" w:color="auto"/>
        <w:right w:val="none" w:sz="0" w:space="0" w:color="auto"/>
      </w:divBdr>
      <w:divsChild>
        <w:div w:id="865796493">
          <w:marLeft w:val="0"/>
          <w:marRight w:val="0"/>
          <w:marTop w:val="0"/>
          <w:marBottom w:val="0"/>
          <w:divBdr>
            <w:top w:val="none" w:sz="0" w:space="0" w:color="auto"/>
            <w:left w:val="none" w:sz="0" w:space="0" w:color="auto"/>
            <w:bottom w:val="none" w:sz="0" w:space="0" w:color="auto"/>
            <w:right w:val="none" w:sz="0" w:space="0" w:color="auto"/>
          </w:divBdr>
          <w:divsChild>
            <w:div w:id="664625750">
              <w:marLeft w:val="0"/>
              <w:marRight w:val="0"/>
              <w:marTop w:val="0"/>
              <w:marBottom w:val="0"/>
              <w:divBdr>
                <w:top w:val="none" w:sz="0" w:space="0" w:color="auto"/>
                <w:left w:val="none" w:sz="0" w:space="0" w:color="auto"/>
                <w:bottom w:val="none" w:sz="0" w:space="0" w:color="auto"/>
                <w:right w:val="none" w:sz="0" w:space="0" w:color="auto"/>
              </w:divBdr>
              <w:divsChild>
                <w:div w:id="928347782">
                  <w:marLeft w:val="0"/>
                  <w:marRight w:val="0"/>
                  <w:marTop w:val="0"/>
                  <w:marBottom w:val="0"/>
                  <w:divBdr>
                    <w:top w:val="none" w:sz="0" w:space="0" w:color="auto"/>
                    <w:left w:val="none" w:sz="0" w:space="0" w:color="auto"/>
                    <w:bottom w:val="none" w:sz="0" w:space="0" w:color="auto"/>
                    <w:right w:val="none" w:sz="0" w:space="0" w:color="auto"/>
                  </w:divBdr>
                  <w:divsChild>
                    <w:div w:id="198904537">
                      <w:marLeft w:val="0"/>
                      <w:marRight w:val="0"/>
                      <w:marTop w:val="0"/>
                      <w:marBottom w:val="0"/>
                      <w:divBdr>
                        <w:top w:val="none" w:sz="0" w:space="0" w:color="auto"/>
                        <w:left w:val="none" w:sz="0" w:space="0" w:color="auto"/>
                        <w:bottom w:val="none" w:sz="0" w:space="0" w:color="auto"/>
                        <w:right w:val="none" w:sz="0" w:space="0" w:color="auto"/>
                      </w:divBdr>
                      <w:divsChild>
                        <w:div w:id="1855461805">
                          <w:marLeft w:val="0"/>
                          <w:marRight w:val="0"/>
                          <w:marTop w:val="0"/>
                          <w:marBottom w:val="0"/>
                          <w:divBdr>
                            <w:top w:val="none" w:sz="0" w:space="0" w:color="auto"/>
                            <w:left w:val="none" w:sz="0" w:space="0" w:color="auto"/>
                            <w:bottom w:val="none" w:sz="0" w:space="0" w:color="auto"/>
                            <w:right w:val="none" w:sz="0" w:space="0" w:color="auto"/>
                          </w:divBdr>
                          <w:divsChild>
                            <w:div w:id="1328752565">
                              <w:marLeft w:val="0"/>
                              <w:marRight w:val="0"/>
                              <w:marTop w:val="0"/>
                              <w:marBottom w:val="0"/>
                              <w:divBdr>
                                <w:top w:val="none" w:sz="0" w:space="0" w:color="auto"/>
                                <w:left w:val="none" w:sz="0" w:space="0" w:color="auto"/>
                                <w:bottom w:val="none" w:sz="0" w:space="0" w:color="auto"/>
                                <w:right w:val="none" w:sz="0" w:space="0" w:color="auto"/>
                              </w:divBdr>
                              <w:divsChild>
                                <w:div w:id="1159923224">
                                  <w:marLeft w:val="0"/>
                                  <w:marRight w:val="0"/>
                                  <w:marTop w:val="0"/>
                                  <w:marBottom w:val="0"/>
                                  <w:divBdr>
                                    <w:top w:val="none" w:sz="0" w:space="0" w:color="auto"/>
                                    <w:left w:val="none" w:sz="0" w:space="0" w:color="auto"/>
                                    <w:bottom w:val="none" w:sz="0" w:space="0" w:color="auto"/>
                                    <w:right w:val="none" w:sz="0" w:space="0" w:color="auto"/>
                                  </w:divBdr>
                                  <w:divsChild>
                                    <w:div w:id="448399479">
                                      <w:marLeft w:val="0"/>
                                      <w:marRight w:val="0"/>
                                      <w:marTop w:val="0"/>
                                      <w:marBottom w:val="0"/>
                                      <w:divBdr>
                                        <w:top w:val="none" w:sz="0" w:space="0" w:color="auto"/>
                                        <w:left w:val="none" w:sz="0" w:space="0" w:color="auto"/>
                                        <w:bottom w:val="none" w:sz="0" w:space="0" w:color="auto"/>
                                        <w:right w:val="none" w:sz="0" w:space="0" w:color="auto"/>
                                      </w:divBdr>
                                      <w:divsChild>
                                        <w:div w:id="1089038788">
                                          <w:marLeft w:val="0"/>
                                          <w:marRight w:val="0"/>
                                          <w:marTop w:val="0"/>
                                          <w:marBottom w:val="0"/>
                                          <w:divBdr>
                                            <w:top w:val="none" w:sz="0" w:space="0" w:color="auto"/>
                                            <w:left w:val="none" w:sz="0" w:space="0" w:color="auto"/>
                                            <w:bottom w:val="none" w:sz="0" w:space="0" w:color="auto"/>
                                            <w:right w:val="none" w:sz="0" w:space="0" w:color="auto"/>
                                          </w:divBdr>
                                          <w:divsChild>
                                            <w:div w:id="193007195">
                                              <w:marLeft w:val="0"/>
                                              <w:marRight w:val="0"/>
                                              <w:marTop w:val="0"/>
                                              <w:marBottom w:val="0"/>
                                              <w:divBdr>
                                                <w:top w:val="none" w:sz="0" w:space="0" w:color="auto"/>
                                                <w:left w:val="none" w:sz="0" w:space="0" w:color="auto"/>
                                                <w:bottom w:val="none" w:sz="0" w:space="0" w:color="auto"/>
                                                <w:right w:val="none" w:sz="0" w:space="0" w:color="auto"/>
                                              </w:divBdr>
                                              <w:divsChild>
                                                <w:div w:id="1558469986">
                                                  <w:marLeft w:val="0"/>
                                                  <w:marRight w:val="0"/>
                                                  <w:marTop w:val="0"/>
                                                  <w:marBottom w:val="0"/>
                                                  <w:divBdr>
                                                    <w:top w:val="none" w:sz="0" w:space="0" w:color="auto"/>
                                                    <w:left w:val="none" w:sz="0" w:space="0" w:color="auto"/>
                                                    <w:bottom w:val="none" w:sz="0" w:space="0" w:color="auto"/>
                                                    <w:right w:val="none" w:sz="0" w:space="0" w:color="auto"/>
                                                  </w:divBdr>
                                                  <w:divsChild>
                                                    <w:div w:id="1604798768">
                                                      <w:marLeft w:val="0"/>
                                                      <w:marRight w:val="0"/>
                                                      <w:marTop w:val="0"/>
                                                      <w:marBottom w:val="0"/>
                                                      <w:divBdr>
                                                        <w:top w:val="none" w:sz="0" w:space="0" w:color="auto"/>
                                                        <w:left w:val="none" w:sz="0" w:space="0" w:color="auto"/>
                                                        <w:bottom w:val="none" w:sz="0" w:space="0" w:color="auto"/>
                                                        <w:right w:val="none" w:sz="0" w:space="0" w:color="auto"/>
                                                      </w:divBdr>
                                                    </w:div>
                                                    <w:div w:id="151626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9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65883">
          <w:marLeft w:val="0"/>
          <w:marRight w:val="0"/>
          <w:marTop w:val="0"/>
          <w:marBottom w:val="0"/>
          <w:divBdr>
            <w:top w:val="none" w:sz="0" w:space="0" w:color="auto"/>
            <w:left w:val="none" w:sz="0" w:space="0" w:color="auto"/>
            <w:bottom w:val="none" w:sz="0" w:space="0" w:color="auto"/>
            <w:right w:val="none" w:sz="0" w:space="0" w:color="auto"/>
          </w:divBdr>
        </w:div>
        <w:div w:id="1294605280">
          <w:marLeft w:val="0"/>
          <w:marRight w:val="0"/>
          <w:marTop w:val="0"/>
          <w:marBottom w:val="0"/>
          <w:divBdr>
            <w:top w:val="none" w:sz="0" w:space="0" w:color="auto"/>
            <w:left w:val="none" w:sz="0" w:space="0" w:color="auto"/>
            <w:bottom w:val="none" w:sz="0" w:space="0" w:color="auto"/>
            <w:right w:val="none" w:sz="0" w:space="0" w:color="auto"/>
          </w:divBdr>
        </w:div>
        <w:div w:id="1202744466">
          <w:marLeft w:val="0"/>
          <w:marRight w:val="0"/>
          <w:marTop w:val="0"/>
          <w:marBottom w:val="0"/>
          <w:divBdr>
            <w:top w:val="none" w:sz="0" w:space="0" w:color="auto"/>
            <w:left w:val="none" w:sz="0" w:space="0" w:color="auto"/>
            <w:bottom w:val="none" w:sz="0" w:space="0" w:color="auto"/>
            <w:right w:val="none" w:sz="0" w:space="0" w:color="auto"/>
          </w:divBdr>
          <w:divsChild>
            <w:div w:id="201208994">
              <w:marLeft w:val="0"/>
              <w:marRight w:val="0"/>
              <w:marTop w:val="0"/>
              <w:marBottom w:val="0"/>
              <w:divBdr>
                <w:top w:val="none" w:sz="0" w:space="0" w:color="auto"/>
                <w:left w:val="none" w:sz="0" w:space="0" w:color="auto"/>
                <w:bottom w:val="none" w:sz="0" w:space="0" w:color="auto"/>
                <w:right w:val="none" w:sz="0" w:space="0" w:color="auto"/>
              </w:divBdr>
              <w:divsChild>
                <w:div w:id="95370451">
                  <w:marLeft w:val="0"/>
                  <w:marRight w:val="0"/>
                  <w:marTop w:val="0"/>
                  <w:marBottom w:val="0"/>
                  <w:divBdr>
                    <w:top w:val="none" w:sz="0" w:space="0" w:color="auto"/>
                    <w:left w:val="none" w:sz="0" w:space="0" w:color="auto"/>
                    <w:bottom w:val="none" w:sz="0" w:space="0" w:color="auto"/>
                    <w:right w:val="none" w:sz="0" w:space="0" w:color="auto"/>
                  </w:divBdr>
                  <w:divsChild>
                    <w:div w:id="2021083548">
                      <w:marLeft w:val="0"/>
                      <w:marRight w:val="0"/>
                      <w:marTop w:val="0"/>
                      <w:marBottom w:val="0"/>
                      <w:divBdr>
                        <w:top w:val="none" w:sz="0" w:space="0" w:color="auto"/>
                        <w:left w:val="none" w:sz="0" w:space="0" w:color="auto"/>
                        <w:bottom w:val="none" w:sz="0" w:space="0" w:color="auto"/>
                        <w:right w:val="none" w:sz="0" w:space="0" w:color="auto"/>
                      </w:divBdr>
                      <w:divsChild>
                        <w:div w:id="1952317623">
                          <w:marLeft w:val="0"/>
                          <w:marRight w:val="0"/>
                          <w:marTop w:val="0"/>
                          <w:marBottom w:val="0"/>
                          <w:divBdr>
                            <w:top w:val="none" w:sz="0" w:space="0" w:color="auto"/>
                            <w:left w:val="none" w:sz="0" w:space="0" w:color="auto"/>
                            <w:bottom w:val="none" w:sz="0" w:space="0" w:color="auto"/>
                            <w:right w:val="none" w:sz="0" w:space="0" w:color="auto"/>
                          </w:divBdr>
                          <w:divsChild>
                            <w:div w:id="1031566110">
                              <w:marLeft w:val="0"/>
                              <w:marRight w:val="0"/>
                              <w:marTop w:val="0"/>
                              <w:marBottom w:val="0"/>
                              <w:divBdr>
                                <w:top w:val="none" w:sz="0" w:space="0" w:color="auto"/>
                                <w:left w:val="none" w:sz="0" w:space="0" w:color="auto"/>
                                <w:bottom w:val="none" w:sz="0" w:space="0" w:color="auto"/>
                                <w:right w:val="none" w:sz="0" w:space="0" w:color="auto"/>
                              </w:divBdr>
                              <w:divsChild>
                                <w:div w:id="20218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077733">
                      <w:marLeft w:val="0"/>
                      <w:marRight w:val="0"/>
                      <w:marTop w:val="0"/>
                      <w:marBottom w:val="0"/>
                      <w:divBdr>
                        <w:top w:val="none" w:sz="0" w:space="0" w:color="auto"/>
                        <w:left w:val="none" w:sz="0" w:space="0" w:color="auto"/>
                        <w:bottom w:val="none" w:sz="0" w:space="0" w:color="auto"/>
                        <w:right w:val="none" w:sz="0" w:space="0" w:color="auto"/>
                      </w:divBdr>
                      <w:divsChild>
                        <w:div w:id="1286233695">
                          <w:marLeft w:val="0"/>
                          <w:marRight w:val="0"/>
                          <w:marTop w:val="0"/>
                          <w:marBottom w:val="0"/>
                          <w:divBdr>
                            <w:top w:val="none" w:sz="0" w:space="0" w:color="auto"/>
                            <w:left w:val="none" w:sz="0" w:space="0" w:color="auto"/>
                            <w:bottom w:val="none" w:sz="0" w:space="0" w:color="auto"/>
                            <w:right w:val="none" w:sz="0" w:space="0" w:color="auto"/>
                          </w:divBdr>
                          <w:divsChild>
                            <w:div w:id="229389222">
                              <w:marLeft w:val="0"/>
                              <w:marRight w:val="0"/>
                              <w:marTop w:val="0"/>
                              <w:marBottom w:val="0"/>
                              <w:divBdr>
                                <w:top w:val="none" w:sz="0" w:space="0" w:color="auto"/>
                                <w:left w:val="none" w:sz="0" w:space="0" w:color="auto"/>
                                <w:bottom w:val="none" w:sz="0" w:space="0" w:color="auto"/>
                                <w:right w:val="none" w:sz="0" w:space="0" w:color="auto"/>
                              </w:divBdr>
                            </w:div>
                            <w:div w:id="2063745710">
                              <w:marLeft w:val="0"/>
                              <w:marRight w:val="0"/>
                              <w:marTop w:val="0"/>
                              <w:marBottom w:val="0"/>
                              <w:divBdr>
                                <w:top w:val="none" w:sz="0" w:space="0" w:color="auto"/>
                                <w:left w:val="none" w:sz="0" w:space="0" w:color="auto"/>
                                <w:bottom w:val="none" w:sz="0" w:space="0" w:color="auto"/>
                                <w:right w:val="none" w:sz="0" w:space="0" w:color="auto"/>
                              </w:divBdr>
                            </w:div>
                            <w:div w:id="66574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279659">
          <w:marLeft w:val="0"/>
          <w:marRight w:val="0"/>
          <w:marTop w:val="0"/>
          <w:marBottom w:val="0"/>
          <w:divBdr>
            <w:top w:val="none" w:sz="0" w:space="0" w:color="auto"/>
            <w:left w:val="none" w:sz="0" w:space="0" w:color="auto"/>
            <w:bottom w:val="none" w:sz="0" w:space="0" w:color="auto"/>
            <w:right w:val="none" w:sz="0" w:space="0" w:color="auto"/>
          </w:divBdr>
        </w:div>
      </w:divsChild>
    </w:div>
    <w:div w:id="392243247">
      <w:bodyDiv w:val="1"/>
      <w:marLeft w:val="0"/>
      <w:marRight w:val="0"/>
      <w:marTop w:val="0"/>
      <w:marBottom w:val="0"/>
      <w:divBdr>
        <w:top w:val="none" w:sz="0" w:space="0" w:color="auto"/>
        <w:left w:val="none" w:sz="0" w:space="0" w:color="auto"/>
        <w:bottom w:val="none" w:sz="0" w:space="0" w:color="auto"/>
        <w:right w:val="none" w:sz="0" w:space="0" w:color="auto"/>
      </w:divBdr>
    </w:div>
    <w:div w:id="525369139">
      <w:bodyDiv w:val="1"/>
      <w:marLeft w:val="0"/>
      <w:marRight w:val="0"/>
      <w:marTop w:val="0"/>
      <w:marBottom w:val="0"/>
      <w:divBdr>
        <w:top w:val="none" w:sz="0" w:space="0" w:color="auto"/>
        <w:left w:val="none" w:sz="0" w:space="0" w:color="auto"/>
        <w:bottom w:val="none" w:sz="0" w:space="0" w:color="auto"/>
        <w:right w:val="none" w:sz="0" w:space="0" w:color="auto"/>
      </w:divBdr>
    </w:div>
    <w:div w:id="556475816">
      <w:bodyDiv w:val="1"/>
      <w:marLeft w:val="0"/>
      <w:marRight w:val="0"/>
      <w:marTop w:val="0"/>
      <w:marBottom w:val="0"/>
      <w:divBdr>
        <w:top w:val="none" w:sz="0" w:space="0" w:color="auto"/>
        <w:left w:val="none" w:sz="0" w:space="0" w:color="auto"/>
        <w:bottom w:val="none" w:sz="0" w:space="0" w:color="auto"/>
        <w:right w:val="none" w:sz="0" w:space="0" w:color="auto"/>
      </w:divBdr>
    </w:div>
    <w:div w:id="634332157">
      <w:bodyDiv w:val="1"/>
      <w:marLeft w:val="0"/>
      <w:marRight w:val="0"/>
      <w:marTop w:val="0"/>
      <w:marBottom w:val="0"/>
      <w:divBdr>
        <w:top w:val="none" w:sz="0" w:space="0" w:color="auto"/>
        <w:left w:val="none" w:sz="0" w:space="0" w:color="auto"/>
        <w:bottom w:val="none" w:sz="0" w:space="0" w:color="auto"/>
        <w:right w:val="none" w:sz="0" w:space="0" w:color="auto"/>
      </w:divBdr>
    </w:div>
    <w:div w:id="1125344643">
      <w:bodyDiv w:val="1"/>
      <w:marLeft w:val="0"/>
      <w:marRight w:val="0"/>
      <w:marTop w:val="0"/>
      <w:marBottom w:val="0"/>
      <w:divBdr>
        <w:top w:val="none" w:sz="0" w:space="0" w:color="auto"/>
        <w:left w:val="none" w:sz="0" w:space="0" w:color="auto"/>
        <w:bottom w:val="none" w:sz="0" w:space="0" w:color="auto"/>
        <w:right w:val="none" w:sz="0" w:space="0" w:color="auto"/>
      </w:divBdr>
    </w:div>
    <w:div w:id="1363239767">
      <w:bodyDiv w:val="1"/>
      <w:marLeft w:val="0"/>
      <w:marRight w:val="0"/>
      <w:marTop w:val="0"/>
      <w:marBottom w:val="0"/>
      <w:divBdr>
        <w:top w:val="none" w:sz="0" w:space="0" w:color="auto"/>
        <w:left w:val="none" w:sz="0" w:space="0" w:color="auto"/>
        <w:bottom w:val="none" w:sz="0" w:space="0" w:color="auto"/>
        <w:right w:val="none" w:sz="0" w:space="0" w:color="auto"/>
      </w:divBdr>
    </w:div>
    <w:div w:id="1576234854">
      <w:bodyDiv w:val="1"/>
      <w:marLeft w:val="0"/>
      <w:marRight w:val="0"/>
      <w:marTop w:val="0"/>
      <w:marBottom w:val="0"/>
      <w:divBdr>
        <w:top w:val="none" w:sz="0" w:space="0" w:color="auto"/>
        <w:left w:val="none" w:sz="0" w:space="0" w:color="auto"/>
        <w:bottom w:val="none" w:sz="0" w:space="0" w:color="auto"/>
        <w:right w:val="none" w:sz="0" w:space="0" w:color="auto"/>
      </w:divBdr>
    </w:div>
    <w:div w:id="1629359235">
      <w:bodyDiv w:val="1"/>
      <w:marLeft w:val="0"/>
      <w:marRight w:val="0"/>
      <w:marTop w:val="0"/>
      <w:marBottom w:val="0"/>
      <w:divBdr>
        <w:top w:val="none" w:sz="0" w:space="0" w:color="auto"/>
        <w:left w:val="none" w:sz="0" w:space="0" w:color="auto"/>
        <w:bottom w:val="none" w:sz="0" w:space="0" w:color="auto"/>
        <w:right w:val="none" w:sz="0" w:space="0" w:color="auto"/>
      </w:divBdr>
    </w:div>
    <w:div w:id="1632438900">
      <w:bodyDiv w:val="1"/>
      <w:marLeft w:val="0"/>
      <w:marRight w:val="0"/>
      <w:marTop w:val="0"/>
      <w:marBottom w:val="0"/>
      <w:divBdr>
        <w:top w:val="none" w:sz="0" w:space="0" w:color="auto"/>
        <w:left w:val="none" w:sz="0" w:space="0" w:color="auto"/>
        <w:bottom w:val="none" w:sz="0" w:space="0" w:color="auto"/>
        <w:right w:val="none" w:sz="0" w:space="0" w:color="auto"/>
      </w:divBdr>
    </w:div>
    <w:div w:id="1660696214">
      <w:bodyDiv w:val="1"/>
      <w:marLeft w:val="0"/>
      <w:marRight w:val="0"/>
      <w:marTop w:val="0"/>
      <w:marBottom w:val="0"/>
      <w:divBdr>
        <w:top w:val="none" w:sz="0" w:space="0" w:color="auto"/>
        <w:left w:val="none" w:sz="0" w:space="0" w:color="auto"/>
        <w:bottom w:val="none" w:sz="0" w:space="0" w:color="auto"/>
        <w:right w:val="none" w:sz="0" w:space="0" w:color="auto"/>
      </w:divBdr>
    </w:div>
    <w:div w:id="1839996417">
      <w:bodyDiv w:val="1"/>
      <w:marLeft w:val="0"/>
      <w:marRight w:val="0"/>
      <w:marTop w:val="0"/>
      <w:marBottom w:val="0"/>
      <w:divBdr>
        <w:top w:val="none" w:sz="0" w:space="0" w:color="auto"/>
        <w:left w:val="none" w:sz="0" w:space="0" w:color="auto"/>
        <w:bottom w:val="none" w:sz="0" w:space="0" w:color="auto"/>
        <w:right w:val="none" w:sz="0" w:space="0" w:color="auto"/>
      </w:divBdr>
    </w:div>
    <w:div w:id="1953394976">
      <w:bodyDiv w:val="1"/>
      <w:marLeft w:val="0"/>
      <w:marRight w:val="0"/>
      <w:marTop w:val="0"/>
      <w:marBottom w:val="0"/>
      <w:divBdr>
        <w:top w:val="none" w:sz="0" w:space="0" w:color="auto"/>
        <w:left w:val="none" w:sz="0" w:space="0" w:color="auto"/>
        <w:bottom w:val="none" w:sz="0" w:space="0" w:color="auto"/>
        <w:right w:val="none" w:sz="0" w:space="0" w:color="auto"/>
      </w:divBdr>
      <w:divsChild>
        <w:div w:id="579675526">
          <w:marLeft w:val="0"/>
          <w:marRight w:val="0"/>
          <w:marTop w:val="0"/>
          <w:marBottom w:val="0"/>
          <w:divBdr>
            <w:top w:val="none" w:sz="0" w:space="0" w:color="auto"/>
            <w:left w:val="none" w:sz="0" w:space="0" w:color="auto"/>
            <w:bottom w:val="none" w:sz="0" w:space="0" w:color="auto"/>
            <w:right w:val="none" w:sz="0" w:space="0" w:color="auto"/>
          </w:divBdr>
          <w:divsChild>
            <w:div w:id="435491228">
              <w:marLeft w:val="0"/>
              <w:marRight w:val="0"/>
              <w:marTop w:val="0"/>
              <w:marBottom w:val="0"/>
              <w:divBdr>
                <w:top w:val="none" w:sz="0" w:space="0" w:color="auto"/>
                <w:left w:val="none" w:sz="0" w:space="0" w:color="auto"/>
                <w:bottom w:val="none" w:sz="0" w:space="0" w:color="auto"/>
                <w:right w:val="none" w:sz="0" w:space="0" w:color="auto"/>
              </w:divBdr>
              <w:divsChild>
                <w:div w:id="1542356064">
                  <w:marLeft w:val="0"/>
                  <w:marRight w:val="0"/>
                  <w:marTop w:val="0"/>
                  <w:marBottom w:val="0"/>
                  <w:divBdr>
                    <w:top w:val="none" w:sz="0" w:space="0" w:color="auto"/>
                    <w:left w:val="none" w:sz="0" w:space="0" w:color="auto"/>
                    <w:bottom w:val="none" w:sz="0" w:space="0" w:color="auto"/>
                    <w:right w:val="none" w:sz="0" w:space="0" w:color="auto"/>
                  </w:divBdr>
                  <w:divsChild>
                    <w:div w:id="1085302500">
                      <w:marLeft w:val="0"/>
                      <w:marRight w:val="0"/>
                      <w:marTop w:val="0"/>
                      <w:marBottom w:val="0"/>
                      <w:divBdr>
                        <w:top w:val="none" w:sz="0" w:space="0" w:color="auto"/>
                        <w:left w:val="none" w:sz="0" w:space="0" w:color="auto"/>
                        <w:bottom w:val="none" w:sz="0" w:space="0" w:color="auto"/>
                        <w:right w:val="none" w:sz="0" w:space="0" w:color="auto"/>
                      </w:divBdr>
                      <w:divsChild>
                        <w:div w:id="670448169">
                          <w:marLeft w:val="0"/>
                          <w:marRight w:val="0"/>
                          <w:marTop w:val="0"/>
                          <w:marBottom w:val="0"/>
                          <w:divBdr>
                            <w:top w:val="none" w:sz="0" w:space="0" w:color="auto"/>
                            <w:left w:val="none" w:sz="0" w:space="0" w:color="auto"/>
                            <w:bottom w:val="none" w:sz="0" w:space="0" w:color="auto"/>
                            <w:right w:val="none" w:sz="0" w:space="0" w:color="auto"/>
                          </w:divBdr>
                          <w:divsChild>
                            <w:div w:id="1503818521">
                              <w:marLeft w:val="0"/>
                              <w:marRight w:val="0"/>
                              <w:marTop w:val="0"/>
                              <w:marBottom w:val="0"/>
                              <w:divBdr>
                                <w:top w:val="none" w:sz="0" w:space="0" w:color="auto"/>
                                <w:left w:val="none" w:sz="0" w:space="0" w:color="auto"/>
                                <w:bottom w:val="none" w:sz="0" w:space="0" w:color="auto"/>
                                <w:right w:val="none" w:sz="0" w:space="0" w:color="auto"/>
                              </w:divBdr>
                              <w:divsChild>
                                <w:div w:id="2063678043">
                                  <w:marLeft w:val="0"/>
                                  <w:marRight w:val="0"/>
                                  <w:marTop w:val="0"/>
                                  <w:marBottom w:val="0"/>
                                  <w:divBdr>
                                    <w:top w:val="none" w:sz="0" w:space="0" w:color="auto"/>
                                    <w:left w:val="none" w:sz="0" w:space="0" w:color="auto"/>
                                    <w:bottom w:val="none" w:sz="0" w:space="0" w:color="auto"/>
                                    <w:right w:val="none" w:sz="0" w:space="0" w:color="auto"/>
                                  </w:divBdr>
                                  <w:divsChild>
                                    <w:div w:id="393479413">
                                      <w:marLeft w:val="0"/>
                                      <w:marRight w:val="0"/>
                                      <w:marTop w:val="0"/>
                                      <w:marBottom w:val="0"/>
                                      <w:divBdr>
                                        <w:top w:val="none" w:sz="0" w:space="0" w:color="auto"/>
                                        <w:left w:val="none" w:sz="0" w:space="0" w:color="auto"/>
                                        <w:bottom w:val="none" w:sz="0" w:space="0" w:color="auto"/>
                                        <w:right w:val="none" w:sz="0" w:space="0" w:color="auto"/>
                                      </w:divBdr>
                                      <w:divsChild>
                                        <w:div w:id="18118802">
                                          <w:marLeft w:val="0"/>
                                          <w:marRight w:val="0"/>
                                          <w:marTop w:val="0"/>
                                          <w:marBottom w:val="0"/>
                                          <w:divBdr>
                                            <w:top w:val="none" w:sz="0" w:space="0" w:color="auto"/>
                                            <w:left w:val="none" w:sz="0" w:space="0" w:color="auto"/>
                                            <w:bottom w:val="none" w:sz="0" w:space="0" w:color="auto"/>
                                            <w:right w:val="none" w:sz="0" w:space="0" w:color="auto"/>
                                          </w:divBdr>
                                          <w:divsChild>
                                            <w:div w:id="742263088">
                                              <w:marLeft w:val="0"/>
                                              <w:marRight w:val="0"/>
                                              <w:marTop w:val="0"/>
                                              <w:marBottom w:val="0"/>
                                              <w:divBdr>
                                                <w:top w:val="none" w:sz="0" w:space="0" w:color="auto"/>
                                                <w:left w:val="none" w:sz="0" w:space="0" w:color="auto"/>
                                                <w:bottom w:val="none" w:sz="0" w:space="0" w:color="auto"/>
                                                <w:right w:val="none" w:sz="0" w:space="0" w:color="auto"/>
                                              </w:divBdr>
                                              <w:divsChild>
                                                <w:div w:id="959411119">
                                                  <w:marLeft w:val="0"/>
                                                  <w:marRight w:val="0"/>
                                                  <w:marTop w:val="0"/>
                                                  <w:marBottom w:val="0"/>
                                                  <w:divBdr>
                                                    <w:top w:val="none" w:sz="0" w:space="0" w:color="auto"/>
                                                    <w:left w:val="none" w:sz="0" w:space="0" w:color="auto"/>
                                                    <w:bottom w:val="none" w:sz="0" w:space="0" w:color="auto"/>
                                                    <w:right w:val="none" w:sz="0" w:space="0" w:color="auto"/>
                                                  </w:divBdr>
                                                  <w:divsChild>
                                                    <w:div w:id="1010378946">
                                                      <w:marLeft w:val="0"/>
                                                      <w:marRight w:val="0"/>
                                                      <w:marTop w:val="0"/>
                                                      <w:marBottom w:val="0"/>
                                                      <w:divBdr>
                                                        <w:top w:val="none" w:sz="0" w:space="0" w:color="auto"/>
                                                        <w:left w:val="none" w:sz="0" w:space="0" w:color="auto"/>
                                                        <w:bottom w:val="none" w:sz="0" w:space="0" w:color="auto"/>
                                                        <w:right w:val="none" w:sz="0" w:space="0" w:color="auto"/>
                                                      </w:divBdr>
                                                    </w:div>
                                                    <w:div w:id="93208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71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164149">
          <w:marLeft w:val="0"/>
          <w:marRight w:val="0"/>
          <w:marTop w:val="0"/>
          <w:marBottom w:val="0"/>
          <w:divBdr>
            <w:top w:val="none" w:sz="0" w:space="0" w:color="auto"/>
            <w:left w:val="none" w:sz="0" w:space="0" w:color="auto"/>
            <w:bottom w:val="none" w:sz="0" w:space="0" w:color="auto"/>
            <w:right w:val="none" w:sz="0" w:space="0" w:color="auto"/>
          </w:divBdr>
        </w:div>
        <w:div w:id="1539049935">
          <w:marLeft w:val="0"/>
          <w:marRight w:val="0"/>
          <w:marTop w:val="0"/>
          <w:marBottom w:val="0"/>
          <w:divBdr>
            <w:top w:val="none" w:sz="0" w:space="0" w:color="auto"/>
            <w:left w:val="none" w:sz="0" w:space="0" w:color="auto"/>
            <w:bottom w:val="none" w:sz="0" w:space="0" w:color="auto"/>
            <w:right w:val="none" w:sz="0" w:space="0" w:color="auto"/>
          </w:divBdr>
        </w:div>
        <w:div w:id="200942558">
          <w:marLeft w:val="0"/>
          <w:marRight w:val="0"/>
          <w:marTop w:val="0"/>
          <w:marBottom w:val="0"/>
          <w:divBdr>
            <w:top w:val="none" w:sz="0" w:space="0" w:color="auto"/>
            <w:left w:val="none" w:sz="0" w:space="0" w:color="auto"/>
            <w:bottom w:val="none" w:sz="0" w:space="0" w:color="auto"/>
            <w:right w:val="none" w:sz="0" w:space="0" w:color="auto"/>
          </w:divBdr>
          <w:divsChild>
            <w:div w:id="1820153862">
              <w:marLeft w:val="0"/>
              <w:marRight w:val="0"/>
              <w:marTop w:val="0"/>
              <w:marBottom w:val="0"/>
              <w:divBdr>
                <w:top w:val="none" w:sz="0" w:space="0" w:color="auto"/>
                <w:left w:val="none" w:sz="0" w:space="0" w:color="auto"/>
                <w:bottom w:val="none" w:sz="0" w:space="0" w:color="auto"/>
                <w:right w:val="none" w:sz="0" w:space="0" w:color="auto"/>
              </w:divBdr>
              <w:divsChild>
                <w:div w:id="453061531">
                  <w:marLeft w:val="0"/>
                  <w:marRight w:val="0"/>
                  <w:marTop w:val="0"/>
                  <w:marBottom w:val="0"/>
                  <w:divBdr>
                    <w:top w:val="none" w:sz="0" w:space="0" w:color="auto"/>
                    <w:left w:val="none" w:sz="0" w:space="0" w:color="auto"/>
                    <w:bottom w:val="none" w:sz="0" w:space="0" w:color="auto"/>
                    <w:right w:val="none" w:sz="0" w:space="0" w:color="auto"/>
                  </w:divBdr>
                  <w:divsChild>
                    <w:div w:id="279412522">
                      <w:marLeft w:val="0"/>
                      <w:marRight w:val="0"/>
                      <w:marTop w:val="0"/>
                      <w:marBottom w:val="0"/>
                      <w:divBdr>
                        <w:top w:val="none" w:sz="0" w:space="0" w:color="auto"/>
                        <w:left w:val="none" w:sz="0" w:space="0" w:color="auto"/>
                        <w:bottom w:val="none" w:sz="0" w:space="0" w:color="auto"/>
                        <w:right w:val="none" w:sz="0" w:space="0" w:color="auto"/>
                      </w:divBdr>
                      <w:divsChild>
                        <w:div w:id="531112773">
                          <w:marLeft w:val="0"/>
                          <w:marRight w:val="0"/>
                          <w:marTop w:val="0"/>
                          <w:marBottom w:val="0"/>
                          <w:divBdr>
                            <w:top w:val="none" w:sz="0" w:space="0" w:color="auto"/>
                            <w:left w:val="none" w:sz="0" w:space="0" w:color="auto"/>
                            <w:bottom w:val="none" w:sz="0" w:space="0" w:color="auto"/>
                            <w:right w:val="none" w:sz="0" w:space="0" w:color="auto"/>
                          </w:divBdr>
                          <w:divsChild>
                            <w:div w:id="261884956">
                              <w:marLeft w:val="0"/>
                              <w:marRight w:val="0"/>
                              <w:marTop w:val="0"/>
                              <w:marBottom w:val="0"/>
                              <w:divBdr>
                                <w:top w:val="none" w:sz="0" w:space="0" w:color="auto"/>
                                <w:left w:val="none" w:sz="0" w:space="0" w:color="auto"/>
                                <w:bottom w:val="none" w:sz="0" w:space="0" w:color="auto"/>
                                <w:right w:val="none" w:sz="0" w:space="0" w:color="auto"/>
                              </w:divBdr>
                              <w:divsChild>
                                <w:div w:id="160210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673850">
                      <w:marLeft w:val="0"/>
                      <w:marRight w:val="0"/>
                      <w:marTop w:val="0"/>
                      <w:marBottom w:val="0"/>
                      <w:divBdr>
                        <w:top w:val="none" w:sz="0" w:space="0" w:color="auto"/>
                        <w:left w:val="none" w:sz="0" w:space="0" w:color="auto"/>
                        <w:bottom w:val="none" w:sz="0" w:space="0" w:color="auto"/>
                        <w:right w:val="none" w:sz="0" w:space="0" w:color="auto"/>
                      </w:divBdr>
                      <w:divsChild>
                        <w:div w:id="1809475279">
                          <w:marLeft w:val="0"/>
                          <w:marRight w:val="0"/>
                          <w:marTop w:val="0"/>
                          <w:marBottom w:val="0"/>
                          <w:divBdr>
                            <w:top w:val="none" w:sz="0" w:space="0" w:color="auto"/>
                            <w:left w:val="none" w:sz="0" w:space="0" w:color="auto"/>
                            <w:bottom w:val="none" w:sz="0" w:space="0" w:color="auto"/>
                            <w:right w:val="none" w:sz="0" w:space="0" w:color="auto"/>
                          </w:divBdr>
                          <w:divsChild>
                            <w:div w:id="504708062">
                              <w:marLeft w:val="0"/>
                              <w:marRight w:val="0"/>
                              <w:marTop w:val="0"/>
                              <w:marBottom w:val="0"/>
                              <w:divBdr>
                                <w:top w:val="none" w:sz="0" w:space="0" w:color="auto"/>
                                <w:left w:val="none" w:sz="0" w:space="0" w:color="auto"/>
                                <w:bottom w:val="none" w:sz="0" w:space="0" w:color="auto"/>
                                <w:right w:val="none" w:sz="0" w:space="0" w:color="auto"/>
                              </w:divBdr>
                            </w:div>
                            <w:div w:id="1443570889">
                              <w:marLeft w:val="0"/>
                              <w:marRight w:val="0"/>
                              <w:marTop w:val="0"/>
                              <w:marBottom w:val="0"/>
                              <w:divBdr>
                                <w:top w:val="none" w:sz="0" w:space="0" w:color="auto"/>
                                <w:left w:val="none" w:sz="0" w:space="0" w:color="auto"/>
                                <w:bottom w:val="none" w:sz="0" w:space="0" w:color="auto"/>
                                <w:right w:val="none" w:sz="0" w:space="0" w:color="auto"/>
                              </w:divBdr>
                            </w:div>
                            <w:div w:id="14183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27829">
          <w:marLeft w:val="0"/>
          <w:marRight w:val="0"/>
          <w:marTop w:val="0"/>
          <w:marBottom w:val="0"/>
          <w:divBdr>
            <w:top w:val="none" w:sz="0" w:space="0" w:color="auto"/>
            <w:left w:val="none" w:sz="0" w:space="0" w:color="auto"/>
            <w:bottom w:val="none" w:sz="0" w:space="0" w:color="auto"/>
            <w:right w:val="none" w:sz="0" w:space="0" w:color="auto"/>
          </w:divBdr>
        </w:div>
      </w:divsChild>
    </w:div>
    <w:div w:id="2096825275">
      <w:bodyDiv w:val="1"/>
      <w:marLeft w:val="0"/>
      <w:marRight w:val="0"/>
      <w:marTop w:val="0"/>
      <w:marBottom w:val="0"/>
      <w:divBdr>
        <w:top w:val="none" w:sz="0" w:space="0" w:color="auto"/>
        <w:left w:val="none" w:sz="0" w:space="0" w:color="auto"/>
        <w:bottom w:val="none" w:sz="0" w:space="0" w:color="auto"/>
        <w:right w:val="none" w:sz="0" w:space="0" w:color="auto"/>
      </w:divBdr>
    </w:div>
    <w:div w:id="2097553115">
      <w:bodyDiv w:val="1"/>
      <w:marLeft w:val="0"/>
      <w:marRight w:val="0"/>
      <w:marTop w:val="0"/>
      <w:marBottom w:val="0"/>
      <w:divBdr>
        <w:top w:val="none" w:sz="0" w:space="0" w:color="auto"/>
        <w:left w:val="none" w:sz="0" w:space="0" w:color="auto"/>
        <w:bottom w:val="none" w:sz="0" w:space="0" w:color="auto"/>
        <w:right w:val="none" w:sz="0" w:space="0" w:color="auto"/>
      </w:divBdr>
    </w:div>
    <w:div w:id="211007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A212F-9A96-4FBE-A8FD-A1A1F0733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13</Pages>
  <Words>3884</Words>
  <Characters>22144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Harper</dc:creator>
  <cp:keywords/>
  <dc:description/>
  <cp:lastModifiedBy>Jack Harper</cp:lastModifiedBy>
  <cp:revision>44</cp:revision>
  <dcterms:created xsi:type="dcterms:W3CDTF">2025-05-27T09:39:00Z</dcterms:created>
  <dcterms:modified xsi:type="dcterms:W3CDTF">2025-05-29T10:35:00Z</dcterms:modified>
</cp:coreProperties>
</file>